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04B3" w14:textId="77777777" w:rsidR="00B27589" w:rsidRDefault="00B27589" w:rsidP="005B6C73">
      <w:pPr>
        <w:pStyle w:val="Normal-pool"/>
      </w:pPr>
      <w:bookmarkStart w:id="0" w:name="_GoBack"/>
      <w:bookmarkEnd w:id="0"/>
    </w:p>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B564C8" w:rsidRPr="008C00D6" w14:paraId="11E4A53E" w14:textId="77777777" w:rsidTr="00CB42DD">
        <w:trPr>
          <w:cantSplit/>
          <w:trHeight w:val="1079"/>
          <w:jc w:val="right"/>
        </w:trPr>
        <w:tc>
          <w:tcPr>
            <w:tcW w:w="1526" w:type="dxa"/>
          </w:tcPr>
          <w:p w14:paraId="309E0B97" w14:textId="77777777" w:rsidR="00B564C8" w:rsidRPr="0081483A" w:rsidRDefault="00B564C8" w:rsidP="00CB42DD">
            <w:pPr>
              <w:keepNext/>
              <w:spacing w:before="40" w:after="0" w:line="240" w:lineRule="auto"/>
              <w:outlineLvl w:val="1"/>
              <w:rPr>
                <w:rFonts w:ascii="Times New Roman" w:hAnsi="Times New Roman"/>
                <w:sz w:val="27"/>
                <w:szCs w:val="27"/>
                <w:lang w:val="en-GB"/>
              </w:rPr>
            </w:pPr>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3A2F5B0D" w14:textId="77777777" w:rsidR="00B564C8" w:rsidRPr="0081483A" w:rsidRDefault="00B564C8" w:rsidP="00CB42DD">
            <w:pPr>
              <w:spacing w:after="0" w:line="240" w:lineRule="auto"/>
              <w:ind w:left="-108"/>
              <w:jc w:val="center"/>
              <w:rPr>
                <w:rFonts w:ascii="Times New Roman" w:hAnsi="Times New Roman"/>
                <w:sz w:val="20"/>
                <w:szCs w:val="20"/>
                <w:lang w:val="en-GB"/>
              </w:rPr>
            </w:pPr>
            <w:r>
              <w:rPr>
                <w:noProof/>
              </w:rPr>
              <w:drawing>
                <wp:inline distT="0" distB="0" distL="0" distR="0" wp14:anchorId="581986D6" wp14:editId="6656A4D2">
                  <wp:extent cx="537932" cy="468923"/>
                  <wp:effectExtent l="0" t="0" r="0" b="7620"/>
                  <wp:docPr id="9" name="Picture 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45C4C83B" w14:textId="77777777" w:rsidR="00B564C8" w:rsidRPr="0081483A" w:rsidRDefault="00B564C8" w:rsidP="00CB42DD">
            <w:pPr>
              <w:spacing w:after="0" w:line="240" w:lineRule="auto"/>
              <w:ind w:left="-108"/>
              <w:jc w:val="center"/>
              <w:rPr>
                <w:rFonts w:ascii="Times New Roman" w:hAnsi="Times New Roman"/>
                <w:sz w:val="20"/>
                <w:szCs w:val="20"/>
                <w:lang w:val="en-GB"/>
              </w:rPr>
            </w:pPr>
            <w:r>
              <w:rPr>
                <w:noProof/>
              </w:rPr>
              <w:drawing>
                <wp:inline distT="0" distB="0" distL="0" distR="0" wp14:anchorId="24FDE767" wp14:editId="3BA32F76">
                  <wp:extent cx="468455" cy="492369"/>
                  <wp:effectExtent l="0" t="0" r="8255" b="3175"/>
                  <wp:docPr id="10" name="Picture 10"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2942565A" w14:textId="77777777" w:rsidR="00B564C8" w:rsidRPr="0081483A" w:rsidRDefault="00B564C8" w:rsidP="00CB42DD">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7E60A1EC" wp14:editId="5C30D5B1">
                  <wp:extent cx="574431" cy="475392"/>
                  <wp:effectExtent l="0" t="0" r="0" b="1270"/>
                  <wp:docPr id="1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0F78924" w14:textId="77777777" w:rsidR="00B564C8" w:rsidRPr="0081483A" w:rsidRDefault="00B564C8" w:rsidP="00CB42DD">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5882C3FC" wp14:editId="2BA58ED6">
                  <wp:extent cx="1518138" cy="527539"/>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63553119" w14:textId="77777777" w:rsidR="00B564C8" w:rsidRPr="0081483A" w:rsidRDefault="00B564C8" w:rsidP="00CB42DD">
            <w:pPr>
              <w:spacing w:after="0" w:line="240" w:lineRule="auto"/>
              <w:jc w:val="center"/>
              <w:rPr>
                <w:rFonts w:ascii="Times New Roman" w:hAnsi="Times New Roman"/>
                <w:sz w:val="20"/>
                <w:szCs w:val="20"/>
                <w:lang w:val="en-GB"/>
              </w:rPr>
            </w:pPr>
            <w:r>
              <w:rPr>
                <w:noProof/>
              </w:rPr>
              <w:drawing>
                <wp:inline distT="0" distB="0" distL="0" distR="0" wp14:anchorId="09657DFD" wp14:editId="159F0903">
                  <wp:extent cx="287215" cy="562232"/>
                  <wp:effectExtent l="0" t="0" r="0" b="0"/>
                  <wp:docPr id="19" name="Picture 19"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56497235" w14:textId="77777777" w:rsidR="00B564C8" w:rsidRPr="0081483A" w:rsidRDefault="00B564C8" w:rsidP="00CB42DD">
            <w:pPr>
              <w:spacing w:after="0" w:line="240" w:lineRule="auto"/>
              <w:jc w:val="center"/>
              <w:rPr>
                <w:rFonts w:ascii="Times New Roman" w:hAnsi="Times New Roman"/>
                <w:sz w:val="20"/>
                <w:szCs w:val="20"/>
                <w:lang w:val="en-GB"/>
              </w:rPr>
            </w:pPr>
          </w:p>
        </w:tc>
        <w:tc>
          <w:tcPr>
            <w:tcW w:w="1666" w:type="dxa"/>
          </w:tcPr>
          <w:p w14:paraId="5AAF4B32" w14:textId="77777777" w:rsidR="00B564C8" w:rsidRPr="003F1D30" w:rsidRDefault="00B564C8" w:rsidP="00CB42DD">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B564C8" w:rsidRPr="008C00D6" w14:paraId="18B4D5A0" w14:textId="77777777" w:rsidTr="00CB42DD">
        <w:trPr>
          <w:cantSplit/>
          <w:trHeight w:val="282"/>
          <w:jc w:val="right"/>
        </w:trPr>
        <w:tc>
          <w:tcPr>
            <w:tcW w:w="1526" w:type="dxa"/>
            <w:tcBorders>
              <w:bottom w:val="single" w:sz="2" w:space="0" w:color="auto"/>
            </w:tcBorders>
          </w:tcPr>
          <w:p w14:paraId="0BA3FA77" w14:textId="77777777" w:rsidR="00B564C8" w:rsidRPr="0081483A" w:rsidRDefault="00B564C8" w:rsidP="00CB42DD">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2CCC70E3" w14:textId="77777777" w:rsidR="00B564C8" w:rsidRPr="00EA5E72" w:rsidRDefault="00B564C8" w:rsidP="00CB42DD">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3A137D25" w14:textId="77777777" w:rsidR="00B564C8" w:rsidRPr="00EA5E72" w:rsidRDefault="00B564C8" w:rsidP="00CB42DD">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/5/INF/24</w:t>
            </w:r>
          </w:p>
        </w:tc>
      </w:tr>
      <w:tr w:rsidR="00B564C8" w:rsidRPr="008C00D6" w14:paraId="2697D462" w14:textId="77777777" w:rsidTr="00CB42DD">
        <w:trPr>
          <w:cantSplit/>
          <w:trHeight w:val="1433"/>
          <w:jc w:val="right"/>
        </w:trPr>
        <w:tc>
          <w:tcPr>
            <w:tcW w:w="2009" w:type="dxa"/>
            <w:gridSpan w:val="2"/>
            <w:tcBorders>
              <w:top w:val="single" w:sz="2" w:space="0" w:color="auto"/>
              <w:bottom w:val="single" w:sz="24" w:space="0" w:color="auto"/>
            </w:tcBorders>
          </w:tcPr>
          <w:p w14:paraId="6C742527" w14:textId="77777777" w:rsidR="00B564C8" w:rsidRPr="0081483A" w:rsidRDefault="00B564C8" w:rsidP="00CB42DD">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1129711D" wp14:editId="7DE521C6">
                  <wp:extent cx="1111406" cy="5193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3EC234B1" w14:textId="77777777" w:rsidR="00B564C8" w:rsidRPr="00EA5E72" w:rsidRDefault="00B564C8" w:rsidP="00CB42DD">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3B6C36F4" w14:textId="77777777" w:rsidR="00B564C8" w:rsidRPr="00EA5E72" w:rsidRDefault="00B564C8" w:rsidP="00CB42DD">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Pr>
                <w:rFonts w:ascii="Times New Roman" w:eastAsia="Times New Roman" w:hAnsi="Times New Roman"/>
                <w:sz w:val="20"/>
                <w:szCs w:val="20"/>
              </w:rPr>
              <w:t>7 February 2017</w:t>
            </w:r>
          </w:p>
          <w:p w14:paraId="41850183" w14:textId="77777777" w:rsidR="00B564C8" w:rsidRPr="009E78C3" w:rsidRDefault="00B564C8" w:rsidP="00CB42DD">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29BB8C9E" w14:textId="77777777" w:rsidR="005B6C73" w:rsidRPr="00207098" w:rsidRDefault="005B6C73" w:rsidP="005B6C73">
      <w:pPr>
        <w:pStyle w:val="AATitle"/>
      </w:pPr>
      <w:r w:rsidRPr="00207098">
        <w:t>Plenary of the Intergovernmental Science-Policy</w:t>
      </w:r>
    </w:p>
    <w:p w14:paraId="1B0E5B26" w14:textId="77777777" w:rsidR="005B6C73" w:rsidRPr="00207098" w:rsidRDefault="005B6C73" w:rsidP="005B6C73">
      <w:pPr>
        <w:pStyle w:val="AATitle"/>
      </w:pPr>
      <w:r w:rsidRPr="00207098">
        <w:t>Platform on Biodiversity and Ecosystem Services</w:t>
      </w:r>
    </w:p>
    <w:p w14:paraId="10CB7ACD" w14:textId="77777777" w:rsidR="005B6C73" w:rsidRPr="00207098" w:rsidRDefault="005B6C73" w:rsidP="005B6C73">
      <w:pPr>
        <w:pStyle w:val="AATitle"/>
      </w:pPr>
      <w:r w:rsidRPr="00207098">
        <w:t>Fifth session</w:t>
      </w:r>
    </w:p>
    <w:p w14:paraId="6932D493" w14:textId="77777777" w:rsidR="005B6C73" w:rsidRPr="00B564C8" w:rsidRDefault="005B6C73" w:rsidP="005B6C73">
      <w:pPr>
        <w:pStyle w:val="AATitle"/>
        <w:rPr>
          <w:b w:val="0"/>
        </w:rPr>
      </w:pPr>
      <w:r w:rsidRPr="00B564C8">
        <w:rPr>
          <w:b w:val="0"/>
        </w:rPr>
        <w:t>Bonn, Germany, 7–10 March 2017</w:t>
      </w:r>
    </w:p>
    <w:p w14:paraId="5E11FDE4" w14:textId="77777777" w:rsidR="005B6C73" w:rsidRPr="00B564C8" w:rsidRDefault="005B6C73" w:rsidP="005B6C73">
      <w:pPr>
        <w:pStyle w:val="AATitle"/>
        <w:rPr>
          <w:b w:val="0"/>
        </w:rPr>
      </w:pPr>
      <w:r w:rsidRPr="00B564C8">
        <w:rPr>
          <w:b w:val="0"/>
        </w:rPr>
        <w:t>Item 5 of the provisional agenda</w:t>
      </w:r>
      <w:r w:rsidRPr="00D12805">
        <w:rPr>
          <w:rStyle w:val="FootnoteReference"/>
          <w:b w:val="0"/>
          <w:vertAlign w:val="baseline"/>
        </w:rPr>
        <w:footnoteReference w:customMarkFollows="1" w:id="1"/>
        <w:t>*</w:t>
      </w:r>
    </w:p>
    <w:p w14:paraId="734602A5" w14:textId="77777777" w:rsidR="005B6C73" w:rsidRPr="00B564C8" w:rsidRDefault="005B6C73" w:rsidP="00B564C8">
      <w:pPr>
        <w:pStyle w:val="AATitle2"/>
        <w:spacing w:before="60"/>
      </w:pPr>
      <w:r w:rsidRPr="00B564C8">
        <w:t xml:space="preserve">Report of the Executive Secretary on the implementation </w:t>
      </w:r>
      <w:r w:rsidRPr="00B564C8">
        <w:br/>
        <w:t>of the work programme for the period 2014–2018</w:t>
      </w:r>
    </w:p>
    <w:p w14:paraId="5FE06695" w14:textId="5015AFA9" w:rsidR="005B6C73" w:rsidRPr="006720D1" w:rsidRDefault="005B6C73" w:rsidP="00B564C8">
      <w:pPr>
        <w:pStyle w:val="BBTitle"/>
      </w:pPr>
      <w:r>
        <w:t xml:space="preserve">Update on the classification of </w:t>
      </w:r>
      <w:r w:rsidR="00C41912">
        <w:t xml:space="preserve">nature’s contributions </w:t>
      </w:r>
      <w:r>
        <w:t xml:space="preserve">to </w:t>
      </w:r>
      <w:r w:rsidR="00C41912">
        <w:t xml:space="preserve">people </w:t>
      </w:r>
      <w:r w:rsidR="00CB42DD">
        <w:t>by the Intergovernmental Science-Policy Platform on Biodiversity and Ecosystem Services</w:t>
      </w:r>
    </w:p>
    <w:p w14:paraId="3ECC38AC" w14:textId="77777777" w:rsidR="005B6C73" w:rsidRPr="00B564C8" w:rsidRDefault="005B6C73" w:rsidP="00B564C8">
      <w:pPr>
        <w:pStyle w:val="CH2"/>
      </w:pPr>
      <w:r w:rsidRPr="00B564C8">
        <w:tab/>
      </w:r>
      <w:r w:rsidRPr="00B564C8">
        <w:tab/>
        <w:t>Note by the secretariat</w:t>
      </w:r>
    </w:p>
    <w:p w14:paraId="3BA6F075" w14:textId="6F107D0C" w:rsidR="005B6C73" w:rsidRPr="00B564C8" w:rsidRDefault="00CB42DD" w:rsidP="00B564C8">
      <w:pPr>
        <w:pStyle w:val="Normalnumber"/>
        <w:tabs>
          <w:tab w:val="clear" w:pos="1134"/>
          <w:tab w:val="clear" w:pos="1247"/>
          <w:tab w:val="clear" w:pos="1814"/>
          <w:tab w:val="clear" w:pos="2381"/>
          <w:tab w:val="clear" w:pos="2948"/>
          <w:tab w:val="clear" w:pos="3515"/>
          <w:tab w:val="clear" w:pos="4082"/>
          <w:tab w:val="num" w:pos="624"/>
        </w:tabs>
      </w:pPr>
      <w:r>
        <w:t>By its</w:t>
      </w:r>
      <w:r w:rsidRPr="00B564C8">
        <w:t xml:space="preserve"> </w:t>
      </w:r>
      <w:r w:rsidR="005B6C73" w:rsidRPr="00B564C8">
        <w:t xml:space="preserve">decision IPBES-2/4, the Plenary of the Intergovernmental Science-Policy Platform on Biodiversity and Ecosystem Services (IPBES) </w:t>
      </w:r>
      <w:r>
        <w:t>adopted</w:t>
      </w:r>
      <w:r w:rsidR="005B6C73" w:rsidRPr="00B564C8">
        <w:t xml:space="preserve"> a conceptual framework for the Platform, set out in the annex to that decision, </w:t>
      </w:r>
      <w:r>
        <w:t>that includes</w:t>
      </w:r>
      <w:r w:rsidR="005B6C73" w:rsidRPr="00B564C8">
        <w:t xml:space="preserve"> six interlinked elements. </w:t>
      </w:r>
    </w:p>
    <w:p w14:paraId="0E638768" w14:textId="019C1AA9" w:rsidR="005B6C73" w:rsidRDefault="005B6C73" w:rsidP="00B564C8">
      <w:pPr>
        <w:pStyle w:val="Normalnumber"/>
        <w:tabs>
          <w:tab w:val="clear" w:pos="1134"/>
          <w:tab w:val="clear" w:pos="1247"/>
          <w:tab w:val="clear" w:pos="1814"/>
          <w:tab w:val="clear" w:pos="2381"/>
          <w:tab w:val="clear" w:pos="2948"/>
          <w:tab w:val="clear" w:pos="3515"/>
          <w:tab w:val="clear" w:pos="4082"/>
          <w:tab w:val="num" w:pos="624"/>
        </w:tabs>
      </w:pPr>
      <w:r>
        <w:t xml:space="preserve">The </w:t>
      </w:r>
      <w:r w:rsidR="00F367A0">
        <w:t xml:space="preserve">annex in the </w:t>
      </w:r>
      <w:r>
        <w:t>present note focuses on the element called “</w:t>
      </w:r>
      <w:r w:rsidR="00A2266C">
        <w:t>n</w:t>
      </w:r>
      <w:r>
        <w:t xml:space="preserve">ature’s benefits to people”. </w:t>
      </w:r>
      <w:r w:rsidR="00F367A0">
        <w:t>It</w:t>
      </w:r>
      <w:r>
        <w:t xml:space="preserve"> </w:t>
      </w:r>
      <w:r w:rsidR="00A2266C">
        <w:t xml:space="preserve">sets out </w:t>
      </w:r>
      <w:r>
        <w:t xml:space="preserve">a classification of </w:t>
      </w:r>
      <w:r w:rsidR="00A2266C">
        <w:t xml:space="preserve">those </w:t>
      </w:r>
      <w:r>
        <w:t xml:space="preserve">benefits, renamed </w:t>
      </w:r>
      <w:r w:rsidR="00993735">
        <w:t>“</w:t>
      </w:r>
      <w:r>
        <w:t>nature’s contributions to people</w:t>
      </w:r>
      <w:r w:rsidR="00993735">
        <w:t>”</w:t>
      </w:r>
      <w:r>
        <w:t xml:space="preserve"> (see annex, </w:t>
      </w:r>
      <w:r w:rsidRPr="002A6E2F">
        <w:t>para</w:t>
      </w:r>
      <w:r w:rsidR="00993735">
        <w:t>.</w:t>
      </w:r>
      <w:r w:rsidRPr="002A6E2F">
        <w:t xml:space="preserve"> </w:t>
      </w:r>
      <w:r>
        <w:t>2)</w:t>
      </w:r>
      <w:r w:rsidR="00F367A0">
        <w:t>,</w:t>
      </w:r>
      <w:r>
        <w:t xml:space="preserve"> developed by the Multidisciplinary Expert Panel in collaboration with experts </w:t>
      </w:r>
      <w:r w:rsidR="00C41912">
        <w:t xml:space="preserve">involved in </w:t>
      </w:r>
      <w:r>
        <w:t xml:space="preserve">the regional and global assessments and the IPBES task forces. It also provides a rationale for </w:t>
      </w:r>
      <w:r w:rsidR="00993735">
        <w:t xml:space="preserve">the </w:t>
      </w:r>
      <w:r>
        <w:t xml:space="preserve">classification and for how it has </w:t>
      </w:r>
      <w:r w:rsidR="000C1BDD">
        <w:t xml:space="preserve">conceptually </w:t>
      </w:r>
      <w:r>
        <w:t xml:space="preserve">evolved from the ecosystem services classification used by the Millennium Ecosystem Assessment (2005). </w:t>
      </w:r>
    </w:p>
    <w:p w14:paraId="1B4E5E86" w14:textId="664E2118" w:rsidR="005B6C73" w:rsidRPr="00100B84" w:rsidRDefault="008F7CBA" w:rsidP="00B564C8">
      <w:pPr>
        <w:pStyle w:val="Normalnumber"/>
        <w:tabs>
          <w:tab w:val="clear" w:pos="1134"/>
          <w:tab w:val="clear" w:pos="1247"/>
          <w:tab w:val="clear" w:pos="1814"/>
          <w:tab w:val="clear" w:pos="2381"/>
          <w:tab w:val="clear" w:pos="2948"/>
          <w:tab w:val="clear" w:pos="3515"/>
          <w:tab w:val="clear" w:pos="4082"/>
          <w:tab w:val="num" w:pos="624"/>
        </w:tabs>
        <w:sectPr w:rsidR="005B6C73" w:rsidRPr="00100B84" w:rsidSect="00CB42DD">
          <w:footerReference w:type="default" r:id="rId14"/>
          <w:headerReference w:type="first" r:id="rId15"/>
          <w:footerReference w:type="first" r:id="rId16"/>
          <w:type w:val="continuous"/>
          <w:pgSz w:w="11906" w:h="16838" w:code="9"/>
          <w:pgMar w:top="907" w:right="992" w:bottom="1418" w:left="1418" w:header="539" w:footer="975" w:gutter="0"/>
          <w:cols w:space="539"/>
          <w:docGrid w:linePitch="360"/>
        </w:sectPr>
      </w:pPr>
      <w:r w:rsidRPr="00100B84">
        <w:t>Th</w:t>
      </w:r>
      <w:r>
        <w:t>e</w:t>
      </w:r>
      <w:r w:rsidRPr="00100B84">
        <w:t xml:space="preserve"> </w:t>
      </w:r>
      <w:r w:rsidR="005B6C73" w:rsidRPr="00100B84">
        <w:t xml:space="preserve">classification </w:t>
      </w:r>
      <w:r w:rsidR="00BE6B70">
        <w:t xml:space="preserve">set out in the annex </w:t>
      </w:r>
      <w:r w:rsidR="005B6C73" w:rsidRPr="00100B84">
        <w:t xml:space="preserve">is proposed as a </w:t>
      </w:r>
      <w:r w:rsidR="00666DE6">
        <w:t>means for</w:t>
      </w:r>
      <w:r w:rsidR="005B6C73" w:rsidRPr="00100B84">
        <w:t xml:space="preserve"> report</w:t>
      </w:r>
      <w:r w:rsidR="00666DE6">
        <w:t xml:space="preserve">ing </w:t>
      </w:r>
      <w:r w:rsidR="00666DE6" w:rsidRPr="00B564C8">
        <w:t xml:space="preserve">consistently </w:t>
      </w:r>
      <w:r w:rsidR="00666DE6">
        <w:t xml:space="preserve">on </w:t>
      </w:r>
      <w:r w:rsidR="00666DE6" w:rsidRPr="00B564C8">
        <w:t>ongoing and future assessments</w:t>
      </w:r>
      <w:r w:rsidR="00666DE6" w:rsidRPr="00B564C8" w:rsidDel="00666DE6">
        <w:t xml:space="preserve"> </w:t>
      </w:r>
      <w:r w:rsidR="00666DE6">
        <w:t xml:space="preserve">of </w:t>
      </w:r>
      <w:r w:rsidR="005B6C73" w:rsidRPr="00B564C8">
        <w:t>IPBES. It is</w:t>
      </w:r>
      <w:r w:rsidR="005B6C73" w:rsidRPr="00100B84">
        <w:t xml:space="preserve"> recommended for use </w:t>
      </w:r>
      <w:r w:rsidR="00DF3CCA">
        <w:t xml:space="preserve">in </w:t>
      </w:r>
      <w:r w:rsidR="005B6C73" w:rsidRPr="00100B84">
        <w:t xml:space="preserve">the regional assessments and will be used </w:t>
      </w:r>
      <w:r w:rsidR="00DF3CCA">
        <w:t>in</w:t>
      </w:r>
      <w:r w:rsidR="00DF3CCA" w:rsidRPr="00100B84">
        <w:t xml:space="preserve"> </w:t>
      </w:r>
      <w:r w:rsidR="005B6C73" w:rsidRPr="00100B84">
        <w:t>the global assessment.</w:t>
      </w:r>
      <w:r w:rsidR="00E350DF">
        <w:t xml:space="preserve"> </w:t>
      </w:r>
      <w:r w:rsidR="005B6C73">
        <w:t>The</w:t>
      </w:r>
      <w:r w:rsidR="005B6C73" w:rsidRPr="00100B84">
        <w:t xml:space="preserve"> annex is presented without formal editing.</w:t>
      </w:r>
    </w:p>
    <w:p w14:paraId="288D07EF" w14:textId="77777777" w:rsidR="005B6C73" w:rsidRPr="00B564C8" w:rsidRDefault="005B6C73" w:rsidP="00B564C8">
      <w:pPr>
        <w:pStyle w:val="ZZAnxheader"/>
        <w:rPr>
          <w:rFonts w:eastAsia="Calibri"/>
        </w:rPr>
      </w:pPr>
      <w:r w:rsidRPr="00B564C8">
        <w:rPr>
          <w:rFonts w:eastAsia="Calibri"/>
        </w:rPr>
        <w:lastRenderedPageBreak/>
        <w:t>Annex</w:t>
      </w:r>
    </w:p>
    <w:p w14:paraId="457619B7" w14:textId="0548E9C2" w:rsidR="005B6C73" w:rsidRPr="00B564C8" w:rsidRDefault="005B6C73" w:rsidP="00B564C8">
      <w:pPr>
        <w:pStyle w:val="ZZAnxtitle"/>
      </w:pPr>
      <w:r w:rsidRPr="00B564C8">
        <w:t>Update on the classification of Nature’s Contributions to People</w:t>
      </w:r>
      <w:r w:rsidR="00A2266C">
        <w:t xml:space="preserve"> by the Intergovernmental Science-Policy Platform on Biodiversity and Ecosystem Services</w:t>
      </w:r>
    </w:p>
    <w:p w14:paraId="5EC55CAB" w14:textId="77777777" w:rsidR="005B6C73" w:rsidRDefault="00B564C8" w:rsidP="00B564C8">
      <w:pPr>
        <w:pStyle w:val="CH1"/>
      </w:pPr>
      <w:r>
        <w:tab/>
        <w:t>I.</w:t>
      </w:r>
      <w:r>
        <w:tab/>
      </w:r>
      <w:r w:rsidR="005B6C73">
        <w:t>Developing the IPBES classification of Nature’s Contributions to People (NCP)</w:t>
      </w:r>
    </w:p>
    <w:p w14:paraId="5480E822" w14:textId="77777777" w:rsidR="005B6C73" w:rsidRPr="00BC2380"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pPr>
      <w:r w:rsidRPr="005B6C73">
        <w:t xml:space="preserve">This classification has been developed by members of the Multidisciplinary Expert Panel (MEP), in collaboration with experts of the regional and of the global assessments and the IPBES task forces. This group is preparing a longer scientific publication, from which the substantial text of this document is taken, and which will provide additional rationale for the classification, and a more detailed presentation of the categories, including a glossary of key terms. </w:t>
      </w:r>
    </w:p>
    <w:p w14:paraId="70563C49" w14:textId="77777777" w:rsidR="005B6C73" w:rsidRPr="00BC2380"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rPr>
          <w:lang w:val="en-US"/>
        </w:rPr>
      </w:pPr>
      <w:r w:rsidRPr="005B6C73">
        <w:rPr>
          <w:color w:val="000000"/>
          <w:lang w:val="en-US"/>
        </w:rPr>
        <w:t>The MEP at its 8</w:t>
      </w:r>
      <w:r w:rsidRPr="005B6C73">
        <w:rPr>
          <w:color w:val="000000"/>
          <w:vertAlign w:val="superscript"/>
          <w:lang w:val="en-US"/>
        </w:rPr>
        <w:t>th</w:t>
      </w:r>
      <w:r w:rsidRPr="005B6C73">
        <w:rPr>
          <w:color w:val="000000"/>
          <w:lang w:val="en-US"/>
        </w:rPr>
        <w:t xml:space="preserve"> meeting (October 2016) decided to rename </w:t>
      </w:r>
      <w:r w:rsidRPr="00BC2380">
        <w:rPr>
          <w:lang w:val="en-US"/>
        </w:rPr>
        <w:t xml:space="preserve">Nature’s </w:t>
      </w:r>
      <w:r>
        <w:rPr>
          <w:lang w:val="en-US"/>
        </w:rPr>
        <w:t>B</w:t>
      </w:r>
      <w:r w:rsidRPr="00BC2380">
        <w:rPr>
          <w:lang w:val="en-US"/>
        </w:rPr>
        <w:t xml:space="preserve">enefits to </w:t>
      </w:r>
      <w:r>
        <w:rPr>
          <w:lang w:val="en-US"/>
        </w:rPr>
        <w:t>P</w:t>
      </w:r>
      <w:r w:rsidRPr="00BC2380">
        <w:rPr>
          <w:lang w:val="en-US"/>
        </w:rPr>
        <w:t>eople</w:t>
      </w:r>
      <w:r w:rsidRPr="005B6C73">
        <w:rPr>
          <w:color w:val="000000"/>
          <w:lang w:val="en-US"/>
        </w:rPr>
        <w:t xml:space="preserve"> to </w:t>
      </w:r>
      <w:r w:rsidRPr="00BC2380">
        <w:rPr>
          <w:lang w:val="en-US"/>
        </w:rPr>
        <w:t xml:space="preserve">Nature’s </w:t>
      </w:r>
      <w:r w:rsidRPr="00D73F4E">
        <w:rPr>
          <w:u w:val="single"/>
          <w:lang w:val="en-US"/>
        </w:rPr>
        <w:t>Contributions</w:t>
      </w:r>
      <w:r w:rsidRPr="00BC2380">
        <w:rPr>
          <w:lang w:val="en-US"/>
        </w:rPr>
        <w:t xml:space="preserve"> to </w:t>
      </w:r>
      <w:r>
        <w:rPr>
          <w:lang w:val="en-US"/>
        </w:rPr>
        <w:t>P</w:t>
      </w:r>
      <w:r w:rsidRPr="00BC2380">
        <w:rPr>
          <w:lang w:val="en-US"/>
        </w:rPr>
        <w:t>eople</w:t>
      </w:r>
      <w:r w:rsidRPr="005B6C73">
        <w:rPr>
          <w:color w:val="000000"/>
          <w:lang w:val="en-US"/>
        </w:rPr>
        <w:t xml:space="preserve"> for two main reasons: 1) The word “benefits”, with its strongly positive connotation, wrongly conveyed the idea that negative contributions from nature towards peoples’ good quality of life would be excluded; 2) The different meanings of the word “benefits” in common speech in different languages as well as in the social sciences and the valuation literature represented potential sources of confusion. It was therefore proposed that the name </w:t>
      </w:r>
      <w:r w:rsidRPr="00BC2380">
        <w:rPr>
          <w:lang w:val="en-US"/>
        </w:rPr>
        <w:t xml:space="preserve">Nature’s </w:t>
      </w:r>
      <w:r>
        <w:rPr>
          <w:lang w:val="en-US"/>
        </w:rPr>
        <w:t>B</w:t>
      </w:r>
      <w:r w:rsidRPr="00BC2380">
        <w:rPr>
          <w:lang w:val="en-US"/>
        </w:rPr>
        <w:t xml:space="preserve">enefits to </w:t>
      </w:r>
      <w:r>
        <w:rPr>
          <w:lang w:val="en-US"/>
        </w:rPr>
        <w:t>P</w:t>
      </w:r>
      <w:r w:rsidRPr="00BC2380">
        <w:rPr>
          <w:lang w:val="en-US"/>
        </w:rPr>
        <w:t>eople</w:t>
      </w:r>
      <w:r w:rsidRPr="005B6C73">
        <w:rPr>
          <w:color w:val="000000"/>
          <w:lang w:val="en-US"/>
        </w:rPr>
        <w:t xml:space="preserve"> would be changed to </w:t>
      </w:r>
      <w:r w:rsidRPr="00BC2380">
        <w:rPr>
          <w:lang w:val="en-US"/>
        </w:rPr>
        <w:t xml:space="preserve">Nature’s </w:t>
      </w:r>
      <w:r w:rsidRPr="00D73F4E">
        <w:rPr>
          <w:u w:val="single"/>
          <w:lang w:val="en-US"/>
        </w:rPr>
        <w:t>Contributions</w:t>
      </w:r>
      <w:r w:rsidRPr="00BC2380">
        <w:rPr>
          <w:lang w:val="en-US"/>
        </w:rPr>
        <w:t xml:space="preserve"> to </w:t>
      </w:r>
      <w:r>
        <w:rPr>
          <w:lang w:val="en-US"/>
        </w:rPr>
        <w:t>P</w:t>
      </w:r>
      <w:r w:rsidRPr="00BC2380">
        <w:rPr>
          <w:lang w:val="en-US"/>
        </w:rPr>
        <w:t>eople</w:t>
      </w:r>
      <w:r w:rsidR="00E350DF">
        <w:rPr>
          <w:color w:val="000000"/>
          <w:lang w:val="en-US"/>
        </w:rPr>
        <w:t xml:space="preserve"> </w:t>
      </w:r>
      <w:r w:rsidRPr="005B6C73">
        <w:rPr>
          <w:color w:val="000000"/>
          <w:lang w:val="en-US"/>
        </w:rPr>
        <w:t xml:space="preserve">(NCP), while retaining exactly the same meaning and conceptualization as in Díaz et al. (2015a, b), in accordance with the IPBES conceptual framework. </w:t>
      </w:r>
    </w:p>
    <w:p w14:paraId="3753B7DA" w14:textId="77777777" w:rsidR="005B6C73" w:rsidRPr="00B564C8"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pPr>
      <w:r w:rsidRPr="005B6C73">
        <w:rPr>
          <w:color w:val="000000"/>
          <w:lang w:val="en-US"/>
        </w:rPr>
        <w:t xml:space="preserve">This classification has been sent to all authors from the regional assessments with a recommendation to use it. This use will however be left to the capacity of authors, given the fact that it arrives at an advanced stage of development of the regional assessment drafts. It is however expected that this </w:t>
      </w:r>
      <w:r w:rsidRPr="00B564C8">
        <w:t>classification will be used by the global assessment, and by any future assessment to be decided by the Plenary.</w:t>
      </w:r>
    </w:p>
    <w:p w14:paraId="21C0FF70" w14:textId="77777777" w:rsidR="005B6C73" w:rsidRPr="00CB2A40"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rPr>
          <w:lang w:val="en-US"/>
        </w:rPr>
      </w:pPr>
      <w:r w:rsidRPr="00B564C8">
        <w:t>It should be noted that some adjustements may be made to this classification for two reasons: (i) while the current system allows experts to report on indigenous and local knowledge to some degree, some further thinking is being done to better accommodate this aspect (see para 11); (ii) as feedback is received from experts using</w:t>
      </w:r>
      <w:r w:rsidRPr="005B6C73">
        <w:rPr>
          <w:color w:val="000000"/>
          <w:lang w:val="en-US"/>
        </w:rPr>
        <w:t xml:space="preserve"> this classification, adjustements might be necessary. It is however not envisaged to modify the overall list of 18 NCP.</w:t>
      </w:r>
    </w:p>
    <w:p w14:paraId="04142BFB" w14:textId="77777777" w:rsidR="005B6C73" w:rsidRPr="009B63E7" w:rsidRDefault="00B564C8" w:rsidP="00B564C8">
      <w:pPr>
        <w:pStyle w:val="CH1"/>
      </w:pPr>
      <w:r>
        <w:tab/>
        <w:t>II.</w:t>
      </w:r>
      <w:r>
        <w:tab/>
      </w:r>
      <w:r w:rsidR="005B6C73">
        <w:t>From Ecosystem Services to Nature’s Contributions to People</w:t>
      </w:r>
    </w:p>
    <w:p w14:paraId="14E7E9D1" w14:textId="77777777" w:rsidR="005B6C73" w:rsidRPr="005B6C73"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rPr>
          <w:color w:val="000000"/>
        </w:rPr>
      </w:pPr>
      <w:r w:rsidRPr="005B6C73">
        <w:rPr>
          <w:color w:val="000000"/>
        </w:rPr>
        <w:t>The second session of the Plenary approved as the first product of the Platform, the IPBES Conceptual Framework (Díaz et al 2015a,b</w:t>
      </w:r>
      <w:r>
        <w:rPr>
          <w:rStyle w:val="FootnoteReference"/>
        </w:rPr>
        <w:footnoteReference w:id="2"/>
      </w:r>
      <w:r w:rsidRPr="005B6C73">
        <w:rPr>
          <w:color w:val="000000"/>
        </w:rPr>
        <w:t xml:space="preserve">; Figure 1). This conceptual framework identifies six major elements in the interaction between human societies and the non-human world: </w:t>
      </w:r>
      <w:r w:rsidRPr="005B6C73">
        <w:rPr>
          <w:i/>
          <w:color w:val="000000"/>
        </w:rPr>
        <w:t>nature</w:t>
      </w:r>
      <w:r w:rsidRPr="005B6C73">
        <w:rPr>
          <w:color w:val="000000"/>
        </w:rPr>
        <w:t xml:space="preserve">, </w:t>
      </w:r>
      <w:r w:rsidRPr="005B6C73">
        <w:rPr>
          <w:i/>
          <w:color w:val="000000"/>
        </w:rPr>
        <w:t>nature’s benefits to people</w:t>
      </w:r>
      <w:r w:rsidRPr="005B6C73">
        <w:rPr>
          <w:color w:val="000000"/>
        </w:rPr>
        <w:t xml:space="preserve">, </w:t>
      </w:r>
      <w:r w:rsidRPr="005B6C73">
        <w:rPr>
          <w:i/>
          <w:color w:val="000000"/>
        </w:rPr>
        <w:t>a good quality of life</w:t>
      </w:r>
      <w:r w:rsidRPr="005B6C73">
        <w:rPr>
          <w:color w:val="000000"/>
        </w:rPr>
        <w:t xml:space="preserve">, </w:t>
      </w:r>
      <w:r w:rsidRPr="005B6C73">
        <w:rPr>
          <w:i/>
          <w:color w:val="000000"/>
        </w:rPr>
        <w:t>anthropogenic assets</w:t>
      </w:r>
      <w:r w:rsidRPr="005B6C73">
        <w:rPr>
          <w:color w:val="000000"/>
        </w:rPr>
        <w:t xml:space="preserve">, </w:t>
      </w:r>
      <w:r w:rsidRPr="005B6C73">
        <w:rPr>
          <w:i/>
          <w:color w:val="000000"/>
        </w:rPr>
        <w:t>direct drivers of changes in nature</w:t>
      </w:r>
      <w:r w:rsidRPr="005B6C73">
        <w:rPr>
          <w:color w:val="000000"/>
        </w:rPr>
        <w:t xml:space="preserve">, </w:t>
      </w:r>
      <w:r w:rsidRPr="005B6C73">
        <w:rPr>
          <w:i/>
          <w:color w:val="000000"/>
        </w:rPr>
        <w:t>and institutions, governance and other indirect drivers</w:t>
      </w:r>
      <w:r w:rsidRPr="005B6C73">
        <w:rPr>
          <w:color w:val="000000"/>
        </w:rPr>
        <w:t xml:space="preserve">. IPBES assessments require reporting according to these broad categories (indicated by six boxes in Figure 1), and major interactions among them (indicated by arrows 1-8 in Figure 1). This note focuses on one of these major elements, </w:t>
      </w:r>
      <w:r w:rsidRPr="005B6C73">
        <w:rPr>
          <w:i/>
          <w:color w:val="000000"/>
        </w:rPr>
        <w:t>nature’s benefits to people</w:t>
      </w:r>
      <w:r w:rsidRPr="005B6C73">
        <w:rPr>
          <w:color w:val="000000"/>
        </w:rPr>
        <w:t xml:space="preserve">, now renamed </w:t>
      </w:r>
      <w:r w:rsidRPr="005B6C73">
        <w:rPr>
          <w:i/>
          <w:color w:val="000000"/>
        </w:rPr>
        <w:t xml:space="preserve">nature’s contributions to people </w:t>
      </w:r>
      <w:r w:rsidRPr="005B6C73">
        <w:rPr>
          <w:color w:val="000000"/>
        </w:rPr>
        <w:t xml:space="preserve">(see above). </w:t>
      </w:r>
    </w:p>
    <w:p w14:paraId="2001C228" w14:textId="77777777" w:rsidR="005B6C73" w:rsidRPr="005B6C73"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rPr>
          <w:color w:val="000000"/>
        </w:rPr>
      </w:pPr>
      <w:r w:rsidRPr="005B6C73">
        <w:rPr>
          <w:i/>
          <w:color w:val="000000"/>
        </w:rPr>
        <w:t>Nature’s contributions to people</w:t>
      </w:r>
      <w:r w:rsidRPr="005B6C73">
        <w:rPr>
          <w:color w:val="000000"/>
        </w:rPr>
        <w:t xml:space="preserve"> represent an inclusive category across knowledge systems that emerged from a thorough multi-stakeholder consultative process. It includes all the contributions, both positive and negative, of nature to the quality of life of humans as individuals, societies or humanity as a whole. </w:t>
      </w:r>
    </w:p>
    <w:p w14:paraId="7E823A17" w14:textId="77777777" w:rsidR="005B6C73" w:rsidRPr="005B6C73" w:rsidRDefault="005B6C73" w:rsidP="00B564C8">
      <w:pPr>
        <w:pStyle w:val="Normalnumber"/>
        <w:numPr>
          <w:ilvl w:val="0"/>
          <w:numId w:val="31"/>
        </w:numPr>
        <w:tabs>
          <w:tab w:val="clear" w:pos="1134"/>
          <w:tab w:val="clear" w:pos="1247"/>
          <w:tab w:val="clear" w:pos="1814"/>
          <w:tab w:val="clear" w:pos="2381"/>
          <w:tab w:val="clear" w:pos="2948"/>
          <w:tab w:val="clear" w:pos="3515"/>
          <w:tab w:val="clear" w:pos="4082"/>
          <w:tab w:val="num" w:pos="624"/>
        </w:tabs>
        <w:rPr>
          <w:color w:val="000000"/>
        </w:rPr>
      </w:pPr>
      <w:r w:rsidRPr="005B6C73">
        <w:rPr>
          <w:color w:val="000000"/>
        </w:rPr>
        <w:t xml:space="preserve">The classification of Nature’s Contributions to People, presented in sections III and IV, is strongly rooted in the ecosystem services classification used by the Millennium Ecosystem Assessment (MA). The MA classification was comprised of four categories of ecosystem services: supporting, regulating, provisioning and cultural. The changes reflect a </w:t>
      </w:r>
      <w:r w:rsidRPr="00B564C8">
        <w:t>conceptual</w:t>
      </w:r>
      <w:r w:rsidRPr="005B6C73">
        <w:rPr>
          <w:color w:val="000000"/>
        </w:rPr>
        <w:t xml:space="preserve"> evolution based on </w:t>
      </w:r>
      <w:r w:rsidRPr="005B6C73">
        <w:rPr>
          <w:color w:val="000000"/>
        </w:rPr>
        <w:lastRenderedPageBreak/>
        <w:t xml:space="preserve">more than a decade of </w:t>
      </w:r>
      <w:r w:rsidRPr="00B564C8">
        <w:t>interdisciplinary</w:t>
      </w:r>
      <w:r w:rsidRPr="005B6C73">
        <w:rPr>
          <w:color w:val="000000"/>
        </w:rPr>
        <w:t xml:space="preserve"> thinking, with increasing involvement from the </w:t>
      </w:r>
      <w:r w:rsidRPr="00B564C8">
        <w:t>social</w:t>
      </w:r>
      <w:r w:rsidRPr="005B6C73">
        <w:rPr>
          <w:color w:val="000000"/>
        </w:rPr>
        <w:t xml:space="preserve"> sciences and humanities. Major characteristics, and differences compared to the MA are summarised below.</w:t>
      </w:r>
    </w:p>
    <w:p w14:paraId="64FB8215" w14:textId="77777777" w:rsidR="005B6C73" w:rsidRPr="00B564C8" w:rsidRDefault="005B6C73" w:rsidP="00B564C8">
      <w:pPr>
        <w:pStyle w:val="Normalnumber"/>
        <w:numPr>
          <w:ilvl w:val="1"/>
          <w:numId w:val="31"/>
        </w:numPr>
        <w:tabs>
          <w:tab w:val="clear" w:pos="1247"/>
          <w:tab w:val="clear" w:pos="1814"/>
          <w:tab w:val="clear" w:pos="2381"/>
          <w:tab w:val="clear" w:pos="2948"/>
          <w:tab w:val="clear" w:pos="3515"/>
          <w:tab w:val="clear" w:pos="4082"/>
        </w:tabs>
      </w:pPr>
      <w:r w:rsidRPr="00B564C8">
        <w:t>IPBES considers all contributions of nature to the quality of life of humans as NCP, irrespective of how much human input is embedded in them through co-production.</w:t>
      </w:r>
    </w:p>
    <w:p w14:paraId="1FBA580A" w14:textId="77777777" w:rsidR="005B6C73" w:rsidRPr="00B564C8" w:rsidRDefault="005B6C73" w:rsidP="00B564C8">
      <w:pPr>
        <w:pStyle w:val="Normalnumber"/>
        <w:numPr>
          <w:ilvl w:val="1"/>
          <w:numId w:val="31"/>
        </w:numPr>
        <w:tabs>
          <w:tab w:val="clear" w:pos="1247"/>
          <w:tab w:val="clear" w:pos="1814"/>
          <w:tab w:val="clear" w:pos="2381"/>
          <w:tab w:val="clear" w:pos="2948"/>
          <w:tab w:val="clear" w:pos="3515"/>
          <w:tab w:val="clear" w:pos="4082"/>
        </w:tabs>
      </w:pPr>
      <w:r w:rsidRPr="00B564C8">
        <w:t>The supporting services of the Millennium Assessment (e.g. nutrient cycling, production of atmospheric oxygen) are now widely considered as an ecosystem property and have therefore been included in the conceptual framework as part of the “nature” element, and not as a category of NCP, to be consistent with the IPBES conceptual framework.</w:t>
      </w:r>
    </w:p>
    <w:p w14:paraId="4AD04D80" w14:textId="77777777" w:rsidR="005B6C73" w:rsidRPr="00B564C8" w:rsidRDefault="005B6C73" w:rsidP="00B564C8">
      <w:pPr>
        <w:pStyle w:val="Normalnumber"/>
        <w:numPr>
          <w:ilvl w:val="1"/>
          <w:numId w:val="31"/>
        </w:numPr>
        <w:tabs>
          <w:tab w:val="clear" w:pos="1247"/>
          <w:tab w:val="clear" w:pos="1814"/>
          <w:tab w:val="clear" w:pos="2381"/>
          <w:tab w:val="clear" w:pos="2948"/>
          <w:tab w:val="clear" w:pos="3515"/>
          <w:tab w:val="clear" w:pos="4082"/>
        </w:tabs>
      </w:pPr>
      <w:r w:rsidRPr="00B564C8">
        <w:t>The classification places a major emphasis on the fact that the cultural context influences the perception and experiences by people of NCP, and stresses the importance of</w:t>
      </w:r>
      <w:r w:rsidR="00E350DF">
        <w:t xml:space="preserve"> </w:t>
      </w:r>
      <w:r w:rsidRPr="00B564C8">
        <w:t xml:space="preserve">socio-cultural relations between people and nature. Indeed, culture permeates not only NCP, but also all elements of the IPBES conceptual framework. To reflect this important dimension in the classification, culturtal ecosystem services are no longer a separate category (thus departing from the MA) and the role of culture has been elevated by including sub-categories in each of the three main groups presented below. </w:t>
      </w:r>
    </w:p>
    <w:p w14:paraId="343A077C" w14:textId="77777777" w:rsidR="005B6C73" w:rsidRPr="00300C24" w:rsidRDefault="00B564C8" w:rsidP="00B564C8">
      <w:pPr>
        <w:pStyle w:val="CH1"/>
      </w:pPr>
      <w:r>
        <w:tab/>
        <w:t>III.</w:t>
      </w:r>
      <w:r>
        <w:tab/>
      </w:r>
      <w:r w:rsidR="005B6C73" w:rsidRPr="00300C24">
        <w:t>The three groups of Nature’s Contributions to People</w:t>
      </w:r>
    </w:p>
    <w:p w14:paraId="313DEDAC" w14:textId="77777777" w:rsidR="005B6C73" w:rsidRPr="0048647E" w:rsidRDefault="005B6C73" w:rsidP="00B564C8">
      <w:pPr>
        <w:pStyle w:val="Normalnumber"/>
        <w:rPr>
          <w:b/>
        </w:rPr>
      </w:pPr>
      <w:r w:rsidRPr="005B6C73">
        <w:t>The classification distinguishes three broad groups of NCP: regulating, material and non-material. These represent different facets of the complex flow from nature to a good quality of life (Arrows 4 and 8 in Fig. 1), ranging from indispensable direct biological connections (e.g. oxygen, water), to symbolic components that give meaning to the identity of different social groups and their relationships with nature.</w:t>
      </w:r>
    </w:p>
    <w:p w14:paraId="2FD3C038" w14:textId="77777777" w:rsidR="005B6C73" w:rsidRPr="00B564C8" w:rsidRDefault="005B6C73" w:rsidP="00B564C8">
      <w:pPr>
        <w:pStyle w:val="Normalnumber"/>
        <w:numPr>
          <w:ilvl w:val="1"/>
          <w:numId w:val="4"/>
        </w:numPr>
      </w:pPr>
      <w:r w:rsidRPr="00E350DF">
        <w:rPr>
          <w:b/>
        </w:rPr>
        <w:t>Regulating contributions</w:t>
      </w:r>
      <w:r w:rsidRPr="00B564C8">
        <w:t xml:space="preserve"> – Functional and structural aspects of organisms and ecosystems that modify environmental conditions experienced by people, and/or sustain and/or regulate the generation of material and non-material benefits. These NCP include, for example, water purification, climate regulation, or soil erosion regulation. They are often not experienced directly by people.</w:t>
      </w:r>
      <w:r w:rsidR="00E350DF">
        <w:t xml:space="preserve"> </w:t>
      </w:r>
      <w:r w:rsidRPr="00B564C8">
        <w:t>Regulating ecosystem services, as defined in the Millennium Ecosystem Assesment, largely fit within this category.</w:t>
      </w:r>
    </w:p>
    <w:p w14:paraId="6981EAED" w14:textId="77777777" w:rsidR="005B6C73" w:rsidRPr="00B564C8" w:rsidRDefault="005B6C73" w:rsidP="00B564C8">
      <w:pPr>
        <w:pStyle w:val="Normalnumber"/>
        <w:numPr>
          <w:ilvl w:val="1"/>
          <w:numId w:val="4"/>
        </w:numPr>
      </w:pPr>
      <w:r w:rsidRPr="00E350DF">
        <w:rPr>
          <w:b/>
        </w:rPr>
        <w:t>Material contributions</w:t>
      </w:r>
      <w:r w:rsidRPr="00B564C8">
        <w:t xml:space="preserve"> – Substances, objects or other material elements from nature that sustain people’s physical existence and infrastructure (i.e the basic physical and organizational structures and facilities, such as buildings, roads, power supplies) needed for the operation of a society or enterprise). They are typically physically consumed in the process of being experienced, such as when plants or animals are transformed into food, energy, or materials for shelter or ornamental purposes.</w:t>
      </w:r>
      <w:r w:rsidR="00E350DF">
        <w:t xml:space="preserve"> </w:t>
      </w:r>
      <w:r w:rsidRPr="00B564C8">
        <w:t>Provisioning ecosystem services, as defined in the Millennium Ecosystem Assesment largely fit within this category.</w:t>
      </w:r>
    </w:p>
    <w:p w14:paraId="381E63FC" w14:textId="77777777" w:rsidR="005B6C73" w:rsidRPr="00B564C8" w:rsidRDefault="005B6C73" w:rsidP="00B564C8">
      <w:pPr>
        <w:pStyle w:val="Normalnumber"/>
        <w:numPr>
          <w:ilvl w:val="1"/>
          <w:numId w:val="4"/>
        </w:numPr>
      </w:pPr>
      <w:r w:rsidRPr="00E350DF">
        <w:rPr>
          <w:b/>
        </w:rPr>
        <w:t>Non-material contributions</w:t>
      </w:r>
      <w:r w:rsidRPr="00B564C8">
        <w:t xml:space="preserve"> – Nature’s contribution to people’s subjective or psychological quality of life, individually and collectively. The entities that provide these intangible contributions can be physically consumed in the process (e.g. animals in recreational or ritual fishing or hunting) or not (e.g. individual trees or ecosystems as sources of inspiration). </w:t>
      </w:r>
      <w:r w:rsidRPr="006643EC">
        <w:t xml:space="preserve">Many cultural </w:t>
      </w:r>
      <w:r>
        <w:t>ecosystem services</w:t>
      </w:r>
      <w:r w:rsidRPr="006643EC">
        <w:t xml:space="preserve"> </w:t>
      </w:r>
      <w:r w:rsidRPr="00B564C8">
        <w:t xml:space="preserve">as defined in the Millennium Ecosystem Assesment fit within this category, </w:t>
      </w:r>
      <w:r w:rsidRPr="006643EC">
        <w:t xml:space="preserve">while some cultural </w:t>
      </w:r>
      <w:r>
        <w:t>ecosystem services</w:t>
      </w:r>
      <w:r w:rsidRPr="006643EC">
        <w:t xml:space="preserve"> are now considered part of </w:t>
      </w:r>
      <w:r>
        <w:t>“</w:t>
      </w:r>
      <w:r w:rsidRPr="006643EC">
        <w:t>values</w:t>
      </w:r>
      <w:r>
        <w:t>”</w:t>
      </w:r>
      <w:r w:rsidRPr="006643EC">
        <w:t xml:space="preserve"> or a </w:t>
      </w:r>
      <w:r>
        <w:t>“</w:t>
      </w:r>
      <w:r w:rsidRPr="006643EC">
        <w:t>good quality of life</w:t>
      </w:r>
      <w:r>
        <w:t>”</w:t>
      </w:r>
      <w:r w:rsidRPr="006643EC">
        <w:t>.</w:t>
      </w:r>
    </w:p>
    <w:p w14:paraId="00EE84E1" w14:textId="51B7CFCF" w:rsidR="005B6C73" w:rsidRPr="00C33192" w:rsidRDefault="00E350DF" w:rsidP="00E350DF">
      <w:pPr>
        <w:pStyle w:val="CH1"/>
        <w:rPr>
          <w:sz w:val="20"/>
          <w:szCs w:val="20"/>
        </w:rPr>
      </w:pPr>
      <w:r>
        <w:tab/>
        <w:t>IV.</w:t>
      </w:r>
      <w:r>
        <w:tab/>
      </w:r>
      <w:r w:rsidR="005B6C73">
        <w:t>The categories of Nature’s Contributions to People</w:t>
      </w:r>
    </w:p>
    <w:p w14:paraId="74F55BCE" w14:textId="7FF72C73" w:rsidR="002F6DD0" w:rsidRPr="00FA758F" w:rsidRDefault="002F6DD0" w:rsidP="00FA758F">
      <w:pPr>
        <w:pStyle w:val="Normalnumber"/>
        <w:tabs>
          <w:tab w:val="clear" w:pos="1247"/>
          <w:tab w:val="clear" w:pos="1814"/>
          <w:tab w:val="clear" w:pos="2381"/>
          <w:tab w:val="clear" w:pos="2948"/>
          <w:tab w:val="clear" w:pos="3515"/>
          <w:tab w:val="clear" w:pos="4082"/>
        </w:tabs>
        <w:spacing w:before="240"/>
        <w:rPr>
          <w:color w:val="000000" w:themeColor="text1"/>
        </w:rPr>
      </w:pPr>
      <w:r w:rsidRPr="00FA758F">
        <w:rPr>
          <w:color w:val="000000" w:themeColor="text1"/>
        </w:rPr>
        <w:t xml:space="preserve">A set of 18 specific categories of nature’s contributions to people are presented in Table 1. Information about the status of all of them might not be available for all the regions of the world or IPBES regional units of analysis. Some of them can also be further disaggregated or lumped together according to the goal of the assessment and the availability of data and information (for example pest and disease regulation can be disaggregated into regulation of agricultural pests and regulation of human disease). </w:t>
      </w:r>
    </w:p>
    <w:p w14:paraId="03CFD3BE" w14:textId="653FCB88" w:rsidR="002F6DD0" w:rsidRDefault="002F6DD0" w:rsidP="00FA758F">
      <w:pPr>
        <w:pStyle w:val="Normalnumber"/>
        <w:rPr>
          <w:b/>
          <w:color w:val="000000" w:themeColor="text1"/>
        </w:rPr>
      </w:pPr>
      <w:r w:rsidRPr="00F80113">
        <w:rPr>
          <w:color w:val="000000" w:themeColor="text1"/>
        </w:rPr>
        <w:t>Th</w:t>
      </w:r>
      <w:r>
        <w:rPr>
          <w:color w:val="000000" w:themeColor="text1"/>
        </w:rPr>
        <w:t>is</w:t>
      </w:r>
      <w:r w:rsidRPr="00F80113">
        <w:rPr>
          <w:color w:val="000000" w:themeColor="text1"/>
        </w:rPr>
        <w:t xml:space="preserve"> classification, importantly, recognises </w:t>
      </w:r>
      <w:r w:rsidRPr="00422F8D">
        <w:rPr>
          <w:color w:val="000000" w:themeColor="text1"/>
        </w:rPr>
        <w:t xml:space="preserve">that many NCP do not fit squarely within </w:t>
      </w:r>
      <w:r>
        <w:rPr>
          <w:color w:val="000000" w:themeColor="text1"/>
        </w:rPr>
        <w:t>just one of the</w:t>
      </w:r>
      <w:r w:rsidRPr="00422F8D">
        <w:rPr>
          <w:color w:val="000000" w:themeColor="text1"/>
        </w:rPr>
        <w:t xml:space="preserve"> three </w:t>
      </w:r>
      <w:r w:rsidRPr="00B90834">
        <w:rPr>
          <w:color w:val="000000" w:themeColor="text1"/>
        </w:rPr>
        <w:t xml:space="preserve">broad groups of non-material, material or regulating </w:t>
      </w:r>
      <w:r>
        <w:rPr>
          <w:color w:val="000000" w:themeColor="text1"/>
        </w:rPr>
        <w:t>NCP</w:t>
      </w:r>
      <w:r w:rsidRPr="00B90834">
        <w:rPr>
          <w:color w:val="000000" w:themeColor="text1"/>
        </w:rPr>
        <w:t xml:space="preserve"> described above. Some </w:t>
      </w:r>
      <w:r w:rsidRPr="00422F8D">
        <w:rPr>
          <w:color w:val="000000" w:themeColor="text1"/>
        </w:rPr>
        <w:t>of the</w:t>
      </w:r>
      <w:r>
        <w:rPr>
          <w:color w:val="000000" w:themeColor="text1"/>
        </w:rPr>
        <w:t>se categories of</w:t>
      </w:r>
      <w:r w:rsidRPr="00422F8D">
        <w:rPr>
          <w:color w:val="000000" w:themeColor="text1"/>
        </w:rPr>
        <w:t xml:space="preserve"> NCP are fully contained within a given group. For example, the buffering effect of photosynthetic organisms on ocean water acidity is fully contained within </w:t>
      </w:r>
      <w:r w:rsidRPr="00B90834">
        <w:rPr>
          <w:color w:val="000000" w:themeColor="text1"/>
        </w:rPr>
        <w:t xml:space="preserve">the regulating NCP. </w:t>
      </w:r>
      <w:r>
        <w:rPr>
          <w:color w:val="000000" w:themeColor="text1"/>
        </w:rPr>
        <w:t>But m</w:t>
      </w:r>
      <w:r w:rsidRPr="00B90834">
        <w:rPr>
          <w:color w:val="000000" w:themeColor="text1"/>
        </w:rPr>
        <w:t xml:space="preserve">any other </w:t>
      </w:r>
      <w:r>
        <w:rPr>
          <w:color w:val="000000" w:themeColor="text1"/>
        </w:rPr>
        <w:t xml:space="preserve">categories of </w:t>
      </w:r>
      <w:r w:rsidRPr="00B90834">
        <w:rPr>
          <w:color w:val="000000" w:themeColor="text1"/>
        </w:rPr>
        <w:t xml:space="preserve">NCP, however, span multiple groups. For example, food </w:t>
      </w:r>
      <w:r>
        <w:rPr>
          <w:color w:val="000000" w:themeColor="text1"/>
        </w:rPr>
        <w:t>can be</w:t>
      </w:r>
      <w:r w:rsidRPr="00B90834">
        <w:rPr>
          <w:color w:val="000000" w:themeColor="text1"/>
        </w:rPr>
        <w:t xml:space="preserve"> placed </w:t>
      </w:r>
      <w:r>
        <w:rPr>
          <w:color w:val="000000" w:themeColor="text1"/>
        </w:rPr>
        <w:t>with</w:t>
      </w:r>
      <w:r w:rsidRPr="00B90834">
        <w:rPr>
          <w:color w:val="000000" w:themeColor="text1"/>
        </w:rPr>
        <w:t xml:space="preserve">in the material NCP group </w:t>
      </w:r>
      <w:r w:rsidRPr="00F80113">
        <w:rPr>
          <w:color w:val="000000" w:themeColor="text1"/>
        </w:rPr>
        <w:t>for its nutritional aspect, but it also has important implications for people’s</w:t>
      </w:r>
      <w:r>
        <w:rPr>
          <w:color w:val="000000" w:themeColor="text1"/>
        </w:rPr>
        <w:t xml:space="preserve"> cultural</w:t>
      </w:r>
      <w:r w:rsidRPr="00F80113">
        <w:rPr>
          <w:color w:val="000000" w:themeColor="text1"/>
        </w:rPr>
        <w:t xml:space="preserve"> identity and social bonding, and thus can also be seen as a non-material NCP</w:t>
      </w:r>
      <w:r>
        <w:rPr>
          <w:color w:val="000000" w:themeColor="text1"/>
        </w:rPr>
        <w:t xml:space="preserve"> contributing to a good quality of life</w:t>
      </w:r>
      <w:r w:rsidRPr="00F80113">
        <w:rPr>
          <w:color w:val="000000" w:themeColor="text1"/>
        </w:rPr>
        <w:t xml:space="preserve">. </w:t>
      </w:r>
    </w:p>
    <w:p w14:paraId="56FAD4B2" w14:textId="77777777" w:rsidR="002F6DD0" w:rsidRPr="00264BFB" w:rsidRDefault="002F6DD0" w:rsidP="00FA758F">
      <w:pPr>
        <w:pStyle w:val="Normalnumber"/>
        <w:rPr>
          <w:b/>
          <w:color w:val="000000" w:themeColor="text1"/>
        </w:rPr>
      </w:pPr>
      <w:r w:rsidRPr="00264BFB">
        <w:rPr>
          <w:color w:val="000000" w:themeColor="text1"/>
        </w:rPr>
        <w:lastRenderedPageBreak/>
        <w:t>In</w:t>
      </w:r>
      <w:r w:rsidRPr="00264BFB">
        <w:rPr>
          <w:color w:val="000000" w:themeColor="text1"/>
          <w:lang w:val="en-US"/>
        </w:rPr>
        <w:t xml:space="preserve"> accordance with the IPBES mandate to embrace multiple knowledge system</w:t>
      </w:r>
      <w:r>
        <w:rPr>
          <w:color w:val="000000" w:themeColor="text1"/>
          <w:lang w:val="en-US"/>
        </w:rPr>
        <w:t>s</w:t>
      </w:r>
      <w:r w:rsidRPr="00264BFB">
        <w:rPr>
          <w:color w:val="000000" w:themeColor="text1"/>
          <w:lang w:val="en-US"/>
        </w:rPr>
        <w:t xml:space="preserve">, the three broad groups </w:t>
      </w:r>
      <w:r>
        <w:rPr>
          <w:color w:val="000000" w:themeColor="text1"/>
          <w:lang w:val="en-US"/>
        </w:rPr>
        <w:t>(regulating, material, and non-material) and the specific 18 categories presented in Table 1 may</w:t>
      </w:r>
      <w:r w:rsidRPr="00264BFB">
        <w:rPr>
          <w:color w:val="000000" w:themeColor="text1"/>
          <w:lang w:val="en-US"/>
        </w:rPr>
        <w:t xml:space="preserve"> be approached from different knowledge </w:t>
      </w:r>
      <w:r>
        <w:rPr>
          <w:color w:val="000000" w:themeColor="text1"/>
          <w:lang w:val="en-US"/>
        </w:rPr>
        <w:t>system perspectives:</w:t>
      </w:r>
    </w:p>
    <w:p w14:paraId="6FBEA51A" w14:textId="774D9347" w:rsidR="002F6DD0" w:rsidRDefault="002F6DD0" w:rsidP="002F6DD0">
      <w:pPr>
        <w:pStyle w:val="ZZAnxtitle"/>
        <w:numPr>
          <w:ilvl w:val="0"/>
          <w:numId w:val="27"/>
        </w:numPr>
        <w:tabs>
          <w:tab w:val="clear" w:pos="1247"/>
          <w:tab w:val="clear" w:pos="1814"/>
          <w:tab w:val="clear" w:pos="2381"/>
          <w:tab w:val="clear" w:pos="2948"/>
          <w:tab w:val="clear" w:pos="3515"/>
          <w:tab w:val="clear" w:pos="4082"/>
        </w:tabs>
        <w:spacing w:before="240"/>
        <w:ind w:hanging="630"/>
        <w:rPr>
          <w:b w:val="0"/>
          <w:color w:val="000000" w:themeColor="text1"/>
          <w:sz w:val="20"/>
          <w:szCs w:val="20"/>
        </w:rPr>
      </w:pPr>
      <w:r w:rsidRPr="00264BFB">
        <w:rPr>
          <w:b w:val="0"/>
          <w:color w:val="000000" w:themeColor="text1"/>
          <w:sz w:val="20"/>
          <w:szCs w:val="20"/>
          <w:lang w:val="en-US"/>
        </w:rPr>
        <w:t xml:space="preserve">Western science emphasizes </w:t>
      </w:r>
      <w:r>
        <w:rPr>
          <w:b w:val="0"/>
          <w:color w:val="000000" w:themeColor="text1"/>
          <w:sz w:val="20"/>
          <w:szCs w:val="20"/>
          <w:lang w:val="en-US"/>
        </w:rPr>
        <w:t>the need for disaggregated</w:t>
      </w:r>
      <w:r w:rsidRPr="00264BFB">
        <w:rPr>
          <w:b w:val="0"/>
          <w:color w:val="000000" w:themeColor="text1"/>
          <w:sz w:val="20"/>
          <w:szCs w:val="20"/>
          <w:lang w:val="en-US"/>
        </w:rPr>
        <w:t xml:space="preserve"> NCP</w:t>
      </w:r>
      <w:r>
        <w:rPr>
          <w:b w:val="0"/>
          <w:color w:val="000000" w:themeColor="text1"/>
          <w:sz w:val="20"/>
          <w:szCs w:val="20"/>
          <w:lang w:val="en-US"/>
        </w:rPr>
        <w:t xml:space="preserve"> </w:t>
      </w:r>
      <w:r w:rsidRPr="00264BFB">
        <w:rPr>
          <w:b w:val="0"/>
          <w:color w:val="000000" w:themeColor="text1"/>
          <w:sz w:val="20"/>
          <w:szCs w:val="20"/>
          <w:lang w:val="en-US"/>
        </w:rPr>
        <w:t xml:space="preserve">categories </w:t>
      </w:r>
      <w:r>
        <w:rPr>
          <w:b w:val="0"/>
          <w:color w:val="000000" w:themeColor="text1"/>
          <w:sz w:val="20"/>
          <w:szCs w:val="20"/>
          <w:lang w:val="en-US"/>
        </w:rPr>
        <w:t xml:space="preserve">which represent </w:t>
      </w:r>
      <w:r w:rsidRPr="00264BFB">
        <w:rPr>
          <w:b w:val="0"/>
          <w:color w:val="000000" w:themeColor="text1"/>
          <w:sz w:val="20"/>
          <w:szCs w:val="20"/>
          <w:lang w:val="en-US"/>
        </w:rPr>
        <w:t xml:space="preserve">mainly unidirectional </w:t>
      </w:r>
      <w:r>
        <w:rPr>
          <w:b w:val="0"/>
          <w:color w:val="000000" w:themeColor="text1"/>
          <w:sz w:val="20"/>
          <w:szCs w:val="20"/>
          <w:lang w:val="en-US"/>
        </w:rPr>
        <w:t xml:space="preserve">flows </w:t>
      </w:r>
      <w:r w:rsidRPr="00264BFB">
        <w:rPr>
          <w:b w:val="0"/>
          <w:color w:val="000000" w:themeColor="text1"/>
          <w:sz w:val="20"/>
          <w:szCs w:val="20"/>
          <w:lang w:val="en-US"/>
        </w:rPr>
        <w:t xml:space="preserve">(from nature to people, both seen as separate entities). The </w:t>
      </w:r>
      <w:r>
        <w:rPr>
          <w:b w:val="0"/>
          <w:color w:val="000000" w:themeColor="text1"/>
          <w:sz w:val="20"/>
          <w:szCs w:val="20"/>
          <w:lang w:val="en-US"/>
        </w:rPr>
        <w:t>proposed set of 18 specific</w:t>
      </w:r>
      <w:r w:rsidRPr="00264BFB">
        <w:rPr>
          <w:b w:val="0"/>
          <w:color w:val="000000" w:themeColor="text1"/>
          <w:sz w:val="20"/>
          <w:szCs w:val="20"/>
          <w:lang w:val="en-US"/>
        </w:rPr>
        <w:t xml:space="preserve"> </w:t>
      </w:r>
      <w:r>
        <w:rPr>
          <w:b w:val="0"/>
          <w:color w:val="000000" w:themeColor="text1"/>
          <w:sz w:val="20"/>
          <w:szCs w:val="20"/>
          <w:lang w:val="en-US"/>
        </w:rPr>
        <w:t xml:space="preserve">NCP </w:t>
      </w:r>
      <w:r w:rsidRPr="00264BFB">
        <w:rPr>
          <w:b w:val="0"/>
          <w:color w:val="000000" w:themeColor="text1"/>
          <w:sz w:val="20"/>
          <w:szCs w:val="20"/>
          <w:lang w:val="en-US"/>
        </w:rPr>
        <w:t>categories pertain to this perspective and are</w:t>
      </w:r>
      <w:r>
        <w:rPr>
          <w:b w:val="0"/>
          <w:color w:val="000000" w:themeColor="text1"/>
          <w:sz w:val="20"/>
          <w:szCs w:val="20"/>
          <w:lang w:val="en-US"/>
        </w:rPr>
        <w:t xml:space="preserve"> generally</w:t>
      </w:r>
      <w:r w:rsidRPr="00264BFB">
        <w:rPr>
          <w:b w:val="0"/>
          <w:color w:val="000000" w:themeColor="text1"/>
          <w:sz w:val="20"/>
          <w:szCs w:val="20"/>
          <w:lang w:val="en-US"/>
        </w:rPr>
        <w:t xml:space="preserve"> closely associated </w:t>
      </w:r>
      <w:r>
        <w:rPr>
          <w:b w:val="0"/>
          <w:color w:val="000000" w:themeColor="text1"/>
          <w:sz w:val="20"/>
          <w:szCs w:val="20"/>
          <w:lang w:val="en-US"/>
        </w:rPr>
        <w:t>with</w:t>
      </w:r>
      <w:r w:rsidRPr="00264BFB">
        <w:rPr>
          <w:b w:val="0"/>
          <w:color w:val="000000" w:themeColor="text1"/>
          <w:sz w:val="20"/>
          <w:szCs w:val="20"/>
          <w:lang w:val="en-US"/>
        </w:rPr>
        <w:t xml:space="preserve"> the concept of ‘ecosystem services’. </w:t>
      </w:r>
    </w:p>
    <w:p w14:paraId="7FD0BA9F" w14:textId="5AA5F56B" w:rsidR="002F6DD0" w:rsidRPr="00264BFB" w:rsidRDefault="002F6DD0" w:rsidP="002F6DD0">
      <w:pPr>
        <w:pStyle w:val="ZZAnxtitle"/>
        <w:numPr>
          <w:ilvl w:val="0"/>
          <w:numId w:val="27"/>
        </w:numPr>
        <w:tabs>
          <w:tab w:val="clear" w:pos="1247"/>
          <w:tab w:val="clear" w:pos="1814"/>
          <w:tab w:val="clear" w:pos="2381"/>
          <w:tab w:val="clear" w:pos="2948"/>
          <w:tab w:val="clear" w:pos="3515"/>
          <w:tab w:val="clear" w:pos="4082"/>
        </w:tabs>
        <w:spacing w:before="240"/>
        <w:ind w:hanging="630"/>
        <w:rPr>
          <w:b w:val="0"/>
          <w:color w:val="000000" w:themeColor="text1"/>
          <w:sz w:val="20"/>
          <w:szCs w:val="20"/>
        </w:rPr>
      </w:pPr>
      <w:r w:rsidRPr="00264BFB">
        <w:rPr>
          <w:b w:val="0"/>
          <w:color w:val="000000" w:themeColor="text1"/>
          <w:sz w:val="20"/>
          <w:szCs w:val="20"/>
          <w:lang w:val="en-US"/>
        </w:rPr>
        <w:t xml:space="preserve">Other knowledge systems, notably those of many indigenous peoples (and relational approaches in environmental-social sciences and humanities) conceive the </w:t>
      </w:r>
      <w:r>
        <w:rPr>
          <w:b w:val="0"/>
          <w:color w:val="000000" w:themeColor="text1"/>
          <w:sz w:val="20"/>
          <w:szCs w:val="20"/>
          <w:lang w:val="en-US"/>
        </w:rPr>
        <w:t>linkages</w:t>
      </w:r>
      <w:r w:rsidRPr="00264BFB">
        <w:rPr>
          <w:b w:val="0"/>
          <w:color w:val="000000" w:themeColor="text1"/>
          <w:sz w:val="20"/>
          <w:szCs w:val="20"/>
          <w:lang w:val="en-US"/>
        </w:rPr>
        <w:t xml:space="preserve"> between nature and people</w:t>
      </w:r>
      <w:r>
        <w:rPr>
          <w:b w:val="0"/>
          <w:color w:val="000000" w:themeColor="text1"/>
          <w:sz w:val="20"/>
          <w:szCs w:val="20"/>
          <w:lang w:val="en-US"/>
        </w:rPr>
        <w:t xml:space="preserve"> </w:t>
      </w:r>
      <w:r w:rsidRPr="00264BFB">
        <w:rPr>
          <w:b w:val="0"/>
          <w:color w:val="000000" w:themeColor="text1"/>
          <w:sz w:val="20"/>
          <w:szCs w:val="20"/>
          <w:lang w:val="en-US"/>
        </w:rPr>
        <w:t>with less starkly defined boundaries between them</w:t>
      </w:r>
      <w:r w:rsidRPr="005530C7">
        <w:rPr>
          <w:b w:val="0"/>
          <w:color w:val="000000" w:themeColor="text1"/>
          <w:sz w:val="20"/>
          <w:szCs w:val="20"/>
          <w:lang w:val="en-US"/>
        </w:rPr>
        <w:t xml:space="preserve">. </w:t>
      </w:r>
      <w:r w:rsidRPr="0024466E">
        <w:rPr>
          <w:b w:val="0"/>
          <w:bCs w:val="0"/>
          <w:color w:val="000000" w:themeColor="text1"/>
          <w:sz w:val="20"/>
          <w:szCs w:val="20"/>
        </w:rPr>
        <w:t>Therefore</w:t>
      </w:r>
      <w:r w:rsidR="00FA758F">
        <w:rPr>
          <w:b w:val="0"/>
          <w:bCs w:val="0"/>
          <w:color w:val="000000" w:themeColor="text1"/>
          <w:sz w:val="20"/>
          <w:szCs w:val="20"/>
        </w:rPr>
        <w:t>,</w:t>
      </w:r>
      <w:r w:rsidRPr="0024466E">
        <w:rPr>
          <w:b w:val="0"/>
          <w:bCs w:val="0"/>
          <w:color w:val="000000" w:themeColor="text1"/>
          <w:sz w:val="20"/>
          <w:szCs w:val="20"/>
        </w:rPr>
        <w:t xml:space="preserve"> the level of disaggregation of NCP categories presented in Table 1 </w:t>
      </w:r>
      <w:r w:rsidRPr="0024466E">
        <w:rPr>
          <w:b w:val="0"/>
          <w:color w:val="000000" w:themeColor="text1"/>
          <w:sz w:val="20"/>
          <w:szCs w:val="20"/>
          <w:lang w:val="en-US"/>
        </w:rPr>
        <w:t>is</w:t>
      </w:r>
      <w:r w:rsidRPr="0024466E">
        <w:rPr>
          <w:b w:val="0"/>
          <w:bCs w:val="0"/>
          <w:color w:val="000000" w:themeColor="text1"/>
          <w:sz w:val="20"/>
          <w:szCs w:val="20"/>
        </w:rPr>
        <w:t xml:space="preserve"> not always compatible with these approaches</w:t>
      </w:r>
      <w:r>
        <w:rPr>
          <w:b w:val="0"/>
          <w:color w:val="000000" w:themeColor="text1"/>
          <w:sz w:val="20"/>
          <w:szCs w:val="20"/>
          <w:lang w:val="en-US"/>
        </w:rPr>
        <w:t>.</w:t>
      </w:r>
      <w:r w:rsidRPr="00264BFB">
        <w:rPr>
          <w:b w:val="0"/>
          <w:color w:val="000000" w:themeColor="text1"/>
          <w:sz w:val="20"/>
          <w:szCs w:val="20"/>
          <w:lang w:val="en-US"/>
        </w:rPr>
        <w:t xml:space="preserve"> The IPBES conceptual framework </w:t>
      </w:r>
      <w:r>
        <w:rPr>
          <w:b w:val="0"/>
          <w:color w:val="000000" w:themeColor="text1"/>
          <w:sz w:val="20"/>
          <w:szCs w:val="20"/>
          <w:lang w:val="en-US"/>
        </w:rPr>
        <w:t xml:space="preserve">recognizes </w:t>
      </w:r>
      <w:r w:rsidRPr="00264BFB">
        <w:rPr>
          <w:b w:val="0"/>
          <w:color w:val="000000" w:themeColor="text1"/>
          <w:sz w:val="20"/>
          <w:szCs w:val="20"/>
          <w:lang w:val="en-US"/>
        </w:rPr>
        <w:t xml:space="preserve">this broader understanding of NCP </w:t>
      </w:r>
      <w:r>
        <w:rPr>
          <w:b w:val="0"/>
          <w:color w:val="000000" w:themeColor="text1"/>
          <w:sz w:val="20"/>
          <w:szCs w:val="20"/>
          <w:lang w:val="en-US"/>
        </w:rPr>
        <w:t>through the term</w:t>
      </w:r>
      <w:r w:rsidRPr="00264BFB">
        <w:rPr>
          <w:b w:val="0"/>
          <w:color w:val="000000" w:themeColor="text1"/>
          <w:sz w:val="20"/>
          <w:szCs w:val="20"/>
          <w:lang w:val="en-US"/>
        </w:rPr>
        <w:t xml:space="preserve"> ‘nature’s gifts’</w:t>
      </w:r>
      <w:r>
        <w:rPr>
          <w:b w:val="0"/>
          <w:color w:val="000000" w:themeColor="text1"/>
          <w:sz w:val="20"/>
          <w:szCs w:val="20"/>
          <w:lang w:val="en-US"/>
        </w:rPr>
        <w:t xml:space="preserve"> (see Figure 1). This broader perspective, which </w:t>
      </w:r>
      <w:r w:rsidRPr="00264BFB">
        <w:rPr>
          <w:b w:val="0"/>
          <w:color w:val="000000" w:themeColor="text1"/>
          <w:sz w:val="20"/>
          <w:szCs w:val="20"/>
          <w:lang w:val="en-US"/>
        </w:rPr>
        <w:t>is an emerging theme in the science-policy interface on biodiversity, ecosystems, and society</w:t>
      </w:r>
      <w:r>
        <w:rPr>
          <w:b w:val="0"/>
          <w:color w:val="000000" w:themeColor="text1"/>
          <w:sz w:val="20"/>
          <w:szCs w:val="20"/>
          <w:lang w:val="en-US"/>
        </w:rPr>
        <w:t>, precludes a clearcut disaggregation of NCP categories as shown in Table 1</w:t>
      </w:r>
      <w:r w:rsidRPr="00264BFB">
        <w:rPr>
          <w:b w:val="0"/>
          <w:color w:val="000000" w:themeColor="text1"/>
          <w:sz w:val="20"/>
          <w:szCs w:val="20"/>
          <w:lang w:val="en-US"/>
        </w:rPr>
        <w:t>. Therefore</w:t>
      </w:r>
      <w:r>
        <w:rPr>
          <w:b w:val="0"/>
          <w:color w:val="000000" w:themeColor="text1"/>
          <w:sz w:val="20"/>
          <w:szCs w:val="20"/>
          <w:lang w:val="en-US"/>
        </w:rPr>
        <w:t xml:space="preserve">, </w:t>
      </w:r>
      <w:r w:rsidRPr="00264BFB">
        <w:rPr>
          <w:b w:val="0"/>
          <w:color w:val="000000" w:themeColor="text1"/>
          <w:sz w:val="20"/>
          <w:szCs w:val="20"/>
          <w:lang w:val="en-US"/>
        </w:rPr>
        <w:t xml:space="preserve">further thinking </w:t>
      </w:r>
      <w:r>
        <w:rPr>
          <w:b w:val="0"/>
          <w:color w:val="000000" w:themeColor="text1"/>
          <w:sz w:val="20"/>
          <w:szCs w:val="20"/>
          <w:lang w:val="en-US"/>
        </w:rPr>
        <w:t>is</w:t>
      </w:r>
      <w:r w:rsidRPr="00264BFB">
        <w:rPr>
          <w:b w:val="0"/>
          <w:color w:val="000000" w:themeColor="text1"/>
          <w:sz w:val="20"/>
          <w:szCs w:val="20"/>
          <w:lang w:val="en-US"/>
        </w:rPr>
        <w:t xml:space="preserve"> under</w:t>
      </w:r>
      <w:r>
        <w:rPr>
          <w:b w:val="0"/>
          <w:color w:val="000000" w:themeColor="text1"/>
          <w:sz w:val="20"/>
          <w:szCs w:val="20"/>
          <w:lang w:val="en-US"/>
        </w:rPr>
        <w:t>w</w:t>
      </w:r>
      <w:r w:rsidRPr="00264BFB">
        <w:rPr>
          <w:b w:val="0"/>
          <w:color w:val="000000" w:themeColor="text1"/>
          <w:sz w:val="20"/>
          <w:szCs w:val="20"/>
          <w:lang w:val="en-US"/>
        </w:rPr>
        <w:t xml:space="preserve">ay </w:t>
      </w:r>
      <w:r>
        <w:rPr>
          <w:b w:val="0"/>
          <w:color w:val="000000" w:themeColor="text1"/>
          <w:sz w:val="20"/>
          <w:szCs w:val="20"/>
          <w:lang w:val="en-US"/>
        </w:rPr>
        <w:t xml:space="preserve">regarding </w:t>
      </w:r>
      <w:r w:rsidRPr="00264BFB">
        <w:rPr>
          <w:b w:val="0"/>
          <w:color w:val="000000" w:themeColor="text1"/>
          <w:sz w:val="20"/>
          <w:szCs w:val="20"/>
          <w:lang w:val="en-US"/>
        </w:rPr>
        <w:t xml:space="preserve">the conceptual and methodological specifics of </w:t>
      </w:r>
      <w:r>
        <w:rPr>
          <w:b w:val="0"/>
          <w:color w:val="000000" w:themeColor="text1"/>
          <w:sz w:val="20"/>
          <w:szCs w:val="20"/>
          <w:lang w:val="en-US"/>
        </w:rPr>
        <w:t>this perspective on NCP</w:t>
      </w:r>
      <w:r w:rsidRPr="00264BFB">
        <w:rPr>
          <w:b w:val="0"/>
          <w:color w:val="000000" w:themeColor="text1"/>
          <w:sz w:val="20"/>
          <w:szCs w:val="20"/>
          <w:lang w:val="en-US"/>
        </w:rPr>
        <w:t xml:space="preserve"> </w:t>
      </w:r>
      <w:r>
        <w:rPr>
          <w:b w:val="0"/>
          <w:color w:val="000000" w:themeColor="text1"/>
          <w:sz w:val="20"/>
          <w:szCs w:val="20"/>
          <w:lang w:val="en-US"/>
        </w:rPr>
        <w:t xml:space="preserve">and its </w:t>
      </w:r>
      <w:r w:rsidRPr="00264BFB">
        <w:rPr>
          <w:b w:val="0"/>
          <w:color w:val="000000" w:themeColor="text1"/>
          <w:sz w:val="20"/>
          <w:szCs w:val="20"/>
          <w:lang w:val="en-US"/>
        </w:rPr>
        <w:t>inclusion in the on-going and future IPBES assessments. In the mea</w:t>
      </w:r>
      <w:r>
        <w:rPr>
          <w:b w:val="0"/>
          <w:color w:val="000000" w:themeColor="text1"/>
          <w:sz w:val="20"/>
          <w:szCs w:val="20"/>
          <w:lang w:val="en-US"/>
        </w:rPr>
        <w:t>n</w:t>
      </w:r>
      <w:r w:rsidRPr="00264BFB">
        <w:rPr>
          <w:b w:val="0"/>
          <w:color w:val="000000" w:themeColor="text1"/>
          <w:sz w:val="20"/>
          <w:szCs w:val="20"/>
          <w:lang w:val="en-US"/>
        </w:rPr>
        <w:t xml:space="preserve">time, </w:t>
      </w:r>
      <w:r>
        <w:rPr>
          <w:b w:val="0"/>
          <w:color w:val="000000" w:themeColor="text1"/>
          <w:sz w:val="20"/>
          <w:szCs w:val="20"/>
          <w:lang w:val="en-US"/>
        </w:rPr>
        <w:t>some</w:t>
      </w:r>
      <w:r w:rsidRPr="00264BFB">
        <w:rPr>
          <w:b w:val="0"/>
          <w:color w:val="000000" w:themeColor="text1"/>
          <w:sz w:val="20"/>
          <w:szCs w:val="20"/>
          <w:lang w:val="en-US"/>
        </w:rPr>
        <w:t xml:space="preserve"> </w:t>
      </w:r>
      <w:r>
        <w:rPr>
          <w:b w:val="0"/>
          <w:color w:val="000000" w:themeColor="text1"/>
          <w:sz w:val="20"/>
          <w:szCs w:val="20"/>
          <w:lang w:val="en-US"/>
        </w:rPr>
        <w:t>complementary over-arching</w:t>
      </w:r>
      <w:r w:rsidRPr="00264BFB">
        <w:rPr>
          <w:b w:val="0"/>
          <w:color w:val="000000" w:themeColor="text1"/>
          <w:sz w:val="20"/>
          <w:szCs w:val="20"/>
          <w:lang w:val="en-US"/>
        </w:rPr>
        <w:t xml:space="preserve"> </w:t>
      </w:r>
      <w:r>
        <w:rPr>
          <w:b w:val="0"/>
          <w:color w:val="000000" w:themeColor="text1"/>
          <w:sz w:val="20"/>
          <w:szCs w:val="20"/>
          <w:lang w:val="en-US"/>
        </w:rPr>
        <w:t xml:space="preserve">NCP </w:t>
      </w:r>
      <w:r w:rsidRPr="00264BFB">
        <w:rPr>
          <w:b w:val="0"/>
          <w:color w:val="000000" w:themeColor="text1"/>
          <w:sz w:val="20"/>
          <w:szCs w:val="20"/>
          <w:lang w:val="en-US"/>
        </w:rPr>
        <w:t>categories</w:t>
      </w:r>
      <w:r>
        <w:rPr>
          <w:b w:val="0"/>
          <w:color w:val="000000" w:themeColor="text1"/>
          <w:sz w:val="20"/>
          <w:szCs w:val="20"/>
          <w:lang w:val="en-US"/>
        </w:rPr>
        <w:t xml:space="preserve"> associated with the three broad groups (regulating, material and non-material NCP)</w:t>
      </w:r>
      <w:r w:rsidRPr="00264BFB">
        <w:rPr>
          <w:b w:val="0"/>
          <w:color w:val="000000" w:themeColor="text1"/>
          <w:sz w:val="20"/>
          <w:szCs w:val="20"/>
          <w:lang w:val="en-US"/>
        </w:rPr>
        <w:t>, amenable to be used in assessments, are being considered</w:t>
      </w:r>
      <w:r>
        <w:rPr>
          <w:b w:val="0"/>
          <w:color w:val="000000" w:themeColor="text1"/>
          <w:sz w:val="20"/>
          <w:szCs w:val="20"/>
          <w:lang w:val="en-US"/>
        </w:rPr>
        <w:t>. Such over-arching categories are broader than (not as specific as) the</w:t>
      </w:r>
      <w:r w:rsidRPr="00264BFB">
        <w:rPr>
          <w:b w:val="0"/>
          <w:color w:val="000000" w:themeColor="text1"/>
          <w:sz w:val="20"/>
          <w:szCs w:val="20"/>
          <w:lang w:val="en-US"/>
        </w:rPr>
        <w:t xml:space="preserve"> NCP</w:t>
      </w:r>
      <w:r>
        <w:rPr>
          <w:b w:val="0"/>
          <w:color w:val="000000" w:themeColor="text1"/>
          <w:sz w:val="20"/>
          <w:szCs w:val="20"/>
          <w:lang w:val="en-US"/>
        </w:rPr>
        <w:t xml:space="preserve"> identified in Table 1</w:t>
      </w:r>
      <w:r w:rsidRPr="00264BFB">
        <w:rPr>
          <w:b w:val="0"/>
          <w:color w:val="000000" w:themeColor="text1"/>
          <w:sz w:val="20"/>
          <w:szCs w:val="20"/>
          <w:lang w:val="en-US"/>
        </w:rPr>
        <w:t xml:space="preserve">. </w:t>
      </w:r>
      <w:r>
        <w:rPr>
          <w:b w:val="0"/>
          <w:color w:val="000000" w:themeColor="text1"/>
          <w:sz w:val="20"/>
          <w:szCs w:val="20"/>
          <w:lang w:val="en-US"/>
        </w:rPr>
        <w:t xml:space="preserve">This way, a conceptually sound and empirically consistent </w:t>
      </w:r>
      <w:r w:rsidRPr="00264BFB">
        <w:rPr>
          <w:b w:val="0"/>
          <w:color w:val="000000" w:themeColor="text1"/>
          <w:sz w:val="20"/>
          <w:szCs w:val="20"/>
          <w:lang w:val="en-US"/>
        </w:rPr>
        <w:t xml:space="preserve">complementarity </w:t>
      </w:r>
      <w:r>
        <w:rPr>
          <w:b w:val="0"/>
          <w:color w:val="000000" w:themeColor="text1"/>
          <w:sz w:val="20"/>
          <w:szCs w:val="20"/>
          <w:lang w:val="en-US"/>
        </w:rPr>
        <w:t>would be achieved with respect to the</w:t>
      </w:r>
      <w:r w:rsidRPr="00264BFB">
        <w:rPr>
          <w:b w:val="0"/>
          <w:color w:val="000000" w:themeColor="text1"/>
          <w:sz w:val="20"/>
          <w:szCs w:val="20"/>
          <w:lang w:val="en-US"/>
        </w:rPr>
        <w:t xml:space="preserve"> 18 </w:t>
      </w:r>
      <w:r>
        <w:rPr>
          <w:b w:val="0"/>
          <w:color w:val="000000" w:themeColor="text1"/>
          <w:sz w:val="20"/>
          <w:szCs w:val="20"/>
          <w:lang w:val="en-US"/>
        </w:rPr>
        <w:t xml:space="preserve">specific </w:t>
      </w:r>
      <w:r w:rsidRPr="00264BFB">
        <w:rPr>
          <w:b w:val="0"/>
          <w:color w:val="000000" w:themeColor="text1"/>
          <w:sz w:val="20"/>
          <w:szCs w:val="20"/>
          <w:lang w:val="en-US"/>
        </w:rPr>
        <w:t>NCP</w:t>
      </w:r>
      <w:r>
        <w:rPr>
          <w:b w:val="0"/>
          <w:color w:val="000000" w:themeColor="text1"/>
          <w:sz w:val="20"/>
          <w:szCs w:val="20"/>
          <w:lang w:val="en-US"/>
        </w:rPr>
        <w:t>.</w:t>
      </w:r>
    </w:p>
    <w:p w14:paraId="4AE3384B" w14:textId="2793F8F1" w:rsidR="005B6C73" w:rsidRPr="00E350DF" w:rsidRDefault="005B6C73" w:rsidP="00FA758F">
      <w:pPr>
        <w:pStyle w:val="Normalnumber"/>
        <w:numPr>
          <w:ilvl w:val="0"/>
          <w:numId w:val="0"/>
        </w:numPr>
        <w:ind w:left="1814"/>
      </w:pPr>
    </w:p>
    <w:p w14:paraId="09F384F8" w14:textId="77777777" w:rsidR="005B6C73" w:rsidRPr="005B6C73" w:rsidRDefault="005B6C73" w:rsidP="005B6C73">
      <w:pPr>
        <w:spacing w:line="240" w:lineRule="auto"/>
        <w:rPr>
          <w:rFonts w:ascii="Times New Roman" w:eastAsia="Times New Roman" w:hAnsi="Times New Roman"/>
          <w:color w:val="000000"/>
          <w:lang w:val="en-GB"/>
        </w:rPr>
      </w:pPr>
    </w:p>
    <w:p w14:paraId="5E40CAE6" w14:textId="77777777" w:rsidR="005B6C73" w:rsidRPr="005B6C73" w:rsidRDefault="005B6C73" w:rsidP="005B6C73">
      <w:pPr>
        <w:pStyle w:val="ListParagraph"/>
        <w:numPr>
          <w:ilvl w:val="0"/>
          <w:numId w:val="26"/>
        </w:numPr>
        <w:rPr>
          <w:rFonts w:eastAsia="Times New Roman"/>
          <w:color w:val="000000"/>
        </w:rPr>
        <w:sectPr w:rsidR="005B6C73" w:rsidRPr="005B6C73" w:rsidSect="00CB42DD">
          <w:headerReference w:type="even" r:id="rId17"/>
          <w:headerReference w:type="default" r:id="rId18"/>
          <w:footerReference w:type="even" r:id="rId19"/>
          <w:footerReference w:type="default" r:id="rId20"/>
          <w:headerReference w:type="first" r:id="rId21"/>
          <w:footerReference w:type="first" r:id="rId22"/>
          <w:pgSz w:w="11906" w:h="16838" w:code="9"/>
          <w:pgMar w:top="907" w:right="992" w:bottom="1418" w:left="1418" w:header="539" w:footer="975" w:gutter="0"/>
          <w:cols w:space="539"/>
          <w:titlePg/>
          <w:docGrid w:linePitch="360"/>
        </w:sectPr>
      </w:pPr>
    </w:p>
    <w:p w14:paraId="32A5E335" w14:textId="16ADACFB" w:rsidR="00FA758F" w:rsidRPr="00FA758F" w:rsidRDefault="005B6C73" w:rsidP="00D12805">
      <w:pPr>
        <w:pStyle w:val="Titlefigure"/>
        <w:rPr>
          <w:b w:val="0"/>
        </w:rPr>
      </w:pPr>
      <w:r w:rsidRPr="00FA758F">
        <w:rPr>
          <w:b w:val="0"/>
        </w:rPr>
        <w:lastRenderedPageBreak/>
        <w:t>Figure 1</w:t>
      </w:r>
      <w:r w:rsidR="00D12805">
        <w:rPr>
          <w:b w:val="0"/>
        </w:rPr>
        <w:br/>
      </w:r>
      <w:r w:rsidRPr="00FA758F">
        <w:t>The IP</w:t>
      </w:r>
      <w:r w:rsidR="00E350DF" w:rsidRPr="00FA758F">
        <w:t>BES Conceptual Framework.</w:t>
      </w:r>
      <w:r w:rsidRPr="00FA758F">
        <w:t xml:space="preserve"> </w:t>
      </w:r>
    </w:p>
    <w:p w14:paraId="10E5123E" w14:textId="3F36C164" w:rsidR="005B6C73" w:rsidRPr="005B6C73" w:rsidRDefault="005B6C73" w:rsidP="00FA758F">
      <w:pPr>
        <w:pStyle w:val="NormalNonumber"/>
      </w:pPr>
      <w:r w:rsidRPr="005B6C73">
        <w:t>Boxes</w:t>
      </w:r>
      <w:r w:rsidR="00E350DF">
        <w:t xml:space="preserve"> </w:t>
      </w:r>
      <w:r w:rsidRPr="005B6C73">
        <w:t>and</w:t>
      </w:r>
      <w:r w:rsidR="00E350DF">
        <w:t xml:space="preserve"> </w:t>
      </w:r>
      <w:r w:rsidRPr="005B6C73">
        <w:t>arrows</w:t>
      </w:r>
      <w:r w:rsidR="00E350DF">
        <w:t xml:space="preserve"> </w:t>
      </w:r>
      <w:r w:rsidRPr="005B6C73">
        <w:t>represent</w:t>
      </w:r>
      <w:r w:rsidR="00E350DF">
        <w:t xml:space="preserve"> </w:t>
      </w:r>
      <w:r w:rsidRPr="005B6C73">
        <w:t>the</w:t>
      </w:r>
      <w:r w:rsidR="00E350DF">
        <w:t xml:space="preserve"> </w:t>
      </w:r>
      <w:r w:rsidRPr="005B6C73">
        <w:t>elements</w:t>
      </w:r>
      <w:r w:rsidR="00E350DF">
        <w:t xml:space="preserve"> </w:t>
      </w:r>
      <w:r w:rsidRPr="005B6C73">
        <w:t>of</w:t>
      </w:r>
      <w:r w:rsidR="00E350DF">
        <w:t xml:space="preserve"> </w:t>
      </w:r>
      <w:r w:rsidRPr="005B6C73">
        <w:t>nature</w:t>
      </w:r>
      <w:r w:rsidR="00E350DF">
        <w:t xml:space="preserve"> </w:t>
      </w:r>
      <w:r w:rsidRPr="005B6C73">
        <w:t>and</w:t>
      </w:r>
      <w:r w:rsidR="00E350DF">
        <w:t xml:space="preserve"> </w:t>
      </w:r>
      <w:r w:rsidRPr="005B6C73">
        <w:t>society</w:t>
      </w:r>
      <w:r w:rsidR="00E350DF">
        <w:t xml:space="preserve"> </w:t>
      </w:r>
      <w:r w:rsidRPr="005B6C73">
        <w:t>that are</w:t>
      </w:r>
      <w:r w:rsidR="00E350DF">
        <w:t xml:space="preserve"> </w:t>
      </w:r>
      <w:r w:rsidRPr="005B6C73">
        <w:t>at</w:t>
      </w:r>
      <w:r w:rsidR="00E350DF">
        <w:t xml:space="preserve"> </w:t>
      </w:r>
      <w:r w:rsidRPr="005B6C73">
        <w:t>the</w:t>
      </w:r>
      <w:r w:rsidR="00E350DF">
        <w:t xml:space="preserve"> </w:t>
      </w:r>
      <w:r w:rsidRPr="005B6C73">
        <w:t>main</w:t>
      </w:r>
      <w:r w:rsidR="00E350DF">
        <w:t xml:space="preserve"> </w:t>
      </w:r>
      <w:r w:rsidRPr="005B6C73">
        <w:t>focus</w:t>
      </w:r>
      <w:r w:rsidR="00E350DF">
        <w:t xml:space="preserve"> </w:t>
      </w:r>
      <w:r w:rsidRPr="005B6C73">
        <w:t>of</w:t>
      </w:r>
      <w:r w:rsidR="00E350DF">
        <w:t xml:space="preserve"> </w:t>
      </w:r>
      <w:r w:rsidRPr="005B6C73">
        <w:t>IPBES.</w:t>
      </w:r>
      <w:r w:rsidR="00E350DF">
        <w:t xml:space="preserve"> </w:t>
      </w:r>
      <w:r w:rsidRPr="005B6C73">
        <w:t>In</w:t>
      </w:r>
      <w:r w:rsidR="00E350DF">
        <w:t xml:space="preserve"> </w:t>
      </w:r>
      <w:r w:rsidRPr="005B6C73">
        <w:t>each</w:t>
      </w:r>
      <w:r w:rsidR="00E350DF">
        <w:t xml:space="preserve"> </w:t>
      </w:r>
      <w:r w:rsidRPr="005B6C73">
        <w:t>of</w:t>
      </w:r>
      <w:r w:rsidR="00E350DF">
        <w:t xml:space="preserve"> </w:t>
      </w:r>
      <w:r w:rsidRPr="005B6C73">
        <w:t>the</w:t>
      </w:r>
      <w:r w:rsidR="00E350DF">
        <w:t xml:space="preserve"> </w:t>
      </w:r>
      <w:r w:rsidRPr="005B6C73">
        <w:t>boxes,</w:t>
      </w:r>
      <w:r w:rsidR="00E350DF">
        <w:t xml:space="preserve"> </w:t>
      </w:r>
      <w:r w:rsidRPr="005B6C73">
        <w:t>the</w:t>
      </w:r>
      <w:r w:rsidR="00E350DF">
        <w:t xml:space="preserve"> </w:t>
      </w:r>
      <w:r w:rsidRPr="005B6C73">
        <w:t>headlines</w:t>
      </w:r>
      <w:r w:rsidR="00E350DF">
        <w:t xml:space="preserve"> </w:t>
      </w:r>
      <w:r w:rsidRPr="005B6C73">
        <w:t>in</w:t>
      </w:r>
      <w:r w:rsidR="00E350DF">
        <w:t xml:space="preserve"> </w:t>
      </w:r>
      <w:r w:rsidRPr="005B6C73">
        <w:t>bold</w:t>
      </w:r>
      <w:r w:rsidR="00E350DF">
        <w:t xml:space="preserve"> </w:t>
      </w:r>
      <w:r w:rsidRPr="005B6C73">
        <w:t>are</w:t>
      </w:r>
      <w:r w:rsidR="00E350DF">
        <w:t xml:space="preserve"> </w:t>
      </w:r>
      <w:r w:rsidRPr="005B6C73">
        <w:t>inclusive</w:t>
      </w:r>
      <w:r w:rsidR="00E350DF">
        <w:t xml:space="preserve"> </w:t>
      </w:r>
      <w:r w:rsidRPr="005B6C73">
        <w:t>categories</w:t>
      </w:r>
      <w:r w:rsidR="00E350DF">
        <w:t xml:space="preserve"> </w:t>
      </w:r>
      <w:r w:rsidRPr="005B6C73">
        <w:t>of</w:t>
      </w:r>
      <w:r w:rsidR="00E350DF">
        <w:t xml:space="preserve"> </w:t>
      </w:r>
      <w:r w:rsidRPr="005B6C73">
        <w:t>relevance to</w:t>
      </w:r>
      <w:r w:rsidR="00E350DF">
        <w:t xml:space="preserve"> </w:t>
      </w:r>
      <w:r w:rsidRPr="005B6C73">
        <w:t>all</w:t>
      </w:r>
      <w:r w:rsidR="00E350DF">
        <w:t xml:space="preserve"> </w:t>
      </w:r>
      <w:r w:rsidRPr="005B6C73">
        <w:t>stakeholders</w:t>
      </w:r>
      <w:r w:rsidR="00E350DF">
        <w:t xml:space="preserve"> </w:t>
      </w:r>
      <w:r w:rsidRPr="005B6C73">
        <w:t>of</w:t>
      </w:r>
      <w:r w:rsidR="00E350DF">
        <w:t xml:space="preserve"> </w:t>
      </w:r>
      <w:r w:rsidRPr="005B6C73">
        <w:t>IPBES</w:t>
      </w:r>
      <w:r w:rsidR="00E350DF">
        <w:t xml:space="preserve"> </w:t>
      </w:r>
      <w:r w:rsidRPr="005B6C73">
        <w:t>and</w:t>
      </w:r>
      <w:r w:rsidR="00E350DF">
        <w:t xml:space="preserve"> </w:t>
      </w:r>
      <w:r w:rsidRPr="005B6C73">
        <w:t>embrace</w:t>
      </w:r>
      <w:r w:rsidR="00E350DF">
        <w:t xml:space="preserve"> </w:t>
      </w:r>
      <w:r w:rsidRPr="005B6C73">
        <w:t>the</w:t>
      </w:r>
      <w:r w:rsidR="00E350DF">
        <w:t xml:space="preserve"> </w:t>
      </w:r>
      <w:r w:rsidRPr="005B6C73">
        <w:t>categories</w:t>
      </w:r>
      <w:r w:rsidR="00E350DF">
        <w:t xml:space="preserve"> </w:t>
      </w:r>
      <w:r w:rsidRPr="005B6C73">
        <w:t>of</w:t>
      </w:r>
      <w:r w:rsidR="00E350DF">
        <w:t xml:space="preserve"> </w:t>
      </w:r>
      <w:r w:rsidRPr="005B6C73">
        <w:t>western</w:t>
      </w:r>
      <w:r w:rsidR="00E350DF">
        <w:t xml:space="preserve"> </w:t>
      </w:r>
      <w:r w:rsidRPr="005B6C73">
        <w:t>science</w:t>
      </w:r>
      <w:r w:rsidR="00E350DF">
        <w:t xml:space="preserve"> </w:t>
      </w:r>
      <w:r w:rsidRPr="005B6C73">
        <w:t>(in</w:t>
      </w:r>
      <w:r w:rsidR="00E350DF">
        <w:t xml:space="preserve"> </w:t>
      </w:r>
      <w:r w:rsidRPr="005B6C73">
        <w:t>green)</w:t>
      </w:r>
      <w:r w:rsidR="00E350DF">
        <w:t xml:space="preserve"> </w:t>
      </w:r>
      <w:r w:rsidRPr="005B6C73">
        <w:t>and</w:t>
      </w:r>
      <w:r w:rsidR="00E350DF">
        <w:t xml:space="preserve"> </w:t>
      </w:r>
      <w:r w:rsidRPr="005B6C73">
        <w:t>equivalent</w:t>
      </w:r>
      <w:r w:rsidR="00E350DF">
        <w:t xml:space="preserve"> </w:t>
      </w:r>
      <w:r w:rsidRPr="005B6C73">
        <w:t>or</w:t>
      </w:r>
      <w:r w:rsidR="00E350DF">
        <w:t xml:space="preserve"> </w:t>
      </w:r>
      <w:r w:rsidRPr="005B6C73">
        <w:t>similar</w:t>
      </w:r>
      <w:r w:rsidR="00E350DF">
        <w:t xml:space="preserve"> </w:t>
      </w:r>
      <w:r w:rsidRPr="005B6C73">
        <w:t>categories</w:t>
      </w:r>
      <w:r w:rsidR="00E350DF">
        <w:t xml:space="preserve"> </w:t>
      </w:r>
      <w:r w:rsidRPr="005B6C73">
        <w:t>according</w:t>
      </w:r>
      <w:r w:rsidR="00E350DF">
        <w:t xml:space="preserve"> </w:t>
      </w:r>
      <w:r w:rsidRPr="005B6C73">
        <w:t>to other</w:t>
      </w:r>
      <w:r w:rsidR="00E350DF">
        <w:t xml:space="preserve"> </w:t>
      </w:r>
      <w:r w:rsidRPr="005B6C73">
        <w:t>k</w:t>
      </w:r>
      <w:r w:rsidR="00E350DF">
        <w:t>nowledge systems (in blue). The</w:t>
      </w:r>
      <w:r w:rsidRPr="005B6C73">
        <w:t xml:space="preserve"> blue</w:t>
      </w:r>
      <w:r w:rsidR="00E350DF">
        <w:t xml:space="preserve"> </w:t>
      </w:r>
      <w:r w:rsidRPr="005B6C73">
        <w:t>and</w:t>
      </w:r>
      <w:r w:rsidR="00E350DF">
        <w:t xml:space="preserve"> </w:t>
      </w:r>
      <w:r w:rsidRPr="005B6C73">
        <w:t>green</w:t>
      </w:r>
      <w:r w:rsidR="00E350DF">
        <w:t xml:space="preserve"> </w:t>
      </w:r>
      <w:r w:rsidRPr="005B6C73">
        <w:t>categories</w:t>
      </w:r>
      <w:r w:rsidR="00E350DF">
        <w:t xml:space="preserve"> </w:t>
      </w:r>
      <w:r w:rsidRPr="005B6C73">
        <w:t>mentioned</w:t>
      </w:r>
      <w:r w:rsidR="00E350DF">
        <w:t xml:space="preserve"> </w:t>
      </w:r>
      <w:r w:rsidRPr="005B6C73">
        <w:t>here</w:t>
      </w:r>
      <w:r w:rsidR="00E350DF">
        <w:t xml:space="preserve"> </w:t>
      </w:r>
      <w:r w:rsidRPr="005B6C73">
        <w:t>are</w:t>
      </w:r>
      <w:r w:rsidR="00E350DF">
        <w:t xml:space="preserve"> </w:t>
      </w:r>
      <w:r w:rsidRPr="005B6C73">
        <w:t xml:space="preserve">illustrative and </w:t>
      </w:r>
      <w:r w:rsidR="00E350DF">
        <w:t xml:space="preserve">not exhaustive. Solid </w:t>
      </w:r>
      <w:r w:rsidRPr="005B6C73">
        <w:t>arrows</w:t>
      </w:r>
      <w:r w:rsidR="00E350DF">
        <w:t xml:space="preserve"> </w:t>
      </w:r>
      <w:r w:rsidRPr="005B6C73">
        <w:t>in</w:t>
      </w:r>
      <w:r w:rsidR="00E350DF">
        <w:t xml:space="preserve"> </w:t>
      </w:r>
      <w:r w:rsidRPr="005B6C73">
        <w:t>the</w:t>
      </w:r>
      <w:r w:rsidR="00E350DF">
        <w:t xml:space="preserve"> </w:t>
      </w:r>
      <w:r w:rsidRPr="005B6C73">
        <w:t>main</w:t>
      </w:r>
      <w:r w:rsidR="00E350DF">
        <w:t xml:space="preserve"> </w:t>
      </w:r>
      <w:r w:rsidRPr="005B6C73">
        <w:t>panel</w:t>
      </w:r>
      <w:r w:rsidR="00E350DF">
        <w:t xml:space="preserve"> </w:t>
      </w:r>
      <w:r w:rsidRPr="005B6C73">
        <w:t>denote</w:t>
      </w:r>
      <w:r w:rsidR="00E350DF">
        <w:t xml:space="preserve"> </w:t>
      </w:r>
      <w:r w:rsidRPr="005B6C73">
        <w:t>influence</w:t>
      </w:r>
      <w:r w:rsidR="00E350DF">
        <w:t xml:space="preserve"> </w:t>
      </w:r>
      <w:r w:rsidRPr="005B6C73">
        <w:t>between</w:t>
      </w:r>
      <w:r w:rsidR="00E350DF">
        <w:t xml:space="preserve"> </w:t>
      </w:r>
      <w:r w:rsidRPr="005B6C73">
        <w:t>elements;</w:t>
      </w:r>
      <w:r w:rsidR="00E350DF">
        <w:t xml:space="preserve"> </w:t>
      </w:r>
      <w:r w:rsidRPr="005B6C73">
        <w:t>the</w:t>
      </w:r>
      <w:r w:rsidR="00E350DF">
        <w:t xml:space="preserve"> </w:t>
      </w:r>
      <w:r w:rsidRPr="005B6C73">
        <w:t>dotted</w:t>
      </w:r>
      <w:r w:rsidR="00E350DF">
        <w:t xml:space="preserve"> </w:t>
      </w:r>
      <w:r w:rsidRPr="005B6C73">
        <w:t>arrows</w:t>
      </w:r>
      <w:r w:rsidR="00E350DF">
        <w:t xml:space="preserve"> </w:t>
      </w:r>
      <w:r w:rsidRPr="005B6C73">
        <w:t>denote</w:t>
      </w:r>
      <w:r w:rsidR="00E350DF">
        <w:t xml:space="preserve"> </w:t>
      </w:r>
      <w:r w:rsidRPr="005B6C73">
        <w:t>links</w:t>
      </w:r>
      <w:r w:rsidR="00E350DF">
        <w:t xml:space="preserve"> </w:t>
      </w:r>
      <w:r w:rsidRPr="005B6C73">
        <w:t>that</w:t>
      </w:r>
      <w:r w:rsidR="00E350DF">
        <w:t xml:space="preserve"> </w:t>
      </w:r>
      <w:r w:rsidRPr="005B6C73">
        <w:t>are</w:t>
      </w:r>
      <w:r w:rsidR="00E350DF">
        <w:t xml:space="preserve"> </w:t>
      </w:r>
      <w:r w:rsidRPr="005B6C73">
        <w:t>acknowledged</w:t>
      </w:r>
      <w:r w:rsidR="00E350DF">
        <w:t xml:space="preserve"> </w:t>
      </w:r>
      <w:r w:rsidRPr="005B6C73">
        <w:t>as</w:t>
      </w:r>
      <w:r w:rsidR="00E350DF">
        <w:t xml:space="preserve"> </w:t>
      </w:r>
      <w:r w:rsidRPr="005B6C73">
        <w:t>important, but</w:t>
      </w:r>
      <w:r w:rsidR="00E350DF">
        <w:t xml:space="preserve"> </w:t>
      </w:r>
      <w:r w:rsidRPr="005B6C73">
        <w:t>are</w:t>
      </w:r>
      <w:r w:rsidR="00E350DF">
        <w:t xml:space="preserve"> </w:t>
      </w:r>
      <w:r w:rsidRPr="005B6C73">
        <w:t>not</w:t>
      </w:r>
      <w:r w:rsidR="00E350DF">
        <w:t xml:space="preserve"> </w:t>
      </w:r>
      <w:r w:rsidRPr="005B6C73">
        <w:t>the</w:t>
      </w:r>
      <w:r w:rsidR="00E350DF">
        <w:t xml:space="preserve"> </w:t>
      </w:r>
      <w:r w:rsidRPr="005B6C73">
        <w:t>main</w:t>
      </w:r>
      <w:r w:rsidR="00E350DF">
        <w:t xml:space="preserve"> </w:t>
      </w:r>
      <w:r w:rsidRPr="005B6C73">
        <w:t>focus</w:t>
      </w:r>
      <w:r w:rsidR="00E350DF">
        <w:t xml:space="preserve"> </w:t>
      </w:r>
      <w:r w:rsidRPr="005B6C73">
        <w:t>of</w:t>
      </w:r>
      <w:r w:rsidR="00E350DF">
        <w:t xml:space="preserve"> </w:t>
      </w:r>
      <w:r w:rsidRPr="005B6C73">
        <w:t>the</w:t>
      </w:r>
      <w:r w:rsidR="00E350DF">
        <w:t xml:space="preserve"> </w:t>
      </w:r>
      <w:r w:rsidRPr="005B6C73">
        <w:t>Platform.</w:t>
      </w:r>
      <w:r w:rsidR="00E350DF">
        <w:t xml:space="preserve"> </w:t>
      </w:r>
      <w:r w:rsidRPr="005B6C73">
        <w:t>The box (nature’s contributions to people) and arrows (4-8) in sharper black are the focus of the present note.</w:t>
      </w:r>
      <w:r w:rsidR="00E350DF">
        <w:t xml:space="preserve"> </w:t>
      </w:r>
      <w:r w:rsidRPr="005B6C73">
        <w:t>This figure is reproduced (with the modification of the original name nature’s benefits to people into nature’s contributions to people) from Díaz et al. 2015a, b, representing a</w:t>
      </w:r>
      <w:r w:rsidR="00E350DF">
        <w:t xml:space="preserve"> </w:t>
      </w:r>
      <w:r w:rsidRPr="005B6C73">
        <w:t>simplified</w:t>
      </w:r>
      <w:r w:rsidR="00E350DF">
        <w:t xml:space="preserve"> </w:t>
      </w:r>
      <w:r w:rsidRPr="005B6C73">
        <w:t>version</w:t>
      </w:r>
      <w:r w:rsidR="00E350DF">
        <w:t xml:space="preserve"> </w:t>
      </w:r>
      <w:r w:rsidRPr="005B6C73">
        <w:t>of</w:t>
      </w:r>
      <w:r w:rsidR="00E350DF">
        <w:t xml:space="preserve"> </w:t>
      </w:r>
      <w:r w:rsidRPr="005B6C73">
        <w:t>that</w:t>
      </w:r>
      <w:r w:rsidR="00E350DF">
        <w:t xml:space="preserve"> </w:t>
      </w:r>
      <w:r w:rsidRPr="005B6C73">
        <w:t>adopted</w:t>
      </w:r>
      <w:r w:rsidR="00E350DF">
        <w:t xml:space="preserve"> </w:t>
      </w:r>
      <w:r w:rsidRPr="005B6C73">
        <w:t>by</w:t>
      </w:r>
      <w:r w:rsidR="00E350DF">
        <w:t xml:space="preserve"> </w:t>
      </w:r>
      <w:r w:rsidRPr="005B6C73">
        <w:t>the second</w:t>
      </w:r>
      <w:r w:rsidR="00E350DF">
        <w:t xml:space="preserve"> </w:t>
      </w:r>
      <w:r w:rsidRPr="005B6C73">
        <w:t>session of the Plenary of</w:t>
      </w:r>
      <w:r w:rsidR="00E350DF">
        <w:t xml:space="preserve"> </w:t>
      </w:r>
      <w:r w:rsidRPr="005B6C73">
        <w:t xml:space="preserve">IPBES (IPBES/2/17). </w:t>
      </w:r>
    </w:p>
    <w:p w14:paraId="3EF98168" w14:textId="77777777" w:rsidR="005B6C73" w:rsidRDefault="005B6C73" w:rsidP="005B6C73">
      <w:pPr>
        <w:rPr>
          <w:rFonts w:ascii="Times New Roman" w:hAnsi="Times New Roman"/>
          <w:b/>
          <w:lang w:val="en-GB"/>
        </w:rPr>
        <w:sectPr w:rsidR="005B6C73" w:rsidSect="00CB42DD">
          <w:headerReference w:type="first" r:id="rId23"/>
          <w:footerReference w:type="first" r:id="rId24"/>
          <w:pgSz w:w="11906" w:h="16838" w:code="9"/>
          <w:pgMar w:top="907" w:right="992" w:bottom="1418" w:left="1418" w:header="539" w:footer="975" w:gutter="0"/>
          <w:cols w:space="539"/>
          <w:titlePg/>
          <w:docGrid w:linePitch="360"/>
        </w:sectPr>
      </w:pPr>
      <w:r>
        <w:rPr>
          <w:noProof/>
        </w:rPr>
        <w:drawing>
          <wp:inline distT="0" distB="0" distL="0" distR="0" wp14:anchorId="5A4DAAA1" wp14:editId="7097CC82">
            <wp:extent cx="5991225" cy="5019675"/>
            <wp:effectExtent l="0" t="0" r="9525" b="9525"/>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1225" cy="5019675"/>
                    </a:xfrm>
                    <a:prstGeom prst="rect">
                      <a:avLst/>
                    </a:prstGeom>
                    <a:noFill/>
                    <a:ln>
                      <a:noFill/>
                    </a:ln>
                  </pic:spPr>
                </pic:pic>
              </a:graphicData>
            </a:graphic>
          </wp:inline>
        </w:drawing>
      </w:r>
    </w:p>
    <w:p w14:paraId="04E6450E" w14:textId="60F3A002" w:rsidR="005B6C73" w:rsidRPr="00950F9F" w:rsidRDefault="005B6C73" w:rsidP="00FA758F">
      <w:pPr>
        <w:pStyle w:val="Titletable"/>
      </w:pPr>
      <w:r w:rsidRPr="00E350DF">
        <w:rPr>
          <w:b w:val="0"/>
        </w:rPr>
        <w:lastRenderedPageBreak/>
        <w:t>Table 1</w:t>
      </w:r>
      <w:r w:rsidR="00E22BB1">
        <w:rPr>
          <w:b w:val="0"/>
        </w:rPr>
        <w:br/>
      </w:r>
      <w:r w:rsidR="00FA758F">
        <w:t>T</w:t>
      </w:r>
      <w:r w:rsidRPr="00950F9F">
        <w:t xml:space="preserve">he 18 </w:t>
      </w:r>
      <w:r w:rsidR="00FA758F">
        <w:t xml:space="preserve">specific </w:t>
      </w:r>
      <w:r w:rsidRPr="00264BFB">
        <w:t xml:space="preserve">categories </w:t>
      </w:r>
      <w:r w:rsidRPr="006643EC">
        <w:t>o</w:t>
      </w:r>
      <w:r w:rsidRPr="00950F9F">
        <w:t xml:space="preserve">f nature’s contributions to people </w:t>
      </w:r>
      <w:r>
        <w:t xml:space="preserve">(NCP) </w:t>
      </w:r>
      <w:r w:rsidRPr="00950F9F">
        <w:t xml:space="preserve">used in IPBES </w:t>
      </w:r>
      <w:r>
        <w:t xml:space="preserve">on-going </w:t>
      </w:r>
      <w:r w:rsidRPr="00950F9F">
        <w:t>assessments:</w:t>
      </w:r>
    </w:p>
    <w:tbl>
      <w:tblPr>
        <w:tblW w:w="9359" w:type="dxa"/>
        <w:tblInd w:w="108" w:type="dxa"/>
        <w:tblCellMar>
          <w:top w:w="72" w:type="dxa"/>
          <w:left w:w="115" w:type="dxa"/>
          <w:bottom w:w="72" w:type="dxa"/>
          <w:right w:w="115" w:type="dxa"/>
        </w:tblCellMar>
        <w:tblLook w:val="01E0" w:firstRow="1" w:lastRow="1" w:firstColumn="1" w:lastColumn="1" w:noHBand="0" w:noVBand="0"/>
      </w:tblPr>
      <w:tblGrid>
        <w:gridCol w:w="410"/>
        <w:gridCol w:w="2717"/>
        <w:gridCol w:w="6232"/>
      </w:tblGrid>
      <w:tr w:rsidR="00E350DF" w:rsidRPr="00E350DF" w14:paraId="7717DD4F" w14:textId="77777777" w:rsidTr="00E350DF">
        <w:trPr>
          <w:trHeight w:val="499"/>
          <w:tblHeader/>
        </w:trPr>
        <w:tc>
          <w:tcPr>
            <w:tcW w:w="0" w:type="auto"/>
            <w:tcBorders>
              <w:top w:val="single" w:sz="4" w:space="0" w:color="auto"/>
              <w:bottom w:val="single" w:sz="12" w:space="0" w:color="auto"/>
            </w:tcBorders>
          </w:tcPr>
          <w:p w14:paraId="10F3EE80" w14:textId="77777777" w:rsidR="005B6C73" w:rsidRPr="00E350DF" w:rsidRDefault="005B6C73" w:rsidP="00E350DF">
            <w:pPr>
              <w:keepNext/>
              <w:keepLines/>
              <w:spacing w:before="40" w:after="40" w:line="240" w:lineRule="auto"/>
              <w:rPr>
                <w:rFonts w:ascii="Times New Roman" w:hAnsi="Times New Roman"/>
                <w:b/>
                <w:color w:val="000000"/>
                <w:sz w:val="18"/>
                <w:szCs w:val="18"/>
              </w:rPr>
            </w:pPr>
          </w:p>
        </w:tc>
        <w:tc>
          <w:tcPr>
            <w:tcW w:w="2717" w:type="dxa"/>
            <w:tcBorders>
              <w:top w:val="single" w:sz="4" w:space="0" w:color="auto"/>
              <w:bottom w:val="single" w:sz="12" w:space="0" w:color="auto"/>
            </w:tcBorders>
          </w:tcPr>
          <w:p w14:paraId="791151C1" w14:textId="77777777" w:rsidR="005B6C73" w:rsidRPr="00E350DF" w:rsidRDefault="005B6C73" w:rsidP="00E350DF">
            <w:pPr>
              <w:keepNext/>
              <w:keepLines/>
              <w:spacing w:before="40" w:after="40" w:line="240" w:lineRule="auto"/>
              <w:rPr>
                <w:rFonts w:ascii="Times New Roman" w:hAnsi="Times New Roman"/>
                <w:b/>
                <w:bCs/>
                <w:color w:val="000000"/>
                <w:sz w:val="18"/>
                <w:szCs w:val="18"/>
              </w:rPr>
            </w:pPr>
            <w:r w:rsidRPr="00E350DF">
              <w:rPr>
                <w:rFonts w:ascii="Times New Roman" w:hAnsi="Times New Roman"/>
                <w:b/>
                <w:bCs/>
                <w:color w:val="000000"/>
                <w:sz w:val="18"/>
                <w:szCs w:val="18"/>
              </w:rPr>
              <w:t>Reporting categories of nature’s contributions to people</w:t>
            </w:r>
            <w:r w:rsidRPr="00E350DF">
              <w:rPr>
                <w:rStyle w:val="EndnoteReference"/>
                <w:rFonts w:ascii="Times New Roman" w:hAnsi="Times New Roman"/>
                <w:color w:val="000000"/>
                <w:sz w:val="18"/>
                <w:szCs w:val="18"/>
              </w:rPr>
              <w:t xml:space="preserve"> </w:t>
            </w:r>
          </w:p>
        </w:tc>
        <w:tc>
          <w:tcPr>
            <w:tcW w:w="6232" w:type="dxa"/>
            <w:tcBorders>
              <w:top w:val="single" w:sz="4" w:space="0" w:color="auto"/>
              <w:bottom w:val="single" w:sz="12" w:space="0" w:color="auto"/>
            </w:tcBorders>
          </w:tcPr>
          <w:p w14:paraId="287A4E3A" w14:textId="77777777" w:rsidR="005B6C73" w:rsidRPr="00E350DF" w:rsidRDefault="005B6C73" w:rsidP="00E350DF">
            <w:pPr>
              <w:keepNext/>
              <w:keepLines/>
              <w:tabs>
                <w:tab w:val="left" w:pos="2636"/>
              </w:tabs>
              <w:spacing w:before="40" w:after="40" w:line="240" w:lineRule="auto"/>
              <w:rPr>
                <w:rFonts w:ascii="Times New Roman" w:hAnsi="Times New Roman"/>
                <w:b/>
                <w:bCs/>
                <w:color w:val="000000"/>
                <w:sz w:val="18"/>
                <w:szCs w:val="18"/>
              </w:rPr>
            </w:pPr>
            <w:r w:rsidRPr="00E350DF">
              <w:rPr>
                <w:rFonts w:ascii="Times New Roman" w:hAnsi="Times New Roman"/>
                <w:b/>
                <w:bCs/>
                <w:color w:val="000000"/>
                <w:sz w:val="18"/>
                <w:szCs w:val="18"/>
              </w:rPr>
              <w:t xml:space="preserve">Brief explanation and some examples </w:t>
            </w:r>
          </w:p>
        </w:tc>
      </w:tr>
      <w:tr w:rsidR="00E350DF" w:rsidRPr="00E350DF" w14:paraId="7E551DFD" w14:textId="77777777" w:rsidTr="00E350DF">
        <w:trPr>
          <w:trHeight w:val="546"/>
        </w:trPr>
        <w:tc>
          <w:tcPr>
            <w:tcW w:w="0" w:type="auto"/>
            <w:tcBorders>
              <w:top w:val="single" w:sz="12" w:space="0" w:color="auto"/>
            </w:tcBorders>
          </w:tcPr>
          <w:p w14:paraId="69922286" w14:textId="77777777" w:rsidR="005B6C73" w:rsidRPr="00E350DF" w:rsidRDefault="005B6C73" w:rsidP="00E350DF">
            <w:pPr>
              <w:keepNext/>
              <w:keepLines/>
              <w:spacing w:before="40" w:after="40" w:line="240" w:lineRule="auto"/>
              <w:rPr>
                <w:rFonts w:ascii="Times New Roman" w:hAnsi="Times New Roman"/>
                <w:color w:val="000000"/>
                <w:sz w:val="18"/>
                <w:szCs w:val="18"/>
                <w:highlight w:val="green"/>
              </w:rPr>
            </w:pPr>
            <w:r w:rsidRPr="00E350DF">
              <w:rPr>
                <w:rFonts w:ascii="Times New Roman" w:hAnsi="Times New Roman"/>
                <w:color w:val="000000"/>
                <w:sz w:val="18"/>
                <w:szCs w:val="18"/>
              </w:rPr>
              <w:t>1</w:t>
            </w:r>
          </w:p>
        </w:tc>
        <w:tc>
          <w:tcPr>
            <w:tcW w:w="2717" w:type="dxa"/>
            <w:tcBorders>
              <w:top w:val="single" w:sz="12" w:space="0" w:color="auto"/>
            </w:tcBorders>
          </w:tcPr>
          <w:p w14:paraId="26434E37" w14:textId="77777777" w:rsidR="005B6C73" w:rsidRPr="00E350DF" w:rsidRDefault="005B6C73" w:rsidP="00E350DF">
            <w:pPr>
              <w:keepNext/>
              <w:keepLines/>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Habitat creation and maintenance</w:t>
            </w:r>
          </w:p>
        </w:tc>
        <w:tc>
          <w:tcPr>
            <w:tcW w:w="6232" w:type="dxa"/>
            <w:tcBorders>
              <w:top w:val="single" w:sz="12" w:space="0" w:color="auto"/>
            </w:tcBorders>
          </w:tcPr>
          <w:p w14:paraId="7F1C5E28" w14:textId="77777777" w:rsidR="005B6C73" w:rsidRPr="00E350DF" w:rsidRDefault="005B6C73" w:rsidP="00E350DF">
            <w:pPr>
              <w:pStyle w:val="ListParagraph"/>
              <w:keepNext/>
              <w:keepLines/>
              <w:numPr>
                <w:ilvl w:val="0"/>
                <w:numId w:val="15"/>
              </w:numPr>
              <w:spacing w:before="40" w:after="40"/>
              <w:ind w:left="312" w:hanging="270"/>
              <w:rPr>
                <w:rFonts w:eastAsia="Times New Roman"/>
                <w:color w:val="000000"/>
                <w:sz w:val="18"/>
                <w:szCs w:val="18"/>
                <w:lang w:val="en-US"/>
              </w:rPr>
            </w:pPr>
            <w:r w:rsidRPr="00E350DF">
              <w:rPr>
                <w:color w:val="000000"/>
                <w:sz w:val="18"/>
                <w:szCs w:val="18"/>
              </w:rPr>
              <w:t>F</w:t>
            </w:r>
            <w:r w:rsidRPr="00E350DF">
              <w:rPr>
                <w:rFonts w:eastAsia="Times New Roman"/>
                <w:color w:val="000000"/>
                <w:sz w:val="18"/>
                <w:szCs w:val="18"/>
                <w:lang w:val="en-US"/>
              </w:rPr>
              <w:t>ormation and continued production, by ecosystems or organisms within them, of ecological conditions necessary or favourable for organisms important to humans, e.g. nesting, feeding, and mating sites for birds and mammals, resting and overwintering areas for migratory mammals, birds and butterflies, nurseries for juvenile stages of fish</w:t>
            </w:r>
          </w:p>
        </w:tc>
      </w:tr>
      <w:tr w:rsidR="005B6C73" w:rsidRPr="00E350DF" w14:paraId="3825F311" w14:textId="77777777" w:rsidTr="00E350DF">
        <w:trPr>
          <w:trHeight w:val="555"/>
        </w:trPr>
        <w:tc>
          <w:tcPr>
            <w:tcW w:w="0" w:type="auto"/>
          </w:tcPr>
          <w:p w14:paraId="226C5DAF"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2</w:t>
            </w:r>
          </w:p>
        </w:tc>
        <w:tc>
          <w:tcPr>
            <w:tcW w:w="2717" w:type="dxa"/>
          </w:tcPr>
          <w:p w14:paraId="3252D645"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Pollination and dispersal of seeds and other propagules</w:t>
            </w:r>
          </w:p>
        </w:tc>
        <w:tc>
          <w:tcPr>
            <w:tcW w:w="6232" w:type="dxa"/>
          </w:tcPr>
          <w:p w14:paraId="2EF2EAC9" w14:textId="77777777" w:rsidR="005B6C73" w:rsidRPr="00E350DF" w:rsidRDefault="005B6C73" w:rsidP="00E350DF">
            <w:pPr>
              <w:pStyle w:val="ListParagraph"/>
              <w:numPr>
                <w:ilvl w:val="0"/>
                <w:numId w:val="16"/>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Facilitation by animals of movement of pollen among flowers, and dispersal of seeds, larvae or spores of organisms important to humans</w:t>
            </w:r>
          </w:p>
        </w:tc>
      </w:tr>
      <w:tr w:rsidR="005B6C73" w:rsidRPr="00E350DF" w14:paraId="30BB9468" w14:textId="77777777" w:rsidTr="000F2145">
        <w:trPr>
          <w:trHeight w:val="1113"/>
        </w:trPr>
        <w:tc>
          <w:tcPr>
            <w:tcW w:w="0" w:type="auto"/>
          </w:tcPr>
          <w:p w14:paraId="22EAA90C"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3</w:t>
            </w:r>
          </w:p>
        </w:tc>
        <w:tc>
          <w:tcPr>
            <w:tcW w:w="2717" w:type="dxa"/>
          </w:tcPr>
          <w:p w14:paraId="1F63EAFB"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air quality</w:t>
            </w:r>
          </w:p>
        </w:tc>
        <w:tc>
          <w:tcPr>
            <w:tcW w:w="6232" w:type="dxa"/>
          </w:tcPr>
          <w:p w14:paraId="573A6CCF" w14:textId="77777777" w:rsidR="005B6C73" w:rsidRPr="00E350DF" w:rsidRDefault="005B6C73" w:rsidP="00E350DF">
            <w:pPr>
              <w:pStyle w:val="ListParagraph"/>
              <w:numPr>
                <w:ilvl w:val="0"/>
                <w:numId w:val="14"/>
              </w:numPr>
              <w:spacing w:before="40" w:after="40"/>
              <w:ind w:left="312" w:hanging="270"/>
              <w:rPr>
                <w:color w:val="000000"/>
                <w:sz w:val="18"/>
                <w:szCs w:val="18"/>
              </w:rPr>
            </w:pPr>
            <w:r w:rsidRPr="00E350DF">
              <w:rPr>
                <w:color w:val="000000"/>
                <w:sz w:val="18"/>
                <w:szCs w:val="18"/>
              </w:rPr>
              <w:t>Regulation (by impediment or facilitation) by ecosystems, of CO</w:t>
            </w:r>
            <w:r w:rsidRPr="00E350DF">
              <w:rPr>
                <w:color w:val="000000"/>
                <w:sz w:val="18"/>
                <w:szCs w:val="18"/>
                <w:vertAlign w:val="subscript"/>
              </w:rPr>
              <w:t>2</w:t>
            </w:r>
            <w:r w:rsidRPr="00E350DF">
              <w:rPr>
                <w:color w:val="000000"/>
                <w:sz w:val="18"/>
                <w:szCs w:val="18"/>
              </w:rPr>
              <w:t>/O</w:t>
            </w:r>
            <w:r w:rsidRPr="00E350DF">
              <w:rPr>
                <w:color w:val="000000"/>
                <w:sz w:val="18"/>
                <w:szCs w:val="18"/>
                <w:vertAlign w:val="subscript"/>
              </w:rPr>
              <w:t xml:space="preserve">2 </w:t>
            </w:r>
            <w:r w:rsidRPr="00E350DF">
              <w:rPr>
                <w:color w:val="000000"/>
                <w:sz w:val="18"/>
                <w:szCs w:val="18"/>
              </w:rPr>
              <w:t>balance, O</w:t>
            </w:r>
            <w:r w:rsidRPr="00E350DF">
              <w:rPr>
                <w:color w:val="000000"/>
                <w:sz w:val="18"/>
                <w:szCs w:val="18"/>
                <w:vertAlign w:val="subscript"/>
              </w:rPr>
              <w:t>3</w:t>
            </w:r>
            <w:r w:rsidRPr="00E350DF">
              <w:rPr>
                <w:color w:val="000000"/>
                <w:sz w:val="18"/>
                <w:szCs w:val="18"/>
              </w:rPr>
              <w:t xml:space="preserve"> for UV-B absorption, levels of sulphur oxide, nitrogen oxides (NOx), volatile organic compounds (VOC), particulates, aerosols</w:t>
            </w:r>
          </w:p>
          <w:p w14:paraId="776D21EE" w14:textId="77777777" w:rsidR="005B6C73" w:rsidRPr="00E350DF" w:rsidRDefault="005B6C73" w:rsidP="00E350DF">
            <w:pPr>
              <w:pStyle w:val="ListParagraph"/>
              <w:numPr>
                <w:ilvl w:val="0"/>
                <w:numId w:val="14"/>
              </w:numPr>
              <w:spacing w:before="40" w:after="40"/>
              <w:ind w:left="312" w:hanging="270"/>
              <w:rPr>
                <w:color w:val="000000"/>
                <w:sz w:val="18"/>
                <w:szCs w:val="18"/>
              </w:rPr>
            </w:pPr>
            <w:r w:rsidRPr="00E350DF">
              <w:rPr>
                <w:color w:val="000000"/>
                <w:sz w:val="18"/>
                <w:szCs w:val="18"/>
              </w:rPr>
              <w:t>Filtration, fixation, degradation or storage of pollutants that directly affect human health or infrastructure</w:t>
            </w:r>
          </w:p>
        </w:tc>
      </w:tr>
      <w:tr w:rsidR="005B6C73" w:rsidRPr="00E350DF" w14:paraId="6A7D4E37" w14:textId="77777777" w:rsidTr="00E350DF">
        <w:trPr>
          <w:trHeight w:val="1880"/>
        </w:trPr>
        <w:tc>
          <w:tcPr>
            <w:tcW w:w="0" w:type="auto"/>
          </w:tcPr>
          <w:p w14:paraId="273937D1"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4</w:t>
            </w:r>
          </w:p>
        </w:tc>
        <w:tc>
          <w:tcPr>
            <w:tcW w:w="2717" w:type="dxa"/>
          </w:tcPr>
          <w:p w14:paraId="591F2531"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climate</w:t>
            </w:r>
          </w:p>
        </w:tc>
        <w:tc>
          <w:tcPr>
            <w:tcW w:w="6232" w:type="dxa"/>
          </w:tcPr>
          <w:p w14:paraId="1AE2A198" w14:textId="77777777" w:rsidR="005B6C73" w:rsidRPr="00E350DF" w:rsidRDefault="005B6C73" w:rsidP="00E350DF">
            <w:pPr>
              <w:spacing w:before="40" w:after="40" w:line="240" w:lineRule="auto"/>
              <w:rPr>
                <w:rFonts w:ascii="Times New Roman" w:eastAsia="Times New Roman" w:hAnsi="Times New Roman"/>
                <w:color w:val="000000"/>
                <w:sz w:val="18"/>
                <w:szCs w:val="18"/>
                <w:lang w:val="en-GB"/>
              </w:rPr>
            </w:pPr>
            <w:r w:rsidRPr="00E350DF">
              <w:rPr>
                <w:rFonts w:ascii="Times New Roman" w:eastAsia="Times New Roman" w:hAnsi="Times New Roman"/>
                <w:color w:val="000000"/>
                <w:sz w:val="18"/>
                <w:szCs w:val="18"/>
                <w:lang w:val="en-GB"/>
              </w:rPr>
              <w:t>Climate regulation by ecosystems (including regulation of global warming) through:</w:t>
            </w:r>
          </w:p>
          <w:p w14:paraId="035E0111" w14:textId="77777777" w:rsidR="005B6C73" w:rsidRPr="00E350DF" w:rsidRDefault="005B6C73" w:rsidP="00E350DF">
            <w:pPr>
              <w:pStyle w:val="ListParagraph"/>
              <w:numPr>
                <w:ilvl w:val="0"/>
                <w:numId w:val="9"/>
              </w:numPr>
              <w:tabs>
                <w:tab w:val="left" w:pos="624"/>
              </w:tabs>
              <w:spacing w:before="40" w:after="40"/>
              <w:ind w:left="284" w:hanging="284"/>
              <w:rPr>
                <w:color w:val="000000"/>
                <w:sz w:val="18"/>
                <w:szCs w:val="18"/>
              </w:rPr>
            </w:pPr>
            <w:r w:rsidRPr="00E350DF">
              <w:rPr>
                <w:color w:val="000000"/>
                <w:sz w:val="18"/>
                <w:szCs w:val="18"/>
              </w:rPr>
              <w:t>Positive or negative effects on emissions of greenhouse gases (e.g. biological carbon storage and sequestration; methane emissions from wetlands)</w:t>
            </w:r>
          </w:p>
          <w:p w14:paraId="485B892C" w14:textId="77777777" w:rsidR="005B6C73" w:rsidRPr="00E350DF" w:rsidRDefault="005B6C73" w:rsidP="00E350DF">
            <w:pPr>
              <w:pStyle w:val="ListParagraph"/>
              <w:numPr>
                <w:ilvl w:val="0"/>
                <w:numId w:val="9"/>
              </w:numPr>
              <w:tabs>
                <w:tab w:val="left" w:pos="624"/>
              </w:tabs>
              <w:spacing w:before="40" w:after="40"/>
              <w:ind w:left="284" w:hanging="284"/>
              <w:rPr>
                <w:color w:val="000000"/>
                <w:sz w:val="18"/>
                <w:szCs w:val="18"/>
                <w:lang w:val="en"/>
              </w:rPr>
            </w:pPr>
            <w:r w:rsidRPr="00E350DF">
              <w:rPr>
                <w:color w:val="000000"/>
                <w:sz w:val="18"/>
                <w:szCs w:val="18"/>
              </w:rPr>
              <w:t xml:space="preserve">Positive or negative effects on biophysical feedbacks from vegetation cover to atmosphere, such as those involving albedo, surface roughness, long-wave radiation, evapotranspiration (including </w:t>
            </w:r>
            <w:r w:rsidRPr="00E350DF">
              <w:rPr>
                <w:color w:val="000000"/>
                <w:sz w:val="18"/>
                <w:szCs w:val="18"/>
                <w:lang w:val="en"/>
              </w:rPr>
              <w:t>moisture-recycling)</w:t>
            </w:r>
          </w:p>
          <w:p w14:paraId="7AAA25F6" w14:textId="77777777" w:rsidR="005B6C73" w:rsidRPr="00E350DF" w:rsidRDefault="005B6C73" w:rsidP="00E350DF">
            <w:pPr>
              <w:pStyle w:val="ListParagraph"/>
              <w:numPr>
                <w:ilvl w:val="0"/>
                <w:numId w:val="9"/>
              </w:numPr>
              <w:tabs>
                <w:tab w:val="left" w:pos="624"/>
              </w:tabs>
              <w:spacing w:before="40" w:after="40"/>
              <w:ind w:left="284" w:hanging="284"/>
              <w:rPr>
                <w:color w:val="000000"/>
                <w:sz w:val="18"/>
                <w:szCs w:val="18"/>
              </w:rPr>
            </w:pPr>
            <w:r w:rsidRPr="00E350DF">
              <w:rPr>
                <w:color w:val="000000"/>
                <w:sz w:val="18"/>
                <w:szCs w:val="18"/>
              </w:rPr>
              <w:t>Direct and indirect processes involving biogenic volatile organic compounds (BVOC)</w:t>
            </w:r>
          </w:p>
          <w:p w14:paraId="6C7F4B6C" w14:textId="77777777" w:rsidR="005B6C73" w:rsidRPr="00E350DF" w:rsidRDefault="005B6C73" w:rsidP="00E350DF">
            <w:pPr>
              <w:pStyle w:val="ListParagraph"/>
              <w:numPr>
                <w:ilvl w:val="0"/>
                <w:numId w:val="9"/>
              </w:numPr>
              <w:tabs>
                <w:tab w:val="left" w:pos="624"/>
              </w:tabs>
              <w:spacing w:before="40" w:after="40"/>
              <w:ind w:left="284" w:hanging="284"/>
              <w:rPr>
                <w:color w:val="000000"/>
                <w:sz w:val="18"/>
                <w:szCs w:val="18"/>
              </w:rPr>
            </w:pPr>
            <w:r w:rsidRPr="00E350DF">
              <w:rPr>
                <w:color w:val="000000"/>
                <w:sz w:val="18"/>
                <w:szCs w:val="18"/>
              </w:rPr>
              <w:t>Regulation of aerosols and aerosol precursors</w:t>
            </w:r>
          </w:p>
        </w:tc>
      </w:tr>
      <w:tr w:rsidR="005B6C73" w:rsidRPr="00E350DF" w14:paraId="6F4D17AB" w14:textId="77777777" w:rsidTr="00E350DF">
        <w:trPr>
          <w:trHeight w:val="559"/>
        </w:trPr>
        <w:tc>
          <w:tcPr>
            <w:tcW w:w="0" w:type="auto"/>
          </w:tcPr>
          <w:p w14:paraId="642E880B"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5</w:t>
            </w:r>
          </w:p>
        </w:tc>
        <w:tc>
          <w:tcPr>
            <w:tcW w:w="2717" w:type="dxa"/>
          </w:tcPr>
          <w:p w14:paraId="6825F5B2"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ocean acidification</w:t>
            </w:r>
          </w:p>
        </w:tc>
        <w:tc>
          <w:tcPr>
            <w:tcW w:w="6232" w:type="dxa"/>
          </w:tcPr>
          <w:p w14:paraId="134F967E" w14:textId="77777777" w:rsidR="005B6C73" w:rsidRPr="00E350DF" w:rsidRDefault="005B6C73" w:rsidP="00E350DF">
            <w:pPr>
              <w:pStyle w:val="ListParagraph"/>
              <w:numPr>
                <w:ilvl w:val="0"/>
                <w:numId w:val="17"/>
              </w:numPr>
              <w:spacing w:before="40" w:after="40"/>
              <w:ind w:left="312" w:hanging="312"/>
              <w:rPr>
                <w:rFonts w:eastAsia="Times New Roman"/>
                <w:color w:val="000000"/>
                <w:sz w:val="18"/>
                <w:szCs w:val="18"/>
                <w:lang w:val="en-US"/>
              </w:rPr>
            </w:pPr>
            <w:r w:rsidRPr="00E350DF">
              <w:rPr>
                <w:rFonts w:eastAsia="Times New Roman"/>
                <w:color w:val="000000"/>
                <w:sz w:val="18"/>
                <w:szCs w:val="18"/>
                <w:lang w:val="en-US"/>
              </w:rPr>
              <w:t>Regulation, by photosynthetic organisms (on land or in water), of atmospheric CO</w:t>
            </w:r>
            <w:r w:rsidRPr="00E350DF">
              <w:rPr>
                <w:rFonts w:eastAsia="Times New Roman"/>
                <w:color w:val="000000"/>
                <w:sz w:val="18"/>
                <w:szCs w:val="18"/>
                <w:vertAlign w:val="subscript"/>
                <w:lang w:val="en-US"/>
              </w:rPr>
              <w:t>2</w:t>
            </w:r>
            <w:r w:rsidRPr="00E350DF">
              <w:rPr>
                <w:rFonts w:eastAsia="Times New Roman"/>
                <w:color w:val="000000"/>
                <w:sz w:val="18"/>
                <w:szCs w:val="18"/>
                <w:lang w:val="en-US"/>
              </w:rPr>
              <w:t xml:space="preserve"> concentrations and seawater pH, which affect associated calcification processes by many marine organisms important to humans (such as corals)</w:t>
            </w:r>
          </w:p>
        </w:tc>
      </w:tr>
      <w:tr w:rsidR="005B6C73" w:rsidRPr="00E350DF" w14:paraId="11F35A42" w14:textId="77777777" w:rsidTr="00E350DF">
        <w:trPr>
          <w:trHeight w:val="559"/>
        </w:trPr>
        <w:tc>
          <w:tcPr>
            <w:tcW w:w="0" w:type="auto"/>
          </w:tcPr>
          <w:p w14:paraId="7B91E84A"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6</w:t>
            </w:r>
          </w:p>
        </w:tc>
        <w:tc>
          <w:tcPr>
            <w:tcW w:w="2717" w:type="dxa"/>
          </w:tcPr>
          <w:p w14:paraId="278951C0"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freshwater quantity, location and timing</w:t>
            </w:r>
            <w:r w:rsidRPr="00E350DF">
              <w:rPr>
                <w:rStyle w:val="FootnoteReference"/>
                <w:color w:val="000000"/>
                <w:sz w:val="18"/>
              </w:rPr>
              <w:footnoteReference w:id="3"/>
            </w:r>
          </w:p>
        </w:tc>
        <w:tc>
          <w:tcPr>
            <w:tcW w:w="6232" w:type="dxa"/>
          </w:tcPr>
          <w:p w14:paraId="5A11F7C2" w14:textId="77777777" w:rsidR="005B6C73" w:rsidRPr="00E350DF" w:rsidRDefault="005B6C73" w:rsidP="00E350DF">
            <w:pPr>
              <w:pStyle w:val="ListParagraph"/>
              <w:numPr>
                <w:ilvl w:val="0"/>
                <w:numId w:val="10"/>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Regulation, by ecosystems, of the quantity, location and timing of the flow of surface and groundwater used for drinking, irrigation, transport, hydropower, and as the support of non-material contributions (NCP 15, 16, 17)</w:t>
            </w:r>
          </w:p>
          <w:p w14:paraId="7E5AB27A" w14:textId="77777777" w:rsidR="005B6C73" w:rsidRPr="00E350DF" w:rsidRDefault="005B6C73" w:rsidP="00E350DF">
            <w:pPr>
              <w:pStyle w:val="ListParagraph"/>
              <w:numPr>
                <w:ilvl w:val="0"/>
                <w:numId w:val="10"/>
              </w:numPr>
              <w:spacing w:before="40" w:after="40"/>
              <w:ind w:left="317" w:hanging="274"/>
              <w:rPr>
                <w:rFonts w:eastAsia="Times New Roman"/>
                <w:color w:val="000000"/>
                <w:sz w:val="18"/>
                <w:szCs w:val="18"/>
                <w:lang w:val="en-US"/>
              </w:rPr>
            </w:pPr>
            <w:r w:rsidRPr="00E350DF">
              <w:rPr>
                <w:rFonts w:eastAsia="Times New Roman"/>
                <w:color w:val="000000"/>
                <w:sz w:val="18"/>
                <w:szCs w:val="18"/>
                <w:lang w:val="en-US"/>
              </w:rPr>
              <w:t>Regulation of flow to water-dependent natural habitats that in turn positively or negatively affect people downstream, including via flooding (wetlands including ponds, rivers, lakes, swamps)</w:t>
            </w:r>
          </w:p>
          <w:p w14:paraId="787DECD3" w14:textId="77777777" w:rsidR="005B6C73" w:rsidRPr="00E350DF" w:rsidRDefault="005B6C73" w:rsidP="00E350DF">
            <w:pPr>
              <w:pStyle w:val="ListParagraph"/>
              <w:numPr>
                <w:ilvl w:val="0"/>
                <w:numId w:val="10"/>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Modification of groundwater levels, which can ameliorate dryland salinization in unirrigated landscapes</w:t>
            </w:r>
          </w:p>
        </w:tc>
      </w:tr>
      <w:tr w:rsidR="005B6C73" w:rsidRPr="00E350DF" w14:paraId="50B52DBE" w14:textId="77777777" w:rsidTr="00E350DF">
        <w:trPr>
          <w:trHeight w:val="559"/>
        </w:trPr>
        <w:tc>
          <w:tcPr>
            <w:tcW w:w="0" w:type="auto"/>
          </w:tcPr>
          <w:p w14:paraId="3FDA5657"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7</w:t>
            </w:r>
          </w:p>
        </w:tc>
        <w:tc>
          <w:tcPr>
            <w:tcW w:w="2717" w:type="dxa"/>
          </w:tcPr>
          <w:p w14:paraId="362F2292"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freshwater and coastal water quality</w:t>
            </w:r>
          </w:p>
        </w:tc>
        <w:tc>
          <w:tcPr>
            <w:tcW w:w="6232" w:type="dxa"/>
          </w:tcPr>
          <w:p w14:paraId="494E0225" w14:textId="77777777" w:rsidR="005B6C73" w:rsidRPr="00E350DF" w:rsidRDefault="005B6C73" w:rsidP="00E350DF">
            <w:pPr>
              <w:pStyle w:val="ListParagraph"/>
              <w:numPr>
                <w:ilvl w:val="0"/>
                <w:numId w:val="18"/>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Regulation – through filtration of particles, pathogens, excess nutrients, and other chemicals – by ecosystems or particular organisms, of the quality of water used directly (e.g. drinking) or indirectly (e.g. aquatic foods, irrigated food and fibre crops, freshwater and coastal habitats of heritage value)</w:t>
            </w:r>
          </w:p>
        </w:tc>
      </w:tr>
      <w:tr w:rsidR="005B6C73" w:rsidRPr="00E350DF" w14:paraId="380B3B9B" w14:textId="77777777" w:rsidTr="000F2145">
        <w:trPr>
          <w:trHeight w:val="419"/>
        </w:trPr>
        <w:tc>
          <w:tcPr>
            <w:tcW w:w="0" w:type="auto"/>
          </w:tcPr>
          <w:p w14:paraId="51A8A5DE"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8</w:t>
            </w:r>
          </w:p>
        </w:tc>
        <w:tc>
          <w:tcPr>
            <w:tcW w:w="2717" w:type="dxa"/>
          </w:tcPr>
          <w:p w14:paraId="4DF0194D"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Formation, protection and decontamination of soils and sediments</w:t>
            </w:r>
          </w:p>
        </w:tc>
        <w:tc>
          <w:tcPr>
            <w:tcW w:w="6232" w:type="dxa"/>
          </w:tcPr>
          <w:p w14:paraId="0F078F25" w14:textId="77777777" w:rsidR="005B6C73" w:rsidRPr="00E350DF" w:rsidRDefault="005B6C73" w:rsidP="00E350DF">
            <w:pPr>
              <w:pStyle w:val="ListParagraph"/>
              <w:numPr>
                <w:ilvl w:val="0"/>
                <w:numId w:val="11"/>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 xml:space="preserve">Sediment retention and erosion control, soil formation and maintenance of soil structure and processes (such as decomposition and nutrient cycling) that underlie the continued fertility of soils important to humans. </w:t>
            </w:r>
          </w:p>
          <w:p w14:paraId="300B2EB2" w14:textId="77777777" w:rsidR="005B6C73" w:rsidRPr="00E350DF" w:rsidRDefault="005B6C73" w:rsidP="00E350DF">
            <w:pPr>
              <w:pStyle w:val="ListParagraph"/>
              <w:numPr>
                <w:ilvl w:val="0"/>
                <w:numId w:val="11"/>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Filtration, fixation, degradation or storage of chemical and biological pollutants (pathogens, toxics, excess nutrients) in soils and sediments that are important to humans</w:t>
            </w:r>
          </w:p>
        </w:tc>
      </w:tr>
      <w:tr w:rsidR="005B6C73" w:rsidRPr="00E350DF" w14:paraId="7C1491A0" w14:textId="77777777" w:rsidTr="000F2145">
        <w:trPr>
          <w:trHeight w:val="955"/>
        </w:trPr>
        <w:tc>
          <w:tcPr>
            <w:tcW w:w="0" w:type="auto"/>
            <w:tcBorders>
              <w:bottom w:val="single" w:sz="4" w:space="0" w:color="auto"/>
            </w:tcBorders>
          </w:tcPr>
          <w:p w14:paraId="21FA7417" w14:textId="77777777" w:rsidR="005B6C73" w:rsidRPr="00E350DF" w:rsidRDefault="005B6C73" w:rsidP="00E350DF">
            <w:pPr>
              <w:spacing w:before="40" w:after="40" w:line="240" w:lineRule="auto"/>
              <w:rPr>
                <w:rFonts w:ascii="Times New Roman" w:hAnsi="Times New Roman"/>
                <w:color w:val="000000"/>
                <w:sz w:val="18"/>
                <w:szCs w:val="18"/>
                <w:highlight w:val="yellow"/>
              </w:rPr>
            </w:pPr>
            <w:r w:rsidRPr="00E350DF">
              <w:rPr>
                <w:rFonts w:ascii="Times New Roman" w:hAnsi="Times New Roman"/>
                <w:color w:val="000000"/>
                <w:sz w:val="18"/>
                <w:szCs w:val="18"/>
              </w:rPr>
              <w:t>9</w:t>
            </w:r>
          </w:p>
        </w:tc>
        <w:tc>
          <w:tcPr>
            <w:tcW w:w="2717" w:type="dxa"/>
            <w:tcBorders>
              <w:bottom w:val="single" w:sz="4" w:space="0" w:color="auto"/>
            </w:tcBorders>
          </w:tcPr>
          <w:p w14:paraId="20445479"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hazards and extreme events</w:t>
            </w:r>
          </w:p>
        </w:tc>
        <w:tc>
          <w:tcPr>
            <w:tcW w:w="6232" w:type="dxa"/>
            <w:tcBorders>
              <w:bottom w:val="single" w:sz="4" w:space="0" w:color="auto"/>
            </w:tcBorders>
          </w:tcPr>
          <w:p w14:paraId="78696FAF" w14:textId="77777777" w:rsidR="005B6C73" w:rsidRPr="00E350DF" w:rsidRDefault="005B6C73" w:rsidP="00E350DF">
            <w:pPr>
              <w:pStyle w:val="ListParagraph"/>
              <w:numPr>
                <w:ilvl w:val="0"/>
                <w:numId w:val="19"/>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Amelioration, by ecosystems, of the impacts on humans or their infrastructure caused by e.g. floods, wind, storms, hurricanes, seawater intrusion, tidal waves, heat waves, tsunamis, high noise levels</w:t>
            </w:r>
          </w:p>
          <w:p w14:paraId="7FEE8295" w14:textId="77777777" w:rsidR="005B6C73" w:rsidRPr="00E350DF" w:rsidRDefault="005B6C73" w:rsidP="00E350DF">
            <w:pPr>
              <w:pStyle w:val="ListParagraph"/>
              <w:numPr>
                <w:ilvl w:val="0"/>
                <w:numId w:val="19"/>
              </w:numPr>
              <w:spacing w:before="40" w:after="40"/>
              <w:ind w:left="312" w:hanging="270"/>
              <w:rPr>
                <w:rFonts w:eastAsia="Times New Roman"/>
                <w:color w:val="000000"/>
                <w:sz w:val="18"/>
                <w:szCs w:val="18"/>
                <w:lang w:val="en-US"/>
              </w:rPr>
            </w:pPr>
            <w:r w:rsidRPr="00E350DF">
              <w:rPr>
                <w:rFonts w:eastAsia="Times New Roman"/>
                <w:color w:val="000000"/>
                <w:sz w:val="18"/>
                <w:szCs w:val="18"/>
                <w:lang w:val="en-US"/>
              </w:rPr>
              <w:t>Reduction, by ecosystems, of hazards like landslides, avalanches</w:t>
            </w:r>
          </w:p>
        </w:tc>
      </w:tr>
      <w:tr w:rsidR="005B6C73" w:rsidRPr="00E350DF" w14:paraId="504503D1" w14:textId="77777777" w:rsidTr="000F2145">
        <w:trPr>
          <w:trHeight w:val="3077"/>
        </w:trPr>
        <w:tc>
          <w:tcPr>
            <w:tcW w:w="0" w:type="auto"/>
            <w:tcBorders>
              <w:top w:val="single" w:sz="4" w:space="0" w:color="auto"/>
            </w:tcBorders>
          </w:tcPr>
          <w:p w14:paraId="3C239EF0"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lastRenderedPageBreak/>
              <w:t>10</w:t>
            </w:r>
          </w:p>
        </w:tc>
        <w:tc>
          <w:tcPr>
            <w:tcW w:w="2717" w:type="dxa"/>
            <w:tcBorders>
              <w:top w:val="single" w:sz="4" w:space="0" w:color="auto"/>
            </w:tcBorders>
          </w:tcPr>
          <w:p w14:paraId="3D9521BF" w14:textId="77777777" w:rsidR="005B6C73" w:rsidRPr="00E350DF" w:rsidDel="00F348E6"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of organisms detrimental to humans</w:t>
            </w:r>
          </w:p>
          <w:p w14:paraId="1D3C7DF2" w14:textId="77777777" w:rsidR="005B6C73" w:rsidRPr="00E350DF" w:rsidRDefault="005B6C73" w:rsidP="00E350DF">
            <w:pPr>
              <w:spacing w:before="40" w:after="40" w:line="240" w:lineRule="auto"/>
              <w:rPr>
                <w:rFonts w:ascii="Times New Roman" w:hAnsi="Times New Roman"/>
                <w:color w:val="000000"/>
                <w:sz w:val="18"/>
                <w:szCs w:val="18"/>
              </w:rPr>
            </w:pPr>
          </w:p>
        </w:tc>
        <w:tc>
          <w:tcPr>
            <w:tcW w:w="6232" w:type="dxa"/>
            <w:tcBorders>
              <w:top w:val="single" w:sz="4" w:space="0" w:color="auto"/>
            </w:tcBorders>
          </w:tcPr>
          <w:p w14:paraId="34B8736C"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Regulation, by ecosystems or organisms, of pests, pathogens, predators, competitors, etc.</w:t>
            </w:r>
            <w:r w:rsidR="00E350DF" w:rsidRPr="00E350DF">
              <w:rPr>
                <w:rFonts w:ascii="Times New Roman" w:hAnsi="Times New Roman"/>
                <w:color w:val="000000"/>
                <w:sz w:val="18"/>
                <w:szCs w:val="18"/>
              </w:rPr>
              <w:t xml:space="preserve"> </w:t>
            </w:r>
            <w:r w:rsidRPr="00E350DF">
              <w:rPr>
                <w:rFonts w:ascii="Times New Roman" w:hAnsi="Times New Roman"/>
                <w:color w:val="000000"/>
                <w:sz w:val="18"/>
                <w:szCs w:val="18"/>
              </w:rPr>
              <w:t>that affect humans, plants and animals, including e.g.:</w:t>
            </w:r>
          </w:p>
          <w:p w14:paraId="2330CD27" w14:textId="77777777" w:rsidR="005B6C73" w:rsidRPr="00E350DF" w:rsidRDefault="005B6C73" w:rsidP="00E350DF">
            <w:pPr>
              <w:pStyle w:val="ListParagraph"/>
              <w:numPr>
                <w:ilvl w:val="0"/>
                <w:numId w:val="12"/>
              </w:numPr>
              <w:spacing w:before="40" w:after="40"/>
              <w:ind w:left="672"/>
              <w:rPr>
                <w:rFonts w:eastAsia="Times New Roman"/>
                <w:color w:val="000000"/>
                <w:sz w:val="18"/>
                <w:szCs w:val="18"/>
                <w:lang w:val="en-US"/>
              </w:rPr>
            </w:pPr>
            <w:r w:rsidRPr="00E350DF">
              <w:rPr>
                <w:rFonts w:eastAsia="Times New Roman"/>
                <w:color w:val="000000"/>
                <w:sz w:val="18"/>
                <w:szCs w:val="18"/>
                <w:lang w:val="en-US"/>
              </w:rPr>
              <w:t>Regulation by predators or parasites of the population size of non-harmful important animals (e.g. large herbivore populations by wolves or lions)</w:t>
            </w:r>
          </w:p>
          <w:p w14:paraId="223B1F9F" w14:textId="77777777" w:rsidR="005B6C73" w:rsidRPr="00E350DF" w:rsidRDefault="005B6C73" w:rsidP="00E350DF">
            <w:pPr>
              <w:pStyle w:val="ListParagraph"/>
              <w:numPr>
                <w:ilvl w:val="0"/>
                <w:numId w:val="12"/>
              </w:numPr>
              <w:spacing w:before="40" w:after="40"/>
              <w:ind w:left="672"/>
              <w:rPr>
                <w:rFonts w:eastAsia="Times New Roman"/>
                <w:color w:val="000000"/>
                <w:sz w:val="18"/>
                <w:szCs w:val="18"/>
                <w:lang w:val="en-US"/>
              </w:rPr>
            </w:pPr>
            <w:r w:rsidRPr="00E350DF">
              <w:rPr>
                <w:rFonts w:eastAsia="Times New Roman"/>
                <w:color w:val="000000"/>
                <w:sz w:val="18"/>
                <w:szCs w:val="18"/>
                <w:lang w:val="en-US"/>
              </w:rPr>
              <w:t>Regulation (by impediment or facilitation) of the abundance or distribution of potentially harmful organisms (e.g. venomous, toxic, allergenic, predators, parasites, competitors, disease vectors and reservoirs) over the landscape or seascape</w:t>
            </w:r>
          </w:p>
          <w:p w14:paraId="5138D10E" w14:textId="77777777" w:rsidR="005B6C73" w:rsidRPr="00E350DF" w:rsidRDefault="005B6C73" w:rsidP="00E350DF">
            <w:pPr>
              <w:pStyle w:val="ListParagraph"/>
              <w:numPr>
                <w:ilvl w:val="0"/>
                <w:numId w:val="12"/>
              </w:numPr>
              <w:spacing w:before="40" w:after="40"/>
              <w:ind w:left="672"/>
              <w:rPr>
                <w:rFonts w:eastAsia="Times New Roman"/>
                <w:color w:val="000000"/>
                <w:sz w:val="18"/>
                <w:szCs w:val="18"/>
                <w:lang w:val="en-US"/>
              </w:rPr>
            </w:pPr>
            <w:r w:rsidRPr="00E350DF">
              <w:rPr>
                <w:rFonts w:eastAsia="Times New Roman"/>
                <w:color w:val="000000"/>
                <w:sz w:val="18"/>
                <w:szCs w:val="18"/>
                <w:lang w:val="en-US"/>
              </w:rPr>
              <w:t>Removal of animal carcasses and human corpses by scavengers (e.g. vultures in Zoroastrian and some Tibetan Buddhist traditions)</w:t>
            </w:r>
          </w:p>
          <w:p w14:paraId="0BB8EC11" w14:textId="77777777" w:rsidR="005B6C73" w:rsidRPr="00E350DF" w:rsidRDefault="005B6C73" w:rsidP="00E350DF">
            <w:pPr>
              <w:pStyle w:val="ListParagraph"/>
              <w:numPr>
                <w:ilvl w:val="0"/>
                <w:numId w:val="12"/>
              </w:numPr>
              <w:spacing w:before="40" w:after="40"/>
              <w:ind w:left="672"/>
              <w:rPr>
                <w:rFonts w:eastAsia="Times New Roman"/>
                <w:color w:val="000000"/>
                <w:sz w:val="18"/>
                <w:szCs w:val="18"/>
                <w:lang w:val="en-US"/>
              </w:rPr>
            </w:pPr>
            <w:r w:rsidRPr="00E350DF">
              <w:rPr>
                <w:rFonts w:eastAsia="Times New Roman"/>
                <w:color w:val="000000"/>
                <w:sz w:val="18"/>
                <w:szCs w:val="18"/>
                <w:lang w:val="en-US"/>
              </w:rPr>
              <w:t xml:space="preserve">Regulation (by impediment or facilitation) </w:t>
            </w:r>
            <w:r w:rsidRPr="00E350DF">
              <w:rPr>
                <w:rFonts w:eastAsia="Times New Roman"/>
                <w:color w:val="000000"/>
                <w:sz w:val="18"/>
                <w:szCs w:val="18"/>
                <w:lang w:val="en-US" w:eastAsia="es-AR"/>
              </w:rPr>
              <w:t>of biological impairment and degradation of infrastructure (e.g. damage by pigeons, bats, termites, strangling figs to buildings)</w:t>
            </w:r>
          </w:p>
        </w:tc>
      </w:tr>
      <w:tr w:rsidR="005B6C73" w:rsidRPr="00E350DF" w14:paraId="2CC1BD43" w14:textId="77777777" w:rsidTr="00E350DF">
        <w:trPr>
          <w:trHeight w:val="581"/>
        </w:trPr>
        <w:tc>
          <w:tcPr>
            <w:tcW w:w="0" w:type="auto"/>
          </w:tcPr>
          <w:p w14:paraId="02B0593F" w14:textId="77777777" w:rsidR="005B6C73" w:rsidRPr="00E350DF" w:rsidRDefault="005B6C73" w:rsidP="00E350DF">
            <w:pPr>
              <w:spacing w:before="40" w:after="40" w:line="240" w:lineRule="auto"/>
              <w:rPr>
                <w:rFonts w:ascii="Times New Roman" w:hAnsi="Times New Roman"/>
                <w:color w:val="000000"/>
                <w:sz w:val="18"/>
                <w:szCs w:val="18"/>
                <w:highlight w:val="yellow"/>
              </w:rPr>
            </w:pPr>
            <w:r w:rsidRPr="00E350DF">
              <w:rPr>
                <w:rFonts w:ascii="Times New Roman" w:hAnsi="Times New Roman"/>
                <w:color w:val="000000"/>
                <w:sz w:val="18"/>
                <w:szCs w:val="18"/>
              </w:rPr>
              <w:t>11</w:t>
            </w:r>
          </w:p>
        </w:tc>
        <w:tc>
          <w:tcPr>
            <w:tcW w:w="2717" w:type="dxa"/>
          </w:tcPr>
          <w:p w14:paraId="425C8414"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Energy</w:t>
            </w:r>
          </w:p>
        </w:tc>
        <w:tc>
          <w:tcPr>
            <w:tcW w:w="6232" w:type="dxa"/>
          </w:tcPr>
          <w:p w14:paraId="7243C3F7" w14:textId="77777777" w:rsidR="005B6C73" w:rsidRPr="00E350DF" w:rsidRDefault="005B6C73" w:rsidP="00E350DF">
            <w:pPr>
              <w:pStyle w:val="ListParagraph"/>
              <w:numPr>
                <w:ilvl w:val="0"/>
                <w:numId w:val="20"/>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Production of biomass-based fuels, such as biofuel crops, animal waste, fuelwood, agricultural residue pellets</w:t>
            </w:r>
          </w:p>
        </w:tc>
      </w:tr>
      <w:tr w:rsidR="005B6C73" w:rsidRPr="00E350DF" w14:paraId="2F7E80B0" w14:textId="77777777" w:rsidTr="00E350DF">
        <w:trPr>
          <w:trHeight w:val="241"/>
        </w:trPr>
        <w:tc>
          <w:tcPr>
            <w:tcW w:w="0" w:type="auto"/>
          </w:tcPr>
          <w:p w14:paraId="1F8687C9"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12</w:t>
            </w:r>
          </w:p>
        </w:tc>
        <w:tc>
          <w:tcPr>
            <w:tcW w:w="2717" w:type="dxa"/>
          </w:tcPr>
          <w:p w14:paraId="0713F8B3"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Food and feed</w:t>
            </w:r>
          </w:p>
        </w:tc>
        <w:tc>
          <w:tcPr>
            <w:tcW w:w="6232" w:type="dxa"/>
          </w:tcPr>
          <w:p w14:paraId="243893DE" w14:textId="77777777" w:rsidR="005B6C73" w:rsidRPr="00E350DF" w:rsidRDefault="005B6C73" w:rsidP="00E350DF">
            <w:pPr>
              <w:pStyle w:val="ListParagraph"/>
              <w:numPr>
                <w:ilvl w:val="0"/>
                <w:numId w:val="13"/>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Production of food from wild, managed, or domesticated organisms, such as fish, beef, poultry, game, dairy products, edible crops, mushrooms, bushmeat and edible invertebrates, honey, edible wild fruits and tubers</w:t>
            </w:r>
          </w:p>
          <w:p w14:paraId="298D5EE7" w14:textId="77777777" w:rsidR="005B6C73" w:rsidRPr="00E350DF" w:rsidRDefault="005B6C73" w:rsidP="00E350DF">
            <w:pPr>
              <w:pStyle w:val="ListParagraph"/>
              <w:numPr>
                <w:ilvl w:val="0"/>
                <w:numId w:val="13"/>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Production of feed for domesticated animals (e.g. livestock, work and support animals, pets) or for aquaculture, from the same sources</w:t>
            </w:r>
          </w:p>
        </w:tc>
      </w:tr>
      <w:tr w:rsidR="005B6C73" w:rsidRPr="00E350DF" w14:paraId="31B4D443" w14:textId="77777777" w:rsidTr="00E350DF">
        <w:trPr>
          <w:trHeight w:val="389"/>
        </w:trPr>
        <w:tc>
          <w:tcPr>
            <w:tcW w:w="0" w:type="auto"/>
          </w:tcPr>
          <w:p w14:paraId="231B9F54"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13</w:t>
            </w:r>
          </w:p>
        </w:tc>
        <w:tc>
          <w:tcPr>
            <w:tcW w:w="2717" w:type="dxa"/>
          </w:tcPr>
          <w:p w14:paraId="75BC269D"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Materials and assistance</w:t>
            </w:r>
          </w:p>
          <w:p w14:paraId="4E2251B7" w14:textId="77777777" w:rsidR="005B6C73" w:rsidRPr="00E350DF" w:rsidRDefault="005B6C73" w:rsidP="00E350DF">
            <w:pPr>
              <w:spacing w:before="40" w:after="40" w:line="240" w:lineRule="auto"/>
              <w:rPr>
                <w:rFonts w:ascii="Times New Roman" w:hAnsi="Times New Roman"/>
                <w:color w:val="000000"/>
                <w:sz w:val="18"/>
                <w:szCs w:val="18"/>
              </w:rPr>
            </w:pPr>
          </w:p>
        </w:tc>
        <w:tc>
          <w:tcPr>
            <w:tcW w:w="6232" w:type="dxa"/>
          </w:tcPr>
          <w:p w14:paraId="15A5BCEA" w14:textId="77777777" w:rsidR="005B6C73" w:rsidRPr="00E350DF" w:rsidRDefault="005B6C73" w:rsidP="00E350DF">
            <w:pPr>
              <w:pStyle w:val="ListParagraph"/>
              <w:numPr>
                <w:ilvl w:val="0"/>
                <w:numId w:val="21"/>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Production of materials derived from organisms in crops or wild ecosystems, for construction, clothing, printing, ornamental purposes (e.g. wood, fibres, waxes, paper, resins, dyes, pearls, shells, coral branches).</w:t>
            </w:r>
          </w:p>
          <w:p w14:paraId="124D11E9" w14:textId="77777777" w:rsidR="005B6C73" w:rsidRPr="00E350DF" w:rsidRDefault="005B6C73" w:rsidP="00E350DF">
            <w:pPr>
              <w:pStyle w:val="ListParagraph"/>
              <w:numPr>
                <w:ilvl w:val="0"/>
                <w:numId w:val="21"/>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 xml:space="preserve">Direct use of living organisms for decoration (i.e. ornamental plants in parks and households, ornamental fish), company (i.e. pets), </w:t>
            </w:r>
            <w:r w:rsidRPr="00E350DF">
              <w:rPr>
                <w:rFonts w:eastAsia="Times New Roman"/>
                <w:color w:val="000000"/>
                <w:sz w:val="18"/>
                <w:szCs w:val="18"/>
                <w:lang w:val="en-US" w:eastAsia="es-AR"/>
              </w:rPr>
              <w:t>transport, and labor (including herding, searching, guidance, guarding)</w:t>
            </w:r>
          </w:p>
        </w:tc>
      </w:tr>
      <w:tr w:rsidR="005B6C73" w:rsidRPr="00E350DF" w14:paraId="176DE38E" w14:textId="77777777" w:rsidTr="00E350DF">
        <w:trPr>
          <w:trHeight w:val="409"/>
        </w:trPr>
        <w:tc>
          <w:tcPr>
            <w:tcW w:w="0" w:type="auto"/>
          </w:tcPr>
          <w:p w14:paraId="013FE629"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14</w:t>
            </w:r>
          </w:p>
        </w:tc>
        <w:tc>
          <w:tcPr>
            <w:tcW w:w="2717" w:type="dxa"/>
          </w:tcPr>
          <w:p w14:paraId="0B6D61E1"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Medicinal, biochemical and genetic resources</w:t>
            </w:r>
          </w:p>
        </w:tc>
        <w:tc>
          <w:tcPr>
            <w:tcW w:w="6232" w:type="dxa"/>
          </w:tcPr>
          <w:p w14:paraId="7E50A3F1" w14:textId="77777777" w:rsidR="005B6C73" w:rsidRPr="00E350DF" w:rsidRDefault="005B6C73" w:rsidP="00E350DF">
            <w:pPr>
              <w:pStyle w:val="ListParagraph"/>
              <w:numPr>
                <w:ilvl w:val="0"/>
                <w:numId w:val="22"/>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Production of materials derived from organisms (plants, animals, fungi, microbes) used for medicinal and veterinary purposes</w:t>
            </w:r>
          </w:p>
          <w:p w14:paraId="76AE4A86" w14:textId="77777777" w:rsidR="005B6C73" w:rsidRPr="00E350DF" w:rsidRDefault="005B6C73" w:rsidP="00E350DF">
            <w:pPr>
              <w:pStyle w:val="ListParagraph"/>
              <w:numPr>
                <w:ilvl w:val="0"/>
                <w:numId w:val="22"/>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Production of genes and genetic information used for plant and animal breeding and biotechnology</w:t>
            </w:r>
          </w:p>
        </w:tc>
      </w:tr>
      <w:tr w:rsidR="005B6C73" w:rsidRPr="00E350DF" w14:paraId="51E30E35" w14:textId="77777777" w:rsidTr="00E350DF">
        <w:trPr>
          <w:trHeight w:val="414"/>
        </w:trPr>
        <w:tc>
          <w:tcPr>
            <w:tcW w:w="0" w:type="auto"/>
          </w:tcPr>
          <w:p w14:paraId="6DBF6F36"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15</w:t>
            </w:r>
          </w:p>
        </w:tc>
        <w:tc>
          <w:tcPr>
            <w:tcW w:w="2717" w:type="dxa"/>
          </w:tcPr>
          <w:p w14:paraId="641A6666"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Learning and inspiration</w:t>
            </w:r>
          </w:p>
        </w:tc>
        <w:tc>
          <w:tcPr>
            <w:tcW w:w="6232" w:type="dxa"/>
          </w:tcPr>
          <w:p w14:paraId="63D73397" w14:textId="77777777" w:rsidR="005B6C73" w:rsidRPr="00E350DF" w:rsidRDefault="005B6C73" w:rsidP="00E350DF">
            <w:pPr>
              <w:pStyle w:val="ListParagraph"/>
              <w:numPr>
                <w:ilvl w:val="0"/>
                <w:numId w:val="23"/>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Provision, by landscapes, seascapes, habitats or organisms, of opportunities for the development of the capabilities</w:t>
            </w:r>
            <w:r w:rsidRPr="00E350DF">
              <w:rPr>
                <w:rFonts w:eastAsia="Times New Roman"/>
                <w:sz w:val="18"/>
                <w:szCs w:val="18"/>
                <w:lang w:val="en-US"/>
              </w:rPr>
              <w:t xml:space="preserve"> </w:t>
            </w:r>
            <w:r w:rsidRPr="00E350DF">
              <w:rPr>
                <w:rFonts w:eastAsia="Times New Roman"/>
                <w:color w:val="000000"/>
                <w:sz w:val="18"/>
                <w:szCs w:val="18"/>
                <w:lang w:val="en-US"/>
              </w:rPr>
              <w:t>that allow humans to prosper through education, acquisition of knowledge and development of skills for well-being, scientific information, and inspiration for art and technological design (e.g. biomimicry)</w:t>
            </w:r>
          </w:p>
        </w:tc>
      </w:tr>
      <w:tr w:rsidR="005B6C73" w:rsidRPr="00E350DF" w14:paraId="6283CDA3" w14:textId="77777777" w:rsidTr="00E350DF">
        <w:trPr>
          <w:trHeight w:val="20"/>
        </w:trPr>
        <w:tc>
          <w:tcPr>
            <w:tcW w:w="0" w:type="auto"/>
          </w:tcPr>
          <w:p w14:paraId="0EA4E5BE"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16</w:t>
            </w:r>
          </w:p>
        </w:tc>
        <w:tc>
          <w:tcPr>
            <w:tcW w:w="2717" w:type="dxa"/>
          </w:tcPr>
          <w:p w14:paraId="670E5F5F" w14:textId="77777777" w:rsidR="005B6C73" w:rsidRPr="00E350DF" w:rsidRDefault="005B6C73" w:rsidP="00E350DF">
            <w:pPr>
              <w:autoSpaceDE w:val="0"/>
              <w:autoSpaceDN w:val="0"/>
              <w:adjustRightInd w:val="0"/>
              <w:spacing w:before="40" w:after="40" w:line="240" w:lineRule="auto"/>
              <w:rPr>
                <w:rFonts w:ascii="Times New Roman" w:hAnsi="Times New Roman"/>
                <w:b/>
                <w:color w:val="000000"/>
                <w:sz w:val="18"/>
                <w:szCs w:val="18"/>
              </w:rPr>
            </w:pPr>
            <w:r w:rsidRPr="00E350DF">
              <w:rPr>
                <w:rFonts w:ascii="Times New Roman" w:hAnsi="Times New Roman"/>
                <w:iCs/>
                <w:color w:val="000000"/>
                <w:sz w:val="18"/>
                <w:szCs w:val="18"/>
                <w:lang w:eastAsia="es-AR"/>
              </w:rPr>
              <w:t>Physical and psychological experiences</w:t>
            </w:r>
          </w:p>
        </w:tc>
        <w:tc>
          <w:tcPr>
            <w:tcW w:w="6232" w:type="dxa"/>
          </w:tcPr>
          <w:p w14:paraId="2D6DA5F1" w14:textId="77777777" w:rsidR="005B6C73" w:rsidRPr="00E350DF" w:rsidRDefault="005B6C73" w:rsidP="00E350DF">
            <w:pPr>
              <w:pStyle w:val="ListParagraph"/>
              <w:numPr>
                <w:ilvl w:val="0"/>
                <w:numId w:val="23"/>
              </w:numPr>
              <w:shd w:val="clear" w:color="auto" w:fill="FFFFFF"/>
              <w:tabs>
                <w:tab w:val="left" w:pos="624"/>
              </w:tabs>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Provision, by landscapes, seascapes, habitats or organisms, of opportunities for physically and psychologically beneficial activities, healing, relaxation, recreation, leisure, tourism and aesthetic enjoyment based on the close contact with nature. E.g. hiking, recreational hunting and fishing, birdwatching, snorkeling, gardening</w:t>
            </w:r>
          </w:p>
        </w:tc>
      </w:tr>
      <w:tr w:rsidR="00E350DF" w:rsidRPr="00E350DF" w14:paraId="0929D34F" w14:textId="77777777" w:rsidTr="00E350DF">
        <w:trPr>
          <w:trHeight w:val="2420"/>
        </w:trPr>
        <w:tc>
          <w:tcPr>
            <w:tcW w:w="0" w:type="auto"/>
            <w:tcBorders>
              <w:bottom w:val="single" w:sz="4" w:space="0" w:color="auto"/>
            </w:tcBorders>
          </w:tcPr>
          <w:p w14:paraId="7574E42B"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17</w:t>
            </w:r>
          </w:p>
        </w:tc>
        <w:tc>
          <w:tcPr>
            <w:tcW w:w="2717" w:type="dxa"/>
            <w:tcBorders>
              <w:bottom w:val="single" w:sz="4" w:space="0" w:color="auto"/>
            </w:tcBorders>
          </w:tcPr>
          <w:p w14:paraId="20622C6D" w14:textId="77777777" w:rsidR="005B6C73" w:rsidRPr="00E350DF" w:rsidRDefault="005B6C73" w:rsidP="00E350DF">
            <w:pPr>
              <w:pStyle w:val="NormalWeb"/>
              <w:spacing w:before="40" w:beforeAutospacing="0" w:after="40" w:afterAutospacing="0"/>
              <w:rPr>
                <w:rFonts w:eastAsia="MS Mincho"/>
                <w:color w:val="000000"/>
                <w:sz w:val="18"/>
                <w:szCs w:val="18"/>
                <w:lang w:val="en-GB"/>
              </w:rPr>
            </w:pPr>
            <w:r w:rsidRPr="00E350DF">
              <w:rPr>
                <w:color w:val="000000"/>
                <w:sz w:val="18"/>
                <w:szCs w:val="18"/>
                <w:lang w:eastAsia="en-GB"/>
              </w:rPr>
              <w:t>Supporting identities</w:t>
            </w:r>
          </w:p>
        </w:tc>
        <w:tc>
          <w:tcPr>
            <w:tcW w:w="6232" w:type="dxa"/>
            <w:tcBorders>
              <w:bottom w:val="single" w:sz="4" w:space="0" w:color="auto"/>
            </w:tcBorders>
          </w:tcPr>
          <w:p w14:paraId="714F0D2A" w14:textId="77777777" w:rsidR="005B6C73" w:rsidRPr="00E350DF" w:rsidRDefault="005B6C73" w:rsidP="00E350DF">
            <w:pPr>
              <w:pStyle w:val="ListParagraph"/>
              <w:numPr>
                <w:ilvl w:val="0"/>
                <w:numId w:val="24"/>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Landscapes, seascapes, habitats or organisms being the basis for religious, spiritual, and social-cohesion experiences</w:t>
            </w:r>
          </w:p>
          <w:p w14:paraId="00B8ED9C" w14:textId="77777777" w:rsidR="005B6C73" w:rsidRPr="00E350DF" w:rsidRDefault="005B6C73" w:rsidP="00E350DF">
            <w:pPr>
              <w:pStyle w:val="ListParagraph"/>
              <w:numPr>
                <w:ilvl w:val="0"/>
                <w:numId w:val="24"/>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Provisioning of opportunities by nature for people to develop a sense of place, purpose, belonging, rootedness or connectedness, associated with different entities of the living world (e. g. cultural and heritage landscapes, sounds, scents and sights associated with childhood experiences, iconic animals, trees or flowers)</w:t>
            </w:r>
          </w:p>
          <w:p w14:paraId="51803C22" w14:textId="77777777" w:rsidR="005B6C73" w:rsidRPr="00E350DF" w:rsidRDefault="005B6C73" w:rsidP="00E350DF">
            <w:pPr>
              <w:pStyle w:val="ListParagraph"/>
              <w:numPr>
                <w:ilvl w:val="0"/>
                <w:numId w:val="24"/>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Basis for narratives and myths, rituals and celebrations provided by landscapes, seascapes, habitats, species or organisms (e.g. sacred groves, sacred trees, totem animals)</w:t>
            </w:r>
          </w:p>
          <w:p w14:paraId="3F8FC29D" w14:textId="77777777" w:rsidR="005B6C73" w:rsidRPr="00E350DF" w:rsidRDefault="005B6C73" w:rsidP="00E350DF">
            <w:pPr>
              <w:pStyle w:val="ListParagraph"/>
              <w:numPr>
                <w:ilvl w:val="0"/>
                <w:numId w:val="24"/>
              </w:numPr>
              <w:spacing w:before="40" w:after="40"/>
              <w:ind w:left="312" w:hanging="269"/>
              <w:rPr>
                <w:rFonts w:eastAsia="Times New Roman"/>
                <w:color w:val="000000"/>
                <w:sz w:val="18"/>
                <w:szCs w:val="18"/>
                <w:lang w:val="en-US"/>
              </w:rPr>
            </w:pPr>
            <w:r w:rsidRPr="00E350DF">
              <w:rPr>
                <w:rFonts w:eastAsia="Times New Roman"/>
                <w:color w:val="000000"/>
                <w:sz w:val="18"/>
                <w:szCs w:val="18"/>
                <w:lang w:val="en-US"/>
              </w:rPr>
              <w:t>Source of satisfaction derived from knowing that a particular landscape, seascape, habitat or species exist in the present</w:t>
            </w:r>
          </w:p>
        </w:tc>
      </w:tr>
      <w:tr w:rsidR="00E350DF" w:rsidRPr="00E350DF" w14:paraId="1D43C1B9" w14:textId="77777777" w:rsidTr="00E350DF">
        <w:trPr>
          <w:trHeight w:val="1281"/>
        </w:trPr>
        <w:tc>
          <w:tcPr>
            <w:tcW w:w="0" w:type="auto"/>
            <w:tcBorders>
              <w:top w:val="single" w:sz="4" w:space="0" w:color="auto"/>
              <w:bottom w:val="single" w:sz="12" w:space="0" w:color="auto"/>
            </w:tcBorders>
          </w:tcPr>
          <w:p w14:paraId="249C421C"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lastRenderedPageBreak/>
              <w:t>18</w:t>
            </w:r>
          </w:p>
        </w:tc>
        <w:tc>
          <w:tcPr>
            <w:tcW w:w="2717" w:type="dxa"/>
            <w:tcBorders>
              <w:top w:val="single" w:sz="4" w:space="0" w:color="auto"/>
              <w:bottom w:val="single" w:sz="12" w:space="0" w:color="auto"/>
            </w:tcBorders>
          </w:tcPr>
          <w:p w14:paraId="19A0FFCB"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Maintenance of options</w:t>
            </w:r>
          </w:p>
        </w:tc>
        <w:tc>
          <w:tcPr>
            <w:tcW w:w="6232" w:type="dxa"/>
            <w:tcBorders>
              <w:top w:val="single" w:sz="4" w:space="0" w:color="auto"/>
              <w:bottom w:val="single" w:sz="12" w:space="0" w:color="auto"/>
            </w:tcBorders>
          </w:tcPr>
          <w:p w14:paraId="5081DD7F"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Capacity of ecosystems, habitats, species or genotypes to keep human options open in order to support a later good quality of life.</w:t>
            </w:r>
          </w:p>
          <w:p w14:paraId="211B274E" w14:textId="77777777" w:rsidR="005B6C73" w:rsidRPr="00E350DF" w:rsidRDefault="005B6C73" w:rsidP="00E350DF">
            <w:pPr>
              <w:spacing w:before="40" w:after="40" w:line="240" w:lineRule="auto"/>
              <w:rPr>
                <w:rFonts w:ascii="Times New Roman" w:hAnsi="Times New Roman"/>
                <w:color w:val="000000"/>
                <w:sz w:val="18"/>
                <w:szCs w:val="18"/>
              </w:rPr>
            </w:pPr>
            <w:r w:rsidRPr="00E350DF">
              <w:rPr>
                <w:rFonts w:ascii="Times New Roman" w:hAnsi="Times New Roman"/>
                <w:color w:val="000000"/>
                <w:sz w:val="18"/>
                <w:szCs w:val="18"/>
              </w:rPr>
              <w:t>Examples include:</w:t>
            </w:r>
          </w:p>
          <w:p w14:paraId="29BFB0D5" w14:textId="77777777" w:rsidR="005B6C73" w:rsidRPr="00E350DF" w:rsidRDefault="005B6C73" w:rsidP="00E350DF">
            <w:pPr>
              <w:pStyle w:val="ListParagraph"/>
              <w:numPr>
                <w:ilvl w:val="0"/>
                <w:numId w:val="25"/>
              </w:numPr>
              <w:spacing w:before="40" w:after="40"/>
              <w:ind w:left="672"/>
              <w:rPr>
                <w:color w:val="000000"/>
                <w:sz w:val="18"/>
                <w:szCs w:val="18"/>
              </w:rPr>
            </w:pPr>
            <w:r w:rsidRPr="00E350DF">
              <w:rPr>
                <w:color w:val="000000"/>
                <w:sz w:val="18"/>
                <w:szCs w:val="18"/>
              </w:rPr>
              <w:t>Benefits (including those of future generations) associated with the continued existence of a wide variety of species, populations and genotypes</w:t>
            </w:r>
          </w:p>
          <w:p w14:paraId="39EF9885" w14:textId="77777777" w:rsidR="005B6C73" w:rsidRPr="00E350DF" w:rsidRDefault="005B6C73" w:rsidP="00E350DF">
            <w:pPr>
              <w:pStyle w:val="ListParagraph"/>
              <w:numPr>
                <w:ilvl w:val="0"/>
                <w:numId w:val="25"/>
              </w:numPr>
              <w:spacing w:before="40" w:after="40"/>
              <w:ind w:left="672"/>
              <w:rPr>
                <w:color w:val="000000"/>
                <w:sz w:val="18"/>
                <w:szCs w:val="18"/>
              </w:rPr>
            </w:pPr>
            <w:r w:rsidRPr="00E350DF">
              <w:rPr>
                <w:color w:val="000000"/>
                <w:sz w:val="18"/>
                <w:szCs w:val="18"/>
              </w:rPr>
              <w:t>Future benefits (or threats) derived from keeping options open for yet unknown discoveries and unanticipated uses of particular organisms or ecosystems that already exist (e.g. new medicines or materials)</w:t>
            </w:r>
          </w:p>
          <w:p w14:paraId="37BB088C" w14:textId="77777777" w:rsidR="005B6C73" w:rsidRPr="00E350DF" w:rsidRDefault="005B6C73" w:rsidP="00E350DF">
            <w:pPr>
              <w:pStyle w:val="ListParagraph"/>
              <w:numPr>
                <w:ilvl w:val="0"/>
                <w:numId w:val="25"/>
              </w:numPr>
              <w:spacing w:before="40" w:after="40"/>
              <w:ind w:left="672"/>
              <w:rPr>
                <w:bCs/>
                <w:color w:val="000000"/>
                <w:sz w:val="18"/>
                <w:szCs w:val="18"/>
              </w:rPr>
            </w:pPr>
            <w:r w:rsidRPr="00E350DF">
              <w:rPr>
                <w:color w:val="000000"/>
                <w:sz w:val="18"/>
                <w:szCs w:val="18"/>
              </w:rPr>
              <w:t>Future benefits (or threats) that may be anticipated from on-going biological evolution (e.g. adaptation to a warmer climate, to emergent diseases, development of resistance to antibiotics and other control agents by pathogens and weeds)</w:t>
            </w:r>
          </w:p>
        </w:tc>
      </w:tr>
    </w:tbl>
    <w:p w14:paraId="4B6B8809" w14:textId="77777777" w:rsidR="005B6C73" w:rsidRDefault="005B6C73" w:rsidP="005B6C73">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0F2145" w14:paraId="54A07724" w14:textId="77777777" w:rsidTr="000F2145">
        <w:tc>
          <w:tcPr>
            <w:tcW w:w="1942" w:type="dxa"/>
          </w:tcPr>
          <w:p w14:paraId="774E9317" w14:textId="77777777" w:rsidR="000F2145" w:rsidRDefault="000F2145" w:rsidP="000F2145">
            <w:pPr>
              <w:pStyle w:val="Normal-pool"/>
              <w:spacing w:before="520"/>
            </w:pPr>
          </w:p>
        </w:tc>
        <w:tc>
          <w:tcPr>
            <w:tcW w:w="1942" w:type="dxa"/>
          </w:tcPr>
          <w:p w14:paraId="1C6DC0AF" w14:textId="77777777" w:rsidR="000F2145" w:rsidRDefault="000F2145" w:rsidP="000F2145">
            <w:pPr>
              <w:pStyle w:val="Normal-pool"/>
              <w:spacing w:before="520"/>
            </w:pPr>
          </w:p>
        </w:tc>
        <w:tc>
          <w:tcPr>
            <w:tcW w:w="1942" w:type="dxa"/>
            <w:tcBorders>
              <w:bottom w:val="single" w:sz="4" w:space="0" w:color="auto"/>
            </w:tcBorders>
          </w:tcPr>
          <w:p w14:paraId="3985BFA2" w14:textId="77777777" w:rsidR="000F2145" w:rsidRDefault="000F2145" w:rsidP="000F2145">
            <w:pPr>
              <w:pStyle w:val="Normal-pool"/>
              <w:spacing w:before="520"/>
            </w:pPr>
          </w:p>
        </w:tc>
        <w:tc>
          <w:tcPr>
            <w:tcW w:w="1943" w:type="dxa"/>
          </w:tcPr>
          <w:p w14:paraId="5B157D52" w14:textId="77777777" w:rsidR="000F2145" w:rsidRDefault="000F2145" w:rsidP="000F2145">
            <w:pPr>
              <w:pStyle w:val="Normal-pool"/>
              <w:spacing w:before="520"/>
            </w:pPr>
          </w:p>
        </w:tc>
        <w:tc>
          <w:tcPr>
            <w:tcW w:w="1943" w:type="dxa"/>
          </w:tcPr>
          <w:p w14:paraId="627599F7" w14:textId="77777777" w:rsidR="000F2145" w:rsidRDefault="000F2145" w:rsidP="000F2145">
            <w:pPr>
              <w:pStyle w:val="Normal-pool"/>
              <w:spacing w:before="520"/>
            </w:pPr>
          </w:p>
        </w:tc>
      </w:tr>
    </w:tbl>
    <w:p w14:paraId="2B0774D3" w14:textId="77777777" w:rsidR="000F2145" w:rsidRPr="00A4175F" w:rsidRDefault="000F2145" w:rsidP="005B6C73">
      <w:pPr>
        <w:pStyle w:val="Normal-pool"/>
      </w:pPr>
    </w:p>
    <w:sectPr w:rsidR="000F2145" w:rsidRPr="00A4175F" w:rsidSect="006E6722">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8C46" w14:textId="77777777" w:rsidR="007816CA" w:rsidRDefault="007816CA">
      <w:r>
        <w:separator/>
      </w:r>
    </w:p>
  </w:endnote>
  <w:endnote w:type="continuationSeparator" w:id="0">
    <w:p w14:paraId="6FEA0F08" w14:textId="77777777" w:rsidR="007816CA" w:rsidRDefault="0078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90B8" w14:textId="3B3C4AFB" w:rsidR="00C41912" w:rsidRDefault="00C41912" w:rsidP="00B564C8">
    <w:pPr>
      <w:pStyle w:val="Normal-pool"/>
      <w:tabs>
        <w:tab w:val="clear" w:pos="1247"/>
        <w:tab w:val="clear" w:pos="1814"/>
        <w:tab w:val="clear" w:pos="2381"/>
        <w:tab w:val="clear" w:pos="2948"/>
        <w:tab w:val="clear" w:pos="3515"/>
        <w:tab w:val="clear" w:pos="4082"/>
        <w:tab w:val="left" w:pos="624"/>
      </w:tabs>
      <w:spacing w:before="60" w:after="120"/>
    </w:pPr>
    <w:r>
      <w:t>K1700925</w:t>
    </w:r>
    <w:r>
      <w:tab/>
    </w:r>
    <w:r w:rsidR="00D12805">
      <w:t>08</w:t>
    </w:r>
    <w:r>
      <w:t>0217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735426079"/>
      <w:docPartObj>
        <w:docPartGallery w:val="Page Numbers (Bottom of Page)"/>
        <w:docPartUnique/>
      </w:docPartObj>
    </w:sdtPr>
    <w:sdtEndPr>
      <w:rPr>
        <w:noProof/>
      </w:rPr>
    </w:sdtEndPr>
    <w:sdtContent>
      <w:p w14:paraId="67038693" w14:textId="77777777" w:rsidR="00C41912" w:rsidRPr="00FF2689" w:rsidRDefault="00C41912" w:rsidP="00CB42DD">
        <w:pPr>
          <w:rPr>
            <w:b/>
            <w:sz w:val="18"/>
            <w:szCs w:val="18"/>
          </w:rPr>
        </w:pPr>
        <w:r w:rsidRPr="00FF2689">
          <w:rPr>
            <w:b/>
            <w:sz w:val="18"/>
            <w:szCs w:val="18"/>
          </w:rPr>
          <w:fldChar w:fldCharType="begin"/>
        </w:r>
        <w:r w:rsidRPr="00FF2689">
          <w:rPr>
            <w:b/>
            <w:sz w:val="18"/>
            <w:szCs w:val="18"/>
          </w:rPr>
          <w:instrText xml:space="preserve"> PAGE   \* MERGEFORMAT </w:instrText>
        </w:r>
        <w:r w:rsidRPr="00FF2689">
          <w:rPr>
            <w:b/>
            <w:sz w:val="18"/>
            <w:szCs w:val="18"/>
          </w:rPr>
          <w:fldChar w:fldCharType="separate"/>
        </w:r>
        <w:r>
          <w:rPr>
            <w:b/>
            <w:noProof/>
            <w:sz w:val="18"/>
            <w:szCs w:val="18"/>
          </w:rPr>
          <w:t>1</w:t>
        </w:r>
        <w:r w:rsidRPr="00FF2689">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3EE5" w14:textId="58A90016" w:rsidR="00C41912" w:rsidRPr="00E350DF" w:rsidRDefault="00C41912">
    <w:pPr>
      <w:pStyle w:val="Footer"/>
      <w:rPr>
        <w:rFonts w:ascii="Times New Roman" w:hAnsi="Times New Roman"/>
        <w:b/>
      </w:rPr>
    </w:pPr>
    <w:r w:rsidRPr="00E350DF">
      <w:rPr>
        <w:rFonts w:ascii="Times New Roman" w:hAnsi="Times New Roman"/>
        <w:b/>
      </w:rPr>
      <w:fldChar w:fldCharType="begin"/>
    </w:r>
    <w:r w:rsidRPr="00E350DF">
      <w:rPr>
        <w:rFonts w:ascii="Times New Roman" w:hAnsi="Times New Roman"/>
        <w:b/>
      </w:rPr>
      <w:instrText xml:space="preserve"> PAGE   \* MERGEFORMAT </w:instrText>
    </w:r>
    <w:r w:rsidRPr="00E350DF">
      <w:rPr>
        <w:rFonts w:ascii="Times New Roman" w:hAnsi="Times New Roman"/>
        <w:b/>
      </w:rPr>
      <w:fldChar w:fldCharType="separate"/>
    </w:r>
    <w:r w:rsidR="0023064A">
      <w:rPr>
        <w:rFonts w:ascii="Times New Roman" w:hAnsi="Times New Roman"/>
        <w:b/>
        <w:noProof/>
      </w:rPr>
      <w:t>4</w:t>
    </w:r>
    <w:r w:rsidRPr="00E350DF">
      <w:rPr>
        <w:rFonts w:ascii="Times New Roman" w:hAnsi="Times New Roman"/>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2508" w14:textId="5F46776A" w:rsidR="00C41912" w:rsidRPr="00E350DF" w:rsidRDefault="00C41912" w:rsidP="00E350DF">
    <w:pPr>
      <w:pStyle w:val="Footer"/>
      <w:jc w:val="right"/>
      <w:rPr>
        <w:rFonts w:ascii="Times New Roman" w:hAnsi="Times New Roman"/>
        <w:b/>
      </w:rPr>
    </w:pPr>
    <w:r w:rsidRPr="00E350DF">
      <w:rPr>
        <w:rFonts w:ascii="Times New Roman" w:hAnsi="Times New Roman"/>
        <w:b/>
      </w:rPr>
      <w:fldChar w:fldCharType="begin"/>
    </w:r>
    <w:r w:rsidRPr="00E350DF">
      <w:rPr>
        <w:rFonts w:ascii="Times New Roman" w:hAnsi="Times New Roman"/>
        <w:b/>
      </w:rPr>
      <w:instrText xml:space="preserve"> PAGE   \* MERGEFORMAT </w:instrText>
    </w:r>
    <w:r w:rsidRPr="00E350DF">
      <w:rPr>
        <w:rFonts w:ascii="Times New Roman" w:hAnsi="Times New Roman"/>
        <w:b/>
      </w:rPr>
      <w:fldChar w:fldCharType="separate"/>
    </w:r>
    <w:r w:rsidR="0023064A">
      <w:rPr>
        <w:rFonts w:ascii="Times New Roman" w:hAnsi="Times New Roman"/>
        <w:b/>
        <w:noProof/>
      </w:rPr>
      <w:t>3</w:t>
    </w:r>
    <w:r w:rsidRPr="00E350DF">
      <w:rPr>
        <w:rFonts w:ascii="Times New Roman" w:hAnsi="Times New Roman"/>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1356" w14:textId="18A6BC5D" w:rsidR="00C41912" w:rsidRPr="00B564C8" w:rsidRDefault="00C41912" w:rsidP="005267E5">
    <w:pPr>
      <w:pStyle w:val="Normal-pool"/>
      <w:rPr>
        <w:b/>
        <w:sz w:val="18"/>
        <w:szCs w:val="18"/>
      </w:rPr>
    </w:pPr>
    <w:r w:rsidRPr="00B564C8">
      <w:rPr>
        <w:b/>
        <w:sz w:val="18"/>
        <w:szCs w:val="18"/>
      </w:rPr>
      <w:fldChar w:fldCharType="begin"/>
    </w:r>
    <w:r w:rsidRPr="00B564C8">
      <w:rPr>
        <w:b/>
        <w:sz w:val="18"/>
        <w:szCs w:val="18"/>
      </w:rPr>
      <w:instrText xml:space="preserve"> PAGE   \* MERGEFORMAT </w:instrText>
    </w:r>
    <w:r w:rsidRPr="00B564C8">
      <w:rPr>
        <w:b/>
        <w:sz w:val="18"/>
        <w:szCs w:val="18"/>
      </w:rPr>
      <w:fldChar w:fldCharType="separate"/>
    </w:r>
    <w:r w:rsidR="0023064A">
      <w:rPr>
        <w:b/>
        <w:noProof/>
        <w:sz w:val="18"/>
        <w:szCs w:val="18"/>
      </w:rPr>
      <w:t>2</w:t>
    </w:r>
    <w:r w:rsidRPr="00B564C8">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F819" w14:textId="6C31DF23" w:rsidR="005267E5" w:rsidRPr="00B564C8" w:rsidRDefault="005267E5" w:rsidP="005267E5">
    <w:pPr>
      <w:pStyle w:val="Normal-pool"/>
      <w:jc w:val="right"/>
      <w:rPr>
        <w:b/>
        <w:sz w:val="18"/>
        <w:szCs w:val="18"/>
      </w:rPr>
    </w:pPr>
    <w:r w:rsidRPr="00B564C8">
      <w:rPr>
        <w:b/>
        <w:sz w:val="18"/>
        <w:szCs w:val="18"/>
      </w:rPr>
      <w:fldChar w:fldCharType="begin"/>
    </w:r>
    <w:r w:rsidRPr="00B564C8">
      <w:rPr>
        <w:b/>
        <w:sz w:val="18"/>
        <w:szCs w:val="18"/>
      </w:rPr>
      <w:instrText xml:space="preserve"> PAGE   \* MERGEFORMAT </w:instrText>
    </w:r>
    <w:r w:rsidRPr="00B564C8">
      <w:rPr>
        <w:b/>
        <w:sz w:val="18"/>
        <w:szCs w:val="18"/>
      </w:rPr>
      <w:fldChar w:fldCharType="separate"/>
    </w:r>
    <w:r w:rsidR="0023064A">
      <w:rPr>
        <w:b/>
        <w:noProof/>
        <w:sz w:val="18"/>
        <w:szCs w:val="18"/>
      </w:rPr>
      <w:t>5</w:t>
    </w:r>
    <w:r w:rsidRPr="00B564C8">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4B60" w14:textId="0F298988" w:rsidR="00C41912" w:rsidRDefault="00C41912">
    <w:pPr>
      <w:pStyle w:val="Footer"/>
    </w:pPr>
    <w:r>
      <w:rPr>
        <w:rStyle w:val="PageNumber"/>
      </w:rPr>
      <w:fldChar w:fldCharType="begin"/>
    </w:r>
    <w:r>
      <w:rPr>
        <w:rStyle w:val="PageNumber"/>
      </w:rPr>
      <w:instrText xml:space="preserve"> PAGE </w:instrText>
    </w:r>
    <w:r>
      <w:rPr>
        <w:rStyle w:val="PageNumber"/>
      </w:rPr>
      <w:fldChar w:fldCharType="separate"/>
    </w:r>
    <w:r w:rsidR="0023064A">
      <w:rPr>
        <w:rStyle w:val="PageNumber"/>
        <w:noProof/>
      </w:rPr>
      <w:t>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868E" w14:textId="6E1CFFC0" w:rsidR="00C41912" w:rsidRDefault="00C4191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3064A">
      <w:rPr>
        <w:rStyle w:val="PageNumber"/>
        <w:noProof/>
      </w:rPr>
      <w:t>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77C8" w14:textId="05820563" w:rsidR="00963BFB" w:rsidRPr="00B564C8" w:rsidRDefault="00963BFB" w:rsidP="00963BFB">
    <w:pPr>
      <w:pStyle w:val="Normal-pool"/>
      <w:rPr>
        <w:b/>
        <w:sz w:val="18"/>
        <w:szCs w:val="18"/>
      </w:rPr>
    </w:pPr>
    <w:r w:rsidRPr="00B564C8">
      <w:rPr>
        <w:b/>
        <w:sz w:val="18"/>
        <w:szCs w:val="18"/>
      </w:rPr>
      <w:fldChar w:fldCharType="begin"/>
    </w:r>
    <w:r w:rsidRPr="00B564C8">
      <w:rPr>
        <w:b/>
        <w:sz w:val="18"/>
        <w:szCs w:val="18"/>
      </w:rPr>
      <w:instrText xml:space="preserve"> PAGE   \* MERGEFORMAT </w:instrText>
    </w:r>
    <w:r w:rsidRPr="00B564C8">
      <w:rPr>
        <w:b/>
        <w:sz w:val="18"/>
        <w:szCs w:val="18"/>
      </w:rPr>
      <w:fldChar w:fldCharType="separate"/>
    </w:r>
    <w:r w:rsidR="0023064A">
      <w:rPr>
        <w:b/>
        <w:noProof/>
        <w:sz w:val="18"/>
        <w:szCs w:val="18"/>
      </w:rPr>
      <w:t>6</w:t>
    </w:r>
    <w:r w:rsidRPr="00B564C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E022" w14:textId="77777777" w:rsidR="007816CA" w:rsidRDefault="007816CA" w:rsidP="00B564C8">
      <w:pPr>
        <w:pStyle w:val="Normal-pool"/>
        <w:tabs>
          <w:tab w:val="clear" w:pos="1247"/>
          <w:tab w:val="clear" w:pos="1814"/>
          <w:tab w:val="clear" w:pos="2381"/>
          <w:tab w:val="clear" w:pos="2948"/>
          <w:tab w:val="clear" w:pos="3515"/>
          <w:tab w:val="clear" w:pos="4082"/>
          <w:tab w:val="left" w:pos="624"/>
        </w:tabs>
        <w:spacing w:before="60"/>
        <w:ind w:left="624"/>
      </w:pPr>
      <w:r>
        <w:separator/>
      </w:r>
    </w:p>
  </w:footnote>
  <w:footnote w:type="continuationSeparator" w:id="0">
    <w:p w14:paraId="3960AC07" w14:textId="77777777" w:rsidR="007816CA" w:rsidRDefault="007816CA">
      <w:r>
        <w:continuationSeparator/>
      </w:r>
    </w:p>
  </w:footnote>
  <w:footnote w:id="1">
    <w:p w14:paraId="7077D7EB" w14:textId="77777777" w:rsidR="00C41912" w:rsidRPr="00B564C8" w:rsidRDefault="00C41912" w:rsidP="00B564C8">
      <w:pPr>
        <w:pStyle w:val="FootnoteText"/>
        <w:tabs>
          <w:tab w:val="clear" w:pos="1247"/>
          <w:tab w:val="clear" w:pos="1814"/>
          <w:tab w:val="clear" w:pos="2381"/>
          <w:tab w:val="clear" w:pos="2948"/>
          <w:tab w:val="clear" w:pos="3515"/>
          <w:tab w:val="clear" w:pos="4082"/>
          <w:tab w:val="left" w:pos="624"/>
        </w:tabs>
        <w:rPr>
          <w:szCs w:val="18"/>
          <w:lang w:val="en-US"/>
        </w:rPr>
      </w:pPr>
      <w:r w:rsidRPr="00B564C8">
        <w:rPr>
          <w:rStyle w:val="FootnoteReference"/>
          <w:spacing w:val="5"/>
          <w:w w:val="104"/>
          <w:sz w:val="18"/>
          <w:vertAlign w:val="baseline"/>
          <w:lang w:val="en-US"/>
        </w:rPr>
        <w:t>*</w:t>
      </w:r>
      <w:r w:rsidRPr="00B564C8">
        <w:rPr>
          <w:szCs w:val="18"/>
          <w:lang w:val="en-US"/>
        </w:rPr>
        <w:t xml:space="preserve"> IPBES/5/1/Rev.1.</w:t>
      </w:r>
    </w:p>
  </w:footnote>
  <w:footnote w:id="2">
    <w:p w14:paraId="40A335A7" w14:textId="77777777" w:rsidR="00C41912" w:rsidRPr="00B564C8" w:rsidRDefault="00C41912" w:rsidP="00B564C8">
      <w:pPr>
        <w:tabs>
          <w:tab w:val="left" w:pos="624"/>
        </w:tabs>
        <w:spacing w:before="20" w:after="40" w:line="240" w:lineRule="auto"/>
        <w:ind w:left="1247"/>
        <w:rPr>
          <w:rFonts w:ascii="Times New Roman" w:hAnsi="Times New Roman"/>
          <w:color w:val="000000"/>
          <w:sz w:val="18"/>
          <w:szCs w:val="18"/>
        </w:rPr>
      </w:pPr>
      <w:r w:rsidRPr="00B564C8">
        <w:rPr>
          <w:rStyle w:val="FootnoteReference"/>
          <w:sz w:val="18"/>
        </w:rPr>
        <w:footnoteRef/>
      </w:r>
      <w:r w:rsidRPr="00B564C8">
        <w:rPr>
          <w:sz w:val="18"/>
          <w:szCs w:val="18"/>
        </w:rPr>
        <w:t xml:space="preserve"> </w:t>
      </w:r>
      <w:r w:rsidRPr="00B564C8">
        <w:rPr>
          <w:rFonts w:ascii="Times New Roman" w:hAnsi="Times New Roman"/>
          <w:color w:val="000000"/>
          <w:sz w:val="18"/>
          <w:szCs w:val="18"/>
        </w:rPr>
        <w:t xml:space="preserve">Díaz S, Demissew S, Joly C, Lonsdale W, Ash N, Larigauderie A, 2015a: The IPBES Conceptual Framework - connecting nature and people. </w:t>
      </w:r>
      <w:r w:rsidRPr="00B564C8">
        <w:rPr>
          <w:rFonts w:ascii="Times New Roman" w:hAnsi="Times New Roman"/>
          <w:i/>
          <w:color w:val="000000"/>
          <w:sz w:val="18"/>
          <w:szCs w:val="18"/>
        </w:rPr>
        <w:t xml:space="preserve">Current Opinion in Environmental Sustainability </w:t>
      </w:r>
      <w:r w:rsidRPr="00B564C8">
        <w:rPr>
          <w:rFonts w:ascii="Times New Roman" w:hAnsi="Times New Roman"/>
          <w:color w:val="000000"/>
          <w:sz w:val="18"/>
          <w:szCs w:val="18"/>
        </w:rPr>
        <w:t>14:1-16.</w:t>
      </w:r>
    </w:p>
    <w:p w14:paraId="504E1511" w14:textId="77777777" w:rsidR="00C41912" w:rsidRPr="00B564C8" w:rsidRDefault="00C41912" w:rsidP="00B564C8">
      <w:pPr>
        <w:tabs>
          <w:tab w:val="left" w:pos="624"/>
        </w:tabs>
        <w:spacing w:before="20" w:after="40" w:line="240" w:lineRule="auto"/>
        <w:ind w:left="1247"/>
        <w:rPr>
          <w:sz w:val="18"/>
          <w:szCs w:val="18"/>
        </w:rPr>
      </w:pPr>
      <w:r w:rsidRPr="00B564C8">
        <w:rPr>
          <w:rFonts w:ascii="Times New Roman" w:hAnsi="Times New Roman"/>
          <w:sz w:val="18"/>
          <w:szCs w:val="18"/>
        </w:rPr>
        <w:t xml:space="preserve">Díaz et al. 2015b. A Rosetta Stone for Nature’s Benefits to People. </w:t>
      </w:r>
      <w:r w:rsidRPr="00B564C8">
        <w:rPr>
          <w:rFonts w:ascii="Times New Roman" w:hAnsi="Times New Roman"/>
          <w:i/>
          <w:sz w:val="18"/>
          <w:szCs w:val="18"/>
        </w:rPr>
        <w:t>PLOS Biology</w:t>
      </w:r>
      <w:r w:rsidRPr="00B564C8">
        <w:rPr>
          <w:rFonts w:ascii="Times New Roman" w:hAnsi="Times New Roman"/>
          <w:sz w:val="18"/>
          <w:szCs w:val="18"/>
        </w:rPr>
        <w:t xml:space="preserve"> 13: 1.</w:t>
      </w:r>
    </w:p>
  </w:footnote>
  <w:footnote w:id="3">
    <w:p w14:paraId="5E8B1F5D" w14:textId="77777777" w:rsidR="00C41912" w:rsidRPr="00B564C8" w:rsidRDefault="00C41912" w:rsidP="00B564C8">
      <w:pPr>
        <w:tabs>
          <w:tab w:val="left" w:pos="624"/>
        </w:tabs>
        <w:spacing w:before="20" w:after="40"/>
        <w:ind w:left="1247"/>
        <w:rPr>
          <w:rFonts w:ascii="Times New Roman" w:hAnsi="Times New Roman"/>
          <w:sz w:val="18"/>
          <w:szCs w:val="18"/>
        </w:rPr>
      </w:pPr>
      <w:r w:rsidRPr="00B564C8">
        <w:rPr>
          <w:rStyle w:val="FootnoteReference"/>
          <w:sz w:val="18"/>
        </w:rPr>
        <w:footnoteRef/>
      </w:r>
      <w:r w:rsidRPr="00B564C8">
        <w:rPr>
          <w:rFonts w:ascii="Times New Roman" w:hAnsi="Times New Roman"/>
          <w:sz w:val="18"/>
          <w:szCs w:val="18"/>
        </w:rPr>
        <w:t xml:space="preserve"> </w:t>
      </w:r>
      <w:r w:rsidRPr="00B564C8">
        <w:rPr>
          <w:rFonts w:ascii="Times New Roman" w:hAnsi="Times New Roman"/>
          <w:color w:val="000000"/>
          <w:sz w:val="18"/>
          <w:szCs w:val="18"/>
        </w:rPr>
        <w:t xml:space="preserve">Hydrological NCP are fundamentally conceived as regulating NCP, because </w:t>
      </w:r>
      <w:r w:rsidRPr="00B564C8">
        <w:rPr>
          <w:rFonts w:ascii="Times New Roman" w:hAnsi="Times New Roman"/>
          <w:sz w:val="18"/>
          <w:szCs w:val="18"/>
        </w:rPr>
        <w:t>the primary impact of ecosystems on water is the modification of its flows, not the creation or breakdown of water molecules</w:t>
      </w:r>
      <w:r w:rsidRPr="00B564C8">
        <w:rPr>
          <w:rFonts w:ascii="Times New Roman" w:hAnsi="Times New Roman"/>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A800" w14:textId="77777777" w:rsidR="00C41912" w:rsidRPr="00FC4BE7" w:rsidRDefault="00C41912" w:rsidP="00CB42DD">
    <w:pPr>
      <w:pStyle w:val="Header"/>
      <w:rPr>
        <w:rFonts w:ascii="Times New Roman" w:eastAsia="Times New Roman" w:hAnsi="Times New Roman"/>
        <w:szCs w:val="18"/>
        <w:lang w:val="en-GB"/>
      </w:rPr>
    </w:pPr>
    <w:r>
      <w:rPr>
        <w:rFonts w:ascii="Times New Roman" w:eastAsia="Times New Roman" w:hAnsi="Times New Roman"/>
        <w:szCs w:val="18"/>
        <w:lang w:val="en-GB"/>
      </w:rPr>
      <w:t>IPBES/5/INF/24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9F4A" w14:textId="77777777" w:rsidR="00C41912" w:rsidRPr="00E350DF" w:rsidRDefault="00C41912" w:rsidP="00E350DF">
    <w:pPr>
      <w:pStyle w:val="Header-pool"/>
      <w:rPr>
        <w:szCs w:val="18"/>
      </w:rPr>
    </w:pPr>
    <w:r w:rsidRPr="00B564C8">
      <w:rPr>
        <w:szCs w:val="18"/>
      </w:rPr>
      <w:t>IPBES/5/INF/24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0C1" w14:textId="77777777" w:rsidR="00C41912" w:rsidRPr="00B564C8" w:rsidRDefault="00C41912" w:rsidP="007522A4">
    <w:pPr>
      <w:pStyle w:val="Header-pool"/>
      <w:jc w:val="right"/>
      <w:rPr>
        <w:szCs w:val="18"/>
      </w:rPr>
    </w:pPr>
    <w:r w:rsidRPr="00B564C8">
      <w:rPr>
        <w:szCs w:val="18"/>
      </w:rPr>
      <w:t>IPBES/5/INF/24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546C" w14:textId="77777777" w:rsidR="00C41912" w:rsidRPr="00E350DF" w:rsidRDefault="00C41912" w:rsidP="007522A4">
    <w:pPr>
      <w:pStyle w:val="Header"/>
      <w:rPr>
        <w:szCs w:val="18"/>
      </w:rPr>
    </w:pPr>
    <w:r w:rsidRPr="00E350DF">
      <w:rPr>
        <w:rFonts w:ascii="Times New Roman" w:hAnsi="Times New Roman"/>
        <w:color w:val="000000"/>
        <w:szCs w:val="18"/>
        <w:lang w:val="en-GB"/>
      </w:rPr>
      <w:t>IPBES/5/INF/24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5CFE" w14:textId="77777777" w:rsidR="002402C0" w:rsidRPr="00E350DF" w:rsidRDefault="002402C0" w:rsidP="005267E5">
    <w:pPr>
      <w:pStyle w:val="Header"/>
      <w:jc w:val="right"/>
      <w:rPr>
        <w:szCs w:val="18"/>
      </w:rPr>
    </w:pPr>
    <w:r w:rsidRPr="00E350DF">
      <w:rPr>
        <w:rFonts w:ascii="Times New Roman" w:hAnsi="Times New Roman"/>
        <w:color w:val="000000"/>
        <w:szCs w:val="18"/>
        <w:lang w:val="en-GB"/>
      </w:rPr>
      <w:t>IPBES/5/INF/24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B09A" w14:textId="77777777" w:rsidR="00C41912" w:rsidRPr="00E350DF" w:rsidRDefault="00C41912" w:rsidP="00E350DF">
    <w:pPr>
      <w:pStyle w:val="Header"/>
      <w:rPr>
        <w:szCs w:val="18"/>
      </w:rPr>
    </w:pPr>
    <w:r w:rsidRPr="00E350DF">
      <w:rPr>
        <w:rFonts w:ascii="Times New Roman" w:hAnsi="Times New Roman"/>
        <w:color w:val="000000"/>
        <w:szCs w:val="18"/>
        <w:lang w:val="en-GB"/>
      </w:rPr>
      <w:t>IPBES/5/INF/24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DFA4" w14:textId="77777777" w:rsidR="00C41912" w:rsidRPr="00E350DF" w:rsidRDefault="00C41912" w:rsidP="00E350DF">
    <w:pPr>
      <w:pStyle w:val="Header"/>
      <w:jc w:val="right"/>
      <w:rPr>
        <w:szCs w:val="18"/>
      </w:rPr>
    </w:pPr>
    <w:r w:rsidRPr="00E350DF">
      <w:rPr>
        <w:rFonts w:ascii="Times New Roman" w:hAnsi="Times New Roman"/>
        <w:color w:val="000000"/>
        <w:szCs w:val="18"/>
        <w:lang w:val="en-GB"/>
      </w:rPr>
      <w:t>IPBES/5/INF/24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8837" w14:textId="77777777" w:rsidR="005267E5" w:rsidRPr="00E350DF" w:rsidRDefault="005267E5" w:rsidP="005267E5">
    <w:pPr>
      <w:pStyle w:val="Header"/>
      <w:rPr>
        <w:szCs w:val="18"/>
      </w:rPr>
    </w:pPr>
    <w:r w:rsidRPr="00E350DF">
      <w:rPr>
        <w:rFonts w:ascii="Times New Roman" w:hAnsi="Times New Roman"/>
        <w:color w:val="000000"/>
        <w:szCs w:val="18"/>
        <w:lang w:val="en-GB"/>
      </w:rPr>
      <w:t>IPBES/5/INF/24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E4"/>
    <w:multiLevelType w:val="hybridMultilevel"/>
    <w:tmpl w:val="E9CA82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DB6"/>
    <w:multiLevelType w:val="hybridMultilevel"/>
    <w:tmpl w:val="50B473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D71B7"/>
    <w:multiLevelType w:val="hybridMultilevel"/>
    <w:tmpl w:val="AC1654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5C73"/>
    <w:multiLevelType w:val="hybridMultilevel"/>
    <w:tmpl w:val="9B7454B6"/>
    <w:lvl w:ilvl="0" w:tplc="81D068C8">
      <w:start w:val="1"/>
      <w:numFmt w:val="lowerRoman"/>
      <w:lvlText w:val="(%1)"/>
      <w:lvlJc w:val="left"/>
      <w:pPr>
        <w:ind w:left="1967" w:hanging="720"/>
      </w:pPr>
      <w:rPr>
        <w:rFonts w:hint="default"/>
        <w:b/>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 w15:restartNumberingAfterBreak="0">
    <w:nsid w:val="0E0B6482"/>
    <w:multiLevelType w:val="hybridMultilevel"/>
    <w:tmpl w:val="442E0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AFB4828"/>
    <w:multiLevelType w:val="hybridMultilevel"/>
    <w:tmpl w:val="F4E0D9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6426E43"/>
    <w:multiLevelType w:val="hybridMultilevel"/>
    <w:tmpl w:val="7A707C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02B48"/>
    <w:multiLevelType w:val="hybridMultilevel"/>
    <w:tmpl w:val="320C67FE"/>
    <w:lvl w:ilvl="0" w:tplc="84E27670">
      <w:start w:val="2"/>
      <w:numFmt w:val="decimal"/>
      <w:lvlText w:val="%1."/>
      <w:lvlJc w:val="left"/>
      <w:pPr>
        <w:ind w:left="2327" w:hanging="360"/>
      </w:pPr>
      <w:rPr>
        <w:rFonts w:hint="default"/>
        <w:color w:val="000000" w:themeColor="text1"/>
      </w:rPr>
    </w:lvl>
    <w:lvl w:ilvl="1" w:tplc="04090019">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10" w15:restartNumberingAfterBreak="0">
    <w:nsid w:val="275E6922"/>
    <w:multiLevelType w:val="hybridMultilevel"/>
    <w:tmpl w:val="FE665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738EC"/>
    <w:multiLevelType w:val="hybridMultilevel"/>
    <w:tmpl w:val="D9A885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66DB"/>
    <w:multiLevelType w:val="hybridMultilevel"/>
    <w:tmpl w:val="6EB241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D006B41"/>
    <w:multiLevelType w:val="hybridMultilevel"/>
    <w:tmpl w:val="5966F4E8"/>
    <w:lvl w:ilvl="0" w:tplc="9EF0C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674CA"/>
    <w:multiLevelType w:val="hybridMultilevel"/>
    <w:tmpl w:val="5D865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1683F"/>
    <w:multiLevelType w:val="hybridMultilevel"/>
    <w:tmpl w:val="E938B7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76197"/>
    <w:multiLevelType w:val="hybridMultilevel"/>
    <w:tmpl w:val="4456ECBA"/>
    <w:lvl w:ilvl="0" w:tplc="3500D126">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02F69D7"/>
    <w:multiLevelType w:val="hybridMultilevel"/>
    <w:tmpl w:val="74A20E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969AD"/>
    <w:multiLevelType w:val="hybridMultilevel"/>
    <w:tmpl w:val="320C67FE"/>
    <w:lvl w:ilvl="0" w:tplc="84E27670">
      <w:start w:val="2"/>
      <w:numFmt w:val="decimal"/>
      <w:lvlText w:val="%1."/>
      <w:lvlJc w:val="left"/>
      <w:pPr>
        <w:ind w:left="2327" w:hanging="360"/>
      </w:pPr>
      <w:rPr>
        <w:rFonts w:hint="default"/>
        <w:color w:val="000000" w:themeColor="text1"/>
      </w:rPr>
    </w:lvl>
    <w:lvl w:ilvl="1" w:tplc="04090019" w:tentative="1">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20" w15:restartNumberingAfterBreak="0">
    <w:nsid w:val="52A66A9D"/>
    <w:multiLevelType w:val="multilevel"/>
    <w:tmpl w:val="1692315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50F63D1"/>
    <w:multiLevelType w:val="hybridMultilevel"/>
    <w:tmpl w:val="2B4AFF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D22CC"/>
    <w:multiLevelType w:val="hybridMultilevel"/>
    <w:tmpl w:val="5A98F3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C4275"/>
    <w:multiLevelType w:val="hybridMultilevel"/>
    <w:tmpl w:val="A11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5789C"/>
    <w:multiLevelType w:val="hybridMultilevel"/>
    <w:tmpl w:val="B48CE830"/>
    <w:lvl w:ilvl="0" w:tplc="98821966">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5" w15:restartNumberingAfterBreak="0">
    <w:nsid w:val="76AF73C9"/>
    <w:multiLevelType w:val="hybridMultilevel"/>
    <w:tmpl w:val="844CF5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20"/>
    <w:lvlOverride w:ilvl="0">
      <w:lvl w:ilvl="0">
        <w:start w:val="1"/>
        <w:numFmt w:val="decimal"/>
        <w:pStyle w:val="Normalnumber"/>
        <w:lvlText w:val="%1."/>
        <w:lvlJc w:val="left"/>
        <w:pPr>
          <w:tabs>
            <w:tab w:val="num" w:pos="1134"/>
          </w:tabs>
          <w:ind w:left="1247" w:firstLine="0"/>
        </w:pPr>
        <w:rPr>
          <w:rFonts w:hint="default"/>
          <w:b w:val="0"/>
        </w:rPr>
      </w:lvl>
    </w:lvlOverride>
  </w:num>
  <w:num w:numId="5">
    <w:abstractNumId w:val="5"/>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24"/>
  </w:num>
  <w:num w:numId="7">
    <w:abstractNumId w:val="9"/>
  </w:num>
  <w:num w:numId="8">
    <w:abstractNumId w:val="3"/>
  </w:num>
  <w:num w:numId="9">
    <w:abstractNumId w:val="18"/>
  </w:num>
  <w:num w:numId="10">
    <w:abstractNumId w:val="11"/>
  </w:num>
  <w:num w:numId="11">
    <w:abstractNumId w:val="12"/>
  </w:num>
  <w:num w:numId="12">
    <w:abstractNumId w:val="21"/>
  </w:num>
  <w:num w:numId="13">
    <w:abstractNumId w:val="1"/>
  </w:num>
  <w:num w:numId="14">
    <w:abstractNumId w:val="2"/>
  </w:num>
  <w:num w:numId="15">
    <w:abstractNumId w:val="0"/>
  </w:num>
  <w:num w:numId="16">
    <w:abstractNumId w:val="16"/>
  </w:num>
  <w:num w:numId="17">
    <w:abstractNumId w:val="15"/>
  </w:num>
  <w:num w:numId="18">
    <w:abstractNumId w:val="10"/>
  </w:num>
  <w:num w:numId="19">
    <w:abstractNumId w:val="8"/>
  </w:num>
  <w:num w:numId="20">
    <w:abstractNumId w:val="22"/>
  </w:num>
  <w:num w:numId="21">
    <w:abstractNumId w:val="6"/>
  </w:num>
  <w:num w:numId="22">
    <w:abstractNumId w:val="4"/>
  </w:num>
  <w:num w:numId="23">
    <w:abstractNumId w:val="14"/>
  </w:num>
  <w:num w:numId="24">
    <w:abstractNumId w:val="25"/>
  </w:num>
  <w:num w:numId="25">
    <w:abstractNumId w:val="23"/>
  </w:num>
  <w:num w:numId="26">
    <w:abstractNumId w:val="19"/>
  </w:num>
  <w:num w:numId="27">
    <w:abstractNumId w:val="17"/>
  </w:num>
  <w:num w:numId="28">
    <w:abstractNumId w:val="20"/>
  </w:num>
  <w:num w:numId="29">
    <w:abstractNumId w:val="20"/>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lvlOverride w:ilvl="0">
      <w:lvl w:ilvl="0">
        <w:start w:val="1"/>
        <w:numFmt w:val="decimal"/>
        <w:pStyle w:val="Normalnumber"/>
        <w:lvlText w:val="%1."/>
        <w:lvlJc w:val="left"/>
        <w:pPr>
          <w:tabs>
            <w:tab w:val="num" w:pos="1134"/>
          </w:tabs>
          <w:ind w:left="1247" w:firstLine="0"/>
        </w:pPr>
        <w:rPr>
          <w:rFonts w:hint="default"/>
          <w:b w:val="0"/>
        </w:rPr>
      </w:lvl>
    </w:lvlOverride>
  </w:num>
  <w:num w:numId="43">
    <w:abstractNumId w:val="20"/>
    <w:lvlOverride w:ilvl="0">
      <w:lvl w:ilvl="0">
        <w:start w:val="1"/>
        <w:numFmt w:val="decimal"/>
        <w:pStyle w:val="Normalnumber"/>
        <w:lvlText w:val="%1."/>
        <w:lvlJc w:val="left"/>
        <w:pPr>
          <w:tabs>
            <w:tab w:val="num" w:pos="1134"/>
          </w:tabs>
          <w:ind w:left="1247" w:firstLine="0"/>
        </w:pPr>
        <w:rPr>
          <w:rFonts w:hint="default"/>
          <w:b w:val="0"/>
        </w:rPr>
      </w:lvl>
    </w:lvlOverride>
  </w:num>
  <w:num w:numId="44">
    <w:abstractNumId w:val="20"/>
    <w:lvlOverride w:ilvl="0">
      <w:lvl w:ilvl="0">
        <w:start w:val="1"/>
        <w:numFmt w:val="decimal"/>
        <w:pStyle w:val="Normalnumber"/>
        <w:lvlText w:val="%1."/>
        <w:lvlJc w:val="left"/>
        <w:pPr>
          <w:tabs>
            <w:tab w:val="num" w:pos="1134"/>
          </w:tabs>
          <w:ind w:left="1247" w:firstLine="0"/>
        </w:pPr>
        <w:rPr>
          <w:rFonts w:hint="default"/>
          <w:b w:val="0"/>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AR"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73"/>
    <w:rsid w:val="000149E6"/>
    <w:rsid w:val="000247B0"/>
    <w:rsid w:val="00026997"/>
    <w:rsid w:val="00033E0B"/>
    <w:rsid w:val="00035EDE"/>
    <w:rsid w:val="000509B4"/>
    <w:rsid w:val="0006035B"/>
    <w:rsid w:val="00062741"/>
    <w:rsid w:val="00071886"/>
    <w:rsid w:val="000742BC"/>
    <w:rsid w:val="00082A0C"/>
    <w:rsid w:val="00083504"/>
    <w:rsid w:val="0009640C"/>
    <w:rsid w:val="000B22A2"/>
    <w:rsid w:val="000C1BDD"/>
    <w:rsid w:val="000C2A52"/>
    <w:rsid w:val="000D33C0"/>
    <w:rsid w:val="000D6941"/>
    <w:rsid w:val="000F2145"/>
    <w:rsid w:val="001202E3"/>
    <w:rsid w:val="00123699"/>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3064A"/>
    <w:rsid w:val="002402C0"/>
    <w:rsid w:val="00243D36"/>
    <w:rsid w:val="00247707"/>
    <w:rsid w:val="00254EAA"/>
    <w:rsid w:val="0026018E"/>
    <w:rsid w:val="00286740"/>
    <w:rsid w:val="002929D8"/>
    <w:rsid w:val="002A237D"/>
    <w:rsid w:val="002A4C53"/>
    <w:rsid w:val="002B0672"/>
    <w:rsid w:val="002B247F"/>
    <w:rsid w:val="002C145D"/>
    <w:rsid w:val="002C2C3E"/>
    <w:rsid w:val="002C533E"/>
    <w:rsid w:val="002D027F"/>
    <w:rsid w:val="002D7A85"/>
    <w:rsid w:val="002D7B60"/>
    <w:rsid w:val="002F4761"/>
    <w:rsid w:val="002F5C79"/>
    <w:rsid w:val="002F6DD0"/>
    <w:rsid w:val="003019E2"/>
    <w:rsid w:val="0031413F"/>
    <w:rsid w:val="003148BB"/>
    <w:rsid w:val="00317976"/>
    <w:rsid w:val="00355EA9"/>
    <w:rsid w:val="003578DE"/>
    <w:rsid w:val="00396257"/>
    <w:rsid w:val="00397EB8"/>
    <w:rsid w:val="003A4FD0"/>
    <w:rsid w:val="003A69D1"/>
    <w:rsid w:val="003A7705"/>
    <w:rsid w:val="003A77F1"/>
    <w:rsid w:val="003B1545"/>
    <w:rsid w:val="003C409D"/>
    <w:rsid w:val="003C5BA6"/>
    <w:rsid w:val="003D09B9"/>
    <w:rsid w:val="003F0E85"/>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F1A81"/>
    <w:rsid w:val="005218D9"/>
    <w:rsid w:val="005267E5"/>
    <w:rsid w:val="00536186"/>
    <w:rsid w:val="00544CBB"/>
    <w:rsid w:val="0057315F"/>
    <w:rsid w:val="00576104"/>
    <w:rsid w:val="005B6C73"/>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66DE6"/>
    <w:rsid w:val="00692E2A"/>
    <w:rsid w:val="006A76F2"/>
    <w:rsid w:val="006D7EFB"/>
    <w:rsid w:val="006E6672"/>
    <w:rsid w:val="006E6722"/>
    <w:rsid w:val="007027B9"/>
    <w:rsid w:val="00715E88"/>
    <w:rsid w:val="00734CAA"/>
    <w:rsid w:val="007522A4"/>
    <w:rsid w:val="0075533C"/>
    <w:rsid w:val="00757581"/>
    <w:rsid w:val="007611A0"/>
    <w:rsid w:val="007816CA"/>
    <w:rsid w:val="00796D3F"/>
    <w:rsid w:val="007A1683"/>
    <w:rsid w:val="007A5C12"/>
    <w:rsid w:val="007A7CB0"/>
    <w:rsid w:val="007B68A3"/>
    <w:rsid w:val="007C2541"/>
    <w:rsid w:val="007D5E27"/>
    <w:rsid w:val="007D66A8"/>
    <w:rsid w:val="007E003F"/>
    <w:rsid w:val="008164F2"/>
    <w:rsid w:val="00821395"/>
    <w:rsid w:val="00830E26"/>
    <w:rsid w:val="00843576"/>
    <w:rsid w:val="00843B64"/>
    <w:rsid w:val="008478FC"/>
    <w:rsid w:val="00867BFF"/>
    <w:rsid w:val="0088480A"/>
    <w:rsid w:val="0088757A"/>
    <w:rsid w:val="0089084F"/>
    <w:rsid w:val="008957DD"/>
    <w:rsid w:val="00897D98"/>
    <w:rsid w:val="008A6DF2"/>
    <w:rsid w:val="008A7807"/>
    <w:rsid w:val="008B4CC9"/>
    <w:rsid w:val="008D7C99"/>
    <w:rsid w:val="008E0FCB"/>
    <w:rsid w:val="008F7CBA"/>
    <w:rsid w:val="0092178C"/>
    <w:rsid w:val="00930B88"/>
    <w:rsid w:val="00940DCC"/>
    <w:rsid w:val="0094179A"/>
    <w:rsid w:val="0094459E"/>
    <w:rsid w:val="00944DBC"/>
    <w:rsid w:val="00950977"/>
    <w:rsid w:val="00951A7B"/>
    <w:rsid w:val="009564A6"/>
    <w:rsid w:val="00963BFB"/>
    <w:rsid w:val="00967621"/>
    <w:rsid w:val="00967E6A"/>
    <w:rsid w:val="00993735"/>
    <w:rsid w:val="009B4A0F"/>
    <w:rsid w:val="009C11D2"/>
    <w:rsid w:val="009C6C70"/>
    <w:rsid w:val="009D0B63"/>
    <w:rsid w:val="009E307E"/>
    <w:rsid w:val="00A07870"/>
    <w:rsid w:val="00A07F19"/>
    <w:rsid w:val="00A1348D"/>
    <w:rsid w:val="00A2266C"/>
    <w:rsid w:val="00A232EE"/>
    <w:rsid w:val="00A27DE7"/>
    <w:rsid w:val="00A4175F"/>
    <w:rsid w:val="00A44411"/>
    <w:rsid w:val="00A469FA"/>
    <w:rsid w:val="00A54279"/>
    <w:rsid w:val="00A55B01"/>
    <w:rsid w:val="00A56B5B"/>
    <w:rsid w:val="00A603FF"/>
    <w:rsid w:val="00A657DD"/>
    <w:rsid w:val="00A666A6"/>
    <w:rsid w:val="00A675FD"/>
    <w:rsid w:val="00A72437"/>
    <w:rsid w:val="00A80611"/>
    <w:rsid w:val="00AB5340"/>
    <w:rsid w:val="00AC0A89"/>
    <w:rsid w:val="00AC7C96"/>
    <w:rsid w:val="00AE237D"/>
    <w:rsid w:val="00AE502A"/>
    <w:rsid w:val="00AF7C07"/>
    <w:rsid w:val="00B22C93"/>
    <w:rsid w:val="00B27589"/>
    <w:rsid w:val="00B405B7"/>
    <w:rsid w:val="00B52222"/>
    <w:rsid w:val="00B54FE7"/>
    <w:rsid w:val="00B564C8"/>
    <w:rsid w:val="00B66901"/>
    <w:rsid w:val="00B66F5F"/>
    <w:rsid w:val="00B71E6D"/>
    <w:rsid w:val="00B72070"/>
    <w:rsid w:val="00B779E1"/>
    <w:rsid w:val="00B91EE1"/>
    <w:rsid w:val="00BA0090"/>
    <w:rsid w:val="00BA1A67"/>
    <w:rsid w:val="00BE5B5F"/>
    <w:rsid w:val="00BE6B70"/>
    <w:rsid w:val="00C26040"/>
    <w:rsid w:val="00C26F55"/>
    <w:rsid w:val="00C30C63"/>
    <w:rsid w:val="00C36B8B"/>
    <w:rsid w:val="00C415C1"/>
    <w:rsid w:val="00C41912"/>
    <w:rsid w:val="00C47DBF"/>
    <w:rsid w:val="00C552FF"/>
    <w:rsid w:val="00C558DA"/>
    <w:rsid w:val="00C55AF3"/>
    <w:rsid w:val="00C84759"/>
    <w:rsid w:val="00CA6C7F"/>
    <w:rsid w:val="00CB42DD"/>
    <w:rsid w:val="00CC10A6"/>
    <w:rsid w:val="00CD5EB8"/>
    <w:rsid w:val="00CD7044"/>
    <w:rsid w:val="00CE08B9"/>
    <w:rsid w:val="00CE524C"/>
    <w:rsid w:val="00CE7193"/>
    <w:rsid w:val="00CF141F"/>
    <w:rsid w:val="00CF4777"/>
    <w:rsid w:val="00D067BB"/>
    <w:rsid w:val="00D12805"/>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DF3CCA"/>
    <w:rsid w:val="00E06797"/>
    <w:rsid w:val="00E1265B"/>
    <w:rsid w:val="00E13B48"/>
    <w:rsid w:val="00E1404F"/>
    <w:rsid w:val="00E21C83"/>
    <w:rsid w:val="00E22BB1"/>
    <w:rsid w:val="00E24ADA"/>
    <w:rsid w:val="00E32F59"/>
    <w:rsid w:val="00E350DF"/>
    <w:rsid w:val="00E46D9A"/>
    <w:rsid w:val="00E565FF"/>
    <w:rsid w:val="00E65388"/>
    <w:rsid w:val="00E85B7D"/>
    <w:rsid w:val="00E9121B"/>
    <w:rsid w:val="00EA0AE2"/>
    <w:rsid w:val="00EA39E5"/>
    <w:rsid w:val="00EC5A46"/>
    <w:rsid w:val="00EC63E2"/>
    <w:rsid w:val="00EF22B3"/>
    <w:rsid w:val="00F03B69"/>
    <w:rsid w:val="00F07A50"/>
    <w:rsid w:val="00F113DA"/>
    <w:rsid w:val="00F367A0"/>
    <w:rsid w:val="00F37DC8"/>
    <w:rsid w:val="00F439B3"/>
    <w:rsid w:val="00F650C3"/>
    <w:rsid w:val="00F65D85"/>
    <w:rsid w:val="00F8091E"/>
    <w:rsid w:val="00F8615C"/>
    <w:rsid w:val="00F969E5"/>
    <w:rsid w:val="00FA6BB0"/>
    <w:rsid w:val="00FA758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D5093"/>
  <w15:docId w15:val="{E21A2629-E300-4846-9A64-B3BE9AE8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B6C73"/>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16 Poin"/>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basedOn w:val="Normalpool"/>
    <w:link w:val="FootnoteTextChar"/>
    <w:rsid w:val="000D6941"/>
    <w:pPr>
      <w:spacing w:before="20" w:after="40"/>
      <w:ind w:left="1247"/>
    </w:pPr>
    <w:rPr>
      <w:sz w:val="18"/>
    </w:rPr>
  </w:style>
  <w:style w:type="character" w:customStyle="1" w:styleId="NormalnumberChar">
    <w:name w:val="Normal_number Char"/>
    <w:link w:val="Normalnumber"/>
    <w:rsid w:val="005B6C73"/>
    <w:rPr>
      <w:lang w:val="en-GB"/>
    </w:rPr>
  </w:style>
  <w:style w:type="character" w:customStyle="1" w:styleId="CH2Char">
    <w:name w:val="CH2 Char"/>
    <w:link w:val="CH2"/>
    <w:rsid w:val="005B6C73"/>
    <w:rPr>
      <w:b/>
      <w:sz w:val="24"/>
      <w:szCs w:val="24"/>
      <w:lang w:val="en-GB"/>
    </w:rPr>
  </w:style>
  <w:style w:type="paragraph" w:styleId="Title">
    <w:name w:val="Title"/>
    <w:basedOn w:val="BBTitle"/>
    <w:next w:val="Normal"/>
    <w:link w:val="TitleChar"/>
    <w:qFormat/>
    <w:rsid w:val="005B6C73"/>
    <w:pPr>
      <w:tabs>
        <w:tab w:val="clear" w:pos="1247"/>
        <w:tab w:val="clear" w:pos="1814"/>
        <w:tab w:val="clear" w:pos="2381"/>
        <w:tab w:val="clear" w:pos="2948"/>
        <w:tab w:val="clear" w:pos="3515"/>
        <w:tab w:val="clear" w:pos="4082"/>
      </w:tabs>
      <w:spacing w:line="276" w:lineRule="auto"/>
    </w:pPr>
    <w:rPr>
      <w:rFonts w:ascii="Calibri" w:eastAsia="MS Mincho" w:hAnsi="Calibri"/>
      <w:lang w:val="en-US"/>
    </w:rPr>
  </w:style>
  <w:style w:type="character" w:customStyle="1" w:styleId="TitleChar">
    <w:name w:val="Title Char"/>
    <w:basedOn w:val="DefaultParagraphFont"/>
    <w:link w:val="Title"/>
    <w:rsid w:val="005B6C73"/>
    <w:rPr>
      <w:rFonts w:ascii="Calibri" w:eastAsia="MS Mincho" w:hAnsi="Calibri"/>
      <w:b/>
      <w:sz w:val="28"/>
      <w:szCs w:val="28"/>
    </w:rPr>
  </w:style>
  <w:style w:type="character" w:customStyle="1" w:styleId="FooterChar">
    <w:name w:val="Footer Char"/>
    <w:link w:val="Footer"/>
    <w:uiPriority w:val="99"/>
    <w:rsid w:val="005B6C73"/>
    <w:rPr>
      <w:sz w:val="18"/>
      <w:lang w:val="fr-FR"/>
    </w:rPr>
  </w:style>
  <w:style w:type="table" w:styleId="TableGrid">
    <w:name w:val="Table Grid"/>
    <w:basedOn w:val="TableNormal"/>
    <w:uiPriority w:val="59"/>
    <w:rsid w:val="005B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5B6C73"/>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5B6C73"/>
    <w:rPr>
      <w:rFonts w:eastAsia="MS Mincho"/>
      <w:lang w:val="en-GB"/>
    </w:rPr>
  </w:style>
  <w:style w:type="character" w:styleId="EndnoteReference">
    <w:name w:val="endnote reference"/>
    <w:uiPriority w:val="99"/>
    <w:rsid w:val="005B6C73"/>
    <w:rPr>
      <w:spacing w:val="-5"/>
      <w:w w:val="130"/>
      <w:position w:val="-4"/>
      <w:vertAlign w:val="superscript"/>
    </w:rPr>
  </w:style>
  <w:style w:type="character" w:customStyle="1" w:styleId="HeaderChar">
    <w:name w:val="Header Char"/>
    <w:link w:val="Header"/>
    <w:uiPriority w:val="99"/>
    <w:rsid w:val="005B6C73"/>
    <w:rPr>
      <w:b/>
      <w:sz w:val="18"/>
      <w:lang w:val="fr-FR"/>
    </w:rPr>
  </w:style>
  <w:style w:type="paragraph" w:styleId="ListParagraph">
    <w:name w:val="List Paragraph"/>
    <w:basedOn w:val="Normal"/>
    <w:link w:val="ListParagraphChar"/>
    <w:uiPriority w:val="34"/>
    <w:qFormat/>
    <w:rsid w:val="005B6C73"/>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link w:val="ListParagraph"/>
    <w:uiPriority w:val="34"/>
    <w:rsid w:val="005B6C73"/>
    <w:rPr>
      <w:rFonts w:eastAsia="MS Mincho"/>
      <w:lang w:val="en-GB"/>
    </w:rPr>
  </w:style>
  <w:style w:type="character" w:customStyle="1" w:styleId="FootnoteTextChar">
    <w:name w:val="Footnote Text Char"/>
    <w:link w:val="FootnoteText"/>
    <w:rsid w:val="005B6C73"/>
    <w:rPr>
      <w:sz w:val="18"/>
      <w:lang w:val="fr-FR"/>
    </w:rPr>
  </w:style>
  <w:style w:type="character" w:customStyle="1" w:styleId="ind">
    <w:name w:val="ind"/>
    <w:rsid w:val="005B6C73"/>
    <w:rPr>
      <w:rFonts w:cs="Times New Roman"/>
    </w:rPr>
  </w:style>
  <w:style w:type="paragraph" w:styleId="NormalWeb">
    <w:name w:val="Normal (Web)"/>
    <w:basedOn w:val="Normal"/>
    <w:uiPriority w:val="99"/>
    <w:unhideWhenUsed/>
    <w:rsid w:val="005B6C73"/>
    <w:pPr>
      <w:spacing w:before="100" w:beforeAutospacing="1" w:after="100" w:afterAutospacing="1" w:line="240" w:lineRule="auto"/>
    </w:pPr>
    <w:rPr>
      <w:rFonts w:ascii="Times New Roman" w:eastAsia="Times New Roman" w:hAnsi="Times New Roman"/>
      <w:sz w:val="24"/>
      <w:szCs w:val="24"/>
      <w:lang w:val="es-AR" w:eastAsia="es-A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7D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5E27"/>
    <w:rPr>
      <w:rFonts w:ascii="Tahoma" w:eastAsia="MS Mincho" w:hAnsi="Tahoma" w:cs="Tahoma"/>
      <w:sz w:val="16"/>
      <w:szCs w:val="16"/>
    </w:rPr>
  </w:style>
  <w:style w:type="character" w:styleId="CommentReference">
    <w:name w:val="annotation reference"/>
    <w:basedOn w:val="DefaultParagraphFont"/>
    <w:semiHidden/>
    <w:unhideWhenUsed/>
    <w:rsid w:val="000C1BDD"/>
    <w:rPr>
      <w:sz w:val="16"/>
      <w:szCs w:val="16"/>
    </w:rPr>
  </w:style>
  <w:style w:type="paragraph" w:styleId="CommentSubject">
    <w:name w:val="annotation subject"/>
    <w:basedOn w:val="CommentText"/>
    <w:next w:val="CommentText"/>
    <w:link w:val="CommentSubjectChar"/>
    <w:semiHidden/>
    <w:unhideWhenUsed/>
    <w:rsid w:val="000C1BDD"/>
    <w:pPr>
      <w:spacing w:after="200"/>
    </w:pPr>
    <w:rPr>
      <w:rFonts w:ascii="Calibri" w:hAnsi="Calibri"/>
      <w:b/>
      <w:bCs/>
      <w:lang w:val="en-US"/>
    </w:rPr>
  </w:style>
  <w:style w:type="character" w:customStyle="1" w:styleId="CommentSubjectChar">
    <w:name w:val="Comment Subject Char"/>
    <w:basedOn w:val="CommentTextChar"/>
    <w:link w:val="CommentSubject"/>
    <w:semiHidden/>
    <w:rsid w:val="000C1BDD"/>
    <w:rPr>
      <w:rFonts w:ascii="Calibri" w:eastAsia="MS Mincho"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DAE5-2C2A-4F3E-9D36-06838427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2017-02-08T09:39:00Z</cp:lastPrinted>
  <dcterms:created xsi:type="dcterms:W3CDTF">2017-02-09T07:21:00Z</dcterms:created>
  <dcterms:modified xsi:type="dcterms:W3CDTF">2017-02-09T07:21:00Z</dcterms:modified>
</cp:coreProperties>
</file>