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theme/themeOverride3.xml" ContentType="application/vnd.openxmlformats-officedocument.themeOverride+xml"/>
  <Override PartName="/word/charts/chart8.xml" ContentType="application/vnd.openxmlformats-officedocument.drawingml.chart+xml"/>
  <Override PartName="/word/charts/chart9.xml" ContentType="application/vnd.openxmlformats-officedocument.drawingml.chart+xml"/>
  <Override PartName="/word/theme/themeOverride4.xml" ContentType="application/vnd.openxmlformats-officedocument.themeOverride+xml"/>
  <Override PartName="/word/charts/chart10.xml" ContentType="application/vnd.openxmlformats-officedocument.drawingml.chart+xml"/>
  <Override PartName="/word/charts/chart11.xml" ContentType="application/vnd.openxmlformats-officedocument.drawingml.chart+xml"/>
  <Override PartName="/word/theme/themeOverride5.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theme/themeOverride6.xml" ContentType="application/vnd.openxmlformats-officedocument.themeOverride+xml"/>
  <Override PartName="/word/charts/chart14.xml" ContentType="application/vnd.openxmlformats-officedocument.drawingml.chart+xml"/>
  <Override PartName="/word/theme/themeOverride7.xml" ContentType="application/vnd.openxmlformats-officedocument.themeOverride+xml"/>
  <Override PartName="/word/charts/chart15.xml" ContentType="application/vnd.openxmlformats-officedocument.drawingml.chart+xml"/>
  <Override PartName="/word/charts/chart16.xml" ContentType="application/vnd.openxmlformats-officedocument.drawingml.chart+xml"/>
  <Override PartName="/word/theme/themeOverride8.xml" ContentType="application/vnd.openxmlformats-officedocument.themeOverride+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theme/themeOverride9.xml" ContentType="application/vnd.openxmlformats-officedocument.themeOverride+xml"/>
  <Override PartName="/word/charts/chart21.xml" ContentType="application/vnd.openxmlformats-officedocument.drawingml.chart+xml"/>
  <Override PartName="/word/theme/themeOverride10.xml" ContentType="application/vnd.openxmlformats-officedocument.themeOverride+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theme/themeOverride11.xml" ContentType="application/vnd.openxmlformats-officedocument.themeOverride+xml"/>
  <Override PartName="/word/charts/chart29.xml" ContentType="application/vnd.openxmlformats-officedocument.drawingml.chart+xml"/>
  <Override PartName="/word/theme/themeOverride12.xml" ContentType="application/vnd.openxmlformats-officedocument.themeOverride+xml"/>
  <Override PartName="/word/charts/chart30.xml" ContentType="application/vnd.openxmlformats-officedocument.drawingml.chart+xml"/>
  <Override PartName="/word/theme/themeOverride13.xml" ContentType="application/vnd.openxmlformats-officedocument.themeOverride+xml"/>
  <Override PartName="/word/charts/chart31.xml" ContentType="application/vnd.openxmlformats-officedocument.drawingml.chart+xml"/>
  <Override PartName="/word/theme/themeOverride14.xml" ContentType="application/vnd.openxmlformats-officedocument.themeOverride+xml"/>
  <Override PartName="/word/charts/chart32.xml" ContentType="application/vnd.openxmlformats-officedocument.drawingml.chart+xml"/>
  <Override PartName="/word/charts/chart33.xml" ContentType="application/vnd.openxmlformats-officedocument.drawingml.chart+xml"/>
  <Override PartName="/word/theme/themeOverride15.xml" ContentType="application/vnd.openxmlformats-officedocument.themeOverride+xml"/>
  <Override PartName="/word/charts/chart34.xml" ContentType="application/vnd.openxmlformats-officedocument.drawingml.chart+xml"/>
  <Override PartName="/word/theme/themeOverride16.xml" ContentType="application/vnd.openxmlformats-officedocument.themeOverride+xml"/>
  <Override PartName="/word/charts/chart35.xml" ContentType="application/vnd.openxmlformats-officedocument.drawingml.chart+xml"/>
  <Override PartName="/word/charts/chart36.xml" ContentType="application/vnd.openxmlformats-officedocument.drawingml.chart+xml"/>
  <Override PartName="/word/theme/themeOverride17.xml" ContentType="application/vnd.openxmlformats-officedocument.themeOverride+xml"/>
  <Override PartName="/word/charts/chart37.xml" ContentType="application/vnd.openxmlformats-officedocument.drawingml.chart+xml"/>
  <Override PartName="/word/theme/themeOverride18.xml" ContentType="application/vnd.openxmlformats-officedocument.themeOverride+xml"/>
  <Override PartName="/word/charts/chart38.xml" ContentType="application/vnd.openxmlformats-officedocument.drawingml.chart+xml"/>
  <Override PartName="/word/theme/themeOverride19.xml" ContentType="application/vnd.openxmlformats-officedocument.themeOverride+xml"/>
  <Override PartName="/word/charts/chart39.xml" ContentType="application/vnd.openxmlformats-officedocument.drawingml.chart+xml"/>
  <Override PartName="/word/theme/themeOverride20.xml" ContentType="application/vnd.openxmlformats-officedocument.themeOverride+xml"/>
  <Override PartName="/word/charts/chart40.xml" ContentType="application/vnd.openxmlformats-officedocument.drawingml.chart+xml"/>
  <Override PartName="/word/theme/themeOverride21.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E1E22DA" w14:textId="77777777" w:rsidR="00C558DA" w:rsidRDefault="00C558DA" w:rsidP="007F59C4">
      <w:bookmarkStart w:id="0" w:name="_GoBack"/>
      <w:bookmarkEnd w:id="0"/>
    </w:p>
    <w:tbl>
      <w:tblPr>
        <w:tblW w:w="5000" w:type="pct"/>
        <w:jc w:val="right"/>
        <w:tblLayout w:type="fixed"/>
        <w:tblLook w:val="0000" w:firstRow="0" w:lastRow="0" w:firstColumn="0" w:lastColumn="0" w:noHBand="0" w:noVBand="0"/>
      </w:tblPr>
      <w:tblGrid>
        <w:gridCol w:w="1525"/>
        <w:gridCol w:w="484"/>
        <w:gridCol w:w="509"/>
        <w:gridCol w:w="852"/>
        <w:gridCol w:w="993"/>
        <w:gridCol w:w="2406"/>
        <w:gridCol w:w="710"/>
        <w:gridCol w:w="569"/>
        <w:gridCol w:w="1664"/>
      </w:tblGrid>
      <w:tr w:rsidR="007F59C4" w:rsidRPr="0081483A" w14:paraId="04910178" w14:textId="77777777" w:rsidTr="003B1C83">
        <w:trPr>
          <w:cantSplit/>
          <w:trHeight w:val="1079"/>
          <w:jc w:val="right"/>
        </w:trPr>
        <w:tc>
          <w:tcPr>
            <w:tcW w:w="1545" w:type="dxa"/>
          </w:tcPr>
          <w:p w14:paraId="152BE628" w14:textId="77777777" w:rsidR="007F59C4" w:rsidRPr="0081483A" w:rsidRDefault="007F59C4" w:rsidP="003B1C83">
            <w:pPr>
              <w:keepNext/>
              <w:spacing w:before="40"/>
              <w:outlineLvl w:val="1"/>
              <w:rPr>
                <w:sz w:val="27"/>
                <w:szCs w:val="27"/>
              </w:rPr>
            </w:pPr>
            <w:r w:rsidRPr="0081483A">
              <w:rPr>
                <w:rFonts w:ascii="Arial" w:hAnsi="Arial" w:cs="Arial"/>
                <w:b/>
                <w:noProof/>
                <w:sz w:val="27"/>
                <w:szCs w:val="27"/>
              </w:rPr>
              <w:t xml:space="preserve">UNITED </w:t>
            </w:r>
            <w:r w:rsidRPr="0081483A">
              <w:rPr>
                <w:rFonts w:ascii="Arial" w:hAnsi="Arial" w:cs="Arial"/>
                <w:b/>
                <w:noProof/>
                <w:sz w:val="27"/>
                <w:szCs w:val="27"/>
              </w:rPr>
              <w:br/>
              <w:t>NATIONS</w:t>
            </w:r>
          </w:p>
        </w:tc>
        <w:tc>
          <w:tcPr>
            <w:tcW w:w="1004" w:type="dxa"/>
            <w:gridSpan w:val="2"/>
            <w:tcBorders>
              <w:left w:val="nil"/>
            </w:tcBorders>
            <w:vAlign w:val="center"/>
          </w:tcPr>
          <w:p w14:paraId="502941CE" w14:textId="77777777" w:rsidR="007F59C4" w:rsidRPr="0081483A" w:rsidRDefault="007F59C4" w:rsidP="003B1C83">
            <w:pPr>
              <w:ind w:left="-108"/>
              <w:jc w:val="center"/>
            </w:pPr>
            <w:r>
              <w:rPr>
                <w:noProof/>
                <w:lang w:val="en-US"/>
              </w:rPr>
              <w:drawing>
                <wp:inline distT="0" distB="0" distL="0" distR="0" wp14:anchorId="292B44F6" wp14:editId="7C016476">
                  <wp:extent cx="537932" cy="468923"/>
                  <wp:effectExtent l="0" t="0" r="0" b="7620"/>
                  <wp:docPr id="10" name="Picture 10" descr="Description: Description: !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UN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5429" cy="475458"/>
                          </a:xfrm>
                          <a:prstGeom prst="rect">
                            <a:avLst/>
                          </a:prstGeom>
                          <a:noFill/>
                          <a:ln>
                            <a:noFill/>
                          </a:ln>
                        </pic:spPr>
                      </pic:pic>
                    </a:graphicData>
                  </a:graphic>
                </wp:inline>
              </w:drawing>
            </w:r>
          </w:p>
        </w:tc>
        <w:tc>
          <w:tcPr>
            <w:tcW w:w="861" w:type="dxa"/>
            <w:tcBorders>
              <w:left w:val="nil"/>
            </w:tcBorders>
            <w:vAlign w:val="center"/>
          </w:tcPr>
          <w:p w14:paraId="59CE5B4B" w14:textId="77777777" w:rsidR="007F59C4" w:rsidRPr="0081483A" w:rsidRDefault="007F59C4" w:rsidP="003B1C83">
            <w:pPr>
              <w:ind w:left="-108"/>
              <w:jc w:val="center"/>
            </w:pPr>
            <w:r>
              <w:rPr>
                <w:noProof/>
                <w:lang w:val="en-US"/>
              </w:rPr>
              <w:drawing>
                <wp:inline distT="0" distB="0" distL="0" distR="0" wp14:anchorId="5C77ED90" wp14:editId="7FE1A053">
                  <wp:extent cx="468455" cy="492369"/>
                  <wp:effectExtent l="0" t="0" r="8255" b="3175"/>
                  <wp:docPr id="5" name="Picture 5" descr="Description: Description: !UN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UNEP"/>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6988" cy="490827"/>
                          </a:xfrm>
                          <a:prstGeom prst="rect">
                            <a:avLst/>
                          </a:prstGeom>
                          <a:noFill/>
                          <a:ln>
                            <a:noFill/>
                          </a:ln>
                        </pic:spPr>
                      </pic:pic>
                    </a:graphicData>
                  </a:graphic>
                </wp:inline>
              </w:drawing>
            </w:r>
          </w:p>
        </w:tc>
        <w:tc>
          <w:tcPr>
            <w:tcW w:w="1004" w:type="dxa"/>
            <w:tcBorders>
              <w:left w:val="nil"/>
            </w:tcBorders>
            <w:vAlign w:val="center"/>
          </w:tcPr>
          <w:p w14:paraId="5C9135D2" w14:textId="77777777" w:rsidR="007F59C4" w:rsidRPr="0081483A" w:rsidRDefault="007F59C4" w:rsidP="003B1C83">
            <w:pPr>
              <w:ind w:left="-108"/>
              <w:jc w:val="center"/>
            </w:pPr>
            <w:r>
              <w:rPr>
                <w:noProof/>
                <w:lang w:val="en-US"/>
              </w:rPr>
              <w:drawing>
                <wp:inline distT="0" distB="0" distL="0" distR="0" wp14:anchorId="0DD08964" wp14:editId="143370E9">
                  <wp:extent cx="574431" cy="475392"/>
                  <wp:effectExtent l="0" t="0" r="0" b="1270"/>
                  <wp:docPr id="7" name="Picture 70" descr="E:\Logos\UNESCO (bl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Logos\UNESCO (black).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513" cy="474632"/>
                          </a:xfrm>
                          <a:prstGeom prst="rect">
                            <a:avLst/>
                          </a:prstGeom>
                          <a:noFill/>
                          <a:ln>
                            <a:noFill/>
                          </a:ln>
                        </pic:spPr>
                      </pic:pic>
                    </a:graphicData>
                  </a:graphic>
                </wp:inline>
              </w:drawing>
            </w:r>
          </w:p>
        </w:tc>
        <w:tc>
          <w:tcPr>
            <w:tcW w:w="2439" w:type="dxa"/>
            <w:tcBorders>
              <w:left w:val="nil"/>
            </w:tcBorders>
            <w:vAlign w:val="center"/>
          </w:tcPr>
          <w:p w14:paraId="49CA9081" w14:textId="77777777" w:rsidR="007F59C4" w:rsidRPr="0081483A" w:rsidRDefault="007F59C4" w:rsidP="003B1C83">
            <w:pPr>
              <w:ind w:left="-108"/>
            </w:pPr>
            <w:r>
              <w:rPr>
                <w:noProof/>
                <w:lang w:val="en-US"/>
              </w:rPr>
              <w:drawing>
                <wp:inline distT="0" distB="0" distL="0" distR="0" wp14:anchorId="147F5B3C" wp14:editId="74DBD64C">
                  <wp:extent cx="1518138" cy="527539"/>
                  <wp:effectExtent l="0" t="0" r="635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O_logo_3lines_en_Black.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18139" cy="527539"/>
                          </a:xfrm>
                          <a:prstGeom prst="rect">
                            <a:avLst/>
                          </a:prstGeom>
                        </pic:spPr>
                      </pic:pic>
                    </a:graphicData>
                  </a:graphic>
                </wp:inline>
              </w:drawing>
            </w:r>
          </w:p>
        </w:tc>
        <w:tc>
          <w:tcPr>
            <w:tcW w:w="717" w:type="dxa"/>
            <w:tcBorders>
              <w:left w:val="nil"/>
              <w:right w:val="nil"/>
            </w:tcBorders>
          </w:tcPr>
          <w:p w14:paraId="7B168F2F" w14:textId="77777777" w:rsidR="007F59C4" w:rsidRPr="0081483A" w:rsidRDefault="007F59C4" w:rsidP="003B1C83">
            <w:pPr>
              <w:jc w:val="center"/>
            </w:pPr>
            <w:r>
              <w:rPr>
                <w:noProof/>
                <w:lang w:val="en-US"/>
              </w:rPr>
              <w:drawing>
                <wp:inline distT="0" distB="0" distL="0" distR="0" wp14:anchorId="30B92915" wp14:editId="4A69CDB0">
                  <wp:extent cx="287215" cy="562232"/>
                  <wp:effectExtent l="0" t="0" r="0" b="0"/>
                  <wp:docPr id="12" name="Picture 12" descr="Description: E:\Logos\UNDP (bl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scription: E:\Logos\UNDP (blck).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7215" cy="562232"/>
                          </a:xfrm>
                          <a:prstGeom prst="rect">
                            <a:avLst/>
                          </a:prstGeom>
                          <a:noFill/>
                          <a:ln>
                            <a:noFill/>
                          </a:ln>
                        </pic:spPr>
                      </pic:pic>
                    </a:graphicData>
                  </a:graphic>
                </wp:inline>
              </w:drawing>
            </w:r>
          </w:p>
        </w:tc>
        <w:tc>
          <w:tcPr>
            <w:tcW w:w="574" w:type="dxa"/>
            <w:tcBorders>
              <w:left w:val="nil"/>
            </w:tcBorders>
            <w:vAlign w:val="center"/>
          </w:tcPr>
          <w:p w14:paraId="2B7FF49D" w14:textId="77777777" w:rsidR="007F59C4" w:rsidRPr="0081483A" w:rsidRDefault="007F59C4" w:rsidP="003B1C83">
            <w:pPr>
              <w:jc w:val="center"/>
            </w:pPr>
          </w:p>
        </w:tc>
        <w:tc>
          <w:tcPr>
            <w:tcW w:w="1686" w:type="dxa"/>
          </w:tcPr>
          <w:p w14:paraId="66D7EC4C" w14:textId="77777777" w:rsidR="007F59C4" w:rsidRPr="003F1D30" w:rsidRDefault="007F59C4" w:rsidP="003B1C83">
            <w:pPr>
              <w:keepNext/>
              <w:spacing w:before="40"/>
              <w:jc w:val="right"/>
              <w:outlineLvl w:val="1"/>
              <w:rPr>
                <w:rFonts w:ascii="Arial" w:hAnsi="Arial" w:cs="Arial"/>
                <w:b/>
                <w:sz w:val="64"/>
                <w:szCs w:val="64"/>
              </w:rPr>
            </w:pPr>
            <w:r w:rsidRPr="0081483A">
              <w:rPr>
                <w:rFonts w:ascii="Arial" w:hAnsi="Arial" w:cs="Arial"/>
                <w:b/>
                <w:sz w:val="64"/>
                <w:szCs w:val="64"/>
              </w:rPr>
              <w:t>BES</w:t>
            </w:r>
          </w:p>
        </w:tc>
      </w:tr>
      <w:tr w:rsidR="007F59C4" w:rsidRPr="0081483A" w14:paraId="24273F12" w14:textId="77777777" w:rsidTr="003B1C83">
        <w:trPr>
          <w:cantSplit/>
          <w:trHeight w:val="282"/>
          <w:jc w:val="right"/>
        </w:trPr>
        <w:tc>
          <w:tcPr>
            <w:tcW w:w="1545" w:type="dxa"/>
            <w:tcBorders>
              <w:bottom w:val="single" w:sz="2" w:space="0" w:color="auto"/>
            </w:tcBorders>
          </w:tcPr>
          <w:p w14:paraId="49F2149C" w14:textId="77777777" w:rsidR="007F59C4" w:rsidRPr="0081483A" w:rsidRDefault="007F59C4" w:rsidP="003B1C83">
            <w:pPr>
              <w:rPr>
                <w:noProof/>
              </w:rPr>
            </w:pPr>
          </w:p>
        </w:tc>
        <w:tc>
          <w:tcPr>
            <w:tcW w:w="6025" w:type="dxa"/>
            <w:gridSpan w:val="6"/>
            <w:tcBorders>
              <w:bottom w:val="single" w:sz="2" w:space="0" w:color="auto"/>
            </w:tcBorders>
          </w:tcPr>
          <w:p w14:paraId="670D9177" w14:textId="77777777" w:rsidR="007F59C4" w:rsidRPr="00EA5E72" w:rsidRDefault="007F59C4" w:rsidP="003B1C83">
            <w:pPr>
              <w:rPr>
                <w:b/>
                <w:sz w:val="24"/>
                <w:szCs w:val="24"/>
              </w:rPr>
            </w:pPr>
          </w:p>
        </w:tc>
        <w:tc>
          <w:tcPr>
            <w:tcW w:w="2260" w:type="dxa"/>
            <w:gridSpan w:val="2"/>
            <w:tcBorders>
              <w:bottom w:val="single" w:sz="2" w:space="0" w:color="auto"/>
            </w:tcBorders>
          </w:tcPr>
          <w:p w14:paraId="0E92788C" w14:textId="77777777" w:rsidR="007F59C4" w:rsidRPr="00EA5E72" w:rsidRDefault="007F59C4" w:rsidP="003B1C83">
            <w:pPr>
              <w:rPr>
                <w:b/>
                <w:sz w:val="24"/>
                <w:szCs w:val="24"/>
              </w:rPr>
            </w:pPr>
            <w:r w:rsidRPr="00806B30">
              <w:rPr>
                <w:b/>
                <w:sz w:val="24"/>
                <w:szCs w:val="24"/>
              </w:rPr>
              <w:t>IPBES</w:t>
            </w:r>
            <w:r w:rsidRPr="00806B30">
              <w:t>/5/INF/16</w:t>
            </w:r>
          </w:p>
        </w:tc>
      </w:tr>
      <w:tr w:rsidR="007F59C4" w:rsidRPr="0081483A" w14:paraId="6313E0D8" w14:textId="77777777" w:rsidTr="003B1C83">
        <w:trPr>
          <w:cantSplit/>
          <w:trHeight w:val="1433"/>
          <w:jc w:val="right"/>
        </w:trPr>
        <w:tc>
          <w:tcPr>
            <w:tcW w:w="2034" w:type="dxa"/>
            <w:gridSpan w:val="2"/>
            <w:tcBorders>
              <w:top w:val="single" w:sz="2" w:space="0" w:color="auto"/>
              <w:bottom w:val="single" w:sz="24" w:space="0" w:color="auto"/>
            </w:tcBorders>
          </w:tcPr>
          <w:p w14:paraId="10AB4F76" w14:textId="77777777" w:rsidR="007F59C4" w:rsidRPr="0081483A" w:rsidRDefault="007F59C4" w:rsidP="003B1C83">
            <w:pPr>
              <w:spacing w:before="240" w:after="240"/>
              <w:rPr>
                <w:rFonts w:ascii="Arial" w:hAnsi="Arial" w:cs="Arial"/>
                <w:b/>
                <w:sz w:val="28"/>
                <w:szCs w:val="28"/>
              </w:rPr>
            </w:pPr>
            <w:r>
              <w:rPr>
                <w:rFonts w:ascii="Arial" w:hAnsi="Arial" w:cs="Arial"/>
                <w:b/>
                <w:noProof/>
                <w:sz w:val="28"/>
                <w:szCs w:val="28"/>
                <w:lang w:val="en-US"/>
              </w:rPr>
              <w:drawing>
                <wp:inline distT="0" distB="0" distL="0" distR="0" wp14:anchorId="5804C894" wp14:editId="4A8FC855">
                  <wp:extent cx="1111406" cy="51937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BES Logo MONO 2015-0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11408" cy="519380"/>
                          </a:xfrm>
                          <a:prstGeom prst="rect">
                            <a:avLst/>
                          </a:prstGeom>
                        </pic:spPr>
                      </pic:pic>
                    </a:graphicData>
                  </a:graphic>
                </wp:inline>
              </w:drawing>
            </w:r>
          </w:p>
        </w:tc>
        <w:tc>
          <w:tcPr>
            <w:tcW w:w="5536" w:type="dxa"/>
            <w:gridSpan w:val="5"/>
            <w:tcBorders>
              <w:top w:val="single" w:sz="2" w:space="0" w:color="auto"/>
              <w:bottom w:val="single" w:sz="24" w:space="0" w:color="auto"/>
            </w:tcBorders>
          </w:tcPr>
          <w:p w14:paraId="17142501" w14:textId="77777777" w:rsidR="007F59C4" w:rsidRPr="00EA5E72" w:rsidRDefault="007F59C4" w:rsidP="003B1C83">
            <w:pPr>
              <w:spacing w:before="120" w:after="120"/>
            </w:pPr>
            <w:r w:rsidRPr="0081483A">
              <w:rPr>
                <w:rFonts w:ascii="Arial" w:hAnsi="Arial" w:cs="Arial"/>
                <w:b/>
                <w:sz w:val="28"/>
                <w:szCs w:val="28"/>
              </w:rPr>
              <w:t>Intergovernmental Science-Policy Platform on Biodiversity and Ecosystem Services</w:t>
            </w:r>
          </w:p>
        </w:tc>
        <w:tc>
          <w:tcPr>
            <w:tcW w:w="2260" w:type="dxa"/>
            <w:gridSpan w:val="2"/>
            <w:tcBorders>
              <w:top w:val="single" w:sz="2" w:space="0" w:color="auto"/>
              <w:bottom w:val="single" w:sz="24" w:space="0" w:color="auto"/>
            </w:tcBorders>
          </w:tcPr>
          <w:p w14:paraId="7ADC679C" w14:textId="78FC2565" w:rsidR="007F59C4" w:rsidRPr="00EA5E72" w:rsidRDefault="007F59C4" w:rsidP="003B1C83">
            <w:pPr>
              <w:spacing w:before="120" w:after="120"/>
            </w:pPr>
            <w:r w:rsidRPr="00EA5E72">
              <w:t>Distr.: General</w:t>
            </w:r>
            <w:r w:rsidRPr="00EA5E72">
              <w:br/>
            </w:r>
            <w:r>
              <w:t>2</w:t>
            </w:r>
            <w:r w:rsidR="007D5CE9">
              <w:t>7</w:t>
            </w:r>
            <w:r>
              <w:t xml:space="preserve"> January 2017</w:t>
            </w:r>
          </w:p>
          <w:p w14:paraId="747FBA1D" w14:textId="77777777" w:rsidR="007F59C4" w:rsidRPr="009E78C3" w:rsidRDefault="007F59C4" w:rsidP="003B1C83">
            <w:pPr>
              <w:spacing w:before="120" w:after="120"/>
            </w:pPr>
            <w:r>
              <w:t>English only</w:t>
            </w:r>
          </w:p>
        </w:tc>
      </w:tr>
    </w:tbl>
    <w:p w14:paraId="0CA5B77B" w14:textId="77777777" w:rsidR="007F59C4" w:rsidRDefault="007F59C4" w:rsidP="00CC136E">
      <w:pPr>
        <w:pStyle w:val="AATitle"/>
      </w:pPr>
      <w:r>
        <w:t>Plenary of the Intergovernmental Science-Policy</w:t>
      </w:r>
    </w:p>
    <w:p w14:paraId="4C7CAA92" w14:textId="77777777" w:rsidR="007F59C4" w:rsidRDefault="007F59C4" w:rsidP="00CC136E">
      <w:pPr>
        <w:pStyle w:val="AATitle"/>
      </w:pPr>
      <w:r>
        <w:t>Platform on Biodiversity and Ecosystem Services</w:t>
      </w:r>
    </w:p>
    <w:p w14:paraId="65A8886A" w14:textId="77777777" w:rsidR="007F59C4" w:rsidRPr="00F9521B" w:rsidRDefault="007F59C4" w:rsidP="00CC136E">
      <w:pPr>
        <w:pStyle w:val="AATitle"/>
      </w:pPr>
      <w:r w:rsidRPr="00F9521B">
        <w:t>Fifth session</w:t>
      </w:r>
    </w:p>
    <w:p w14:paraId="0D86417F" w14:textId="77777777" w:rsidR="007F59C4" w:rsidRPr="00CC136E" w:rsidRDefault="007F59C4" w:rsidP="00CC136E">
      <w:pPr>
        <w:pStyle w:val="AATitle"/>
        <w:rPr>
          <w:b w:val="0"/>
        </w:rPr>
      </w:pPr>
      <w:r w:rsidRPr="00CC136E">
        <w:rPr>
          <w:b w:val="0"/>
        </w:rPr>
        <w:t>Bonn, Germany, 7–10 March 2017</w:t>
      </w:r>
    </w:p>
    <w:p w14:paraId="728B69B1" w14:textId="77777777" w:rsidR="007F59C4" w:rsidRPr="00CC136E" w:rsidRDefault="007F59C4" w:rsidP="00CC136E">
      <w:pPr>
        <w:pStyle w:val="AATitle"/>
        <w:rPr>
          <w:b w:val="0"/>
        </w:rPr>
      </w:pPr>
      <w:r w:rsidRPr="00CC136E">
        <w:rPr>
          <w:b w:val="0"/>
        </w:rPr>
        <w:t>Item 6 (h)</w:t>
      </w:r>
      <w:r w:rsidR="00CC136E">
        <w:rPr>
          <w:b w:val="0"/>
        </w:rPr>
        <w:t xml:space="preserve"> of the provisional agenda</w:t>
      </w:r>
      <w:r w:rsidR="00CC136E" w:rsidRPr="005930B6">
        <w:rPr>
          <w:bCs/>
          <w:spacing w:val="4"/>
          <w:w w:val="103"/>
        </w:rPr>
        <w:footnoteReference w:customMarkFollows="1" w:id="1"/>
        <w:t>*</w:t>
      </w:r>
    </w:p>
    <w:p w14:paraId="6962B338" w14:textId="74D65F78" w:rsidR="007F59C4" w:rsidRPr="00CC136E" w:rsidRDefault="007F59C4" w:rsidP="003B4B00">
      <w:pPr>
        <w:pStyle w:val="AATitle2"/>
        <w:spacing w:before="60"/>
      </w:pPr>
      <w:r w:rsidRPr="00CC136E">
        <w:t xml:space="preserve">Work programme of the </w:t>
      </w:r>
      <w:r w:rsidR="007D5CE9">
        <w:t>P</w:t>
      </w:r>
      <w:r w:rsidRPr="00CC136E">
        <w:t xml:space="preserve">latform: communication, </w:t>
      </w:r>
      <w:r w:rsidR="00CC136E">
        <w:br/>
      </w:r>
      <w:r w:rsidRPr="00CC136E">
        <w:t xml:space="preserve">stakeholder engagement and strategic partnerships </w:t>
      </w:r>
    </w:p>
    <w:p w14:paraId="0A82585E" w14:textId="77777777" w:rsidR="007F59C4" w:rsidRDefault="007F59C4" w:rsidP="00CC136E">
      <w:pPr>
        <w:pStyle w:val="BBTitle"/>
      </w:pPr>
      <w:r>
        <w:t>Implementation of the stakeholder engagement strategy</w:t>
      </w:r>
    </w:p>
    <w:p w14:paraId="4584CCA3" w14:textId="77777777" w:rsidR="007F59C4" w:rsidRPr="00CC136E" w:rsidRDefault="00CC136E" w:rsidP="00CC136E">
      <w:pPr>
        <w:pStyle w:val="CH2"/>
      </w:pPr>
      <w:r w:rsidRPr="00CC136E">
        <w:tab/>
      </w:r>
      <w:r w:rsidRPr="00CC136E">
        <w:tab/>
      </w:r>
      <w:r w:rsidR="007F59C4" w:rsidRPr="00CC136E">
        <w:t>Note by the secretariat</w:t>
      </w:r>
    </w:p>
    <w:p w14:paraId="12AB75CA" w14:textId="6C0FEF68" w:rsidR="007F59C4" w:rsidRDefault="007F59C4" w:rsidP="00CC136E">
      <w:pPr>
        <w:pStyle w:val="Normalnumber"/>
      </w:pPr>
      <w:r w:rsidRPr="00806B30">
        <w:t xml:space="preserve">In </w:t>
      </w:r>
      <w:r w:rsidR="007D5CE9">
        <w:t xml:space="preserve">section II of </w:t>
      </w:r>
      <w:r w:rsidRPr="00806B30">
        <w:t>decision IPBES-</w:t>
      </w:r>
      <w:r>
        <w:t>4</w:t>
      </w:r>
      <w:r w:rsidRPr="00806B30">
        <w:t>/4</w:t>
      </w:r>
      <w:r>
        <w:t>, the Plenary of the Intergovernmental Science-Policy</w:t>
      </w:r>
      <w:r w:rsidR="007D5CE9">
        <w:t xml:space="preserve"> Platform</w:t>
      </w:r>
      <w:r>
        <w:t xml:space="preserve"> on Biodiversity and Ecosystem Services (IPBES) </w:t>
      </w:r>
      <w:r w:rsidRPr="000D7F03">
        <w:t>requested the</w:t>
      </w:r>
      <w:r w:rsidRPr="006F4969">
        <w:t xml:space="preserve"> Executive Secretary</w:t>
      </w:r>
      <w:r>
        <w:t xml:space="preserve"> to </w:t>
      </w:r>
      <w:r w:rsidRPr="006F4969">
        <w:t>undertake the activities set out in the initial implementation plan of the stakeholder engagement strategy</w:t>
      </w:r>
      <w:r>
        <w:t xml:space="preserve"> (</w:t>
      </w:r>
      <w:r w:rsidR="007D5CE9">
        <w:t>d</w:t>
      </w:r>
      <w:r w:rsidRPr="002B252D">
        <w:t>ecision IPBES-3/4</w:t>
      </w:r>
      <w:r>
        <w:t>, annex II, appendix)</w:t>
      </w:r>
      <w:r w:rsidR="000341BD">
        <w:t>.</w:t>
      </w:r>
    </w:p>
    <w:p w14:paraId="56D2816D" w14:textId="67D249B8" w:rsidR="007F59C4" w:rsidRDefault="007F59C4" w:rsidP="00CC136E">
      <w:pPr>
        <w:pStyle w:val="Normalnumber"/>
      </w:pPr>
      <w:r>
        <w:t xml:space="preserve">Accordingly, the secretariat, with in-kind administrative support from the International Union for Conservation of Nature, has conducted a detailed stakeholder analysis survey to help inform communication and outreach decisions with regard to underrepresented stakeholder groups and to improve levels of stakeholder engagement </w:t>
      </w:r>
      <w:r w:rsidR="0002634C">
        <w:t xml:space="preserve">in </w:t>
      </w:r>
      <w:r>
        <w:t xml:space="preserve">the work of IPBES. </w:t>
      </w:r>
      <w:r w:rsidRPr="00161F92">
        <w:t xml:space="preserve">The annex to the present note </w:t>
      </w:r>
      <w:r>
        <w:t>sets out selected results of the survey and offers a number of analytical observations to inform</w:t>
      </w:r>
      <w:r w:rsidR="00487608">
        <w:t xml:space="preserve"> communication and outreach</w:t>
      </w:r>
      <w:r>
        <w:t xml:space="preserve"> decisions</w:t>
      </w:r>
      <w:r w:rsidR="00ED4EA6">
        <w:t xml:space="preserve"> as mentioned above</w:t>
      </w:r>
      <w:r>
        <w:t>.</w:t>
      </w:r>
      <w:r w:rsidRPr="00161F92">
        <w:t xml:space="preserve"> It is presented without formal editing.</w:t>
      </w:r>
    </w:p>
    <w:p w14:paraId="64BC1188" w14:textId="77777777" w:rsidR="007F59C4" w:rsidRDefault="007F59C4" w:rsidP="007F59C4">
      <w:pPr>
        <w:rPr>
          <w:lang w:eastAsia="ko-KR"/>
        </w:rPr>
      </w:pPr>
      <w:r>
        <w:rPr>
          <w:lang w:eastAsia="ko-KR"/>
        </w:rPr>
        <w:br w:type="page"/>
      </w:r>
    </w:p>
    <w:p w14:paraId="1DF96D91" w14:textId="77777777" w:rsidR="007F59C4" w:rsidRDefault="007F59C4" w:rsidP="00CC136E">
      <w:pPr>
        <w:pStyle w:val="ZZAnxheader"/>
      </w:pPr>
      <w:r w:rsidRPr="00161F92">
        <w:lastRenderedPageBreak/>
        <w:t xml:space="preserve">Annex </w:t>
      </w:r>
    </w:p>
    <w:p w14:paraId="04ED2161" w14:textId="77777777" w:rsidR="007F59C4" w:rsidRDefault="007F59C4" w:rsidP="00CC136E">
      <w:pPr>
        <w:pStyle w:val="ZZAnxtitle"/>
      </w:pPr>
      <w:r>
        <w:t>Results of the s</w:t>
      </w:r>
      <w:r w:rsidRPr="00E13852">
        <w:t>takehold</w:t>
      </w:r>
      <w:r>
        <w:t>er</w:t>
      </w:r>
      <w:r w:rsidRPr="00E13852">
        <w:t xml:space="preserve"> analysis</w:t>
      </w:r>
      <w:r>
        <w:t xml:space="preserve"> survey </w:t>
      </w:r>
    </w:p>
    <w:p w14:paraId="18264794" w14:textId="77777777" w:rsidR="007F59C4" w:rsidRPr="00C90FDD" w:rsidRDefault="00CC136E" w:rsidP="00CC136E">
      <w:pPr>
        <w:pStyle w:val="CH1"/>
      </w:pPr>
      <w:r>
        <w:tab/>
        <w:t>I.</w:t>
      </w:r>
      <w:r>
        <w:tab/>
      </w:r>
      <w:r w:rsidR="007F59C4" w:rsidRPr="00E13852">
        <w:t>General information</w:t>
      </w:r>
    </w:p>
    <w:p w14:paraId="0F94BB3B" w14:textId="7881DBF4" w:rsidR="007F59C4" w:rsidRPr="00D67E66" w:rsidRDefault="007F59C4" w:rsidP="00060458">
      <w:pPr>
        <w:pStyle w:val="Normalnumber"/>
        <w:numPr>
          <w:ilvl w:val="0"/>
          <w:numId w:val="7"/>
        </w:numPr>
      </w:pPr>
      <w:r w:rsidRPr="00D67E66">
        <w:t>A questionnaire concerning stakeholder was sent by email to all stakeholders included in the IPBES registry of stakeholders (6397 records) (see Figure 1 for a graphical representation of per country registered stakeholders). Responses received between Frid</w:t>
      </w:r>
      <w:r w:rsidR="00A6162B">
        <w:t>ay, 23 September and Sunday, 23 </w:t>
      </w:r>
      <w:r w:rsidRPr="00D67E66">
        <w:t>October 2016 were included in the present analysis.</w:t>
      </w:r>
    </w:p>
    <w:p w14:paraId="57DF7E54" w14:textId="77777777" w:rsidR="007F59C4" w:rsidRDefault="007F59C4" w:rsidP="00060458">
      <w:pPr>
        <w:pStyle w:val="Normalnumber"/>
        <w:numPr>
          <w:ilvl w:val="0"/>
          <w:numId w:val="7"/>
        </w:numPr>
      </w:pPr>
      <w:r w:rsidRPr="00D67E66">
        <w:t>The overall response rate was 13%.</w:t>
      </w:r>
      <w:r>
        <w:t xml:space="preserve"> Given the sample size of </w:t>
      </w:r>
      <w:r w:rsidRPr="00D67E66">
        <w:t>834 responses,</w:t>
      </w:r>
      <w:r>
        <w:t xml:space="preserve"> and a confidence level of 99%, the margin of error is 5%. A key learning from this first survey has been the importance of more strategic selection of response categories in the design phase – specifically to adopt a less granular level of categorisation to reduce double counting and to enable a more rigorous mapping of key gaps in the IPBES stakeholder registry.  </w:t>
      </w:r>
    </w:p>
    <w:p w14:paraId="33FE49B0" w14:textId="77777777" w:rsidR="007F59C4" w:rsidRPr="009A4B10" w:rsidRDefault="007F59C4" w:rsidP="00060458">
      <w:pPr>
        <w:pStyle w:val="Heading2"/>
        <w:numPr>
          <w:ilvl w:val="1"/>
          <w:numId w:val="2"/>
        </w:numPr>
        <w:ind w:left="1276" w:hanging="556"/>
      </w:pPr>
      <w:r w:rsidRPr="009A4B10">
        <w:t xml:space="preserve">Geographic </w:t>
      </w:r>
      <w:r w:rsidRPr="003A4259">
        <w:t>representivity:</w:t>
      </w:r>
      <w:r w:rsidRPr="009A4B10">
        <w:t xml:space="preserve"> </w:t>
      </w:r>
      <w:r>
        <w:t>country level</w:t>
      </w:r>
    </w:p>
    <w:p w14:paraId="3D5DB15D" w14:textId="77777777" w:rsidR="007F59C4" w:rsidRDefault="007F59C4" w:rsidP="00060458">
      <w:pPr>
        <w:pStyle w:val="Normalnumber"/>
        <w:numPr>
          <w:ilvl w:val="0"/>
          <w:numId w:val="7"/>
        </w:numPr>
      </w:pPr>
      <w:r>
        <w:t>Based on the country of primary nationality of all respondents, 112 States were represented in the responses received.</w:t>
      </w:r>
    </w:p>
    <w:p w14:paraId="4E6A211D" w14:textId="77777777" w:rsidR="007F59C4" w:rsidRDefault="007F59C4" w:rsidP="00060458">
      <w:pPr>
        <w:pStyle w:val="Normalnumber"/>
        <w:numPr>
          <w:ilvl w:val="0"/>
          <w:numId w:val="7"/>
        </w:numPr>
      </w:pPr>
      <w:r>
        <w:t>93 responses were from IPBES member States (representing 74,4% of the then-125 IPBES member States). 19 responses were from States which were not yet members of IPBES.</w:t>
      </w:r>
    </w:p>
    <w:p w14:paraId="588537B1" w14:textId="77777777" w:rsidR="007F59C4" w:rsidRDefault="007F59C4" w:rsidP="00060458">
      <w:pPr>
        <w:pStyle w:val="Normalnumber"/>
        <w:numPr>
          <w:ilvl w:val="0"/>
          <w:numId w:val="7"/>
        </w:numPr>
      </w:pPr>
      <w:r>
        <w:t>The five countries with the greatest number of responses were India (63), Germany (47), United States of America (43), Brazil (42) and Colombia (35) (see Figure 2 for a graphical representation of the number of responses received per country).</w:t>
      </w:r>
    </w:p>
    <w:p w14:paraId="09B65932" w14:textId="77777777" w:rsidR="007F59C4" w:rsidRDefault="007F59C4" w:rsidP="00060458">
      <w:pPr>
        <w:pStyle w:val="Normalnumber"/>
        <w:numPr>
          <w:ilvl w:val="0"/>
          <w:numId w:val="7"/>
        </w:numPr>
      </w:pPr>
      <w:r>
        <w:t xml:space="preserve">No responses were received from 32 then-member States of IPBES (representing a </w:t>
      </w:r>
      <w:r w:rsidR="002D4BFE">
        <w:br/>
      </w:r>
      <w:r>
        <w:t xml:space="preserve">null-response from 26% of then-IPBES member States). </w:t>
      </w:r>
    </w:p>
    <w:p w14:paraId="3388891D" w14:textId="22C466F0" w:rsidR="00D67E66" w:rsidRDefault="003B4B00" w:rsidP="00D67E66">
      <w:pPr>
        <w:pStyle w:val="Titletable"/>
        <w:keepNext w:val="0"/>
        <w:keepLines w:val="0"/>
      </w:pPr>
      <w:r w:rsidRPr="00D67E66">
        <w:rPr>
          <w:b w:val="0"/>
          <w:noProof/>
          <w:lang w:val="en-US"/>
        </w:rPr>
        <w:drawing>
          <wp:anchor distT="0" distB="0" distL="114300" distR="114300" simplePos="0" relativeHeight="251663360" behindDoc="0" locked="0" layoutInCell="1" allowOverlap="1" wp14:anchorId="0905344E" wp14:editId="63ADDC1A">
            <wp:simplePos x="0" y="0"/>
            <wp:positionH relativeFrom="column">
              <wp:posOffset>375920</wp:posOffset>
            </wp:positionH>
            <wp:positionV relativeFrom="paragraph">
              <wp:posOffset>412115</wp:posOffset>
            </wp:positionV>
            <wp:extent cx="5473700" cy="2818130"/>
            <wp:effectExtent l="0" t="0" r="0" b="127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olie1.png"/>
                    <pic:cNvPicPr/>
                  </pic:nvPicPr>
                  <pic:blipFill>
                    <a:blip r:embed="rId14">
                      <a:extLst>
                        <a:ext uri="{28A0092B-C50C-407E-A947-70E740481C1C}">
                          <a14:useLocalDpi xmlns:a14="http://schemas.microsoft.com/office/drawing/2010/main" val="0"/>
                        </a:ext>
                      </a:extLst>
                    </a:blip>
                    <a:stretch>
                      <a:fillRect/>
                    </a:stretch>
                  </pic:blipFill>
                  <pic:spPr>
                    <a:xfrm>
                      <a:off x="0" y="0"/>
                      <a:ext cx="5473700" cy="2818130"/>
                    </a:xfrm>
                    <a:prstGeom prst="rect">
                      <a:avLst/>
                    </a:prstGeom>
                  </pic:spPr>
                </pic:pic>
              </a:graphicData>
            </a:graphic>
            <wp14:sizeRelH relativeFrom="page">
              <wp14:pctWidth>0</wp14:pctWidth>
            </wp14:sizeRelH>
            <wp14:sizeRelV relativeFrom="page">
              <wp14:pctHeight>0</wp14:pctHeight>
            </wp14:sizeRelV>
          </wp:anchor>
        </w:drawing>
      </w:r>
      <w:r w:rsidR="007F59C4" w:rsidRPr="00D67E66">
        <w:rPr>
          <w:b w:val="0"/>
        </w:rPr>
        <w:t>Figur</w:t>
      </w:r>
      <w:r w:rsidR="00D67E66" w:rsidRPr="00D67E66">
        <w:rPr>
          <w:b w:val="0"/>
        </w:rPr>
        <w:t>e 1</w:t>
      </w:r>
      <w:r w:rsidR="00D67E66" w:rsidRPr="00D67E66">
        <w:rPr>
          <w:b w:val="0"/>
        </w:rPr>
        <w:br/>
      </w:r>
      <w:r w:rsidR="007F59C4">
        <w:t>Number of stakeholder registrations per country as at 23 October 2016</w:t>
      </w:r>
    </w:p>
    <w:p w14:paraId="1800EEFC" w14:textId="12E97F46" w:rsidR="00A911DB" w:rsidRDefault="00A911DB" w:rsidP="003B4B00">
      <w:pPr>
        <w:ind w:left="1247"/>
      </w:pPr>
      <w:r>
        <w:br w:type="page"/>
      </w:r>
    </w:p>
    <w:p w14:paraId="76DCFE07" w14:textId="155E0158" w:rsidR="00D67E66" w:rsidRDefault="00A6162B" w:rsidP="00D67E66">
      <w:pPr>
        <w:pStyle w:val="Titletable"/>
        <w:spacing w:before="120"/>
      </w:pPr>
      <w:r>
        <w:rPr>
          <w:noProof/>
          <w:lang w:val="en-US"/>
        </w:rPr>
        <w:lastRenderedPageBreak/>
        <w:drawing>
          <wp:anchor distT="0" distB="0" distL="114300" distR="114300" simplePos="0" relativeHeight="251661312" behindDoc="0" locked="0" layoutInCell="1" allowOverlap="1" wp14:anchorId="4D4D248A" wp14:editId="52664131">
            <wp:simplePos x="0" y="0"/>
            <wp:positionH relativeFrom="margin">
              <wp:posOffset>323215</wp:posOffset>
            </wp:positionH>
            <wp:positionV relativeFrom="paragraph">
              <wp:posOffset>391160</wp:posOffset>
            </wp:positionV>
            <wp:extent cx="5524500" cy="2876550"/>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lie2.png"/>
                    <pic:cNvPicPr/>
                  </pic:nvPicPr>
                  <pic:blipFill>
                    <a:blip r:embed="rId15">
                      <a:extLst>
                        <a:ext uri="{28A0092B-C50C-407E-A947-70E740481C1C}">
                          <a14:useLocalDpi xmlns:a14="http://schemas.microsoft.com/office/drawing/2010/main" val="0"/>
                        </a:ext>
                      </a:extLst>
                    </a:blip>
                    <a:stretch>
                      <a:fillRect/>
                    </a:stretch>
                  </pic:blipFill>
                  <pic:spPr>
                    <a:xfrm>
                      <a:off x="0" y="0"/>
                      <a:ext cx="5524500" cy="2876550"/>
                    </a:xfrm>
                    <a:prstGeom prst="rect">
                      <a:avLst/>
                    </a:prstGeom>
                  </pic:spPr>
                </pic:pic>
              </a:graphicData>
            </a:graphic>
            <wp14:sizeRelH relativeFrom="page">
              <wp14:pctWidth>0</wp14:pctWidth>
            </wp14:sizeRelH>
            <wp14:sizeRelV relativeFrom="page">
              <wp14:pctHeight>0</wp14:pctHeight>
            </wp14:sizeRelV>
          </wp:anchor>
        </w:drawing>
      </w:r>
      <w:r w:rsidR="00D67E66" w:rsidRPr="00D67E66">
        <w:rPr>
          <w:b w:val="0"/>
        </w:rPr>
        <w:t>Figure 2</w:t>
      </w:r>
      <w:r w:rsidR="00D67E66" w:rsidRPr="00D67E66">
        <w:rPr>
          <w:b w:val="0"/>
        </w:rPr>
        <w:br/>
      </w:r>
      <w:r w:rsidR="00D67E66">
        <w:t>Number of survey responses received per country</w:t>
      </w:r>
    </w:p>
    <w:p w14:paraId="170A537F" w14:textId="2EC34C97" w:rsidR="007F59C4" w:rsidRDefault="00D67E66" w:rsidP="00A6162B">
      <w:pPr>
        <w:pStyle w:val="CH2"/>
        <w:ind w:left="2098"/>
      </w:pPr>
      <w:r>
        <w:tab/>
        <w:t>B.</w:t>
      </w:r>
      <w:r>
        <w:tab/>
      </w:r>
      <w:r w:rsidR="007F59C4" w:rsidRPr="007939F0">
        <w:t xml:space="preserve">Geographic </w:t>
      </w:r>
      <w:r w:rsidR="007F59C4">
        <w:t>representivity</w:t>
      </w:r>
      <w:r w:rsidR="007F59C4" w:rsidRPr="007939F0">
        <w:t>: regional</w:t>
      </w:r>
      <w:r w:rsidR="007F59C4">
        <w:t xml:space="preserve"> level</w:t>
      </w:r>
    </w:p>
    <w:p w14:paraId="0231F9D8" w14:textId="77777777" w:rsidR="007F59C4" w:rsidRDefault="007F59C4" w:rsidP="00D67E66">
      <w:pPr>
        <w:pStyle w:val="Normalnumber"/>
      </w:pPr>
      <w:r>
        <w:t xml:space="preserve">Responses were received from all five United Nations regions: Africa (AF), Asia-Pacific (AP), Eastern Europe (EE), Latin America and the Caribbean (LAC) and Western Europe and Other Groups (WEOG). </w:t>
      </w:r>
    </w:p>
    <w:p w14:paraId="524A8A9D" w14:textId="77777777" w:rsidR="007F59C4" w:rsidRDefault="007F59C4" w:rsidP="00D67E66">
      <w:pPr>
        <w:pStyle w:val="Normalnumber"/>
      </w:pPr>
      <w:r>
        <w:t xml:space="preserve">Based on the country of primary nationality of respondents, responses were received from 21 countries out of the 26 in EE, which was the highest regional representivity (81%) (see Table 1). EE also had, however. the lowest absolute number of responses (54), representing only 7% of total responses received. </w:t>
      </w:r>
    </w:p>
    <w:p w14:paraId="10B49D41" w14:textId="77777777" w:rsidR="007F59C4" w:rsidRDefault="007F59C4" w:rsidP="00D67E66">
      <w:pPr>
        <w:pStyle w:val="Normalnumber"/>
      </w:pPr>
      <w:r>
        <w:t>AP had the lowest regional representivity, with responses received from fewer than 50% of countries in the region, but representing 20% of total responses received.</w:t>
      </w:r>
    </w:p>
    <w:p w14:paraId="7C018686" w14:textId="77777777" w:rsidR="007F59C4" w:rsidRDefault="007F59C4" w:rsidP="00D67E66">
      <w:pPr>
        <w:pStyle w:val="Normalnumber"/>
      </w:pPr>
      <w:r>
        <w:t>WEOG had the highest number of responses (240), representing 29% of total responses received, and accounting for 65% representivity of WEOG States.</w:t>
      </w:r>
    </w:p>
    <w:p w14:paraId="6192C08F" w14:textId="77777777" w:rsidR="007F59C4" w:rsidRDefault="007F59C4" w:rsidP="00D67E66">
      <w:pPr>
        <w:pStyle w:val="Normalnumber"/>
      </w:pPr>
      <w:r>
        <w:t>AF accounted for 23% of total responses, with regional representivity of 61%.</w:t>
      </w:r>
    </w:p>
    <w:p w14:paraId="55F20DC8" w14:textId="77777777" w:rsidR="007F59C4" w:rsidRDefault="007F59C4" w:rsidP="00D67E66">
      <w:pPr>
        <w:pStyle w:val="Normalnumber"/>
      </w:pPr>
      <w:r>
        <w:t xml:space="preserve">LAC accounted for 19% of total responses, with regional representivity of 49%. </w:t>
      </w:r>
    </w:p>
    <w:p w14:paraId="420797B5" w14:textId="77777777" w:rsidR="007F59C4" w:rsidRPr="00D67E66" w:rsidRDefault="007F59C4" w:rsidP="00D67E66">
      <w:pPr>
        <w:pStyle w:val="Normalnumber"/>
      </w:pPr>
      <w:r w:rsidRPr="00D67E66">
        <w:t>Observations:</w:t>
      </w:r>
    </w:p>
    <w:p w14:paraId="3853E3BB" w14:textId="77777777" w:rsidR="007F59C4" w:rsidRDefault="007F59C4" w:rsidP="00060458">
      <w:pPr>
        <w:pStyle w:val="Normalnumber"/>
        <w:numPr>
          <w:ilvl w:val="1"/>
          <w:numId w:val="6"/>
        </w:numPr>
      </w:pPr>
      <w:r>
        <w:t>In EE, the emphasis of IPBES outreach activities could be on raising awareness activities at the national and sub-national levels to increase the absolute number of stakeholders engaging with IPBES from the region.</w:t>
      </w:r>
    </w:p>
    <w:p w14:paraId="055442C5" w14:textId="77777777" w:rsidR="007F59C4" w:rsidRDefault="007F59C4" w:rsidP="00060458">
      <w:pPr>
        <w:pStyle w:val="Normalnumber"/>
        <w:numPr>
          <w:ilvl w:val="1"/>
          <w:numId w:val="6"/>
        </w:numPr>
      </w:pPr>
      <w:r>
        <w:t>In AP and LAC, where regional representivity was lower than 50%, outreach activities could be focused at the regional level to extend regional geographic stakeholder representivity.</w:t>
      </w:r>
    </w:p>
    <w:p w14:paraId="0C923E23" w14:textId="77777777" w:rsidR="007F59C4" w:rsidRDefault="007F59C4" w:rsidP="00060458">
      <w:pPr>
        <w:pStyle w:val="Normalnumber"/>
        <w:numPr>
          <w:ilvl w:val="1"/>
          <w:numId w:val="6"/>
        </w:numPr>
      </w:pPr>
      <w:r>
        <w:t>In WEOG and AF, outreach activities could be designed to engage specific under-represented groups, knowledge systems or disciplines.</w:t>
      </w:r>
    </w:p>
    <w:p w14:paraId="3137F754" w14:textId="1FE1C643" w:rsidR="007F59C4" w:rsidRDefault="00D67E66" w:rsidP="003B4B00">
      <w:pPr>
        <w:pStyle w:val="Titlefigure"/>
      </w:pPr>
      <w:bookmarkStart w:id="1" w:name="_Toc467449394"/>
      <w:bookmarkStart w:id="2" w:name="_Toc469302235"/>
      <w:r w:rsidRPr="006221FC">
        <w:rPr>
          <w:b w:val="0"/>
        </w:rPr>
        <w:lastRenderedPageBreak/>
        <w:t>Figure 3</w:t>
      </w:r>
      <w:r w:rsidR="00A911DB" w:rsidRPr="006221FC">
        <w:rPr>
          <w:b w:val="0"/>
        </w:rPr>
        <w:br/>
      </w:r>
      <w:r w:rsidRPr="006823FD">
        <w:t>Percentage of responses per region</w:t>
      </w:r>
      <w:bookmarkEnd w:id="1"/>
      <w:bookmarkEnd w:id="2"/>
    </w:p>
    <w:p w14:paraId="4B1830D3" w14:textId="77777777" w:rsidR="007F59C4" w:rsidRDefault="00A911DB" w:rsidP="00A911DB">
      <w:pPr>
        <w:keepNext/>
        <w:keepLines/>
        <w:ind w:left="1247"/>
      </w:pPr>
      <w:r>
        <w:rPr>
          <w:noProof/>
          <w:lang w:val="en-US"/>
        </w:rPr>
        <w:drawing>
          <wp:inline distT="0" distB="0" distL="0" distR="0" wp14:anchorId="73839AA0" wp14:editId="1ACFD15B">
            <wp:extent cx="3096883" cy="1621766"/>
            <wp:effectExtent l="0" t="0" r="889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A15EA49" w14:textId="77777777" w:rsidR="00A911DB" w:rsidRPr="006823FD" w:rsidRDefault="00A911DB" w:rsidP="00A911DB">
      <w:pPr>
        <w:pStyle w:val="Titletable"/>
        <w:spacing w:before="120"/>
      </w:pPr>
      <w:r w:rsidRPr="00A911DB">
        <w:rPr>
          <w:b w:val="0"/>
        </w:rPr>
        <w:t xml:space="preserve">Table </w:t>
      </w:r>
      <w:r w:rsidRPr="00A911DB">
        <w:rPr>
          <w:b w:val="0"/>
        </w:rPr>
        <w:fldChar w:fldCharType="begin"/>
      </w:r>
      <w:r w:rsidRPr="00A911DB">
        <w:rPr>
          <w:b w:val="0"/>
        </w:rPr>
        <w:instrText xml:space="preserve"> SEQ Table \* ARABIC </w:instrText>
      </w:r>
      <w:r w:rsidRPr="00A911DB">
        <w:rPr>
          <w:b w:val="0"/>
        </w:rPr>
        <w:fldChar w:fldCharType="separate"/>
      </w:r>
      <w:r w:rsidRPr="00A911DB">
        <w:rPr>
          <w:b w:val="0"/>
          <w:noProof/>
        </w:rPr>
        <w:t>1</w:t>
      </w:r>
      <w:r w:rsidRPr="00A911DB">
        <w:rPr>
          <w:b w:val="0"/>
          <w:noProof/>
        </w:rPr>
        <w:fldChar w:fldCharType="end"/>
      </w:r>
      <w:r>
        <w:br/>
        <w:t xml:space="preserve">Summary of </w:t>
      </w:r>
      <w:r w:rsidRPr="006823FD">
        <w:t>responses</w:t>
      </w:r>
      <w:r>
        <w:t xml:space="preserve"> received per United Nation </w:t>
      </w:r>
      <w:r w:rsidRPr="006823FD">
        <w:t>region</w:t>
      </w:r>
      <w:r w:rsidRPr="00A911DB">
        <w:rPr>
          <w:vertAlign w:val="superscript"/>
        </w:rPr>
        <w:footnoteReference w:id="2"/>
      </w:r>
      <w:r>
        <w:t>.</w:t>
      </w:r>
    </w:p>
    <w:tbl>
      <w:tblPr>
        <w:tblW w:w="7906" w:type="dxa"/>
        <w:tblInd w:w="1248" w:type="dxa"/>
        <w:tblLook w:val="04A0" w:firstRow="1" w:lastRow="0" w:firstColumn="1" w:lastColumn="0" w:noHBand="0" w:noVBand="1"/>
      </w:tblPr>
      <w:tblGrid>
        <w:gridCol w:w="959"/>
        <w:gridCol w:w="1276"/>
        <w:gridCol w:w="1275"/>
        <w:gridCol w:w="1560"/>
        <w:gridCol w:w="1418"/>
        <w:gridCol w:w="1418"/>
      </w:tblGrid>
      <w:tr w:rsidR="00A911DB" w:rsidRPr="00A911DB" w14:paraId="27BFDDB6" w14:textId="77777777" w:rsidTr="00A911DB">
        <w:trPr>
          <w:trHeight w:val="300"/>
        </w:trPr>
        <w:tc>
          <w:tcPr>
            <w:tcW w:w="959" w:type="dxa"/>
            <w:tcBorders>
              <w:top w:val="single" w:sz="4" w:space="0" w:color="auto"/>
              <w:bottom w:val="single" w:sz="12" w:space="0" w:color="auto"/>
            </w:tcBorders>
            <w:noWrap/>
            <w:vAlign w:val="center"/>
            <w:hideMark/>
          </w:tcPr>
          <w:p w14:paraId="35C9F858" w14:textId="77777777" w:rsidR="007F59C4" w:rsidRPr="00A911DB" w:rsidRDefault="007F59C4" w:rsidP="00A911DB">
            <w:pPr>
              <w:jc w:val="center"/>
              <w:rPr>
                <w:b/>
                <w:sz w:val="18"/>
                <w:szCs w:val="18"/>
                <w:lang w:eastAsia="en-GB"/>
              </w:rPr>
            </w:pPr>
            <w:r w:rsidRPr="00A911DB">
              <w:rPr>
                <w:sz w:val="18"/>
                <w:szCs w:val="18"/>
                <w:lang w:eastAsia="en-GB"/>
              </w:rPr>
              <w:t>Region</w:t>
            </w:r>
          </w:p>
        </w:tc>
        <w:tc>
          <w:tcPr>
            <w:tcW w:w="1276" w:type="dxa"/>
            <w:tcBorders>
              <w:top w:val="single" w:sz="4" w:space="0" w:color="auto"/>
              <w:bottom w:val="single" w:sz="12" w:space="0" w:color="auto"/>
            </w:tcBorders>
            <w:noWrap/>
            <w:vAlign w:val="center"/>
            <w:hideMark/>
          </w:tcPr>
          <w:p w14:paraId="20490B55" w14:textId="77777777" w:rsidR="007F59C4" w:rsidRPr="00A911DB" w:rsidRDefault="007F59C4" w:rsidP="00A911DB">
            <w:pPr>
              <w:jc w:val="center"/>
              <w:rPr>
                <w:b/>
                <w:sz w:val="18"/>
                <w:szCs w:val="18"/>
                <w:lang w:eastAsia="en-GB"/>
              </w:rPr>
            </w:pPr>
            <w:r w:rsidRPr="00A911DB">
              <w:rPr>
                <w:sz w:val="18"/>
                <w:szCs w:val="18"/>
                <w:lang w:eastAsia="en-GB"/>
              </w:rPr>
              <w:t>Total # Countries</w:t>
            </w:r>
          </w:p>
        </w:tc>
        <w:tc>
          <w:tcPr>
            <w:tcW w:w="1275" w:type="dxa"/>
            <w:tcBorders>
              <w:top w:val="single" w:sz="4" w:space="0" w:color="auto"/>
              <w:bottom w:val="single" w:sz="12" w:space="0" w:color="auto"/>
            </w:tcBorders>
            <w:noWrap/>
            <w:vAlign w:val="center"/>
            <w:hideMark/>
          </w:tcPr>
          <w:p w14:paraId="2D447AAC" w14:textId="77777777" w:rsidR="007F59C4" w:rsidRPr="00A911DB" w:rsidRDefault="007F59C4" w:rsidP="00A911DB">
            <w:pPr>
              <w:jc w:val="center"/>
              <w:rPr>
                <w:b/>
                <w:sz w:val="18"/>
                <w:szCs w:val="18"/>
                <w:lang w:eastAsia="en-GB"/>
              </w:rPr>
            </w:pPr>
            <w:r w:rsidRPr="00A911DB">
              <w:rPr>
                <w:sz w:val="18"/>
                <w:szCs w:val="18"/>
                <w:lang w:eastAsia="en-GB"/>
              </w:rPr>
              <w:t># Countries who responded</w:t>
            </w:r>
          </w:p>
        </w:tc>
        <w:tc>
          <w:tcPr>
            <w:tcW w:w="1560" w:type="dxa"/>
            <w:tcBorders>
              <w:top w:val="single" w:sz="4" w:space="0" w:color="auto"/>
              <w:bottom w:val="single" w:sz="12" w:space="0" w:color="auto"/>
            </w:tcBorders>
            <w:noWrap/>
            <w:vAlign w:val="center"/>
            <w:hideMark/>
          </w:tcPr>
          <w:p w14:paraId="3722D434" w14:textId="77777777" w:rsidR="007F59C4" w:rsidRPr="00A911DB" w:rsidRDefault="007F59C4" w:rsidP="00A911DB">
            <w:pPr>
              <w:jc w:val="center"/>
              <w:rPr>
                <w:b/>
                <w:sz w:val="18"/>
                <w:szCs w:val="18"/>
                <w:lang w:eastAsia="en-GB"/>
              </w:rPr>
            </w:pPr>
            <w:r w:rsidRPr="00A911DB">
              <w:rPr>
                <w:sz w:val="18"/>
                <w:szCs w:val="18"/>
                <w:lang w:eastAsia="en-GB"/>
              </w:rPr>
              <w:t>% Regional Geographic Coverage</w:t>
            </w:r>
          </w:p>
        </w:tc>
        <w:tc>
          <w:tcPr>
            <w:tcW w:w="1418" w:type="dxa"/>
            <w:tcBorders>
              <w:top w:val="single" w:sz="4" w:space="0" w:color="auto"/>
              <w:bottom w:val="single" w:sz="12" w:space="0" w:color="auto"/>
            </w:tcBorders>
            <w:vAlign w:val="center"/>
          </w:tcPr>
          <w:p w14:paraId="4E339FD0" w14:textId="77777777" w:rsidR="007F59C4" w:rsidRPr="00A911DB" w:rsidRDefault="007F59C4" w:rsidP="00A911DB">
            <w:pPr>
              <w:jc w:val="center"/>
              <w:rPr>
                <w:b/>
                <w:sz w:val="18"/>
                <w:szCs w:val="18"/>
                <w:lang w:eastAsia="en-GB"/>
              </w:rPr>
            </w:pPr>
            <w:r w:rsidRPr="00A911DB">
              <w:rPr>
                <w:sz w:val="18"/>
                <w:szCs w:val="18"/>
                <w:lang w:eastAsia="en-GB"/>
              </w:rPr>
              <w:t># of Responses</w:t>
            </w:r>
          </w:p>
        </w:tc>
        <w:tc>
          <w:tcPr>
            <w:tcW w:w="1418" w:type="dxa"/>
            <w:tcBorders>
              <w:top w:val="single" w:sz="4" w:space="0" w:color="auto"/>
              <w:bottom w:val="single" w:sz="12" w:space="0" w:color="auto"/>
            </w:tcBorders>
            <w:vAlign w:val="center"/>
          </w:tcPr>
          <w:p w14:paraId="2D86CEFF" w14:textId="77777777" w:rsidR="007F59C4" w:rsidRPr="00A911DB" w:rsidRDefault="007F59C4" w:rsidP="00A911DB">
            <w:pPr>
              <w:jc w:val="center"/>
              <w:rPr>
                <w:b/>
                <w:sz w:val="18"/>
                <w:szCs w:val="18"/>
                <w:lang w:eastAsia="en-GB"/>
              </w:rPr>
            </w:pPr>
            <w:r w:rsidRPr="00A911DB">
              <w:rPr>
                <w:sz w:val="18"/>
                <w:szCs w:val="18"/>
                <w:lang w:eastAsia="en-GB"/>
              </w:rPr>
              <w:t>% of Total Responses</w:t>
            </w:r>
          </w:p>
        </w:tc>
      </w:tr>
      <w:tr w:rsidR="007F59C4" w:rsidRPr="00A911DB" w14:paraId="4DA3B369" w14:textId="77777777" w:rsidTr="00A911DB">
        <w:trPr>
          <w:trHeight w:val="300"/>
        </w:trPr>
        <w:tc>
          <w:tcPr>
            <w:tcW w:w="959" w:type="dxa"/>
            <w:tcBorders>
              <w:top w:val="single" w:sz="12" w:space="0" w:color="auto"/>
            </w:tcBorders>
            <w:noWrap/>
            <w:vAlign w:val="center"/>
            <w:hideMark/>
          </w:tcPr>
          <w:p w14:paraId="06A95721" w14:textId="77777777" w:rsidR="007F59C4" w:rsidRPr="00A911DB" w:rsidRDefault="007F59C4" w:rsidP="00A911DB">
            <w:pPr>
              <w:jc w:val="center"/>
              <w:rPr>
                <w:b/>
                <w:sz w:val="18"/>
                <w:szCs w:val="18"/>
                <w:lang w:eastAsia="en-GB"/>
              </w:rPr>
            </w:pPr>
            <w:r w:rsidRPr="00A911DB">
              <w:rPr>
                <w:sz w:val="18"/>
                <w:szCs w:val="18"/>
                <w:lang w:eastAsia="en-GB"/>
              </w:rPr>
              <w:t>AF</w:t>
            </w:r>
          </w:p>
        </w:tc>
        <w:tc>
          <w:tcPr>
            <w:tcW w:w="1276" w:type="dxa"/>
            <w:tcBorders>
              <w:top w:val="single" w:sz="12" w:space="0" w:color="auto"/>
            </w:tcBorders>
            <w:noWrap/>
            <w:vAlign w:val="center"/>
            <w:hideMark/>
          </w:tcPr>
          <w:p w14:paraId="29802F75" w14:textId="77777777" w:rsidR="007F59C4" w:rsidRPr="00A911DB" w:rsidRDefault="007F59C4" w:rsidP="00A911DB">
            <w:pPr>
              <w:jc w:val="center"/>
              <w:rPr>
                <w:sz w:val="18"/>
                <w:szCs w:val="18"/>
                <w:lang w:eastAsia="en-GB"/>
              </w:rPr>
            </w:pPr>
            <w:r w:rsidRPr="00A911DB">
              <w:rPr>
                <w:sz w:val="18"/>
                <w:szCs w:val="18"/>
                <w:lang w:eastAsia="en-GB"/>
              </w:rPr>
              <w:t>54</w:t>
            </w:r>
          </w:p>
        </w:tc>
        <w:tc>
          <w:tcPr>
            <w:tcW w:w="1275" w:type="dxa"/>
            <w:tcBorders>
              <w:top w:val="single" w:sz="12" w:space="0" w:color="auto"/>
            </w:tcBorders>
            <w:noWrap/>
            <w:vAlign w:val="center"/>
            <w:hideMark/>
          </w:tcPr>
          <w:p w14:paraId="35A96443" w14:textId="77777777" w:rsidR="007F59C4" w:rsidRPr="00A911DB" w:rsidRDefault="007F59C4" w:rsidP="00A911DB">
            <w:pPr>
              <w:jc w:val="center"/>
              <w:rPr>
                <w:sz w:val="18"/>
                <w:szCs w:val="18"/>
                <w:lang w:eastAsia="en-GB"/>
              </w:rPr>
            </w:pPr>
            <w:r w:rsidRPr="00A911DB">
              <w:rPr>
                <w:sz w:val="18"/>
                <w:szCs w:val="18"/>
                <w:lang w:eastAsia="en-GB"/>
              </w:rPr>
              <w:t>33</w:t>
            </w:r>
          </w:p>
        </w:tc>
        <w:tc>
          <w:tcPr>
            <w:tcW w:w="1560" w:type="dxa"/>
            <w:tcBorders>
              <w:top w:val="single" w:sz="12" w:space="0" w:color="auto"/>
            </w:tcBorders>
            <w:noWrap/>
            <w:vAlign w:val="center"/>
            <w:hideMark/>
          </w:tcPr>
          <w:p w14:paraId="3E782021" w14:textId="77777777" w:rsidR="007F59C4" w:rsidRPr="00A911DB" w:rsidRDefault="007F59C4" w:rsidP="00A911DB">
            <w:pPr>
              <w:jc w:val="center"/>
              <w:rPr>
                <w:sz w:val="18"/>
                <w:szCs w:val="18"/>
                <w:lang w:eastAsia="en-GB"/>
              </w:rPr>
            </w:pPr>
            <w:r w:rsidRPr="00A911DB">
              <w:rPr>
                <w:sz w:val="18"/>
                <w:szCs w:val="18"/>
                <w:lang w:eastAsia="en-GB"/>
              </w:rPr>
              <w:t>61</w:t>
            </w:r>
          </w:p>
        </w:tc>
        <w:tc>
          <w:tcPr>
            <w:tcW w:w="1418" w:type="dxa"/>
            <w:tcBorders>
              <w:top w:val="single" w:sz="12" w:space="0" w:color="auto"/>
            </w:tcBorders>
          </w:tcPr>
          <w:p w14:paraId="217557E6" w14:textId="77777777" w:rsidR="007F59C4" w:rsidRPr="00A911DB" w:rsidRDefault="007F59C4" w:rsidP="00A911DB">
            <w:pPr>
              <w:jc w:val="center"/>
              <w:rPr>
                <w:sz w:val="18"/>
                <w:szCs w:val="18"/>
                <w:lang w:eastAsia="en-GB"/>
              </w:rPr>
            </w:pPr>
            <w:r w:rsidRPr="00A911DB">
              <w:rPr>
                <w:sz w:val="18"/>
                <w:szCs w:val="18"/>
              </w:rPr>
              <w:t>192</w:t>
            </w:r>
          </w:p>
        </w:tc>
        <w:tc>
          <w:tcPr>
            <w:tcW w:w="1418" w:type="dxa"/>
            <w:tcBorders>
              <w:top w:val="single" w:sz="12" w:space="0" w:color="auto"/>
            </w:tcBorders>
          </w:tcPr>
          <w:p w14:paraId="2DB9D817" w14:textId="77777777" w:rsidR="007F59C4" w:rsidRPr="00A911DB" w:rsidRDefault="007F59C4" w:rsidP="00A911DB">
            <w:pPr>
              <w:jc w:val="center"/>
              <w:rPr>
                <w:sz w:val="18"/>
                <w:szCs w:val="18"/>
              </w:rPr>
            </w:pPr>
            <w:r w:rsidRPr="00A911DB">
              <w:rPr>
                <w:sz w:val="18"/>
                <w:szCs w:val="18"/>
              </w:rPr>
              <w:t>23</w:t>
            </w:r>
          </w:p>
        </w:tc>
      </w:tr>
      <w:tr w:rsidR="007F59C4" w:rsidRPr="00A911DB" w14:paraId="1D79CEA0" w14:textId="77777777" w:rsidTr="003B1C83">
        <w:trPr>
          <w:trHeight w:val="300"/>
        </w:trPr>
        <w:tc>
          <w:tcPr>
            <w:tcW w:w="959" w:type="dxa"/>
            <w:noWrap/>
            <w:vAlign w:val="center"/>
            <w:hideMark/>
          </w:tcPr>
          <w:p w14:paraId="1C26A0CF" w14:textId="77777777" w:rsidR="007F59C4" w:rsidRPr="00A911DB" w:rsidRDefault="007F59C4" w:rsidP="00A911DB">
            <w:pPr>
              <w:jc w:val="center"/>
              <w:rPr>
                <w:b/>
                <w:sz w:val="18"/>
                <w:szCs w:val="18"/>
                <w:lang w:eastAsia="en-GB"/>
              </w:rPr>
            </w:pPr>
            <w:r w:rsidRPr="00A911DB">
              <w:rPr>
                <w:sz w:val="18"/>
                <w:szCs w:val="18"/>
                <w:lang w:eastAsia="en-GB"/>
              </w:rPr>
              <w:t>AP</w:t>
            </w:r>
          </w:p>
        </w:tc>
        <w:tc>
          <w:tcPr>
            <w:tcW w:w="1276" w:type="dxa"/>
            <w:noWrap/>
            <w:vAlign w:val="center"/>
            <w:hideMark/>
          </w:tcPr>
          <w:p w14:paraId="10F3DAA0" w14:textId="77777777" w:rsidR="007F59C4" w:rsidRPr="00A911DB" w:rsidRDefault="007F59C4" w:rsidP="00A911DB">
            <w:pPr>
              <w:jc w:val="center"/>
              <w:rPr>
                <w:sz w:val="18"/>
                <w:szCs w:val="18"/>
                <w:lang w:eastAsia="en-GB"/>
              </w:rPr>
            </w:pPr>
            <w:r w:rsidRPr="00A911DB">
              <w:rPr>
                <w:sz w:val="18"/>
                <w:szCs w:val="18"/>
                <w:lang w:eastAsia="en-GB"/>
              </w:rPr>
              <w:t>53</w:t>
            </w:r>
          </w:p>
        </w:tc>
        <w:tc>
          <w:tcPr>
            <w:tcW w:w="1275" w:type="dxa"/>
            <w:noWrap/>
            <w:vAlign w:val="center"/>
            <w:hideMark/>
          </w:tcPr>
          <w:p w14:paraId="7616F327" w14:textId="77777777" w:rsidR="007F59C4" w:rsidRPr="00A911DB" w:rsidRDefault="007F59C4" w:rsidP="00A911DB">
            <w:pPr>
              <w:jc w:val="center"/>
              <w:rPr>
                <w:sz w:val="18"/>
                <w:szCs w:val="18"/>
                <w:lang w:eastAsia="en-GB"/>
              </w:rPr>
            </w:pPr>
            <w:r w:rsidRPr="00A911DB">
              <w:rPr>
                <w:sz w:val="18"/>
                <w:szCs w:val="18"/>
                <w:lang w:eastAsia="en-GB"/>
              </w:rPr>
              <w:t>22</w:t>
            </w:r>
          </w:p>
        </w:tc>
        <w:tc>
          <w:tcPr>
            <w:tcW w:w="1560" w:type="dxa"/>
            <w:noWrap/>
            <w:vAlign w:val="center"/>
            <w:hideMark/>
          </w:tcPr>
          <w:p w14:paraId="697B26DC" w14:textId="77777777" w:rsidR="007F59C4" w:rsidRPr="00A911DB" w:rsidRDefault="007F59C4" w:rsidP="00A911DB">
            <w:pPr>
              <w:jc w:val="center"/>
              <w:rPr>
                <w:sz w:val="18"/>
                <w:szCs w:val="18"/>
                <w:lang w:eastAsia="en-GB"/>
              </w:rPr>
            </w:pPr>
            <w:r w:rsidRPr="00A911DB">
              <w:rPr>
                <w:sz w:val="18"/>
                <w:szCs w:val="18"/>
                <w:lang w:eastAsia="en-GB"/>
              </w:rPr>
              <w:t>41</w:t>
            </w:r>
          </w:p>
        </w:tc>
        <w:tc>
          <w:tcPr>
            <w:tcW w:w="1418" w:type="dxa"/>
          </w:tcPr>
          <w:p w14:paraId="348EC454" w14:textId="77777777" w:rsidR="007F59C4" w:rsidRPr="00A911DB" w:rsidRDefault="007F59C4" w:rsidP="00A911DB">
            <w:pPr>
              <w:jc w:val="center"/>
              <w:rPr>
                <w:sz w:val="18"/>
                <w:szCs w:val="18"/>
                <w:lang w:eastAsia="en-GB"/>
              </w:rPr>
            </w:pPr>
            <w:r w:rsidRPr="00A911DB">
              <w:rPr>
                <w:sz w:val="18"/>
                <w:szCs w:val="18"/>
              </w:rPr>
              <w:t>169</w:t>
            </w:r>
          </w:p>
        </w:tc>
        <w:tc>
          <w:tcPr>
            <w:tcW w:w="1418" w:type="dxa"/>
          </w:tcPr>
          <w:p w14:paraId="640E8E66" w14:textId="77777777" w:rsidR="007F59C4" w:rsidRPr="00A911DB" w:rsidRDefault="007F59C4" w:rsidP="00A911DB">
            <w:pPr>
              <w:jc w:val="center"/>
              <w:rPr>
                <w:sz w:val="18"/>
                <w:szCs w:val="18"/>
              </w:rPr>
            </w:pPr>
            <w:r w:rsidRPr="00A911DB">
              <w:rPr>
                <w:sz w:val="18"/>
                <w:szCs w:val="18"/>
              </w:rPr>
              <w:t>20</w:t>
            </w:r>
          </w:p>
        </w:tc>
      </w:tr>
      <w:tr w:rsidR="007F59C4" w:rsidRPr="00A911DB" w14:paraId="7C3CE6E3" w14:textId="77777777" w:rsidTr="003B1C83">
        <w:trPr>
          <w:trHeight w:val="300"/>
        </w:trPr>
        <w:tc>
          <w:tcPr>
            <w:tcW w:w="959" w:type="dxa"/>
            <w:noWrap/>
            <w:vAlign w:val="center"/>
            <w:hideMark/>
          </w:tcPr>
          <w:p w14:paraId="64F8955B" w14:textId="77777777" w:rsidR="007F59C4" w:rsidRPr="00A911DB" w:rsidRDefault="007F59C4" w:rsidP="00A911DB">
            <w:pPr>
              <w:jc w:val="center"/>
              <w:rPr>
                <w:b/>
                <w:sz w:val="18"/>
                <w:szCs w:val="18"/>
                <w:lang w:eastAsia="en-GB"/>
              </w:rPr>
            </w:pPr>
            <w:r w:rsidRPr="00A911DB">
              <w:rPr>
                <w:sz w:val="18"/>
                <w:szCs w:val="18"/>
                <w:lang w:eastAsia="en-GB"/>
              </w:rPr>
              <w:t>EE</w:t>
            </w:r>
          </w:p>
        </w:tc>
        <w:tc>
          <w:tcPr>
            <w:tcW w:w="1276" w:type="dxa"/>
            <w:noWrap/>
            <w:vAlign w:val="center"/>
            <w:hideMark/>
          </w:tcPr>
          <w:p w14:paraId="2F86BDF8" w14:textId="77777777" w:rsidR="007F59C4" w:rsidRPr="00A911DB" w:rsidRDefault="007F59C4" w:rsidP="00A911DB">
            <w:pPr>
              <w:jc w:val="center"/>
              <w:rPr>
                <w:sz w:val="18"/>
                <w:szCs w:val="18"/>
                <w:lang w:eastAsia="en-GB"/>
              </w:rPr>
            </w:pPr>
            <w:r w:rsidRPr="00A911DB">
              <w:rPr>
                <w:sz w:val="18"/>
                <w:szCs w:val="18"/>
                <w:lang w:eastAsia="en-GB"/>
              </w:rPr>
              <w:t>26</w:t>
            </w:r>
          </w:p>
        </w:tc>
        <w:tc>
          <w:tcPr>
            <w:tcW w:w="1275" w:type="dxa"/>
            <w:noWrap/>
            <w:vAlign w:val="center"/>
            <w:hideMark/>
          </w:tcPr>
          <w:p w14:paraId="5F329AE0" w14:textId="77777777" w:rsidR="007F59C4" w:rsidRPr="00A911DB" w:rsidRDefault="007F59C4" w:rsidP="00A911DB">
            <w:pPr>
              <w:jc w:val="center"/>
              <w:rPr>
                <w:sz w:val="18"/>
                <w:szCs w:val="18"/>
                <w:lang w:eastAsia="en-GB"/>
              </w:rPr>
            </w:pPr>
            <w:r w:rsidRPr="00A911DB">
              <w:rPr>
                <w:sz w:val="18"/>
                <w:szCs w:val="18"/>
                <w:lang w:eastAsia="en-GB"/>
              </w:rPr>
              <w:t>21</w:t>
            </w:r>
          </w:p>
        </w:tc>
        <w:tc>
          <w:tcPr>
            <w:tcW w:w="1560" w:type="dxa"/>
            <w:noWrap/>
            <w:vAlign w:val="center"/>
            <w:hideMark/>
          </w:tcPr>
          <w:p w14:paraId="336C5DAA" w14:textId="77777777" w:rsidR="007F59C4" w:rsidRPr="00A911DB" w:rsidRDefault="007F59C4" w:rsidP="00A911DB">
            <w:pPr>
              <w:jc w:val="center"/>
              <w:rPr>
                <w:sz w:val="18"/>
                <w:szCs w:val="18"/>
                <w:lang w:eastAsia="en-GB"/>
              </w:rPr>
            </w:pPr>
            <w:r w:rsidRPr="00A911DB">
              <w:rPr>
                <w:sz w:val="18"/>
                <w:szCs w:val="18"/>
                <w:lang w:eastAsia="en-GB"/>
              </w:rPr>
              <w:t>81</w:t>
            </w:r>
          </w:p>
        </w:tc>
        <w:tc>
          <w:tcPr>
            <w:tcW w:w="1418" w:type="dxa"/>
          </w:tcPr>
          <w:p w14:paraId="5F5217E0" w14:textId="77777777" w:rsidR="007F59C4" w:rsidRPr="00A911DB" w:rsidRDefault="007F59C4" w:rsidP="00A911DB">
            <w:pPr>
              <w:jc w:val="center"/>
              <w:rPr>
                <w:b/>
                <w:color w:val="FF0000"/>
                <w:sz w:val="18"/>
                <w:szCs w:val="18"/>
                <w:lang w:eastAsia="en-GB"/>
              </w:rPr>
            </w:pPr>
            <w:r w:rsidRPr="00A911DB">
              <w:rPr>
                <w:b/>
                <w:color w:val="FF0000"/>
                <w:sz w:val="18"/>
                <w:szCs w:val="18"/>
              </w:rPr>
              <w:t>54</w:t>
            </w:r>
          </w:p>
        </w:tc>
        <w:tc>
          <w:tcPr>
            <w:tcW w:w="1418" w:type="dxa"/>
          </w:tcPr>
          <w:p w14:paraId="6B6AD366" w14:textId="77777777" w:rsidR="007F59C4" w:rsidRPr="00A911DB" w:rsidRDefault="007F59C4" w:rsidP="00A911DB">
            <w:pPr>
              <w:jc w:val="center"/>
              <w:rPr>
                <w:b/>
                <w:color w:val="FF0000"/>
                <w:sz w:val="18"/>
                <w:szCs w:val="18"/>
              </w:rPr>
            </w:pPr>
            <w:r w:rsidRPr="00A911DB">
              <w:rPr>
                <w:b/>
                <w:color w:val="FF0000"/>
                <w:sz w:val="18"/>
                <w:szCs w:val="18"/>
              </w:rPr>
              <w:t>6</w:t>
            </w:r>
          </w:p>
        </w:tc>
      </w:tr>
      <w:tr w:rsidR="007F59C4" w:rsidRPr="00A911DB" w14:paraId="23FC94A6" w14:textId="77777777" w:rsidTr="003B1C83">
        <w:trPr>
          <w:trHeight w:val="300"/>
        </w:trPr>
        <w:tc>
          <w:tcPr>
            <w:tcW w:w="959" w:type="dxa"/>
            <w:noWrap/>
            <w:vAlign w:val="center"/>
            <w:hideMark/>
          </w:tcPr>
          <w:p w14:paraId="477295F7" w14:textId="77777777" w:rsidR="007F59C4" w:rsidRPr="00A911DB" w:rsidRDefault="007F59C4" w:rsidP="00A911DB">
            <w:pPr>
              <w:jc w:val="center"/>
              <w:rPr>
                <w:b/>
                <w:sz w:val="18"/>
                <w:szCs w:val="18"/>
                <w:lang w:eastAsia="en-GB"/>
              </w:rPr>
            </w:pPr>
            <w:r w:rsidRPr="00A911DB">
              <w:rPr>
                <w:sz w:val="18"/>
                <w:szCs w:val="18"/>
                <w:lang w:eastAsia="en-GB"/>
              </w:rPr>
              <w:t>LAC</w:t>
            </w:r>
          </w:p>
        </w:tc>
        <w:tc>
          <w:tcPr>
            <w:tcW w:w="1276" w:type="dxa"/>
            <w:noWrap/>
            <w:vAlign w:val="center"/>
            <w:hideMark/>
          </w:tcPr>
          <w:p w14:paraId="11EFF62E" w14:textId="77777777" w:rsidR="007F59C4" w:rsidRPr="00A911DB" w:rsidRDefault="007F59C4" w:rsidP="00A911DB">
            <w:pPr>
              <w:jc w:val="center"/>
              <w:rPr>
                <w:sz w:val="18"/>
                <w:szCs w:val="18"/>
                <w:lang w:eastAsia="en-GB"/>
              </w:rPr>
            </w:pPr>
            <w:r w:rsidRPr="00A911DB">
              <w:rPr>
                <w:sz w:val="18"/>
                <w:szCs w:val="18"/>
                <w:lang w:eastAsia="en-GB"/>
              </w:rPr>
              <w:t>33</w:t>
            </w:r>
          </w:p>
        </w:tc>
        <w:tc>
          <w:tcPr>
            <w:tcW w:w="1275" w:type="dxa"/>
            <w:noWrap/>
            <w:vAlign w:val="center"/>
            <w:hideMark/>
          </w:tcPr>
          <w:p w14:paraId="3DC40732" w14:textId="77777777" w:rsidR="007F59C4" w:rsidRPr="00A911DB" w:rsidRDefault="007F59C4" w:rsidP="00A911DB">
            <w:pPr>
              <w:jc w:val="center"/>
              <w:rPr>
                <w:sz w:val="18"/>
                <w:szCs w:val="18"/>
                <w:lang w:eastAsia="en-GB"/>
              </w:rPr>
            </w:pPr>
            <w:r w:rsidRPr="00A911DB">
              <w:rPr>
                <w:sz w:val="18"/>
                <w:szCs w:val="18"/>
                <w:lang w:eastAsia="en-GB"/>
              </w:rPr>
              <w:t>16</w:t>
            </w:r>
          </w:p>
        </w:tc>
        <w:tc>
          <w:tcPr>
            <w:tcW w:w="1560" w:type="dxa"/>
            <w:noWrap/>
            <w:vAlign w:val="center"/>
            <w:hideMark/>
          </w:tcPr>
          <w:p w14:paraId="2454E3C1" w14:textId="77777777" w:rsidR="007F59C4" w:rsidRPr="00A911DB" w:rsidRDefault="007F59C4" w:rsidP="00A911DB">
            <w:pPr>
              <w:jc w:val="center"/>
              <w:rPr>
                <w:sz w:val="18"/>
                <w:szCs w:val="18"/>
                <w:lang w:eastAsia="en-GB"/>
              </w:rPr>
            </w:pPr>
            <w:r w:rsidRPr="00A911DB">
              <w:rPr>
                <w:sz w:val="18"/>
                <w:szCs w:val="18"/>
                <w:lang w:eastAsia="en-GB"/>
              </w:rPr>
              <w:t>48</w:t>
            </w:r>
          </w:p>
        </w:tc>
        <w:tc>
          <w:tcPr>
            <w:tcW w:w="1418" w:type="dxa"/>
          </w:tcPr>
          <w:p w14:paraId="67B22DBD" w14:textId="77777777" w:rsidR="007F59C4" w:rsidRPr="00A911DB" w:rsidRDefault="007F59C4" w:rsidP="00A911DB">
            <w:pPr>
              <w:jc w:val="center"/>
              <w:rPr>
                <w:sz w:val="18"/>
                <w:szCs w:val="18"/>
                <w:lang w:eastAsia="en-GB"/>
              </w:rPr>
            </w:pPr>
            <w:r w:rsidRPr="00A911DB">
              <w:rPr>
                <w:sz w:val="18"/>
                <w:szCs w:val="18"/>
              </w:rPr>
              <w:t>159</w:t>
            </w:r>
          </w:p>
        </w:tc>
        <w:tc>
          <w:tcPr>
            <w:tcW w:w="1418" w:type="dxa"/>
          </w:tcPr>
          <w:p w14:paraId="3991A891" w14:textId="77777777" w:rsidR="007F59C4" w:rsidRPr="00A911DB" w:rsidRDefault="007F59C4" w:rsidP="00A911DB">
            <w:pPr>
              <w:jc w:val="center"/>
              <w:rPr>
                <w:sz w:val="18"/>
                <w:szCs w:val="18"/>
              </w:rPr>
            </w:pPr>
            <w:r w:rsidRPr="00A911DB">
              <w:rPr>
                <w:sz w:val="18"/>
                <w:szCs w:val="18"/>
              </w:rPr>
              <w:t>19</w:t>
            </w:r>
          </w:p>
        </w:tc>
      </w:tr>
      <w:tr w:rsidR="007F59C4" w:rsidRPr="00A911DB" w14:paraId="5E87D34E" w14:textId="77777777" w:rsidTr="00A911DB">
        <w:trPr>
          <w:trHeight w:val="300"/>
        </w:trPr>
        <w:tc>
          <w:tcPr>
            <w:tcW w:w="959" w:type="dxa"/>
            <w:noWrap/>
            <w:vAlign w:val="center"/>
            <w:hideMark/>
          </w:tcPr>
          <w:p w14:paraId="2BDF7335" w14:textId="77777777" w:rsidR="007F59C4" w:rsidRPr="00A911DB" w:rsidRDefault="007F59C4" w:rsidP="00A911DB">
            <w:pPr>
              <w:jc w:val="center"/>
              <w:rPr>
                <w:b/>
                <w:sz w:val="18"/>
                <w:szCs w:val="18"/>
                <w:lang w:eastAsia="en-GB"/>
              </w:rPr>
            </w:pPr>
            <w:r w:rsidRPr="00A911DB">
              <w:rPr>
                <w:sz w:val="18"/>
                <w:szCs w:val="18"/>
                <w:lang w:eastAsia="en-GB"/>
              </w:rPr>
              <w:t>WEOG</w:t>
            </w:r>
          </w:p>
        </w:tc>
        <w:tc>
          <w:tcPr>
            <w:tcW w:w="1276" w:type="dxa"/>
            <w:noWrap/>
            <w:vAlign w:val="center"/>
            <w:hideMark/>
          </w:tcPr>
          <w:p w14:paraId="365375FF" w14:textId="77777777" w:rsidR="007F59C4" w:rsidRPr="00A911DB" w:rsidRDefault="007F59C4" w:rsidP="00A911DB">
            <w:pPr>
              <w:jc w:val="center"/>
              <w:rPr>
                <w:sz w:val="18"/>
                <w:szCs w:val="18"/>
                <w:lang w:eastAsia="en-GB"/>
              </w:rPr>
            </w:pPr>
            <w:r w:rsidRPr="00A911DB">
              <w:rPr>
                <w:sz w:val="18"/>
                <w:szCs w:val="18"/>
                <w:lang w:eastAsia="en-GB"/>
              </w:rPr>
              <w:t>31</w:t>
            </w:r>
          </w:p>
        </w:tc>
        <w:tc>
          <w:tcPr>
            <w:tcW w:w="1275" w:type="dxa"/>
            <w:noWrap/>
            <w:vAlign w:val="center"/>
            <w:hideMark/>
          </w:tcPr>
          <w:p w14:paraId="3AE284E3" w14:textId="77777777" w:rsidR="007F59C4" w:rsidRPr="00A911DB" w:rsidRDefault="007F59C4" w:rsidP="00A911DB">
            <w:pPr>
              <w:jc w:val="center"/>
              <w:rPr>
                <w:sz w:val="18"/>
                <w:szCs w:val="18"/>
                <w:lang w:eastAsia="en-GB"/>
              </w:rPr>
            </w:pPr>
            <w:r w:rsidRPr="00A911DB">
              <w:rPr>
                <w:sz w:val="18"/>
                <w:szCs w:val="18"/>
                <w:lang w:eastAsia="en-GB"/>
              </w:rPr>
              <w:t>20</w:t>
            </w:r>
          </w:p>
        </w:tc>
        <w:tc>
          <w:tcPr>
            <w:tcW w:w="1560" w:type="dxa"/>
            <w:noWrap/>
            <w:vAlign w:val="center"/>
            <w:hideMark/>
          </w:tcPr>
          <w:p w14:paraId="1F10DCB9" w14:textId="77777777" w:rsidR="007F59C4" w:rsidRPr="00A911DB" w:rsidRDefault="007F59C4" w:rsidP="00A911DB">
            <w:pPr>
              <w:jc w:val="center"/>
              <w:rPr>
                <w:sz w:val="18"/>
                <w:szCs w:val="18"/>
                <w:lang w:eastAsia="en-GB"/>
              </w:rPr>
            </w:pPr>
            <w:r w:rsidRPr="00A911DB">
              <w:rPr>
                <w:sz w:val="18"/>
                <w:szCs w:val="18"/>
                <w:lang w:eastAsia="en-GB"/>
              </w:rPr>
              <w:t>64</w:t>
            </w:r>
          </w:p>
        </w:tc>
        <w:tc>
          <w:tcPr>
            <w:tcW w:w="1418" w:type="dxa"/>
          </w:tcPr>
          <w:p w14:paraId="64F05A08" w14:textId="77777777" w:rsidR="007F59C4" w:rsidRPr="00A911DB" w:rsidRDefault="007F59C4" w:rsidP="00A911DB">
            <w:pPr>
              <w:jc w:val="center"/>
              <w:rPr>
                <w:b/>
                <w:color w:val="FF0000"/>
                <w:sz w:val="18"/>
                <w:szCs w:val="18"/>
                <w:lang w:eastAsia="en-GB"/>
              </w:rPr>
            </w:pPr>
            <w:r w:rsidRPr="00A911DB">
              <w:rPr>
                <w:b/>
                <w:color w:val="FF0000"/>
                <w:sz w:val="18"/>
                <w:szCs w:val="18"/>
              </w:rPr>
              <w:t>240</w:t>
            </w:r>
          </w:p>
        </w:tc>
        <w:tc>
          <w:tcPr>
            <w:tcW w:w="1418" w:type="dxa"/>
          </w:tcPr>
          <w:p w14:paraId="73BAC0EA" w14:textId="77777777" w:rsidR="007F59C4" w:rsidRPr="00A911DB" w:rsidRDefault="007F59C4" w:rsidP="00A911DB">
            <w:pPr>
              <w:jc w:val="center"/>
              <w:rPr>
                <w:b/>
                <w:color w:val="FF0000"/>
                <w:sz w:val="18"/>
                <w:szCs w:val="18"/>
              </w:rPr>
            </w:pPr>
            <w:r w:rsidRPr="00A911DB">
              <w:rPr>
                <w:b/>
                <w:color w:val="FF0000"/>
                <w:sz w:val="18"/>
                <w:szCs w:val="18"/>
              </w:rPr>
              <w:t>29</w:t>
            </w:r>
          </w:p>
        </w:tc>
      </w:tr>
      <w:tr w:rsidR="007F59C4" w:rsidRPr="00A911DB" w14:paraId="766FB65F" w14:textId="77777777" w:rsidTr="00A911DB">
        <w:trPr>
          <w:trHeight w:val="300"/>
        </w:trPr>
        <w:tc>
          <w:tcPr>
            <w:tcW w:w="959" w:type="dxa"/>
            <w:tcBorders>
              <w:bottom w:val="single" w:sz="12" w:space="0" w:color="auto"/>
            </w:tcBorders>
            <w:noWrap/>
            <w:vAlign w:val="center"/>
            <w:hideMark/>
          </w:tcPr>
          <w:p w14:paraId="1BC252BF" w14:textId="77777777" w:rsidR="007F59C4" w:rsidRPr="00A911DB" w:rsidRDefault="007F59C4" w:rsidP="00A911DB">
            <w:pPr>
              <w:jc w:val="center"/>
              <w:rPr>
                <w:b/>
                <w:sz w:val="18"/>
                <w:szCs w:val="18"/>
                <w:lang w:eastAsia="en-GB"/>
              </w:rPr>
            </w:pPr>
            <w:r w:rsidRPr="00A911DB">
              <w:rPr>
                <w:sz w:val="18"/>
                <w:szCs w:val="18"/>
                <w:lang w:eastAsia="en-GB"/>
              </w:rPr>
              <w:t>Total</w:t>
            </w:r>
          </w:p>
        </w:tc>
        <w:tc>
          <w:tcPr>
            <w:tcW w:w="1276" w:type="dxa"/>
            <w:tcBorders>
              <w:bottom w:val="single" w:sz="12" w:space="0" w:color="auto"/>
            </w:tcBorders>
            <w:noWrap/>
            <w:vAlign w:val="center"/>
            <w:hideMark/>
          </w:tcPr>
          <w:p w14:paraId="08ED2316" w14:textId="77777777" w:rsidR="007F59C4" w:rsidRPr="00A911DB" w:rsidRDefault="007F59C4" w:rsidP="00A911DB">
            <w:pPr>
              <w:jc w:val="center"/>
              <w:rPr>
                <w:sz w:val="18"/>
                <w:szCs w:val="18"/>
                <w:lang w:eastAsia="en-GB"/>
              </w:rPr>
            </w:pPr>
            <w:r w:rsidRPr="00A911DB">
              <w:rPr>
                <w:sz w:val="18"/>
                <w:szCs w:val="18"/>
                <w:lang w:eastAsia="en-GB"/>
              </w:rPr>
              <w:t>197</w:t>
            </w:r>
          </w:p>
        </w:tc>
        <w:tc>
          <w:tcPr>
            <w:tcW w:w="1275" w:type="dxa"/>
            <w:tcBorders>
              <w:bottom w:val="single" w:sz="12" w:space="0" w:color="auto"/>
            </w:tcBorders>
            <w:noWrap/>
            <w:vAlign w:val="center"/>
            <w:hideMark/>
          </w:tcPr>
          <w:p w14:paraId="0C67B13A" w14:textId="77777777" w:rsidR="007F59C4" w:rsidRPr="00A911DB" w:rsidRDefault="007F59C4" w:rsidP="00A911DB">
            <w:pPr>
              <w:jc w:val="center"/>
              <w:rPr>
                <w:sz w:val="18"/>
                <w:szCs w:val="18"/>
                <w:lang w:eastAsia="en-GB"/>
              </w:rPr>
            </w:pPr>
            <w:r w:rsidRPr="00A911DB">
              <w:rPr>
                <w:sz w:val="18"/>
                <w:szCs w:val="18"/>
                <w:lang w:eastAsia="en-GB"/>
              </w:rPr>
              <w:t>112</w:t>
            </w:r>
          </w:p>
        </w:tc>
        <w:tc>
          <w:tcPr>
            <w:tcW w:w="1560" w:type="dxa"/>
            <w:tcBorders>
              <w:bottom w:val="single" w:sz="12" w:space="0" w:color="auto"/>
            </w:tcBorders>
            <w:noWrap/>
            <w:vAlign w:val="center"/>
            <w:hideMark/>
          </w:tcPr>
          <w:p w14:paraId="0106B453" w14:textId="77777777" w:rsidR="007F59C4" w:rsidRPr="00A911DB" w:rsidRDefault="007F59C4" w:rsidP="00A911DB">
            <w:pPr>
              <w:jc w:val="center"/>
              <w:rPr>
                <w:sz w:val="18"/>
                <w:szCs w:val="18"/>
                <w:lang w:eastAsia="en-GB"/>
              </w:rPr>
            </w:pPr>
            <w:r w:rsidRPr="00A911DB">
              <w:rPr>
                <w:sz w:val="18"/>
                <w:szCs w:val="18"/>
                <w:lang w:eastAsia="en-GB"/>
              </w:rPr>
              <w:t>n.a.</w:t>
            </w:r>
          </w:p>
        </w:tc>
        <w:tc>
          <w:tcPr>
            <w:tcW w:w="1418" w:type="dxa"/>
            <w:tcBorders>
              <w:bottom w:val="single" w:sz="12" w:space="0" w:color="auto"/>
            </w:tcBorders>
          </w:tcPr>
          <w:p w14:paraId="794074BE" w14:textId="77777777" w:rsidR="007F59C4" w:rsidRPr="00A911DB" w:rsidRDefault="007F59C4" w:rsidP="00A911DB">
            <w:pPr>
              <w:jc w:val="center"/>
              <w:rPr>
                <w:sz w:val="18"/>
                <w:szCs w:val="18"/>
                <w:lang w:eastAsia="en-GB"/>
              </w:rPr>
            </w:pPr>
            <w:r w:rsidRPr="00A911DB">
              <w:rPr>
                <w:sz w:val="18"/>
                <w:szCs w:val="18"/>
                <w:lang w:eastAsia="en-GB"/>
              </w:rPr>
              <w:t>814</w:t>
            </w:r>
          </w:p>
        </w:tc>
        <w:tc>
          <w:tcPr>
            <w:tcW w:w="1418" w:type="dxa"/>
            <w:tcBorders>
              <w:bottom w:val="single" w:sz="12" w:space="0" w:color="auto"/>
            </w:tcBorders>
          </w:tcPr>
          <w:p w14:paraId="38CB9DC1" w14:textId="77777777" w:rsidR="007F59C4" w:rsidRPr="00A911DB" w:rsidRDefault="007F59C4" w:rsidP="00A911DB">
            <w:pPr>
              <w:jc w:val="center"/>
              <w:rPr>
                <w:sz w:val="18"/>
                <w:szCs w:val="18"/>
              </w:rPr>
            </w:pPr>
            <w:r w:rsidRPr="00A911DB">
              <w:rPr>
                <w:sz w:val="18"/>
                <w:szCs w:val="18"/>
              </w:rPr>
              <w:t>100</w:t>
            </w:r>
          </w:p>
        </w:tc>
      </w:tr>
    </w:tbl>
    <w:p w14:paraId="36B462BB" w14:textId="77777777" w:rsidR="002B2F99" w:rsidRDefault="002B2F99" w:rsidP="00A62138"/>
    <w:p w14:paraId="413C8277" w14:textId="77777777" w:rsidR="002B2F99" w:rsidRDefault="002B2F99">
      <w:pPr>
        <w:tabs>
          <w:tab w:val="clear" w:pos="1247"/>
          <w:tab w:val="clear" w:pos="1814"/>
          <w:tab w:val="clear" w:pos="2381"/>
          <w:tab w:val="clear" w:pos="2948"/>
          <w:tab w:val="clear" w:pos="3515"/>
        </w:tabs>
        <w:rPr>
          <w:b/>
          <w:sz w:val="24"/>
          <w:szCs w:val="24"/>
        </w:rPr>
      </w:pPr>
      <w:r>
        <w:br w:type="page"/>
      </w:r>
    </w:p>
    <w:p w14:paraId="4965E399" w14:textId="77777777" w:rsidR="007F59C4" w:rsidRDefault="00A911DB" w:rsidP="002B2F99">
      <w:pPr>
        <w:pStyle w:val="CH2"/>
        <w:spacing w:before="240"/>
      </w:pPr>
      <w:r w:rsidRPr="00A911DB">
        <w:lastRenderedPageBreak/>
        <w:tab/>
        <w:t>C.</w:t>
      </w:r>
      <w:r w:rsidRPr="00A911DB">
        <w:tab/>
      </w:r>
      <w:r w:rsidR="007F59C4" w:rsidRPr="00A911DB">
        <w:t>Responses within regions</w:t>
      </w:r>
    </w:p>
    <w:p w14:paraId="64D952A6" w14:textId="77777777" w:rsidR="002B2F99" w:rsidRDefault="002B2F99" w:rsidP="002B2F99">
      <w:pPr>
        <w:pStyle w:val="Titlefigure"/>
        <w:keepNext w:val="0"/>
        <w:keepLines w:val="0"/>
      </w:pPr>
      <w:r w:rsidRPr="00A911DB">
        <w:rPr>
          <w:b w:val="0"/>
        </w:rPr>
        <w:t>Figure 4</w:t>
      </w:r>
      <w:r w:rsidRPr="00A911DB">
        <w:rPr>
          <w:b w:val="0"/>
        </w:rPr>
        <w:br/>
      </w:r>
      <w:r>
        <w:t>Number of r</w:t>
      </w:r>
      <w:r w:rsidRPr="006823FD">
        <w:t>esponses per country in Africa</w:t>
      </w:r>
      <w:r w:rsidR="00AB6405">
        <w:t xml:space="preserve"> (AF)</w:t>
      </w:r>
    </w:p>
    <w:p w14:paraId="0044A3FE" w14:textId="77777777" w:rsidR="00A911DB" w:rsidRDefault="007F59C4" w:rsidP="00A911DB">
      <w:pPr>
        <w:pStyle w:val="Titlefigure"/>
        <w:keepNext w:val="0"/>
        <w:keepLines w:val="0"/>
        <w:rPr>
          <w:b w:val="0"/>
        </w:rPr>
      </w:pPr>
      <w:r w:rsidRPr="006823FD">
        <w:rPr>
          <w:noProof/>
          <w:lang w:val="en-US"/>
        </w:rPr>
        <w:drawing>
          <wp:inline distT="0" distB="0" distL="0" distR="0" wp14:anchorId="319F52D2" wp14:editId="4839160F">
            <wp:extent cx="5477854" cy="5665470"/>
            <wp:effectExtent l="0" t="0" r="889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bookmarkStart w:id="3" w:name="_Toc469302236"/>
    </w:p>
    <w:p w14:paraId="6453FA26" w14:textId="77777777" w:rsidR="002B2F99" w:rsidRPr="00A911DB" w:rsidRDefault="002B2F99" w:rsidP="002B2F99">
      <w:pPr>
        <w:pStyle w:val="Titlefigure"/>
      </w:pPr>
      <w:r w:rsidRPr="00A911DB">
        <w:rPr>
          <w:b w:val="0"/>
        </w:rPr>
        <w:t>Figure 5</w:t>
      </w:r>
      <w:r w:rsidRPr="00A911DB">
        <w:rPr>
          <w:b w:val="0"/>
        </w:rPr>
        <w:br/>
      </w:r>
      <w:r>
        <w:t>Responses per AF subregion (percentage)</w:t>
      </w:r>
    </w:p>
    <w:bookmarkEnd w:id="3"/>
    <w:p w14:paraId="04B06A76" w14:textId="77777777" w:rsidR="00A911DB" w:rsidRDefault="007F59C4" w:rsidP="00A911DB">
      <w:pPr>
        <w:pStyle w:val="Titlefigure"/>
      </w:pPr>
      <w:r>
        <w:rPr>
          <w:noProof/>
          <w:lang w:val="en-US"/>
        </w:rPr>
        <w:drawing>
          <wp:inline distT="0" distB="0" distL="0" distR="0" wp14:anchorId="51101A23" wp14:editId="71C77EA3">
            <wp:extent cx="3778370" cy="1915064"/>
            <wp:effectExtent l="0" t="0" r="0" b="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bookmarkStart w:id="4" w:name="_Toc469302237"/>
    </w:p>
    <w:p w14:paraId="7EF0ECE2" w14:textId="77777777" w:rsidR="002B2F99" w:rsidRDefault="002B2F99">
      <w:pPr>
        <w:tabs>
          <w:tab w:val="clear" w:pos="1247"/>
          <w:tab w:val="clear" w:pos="1814"/>
          <w:tab w:val="clear" w:pos="2381"/>
          <w:tab w:val="clear" w:pos="2948"/>
          <w:tab w:val="clear" w:pos="3515"/>
        </w:tabs>
      </w:pPr>
      <w:bookmarkStart w:id="5" w:name="_Toc467449397"/>
      <w:bookmarkStart w:id="6" w:name="_Toc469302238"/>
      <w:r>
        <w:rPr>
          <w:b/>
        </w:rPr>
        <w:br w:type="page"/>
      </w:r>
    </w:p>
    <w:p w14:paraId="7BBC86E5" w14:textId="77777777" w:rsidR="002B2F99" w:rsidRPr="002B2F99" w:rsidRDefault="002B2F99" w:rsidP="002B2F99">
      <w:pPr>
        <w:pStyle w:val="Titlefigure"/>
      </w:pPr>
      <w:r w:rsidRPr="00A911DB">
        <w:rPr>
          <w:b w:val="0"/>
        </w:rPr>
        <w:lastRenderedPageBreak/>
        <w:t>Figure 6</w:t>
      </w:r>
      <w:r w:rsidRPr="00A911DB">
        <w:br/>
      </w:r>
      <w:r>
        <w:t xml:space="preserve">Number of </w:t>
      </w:r>
      <w:r w:rsidRPr="006823FD">
        <w:t>responses per country in</w:t>
      </w:r>
      <w:r>
        <w:t xml:space="preserve"> </w:t>
      </w:r>
      <w:bookmarkEnd w:id="5"/>
      <w:r>
        <w:t>Asia-Pacific (AP)</w:t>
      </w:r>
      <w:bookmarkEnd w:id="6"/>
    </w:p>
    <w:p w14:paraId="0A8FF582" w14:textId="77777777" w:rsidR="00A911DB" w:rsidRDefault="002B2F99">
      <w:pPr>
        <w:tabs>
          <w:tab w:val="clear" w:pos="1247"/>
          <w:tab w:val="clear" w:pos="1814"/>
          <w:tab w:val="clear" w:pos="2381"/>
          <w:tab w:val="clear" w:pos="2948"/>
          <w:tab w:val="clear" w:pos="3515"/>
        </w:tabs>
      </w:pPr>
      <w:r w:rsidRPr="006823FD">
        <w:rPr>
          <w:noProof/>
          <w:lang w:val="en-US"/>
        </w:rPr>
        <w:drawing>
          <wp:inline distT="0" distB="0" distL="0" distR="0" wp14:anchorId="0D522FD3" wp14:editId="250167D4">
            <wp:extent cx="5426580" cy="4643120"/>
            <wp:effectExtent l="0" t="0" r="3175" b="508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FCA2882" w14:textId="77777777" w:rsidR="002B2F99" w:rsidRDefault="002B2F99" w:rsidP="002B2F99">
      <w:pPr>
        <w:pStyle w:val="Titletable"/>
      </w:pPr>
      <w:r w:rsidRPr="002B2F99">
        <w:rPr>
          <w:b w:val="0"/>
        </w:rPr>
        <w:t>Figure 7</w:t>
      </w:r>
      <w:r w:rsidRPr="002B2F99">
        <w:rPr>
          <w:b w:val="0"/>
        </w:rPr>
        <w:br/>
      </w:r>
      <w:r>
        <w:t>Responses per AP subregion (percentage)</w:t>
      </w:r>
    </w:p>
    <w:bookmarkEnd w:id="4"/>
    <w:p w14:paraId="1980EA7B" w14:textId="77777777" w:rsidR="007F59C4" w:rsidRPr="002B2F99" w:rsidRDefault="007F59C4" w:rsidP="002B2F99">
      <w:r>
        <w:rPr>
          <w:noProof/>
          <w:lang w:val="en-US"/>
        </w:rPr>
        <w:drawing>
          <wp:inline distT="0" distB="0" distL="0" distR="0" wp14:anchorId="41F8F001" wp14:editId="061C34DA">
            <wp:extent cx="4097547" cy="2199736"/>
            <wp:effectExtent l="0" t="0" r="0" b="0"/>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1B02FB4" w14:textId="77777777" w:rsidR="007F59C4" w:rsidRDefault="007F59C4" w:rsidP="002B2F99">
      <w:pPr>
        <w:pStyle w:val="Normalnumber"/>
        <w:rPr>
          <w:noProof/>
          <w:lang w:eastAsia="en-GB"/>
        </w:rPr>
      </w:pPr>
      <w:r w:rsidRPr="00403203">
        <w:rPr>
          <w:b/>
          <w:bCs/>
          <w:u w:val="single"/>
        </w:rPr>
        <w:t>Observation</w:t>
      </w:r>
      <w:r>
        <w:t>: t</w:t>
      </w:r>
      <w:r w:rsidRPr="00795690">
        <w:t xml:space="preserve">here were </w:t>
      </w:r>
      <w:r>
        <w:t>very</w:t>
      </w:r>
      <w:r w:rsidRPr="00795690">
        <w:t xml:space="preserve"> few responses from the Pacific and Oceania subregion (</w:t>
      </w:r>
      <w:r>
        <w:t>specifically from Melanesia, Micronesia</w:t>
      </w:r>
      <w:r w:rsidRPr="00795690">
        <w:t xml:space="preserve"> and Polynesia</w:t>
      </w:r>
      <w:r>
        <w:t xml:space="preserve">), with the </w:t>
      </w:r>
      <w:r w:rsidRPr="00795690">
        <w:t>except</w:t>
      </w:r>
      <w:r>
        <w:t>ion of</w:t>
      </w:r>
      <w:r w:rsidRPr="00795690">
        <w:t xml:space="preserve"> Australia and New Zealand</w:t>
      </w:r>
      <w:r>
        <w:t>, which are accounted for in WEOG</w:t>
      </w:r>
      <w:r w:rsidRPr="00795690">
        <w:t xml:space="preserve">. </w:t>
      </w:r>
    </w:p>
    <w:p w14:paraId="5F22B6A6" w14:textId="77777777" w:rsidR="002B2F99" w:rsidRDefault="002B2F99" w:rsidP="002B2F99">
      <w:pPr>
        <w:pStyle w:val="Titletable"/>
        <w:rPr>
          <w:noProof/>
          <w:lang w:eastAsia="en-GB"/>
        </w:rPr>
      </w:pPr>
      <w:bookmarkStart w:id="7" w:name="_Toc467449398"/>
      <w:bookmarkStart w:id="8" w:name="_Toc469302240"/>
      <w:r w:rsidRPr="002B2F99">
        <w:rPr>
          <w:b w:val="0"/>
          <w:noProof/>
          <w:lang w:eastAsia="en-GB"/>
        </w:rPr>
        <w:lastRenderedPageBreak/>
        <w:t>Figure 8</w:t>
      </w:r>
      <w:r w:rsidRPr="002B2F99">
        <w:rPr>
          <w:b w:val="0"/>
          <w:noProof/>
          <w:lang w:eastAsia="en-GB"/>
        </w:rPr>
        <w:br/>
      </w:r>
      <w:r>
        <w:rPr>
          <w:noProof/>
          <w:lang w:eastAsia="en-GB"/>
        </w:rPr>
        <w:t>Number of r</w:t>
      </w:r>
      <w:r w:rsidRPr="006823FD">
        <w:rPr>
          <w:noProof/>
          <w:lang w:eastAsia="en-GB"/>
        </w:rPr>
        <w:t>esponses per country in Eastern Europe</w:t>
      </w:r>
      <w:bookmarkEnd w:id="7"/>
      <w:r>
        <w:rPr>
          <w:noProof/>
          <w:lang w:eastAsia="en-GB"/>
        </w:rPr>
        <w:t xml:space="preserve"> (EE)</w:t>
      </w:r>
      <w:bookmarkEnd w:id="8"/>
    </w:p>
    <w:p w14:paraId="51C5E93B" w14:textId="77777777" w:rsidR="007F59C4" w:rsidRDefault="007F59C4" w:rsidP="007F59C4">
      <w:pPr>
        <w:keepNext/>
        <w:ind w:left="1247"/>
        <w:rPr>
          <w:noProof/>
          <w:lang w:eastAsia="en-GB"/>
        </w:rPr>
      </w:pPr>
      <w:r w:rsidRPr="006823FD">
        <w:rPr>
          <w:noProof/>
          <w:lang w:val="en-US"/>
        </w:rPr>
        <w:drawing>
          <wp:inline distT="0" distB="0" distL="0" distR="0" wp14:anchorId="0324448C" wp14:editId="21666EED">
            <wp:extent cx="5392397" cy="3614420"/>
            <wp:effectExtent l="0" t="0" r="0" b="508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0914EA2" w14:textId="77777777" w:rsidR="007F59C4" w:rsidRDefault="002B2F99" w:rsidP="002B2F99">
      <w:pPr>
        <w:keepNext/>
        <w:spacing w:before="240"/>
        <w:ind w:left="1247"/>
        <w:rPr>
          <w:noProof/>
          <w:lang w:eastAsia="en-GB"/>
        </w:rPr>
      </w:pPr>
      <w:r w:rsidRPr="002B2F99">
        <w:rPr>
          <w:b/>
        </w:rPr>
        <w:t>Figure 9</w:t>
      </w:r>
      <w:r>
        <w:br/>
        <w:t>Responses per EE subregion (percentage)</w:t>
      </w:r>
    </w:p>
    <w:p w14:paraId="51825A4B" w14:textId="77777777" w:rsidR="002B2F99" w:rsidRDefault="00C110DD" w:rsidP="00C110DD">
      <w:pPr>
        <w:keepNext/>
        <w:ind w:left="1276"/>
        <w:jc w:val="both"/>
      </w:pPr>
      <w:bookmarkStart w:id="9" w:name="_Toc469302241"/>
      <w:r>
        <w:rPr>
          <w:noProof/>
          <w:lang w:val="en-US"/>
        </w:rPr>
        <w:drawing>
          <wp:inline distT="0" distB="0" distL="0" distR="0" wp14:anchorId="71BA3930" wp14:editId="1030D509">
            <wp:extent cx="3550722" cy="1662546"/>
            <wp:effectExtent l="0" t="0" r="0" b="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bookmarkEnd w:id="9"/>
    <w:p w14:paraId="10CEC6FE" w14:textId="77777777" w:rsidR="007F59C4" w:rsidRDefault="007F59C4" w:rsidP="00C110DD">
      <w:pPr>
        <w:pStyle w:val="Normalnumber"/>
        <w:spacing w:before="240"/>
      </w:pPr>
      <w:r w:rsidRPr="00C110DD">
        <w:t>Observation: the total number of responses received from EE was significantly lower than other regions, indicative of the need for focussed outreach and communication. Responses were received from three non-IPBES member States, Romania, Poland and Ukraine, possibly indicative of valuable outreach opportunities.</w:t>
      </w:r>
    </w:p>
    <w:p w14:paraId="67B4A648" w14:textId="77777777" w:rsidR="00C110DD" w:rsidRPr="00C110DD" w:rsidRDefault="00C110DD" w:rsidP="006221FC">
      <w:pPr>
        <w:pStyle w:val="Titlefigure"/>
      </w:pPr>
      <w:bookmarkStart w:id="10" w:name="_Toc467449399"/>
      <w:bookmarkStart w:id="11" w:name="_Toc469302242"/>
      <w:r w:rsidRPr="006221FC">
        <w:rPr>
          <w:b w:val="0"/>
        </w:rPr>
        <w:lastRenderedPageBreak/>
        <w:t>Figure 10</w:t>
      </w:r>
      <w:r w:rsidRPr="006221FC">
        <w:rPr>
          <w:b w:val="0"/>
        </w:rPr>
        <w:br/>
      </w:r>
      <w:r>
        <w:t>Number of r</w:t>
      </w:r>
      <w:r w:rsidRPr="006823FD">
        <w:t xml:space="preserve">esponses per country in </w:t>
      </w:r>
      <w:bookmarkEnd w:id="10"/>
      <w:r>
        <w:t>Latin America and the Caribbean (LAC)</w:t>
      </w:r>
      <w:bookmarkEnd w:id="11"/>
    </w:p>
    <w:p w14:paraId="185C1836" w14:textId="77777777" w:rsidR="007F59C4" w:rsidRDefault="007F59C4" w:rsidP="00C110DD">
      <w:pPr>
        <w:pStyle w:val="Titlefigure"/>
      </w:pPr>
      <w:r w:rsidRPr="006823FD">
        <w:rPr>
          <w:noProof/>
          <w:lang w:val="en-US"/>
        </w:rPr>
        <w:drawing>
          <wp:inline distT="0" distB="0" distL="0" distR="0" wp14:anchorId="3C6971A4" wp14:editId="34398356">
            <wp:extent cx="5443671" cy="3800475"/>
            <wp:effectExtent l="0" t="0" r="5080"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019935B" w14:textId="77777777" w:rsidR="007F59C4" w:rsidRDefault="00C110DD" w:rsidP="006221FC">
      <w:pPr>
        <w:pStyle w:val="Titletable"/>
        <w:keepNext w:val="0"/>
        <w:keepLines w:val="0"/>
        <w:spacing w:before="240"/>
      </w:pPr>
      <w:r w:rsidRPr="00C110DD">
        <w:rPr>
          <w:b w:val="0"/>
        </w:rPr>
        <w:t>Figure 11</w:t>
      </w:r>
      <w:r w:rsidRPr="00C110DD">
        <w:rPr>
          <w:b w:val="0"/>
        </w:rPr>
        <w:br/>
      </w:r>
      <w:r>
        <w:t>Responses per LAC subregion (percentage)</w:t>
      </w:r>
    </w:p>
    <w:p w14:paraId="1036C555" w14:textId="77777777" w:rsidR="00C110DD" w:rsidRDefault="007F59C4" w:rsidP="00C110DD">
      <w:pPr>
        <w:pStyle w:val="Titletable"/>
        <w:keepNext w:val="0"/>
        <w:keepLines w:val="0"/>
      </w:pPr>
      <w:r>
        <w:rPr>
          <w:noProof/>
          <w:lang w:val="en-US"/>
        </w:rPr>
        <w:drawing>
          <wp:inline distT="0" distB="0" distL="0" distR="0" wp14:anchorId="1D703D28" wp14:editId="75E6E2DF">
            <wp:extent cx="3692106" cy="1500996"/>
            <wp:effectExtent l="0" t="0" r="3810" b="4445"/>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bookmarkStart w:id="12" w:name="_Toc469302243"/>
    </w:p>
    <w:p w14:paraId="203CF4FE" w14:textId="77777777" w:rsidR="00C110DD" w:rsidRDefault="00C110DD" w:rsidP="00C110DD">
      <w:pPr>
        <w:pStyle w:val="Titlefigure"/>
      </w:pPr>
      <w:bookmarkStart w:id="13" w:name="_Toc467449400"/>
      <w:bookmarkStart w:id="14" w:name="_Toc469302244"/>
      <w:r w:rsidRPr="00C110DD">
        <w:rPr>
          <w:b w:val="0"/>
        </w:rPr>
        <w:lastRenderedPageBreak/>
        <w:t>Figure 12</w:t>
      </w:r>
      <w:r w:rsidRPr="00C110DD">
        <w:rPr>
          <w:b w:val="0"/>
        </w:rPr>
        <w:br/>
      </w:r>
      <w:r>
        <w:t xml:space="preserve">Number of </w:t>
      </w:r>
      <w:r w:rsidRPr="006823FD">
        <w:t>responses per country in Western Europe and Other Groups</w:t>
      </w:r>
      <w:bookmarkEnd w:id="13"/>
      <w:r>
        <w:t xml:space="preserve"> (WEOG)</w:t>
      </w:r>
      <w:bookmarkEnd w:id="14"/>
    </w:p>
    <w:bookmarkEnd w:id="12"/>
    <w:p w14:paraId="663D8C5D" w14:textId="77777777" w:rsidR="007F59C4" w:rsidRDefault="007F59C4" w:rsidP="00C110DD">
      <w:pPr>
        <w:pStyle w:val="Titletable"/>
      </w:pPr>
      <w:r w:rsidRPr="006823FD">
        <w:rPr>
          <w:noProof/>
          <w:lang w:val="en-US"/>
        </w:rPr>
        <w:drawing>
          <wp:inline distT="0" distB="0" distL="0" distR="0" wp14:anchorId="359A7FD2" wp14:editId="03266A0B">
            <wp:extent cx="5537675" cy="4370070"/>
            <wp:effectExtent l="0" t="0" r="6350"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23EA8EB" w14:textId="77777777" w:rsidR="00C110DD" w:rsidRDefault="00C110DD" w:rsidP="00C110DD">
      <w:pPr>
        <w:pStyle w:val="Titletable"/>
      </w:pPr>
      <w:r w:rsidRPr="00C110DD">
        <w:rPr>
          <w:b w:val="0"/>
        </w:rPr>
        <w:t>Figure 13</w:t>
      </w:r>
      <w:r w:rsidRPr="00C110DD">
        <w:rPr>
          <w:b w:val="0"/>
        </w:rPr>
        <w:br/>
      </w:r>
      <w:r>
        <w:t>Responses per WEOG subregion (percentage)</w:t>
      </w:r>
    </w:p>
    <w:p w14:paraId="18E3371C" w14:textId="77777777" w:rsidR="00C110DD" w:rsidRDefault="007F59C4" w:rsidP="00C110DD">
      <w:pPr>
        <w:rPr>
          <w:u w:val="single"/>
        </w:rPr>
      </w:pPr>
      <w:r>
        <w:rPr>
          <w:noProof/>
          <w:lang w:val="en-US"/>
        </w:rPr>
        <w:drawing>
          <wp:inline distT="0" distB="0" distL="0" distR="0" wp14:anchorId="73BED7CC" wp14:editId="7B69A8F7">
            <wp:extent cx="4140679" cy="1699404"/>
            <wp:effectExtent l="0" t="0" r="0" b="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FC5EAB0" w14:textId="77777777" w:rsidR="007F59C4" w:rsidRDefault="007F59C4" w:rsidP="00C110DD">
      <w:pPr>
        <w:pStyle w:val="Normalnumber"/>
      </w:pPr>
      <w:r w:rsidRPr="00403203">
        <w:rPr>
          <w:b/>
          <w:bCs/>
          <w:u w:val="single"/>
        </w:rPr>
        <w:t>Observation</w:t>
      </w:r>
      <w:r>
        <w:t>: t</w:t>
      </w:r>
      <w:r w:rsidRPr="001C066A">
        <w:t>he significant number of responses from Italy, a non-IPBES member State, may indicate a valuable outreach opportunity.</w:t>
      </w:r>
    </w:p>
    <w:p w14:paraId="46C940A6" w14:textId="77777777" w:rsidR="007F59C4" w:rsidRDefault="00C110DD" w:rsidP="00C110DD">
      <w:pPr>
        <w:pStyle w:val="CH2"/>
      </w:pPr>
      <w:r>
        <w:tab/>
        <w:t>D.</w:t>
      </w:r>
      <w:r>
        <w:tab/>
      </w:r>
      <w:r w:rsidR="007F59C4" w:rsidRPr="001C066A">
        <w:t>O</w:t>
      </w:r>
      <w:r w:rsidR="007F59C4">
        <w:t>rganizations/institutions or i</w:t>
      </w:r>
      <w:r w:rsidR="007F59C4" w:rsidRPr="001C066A">
        <w:t>ndividuals?</w:t>
      </w:r>
    </w:p>
    <w:p w14:paraId="31C1EA8F" w14:textId="77777777" w:rsidR="007F59C4" w:rsidRDefault="007F59C4" w:rsidP="00C110DD">
      <w:pPr>
        <w:pStyle w:val="Normalnumber"/>
      </w:pPr>
      <w:r>
        <w:t xml:space="preserve">Stakeholders answered mostly in their </w:t>
      </w:r>
      <w:r w:rsidRPr="00B53229">
        <w:rPr>
          <w:bCs/>
        </w:rPr>
        <w:t>individual capacities</w:t>
      </w:r>
      <w:r>
        <w:t xml:space="preserve"> (61% of responses) (see Figure 14), and there was no significant cross</w:t>
      </w:r>
      <w:r w:rsidRPr="00C110DD">
        <w:t>-</w:t>
      </w:r>
      <w:r w:rsidRPr="00C110DD">
        <w:rPr>
          <w:bCs/>
        </w:rPr>
        <w:t>regional</w:t>
      </w:r>
      <w:r w:rsidRPr="00C110DD">
        <w:t xml:space="preserve"> difference</w:t>
      </w:r>
      <w:r>
        <w:t xml:space="preserve"> in the percentage of stakeholders engaging in their individual capacity versus as representatives from Organizations/Institutions.</w:t>
      </w:r>
    </w:p>
    <w:p w14:paraId="77504A03" w14:textId="77777777" w:rsidR="00C110DD" w:rsidRDefault="00C110DD" w:rsidP="006221FC">
      <w:pPr>
        <w:pStyle w:val="Titlefigure"/>
      </w:pPr>
      <w:bookmarkStart w:id="15" w:name="_Toc467449402"/>
      <w:bookmarkStart w:id="16" w:name="_Toc469302246"/>
      <w:r w:rsidRPr="006221FC">
        <w:rPr>
          <w:b w:val="0"/>
        </w:rPr>
        <w:lastRenderedPageBreak/>
        <w:t>Figure 14</w:t>
      </w:r>
      <w:r w:rsidRPr="006221FC">
        <w:rPr>
          <w:b w:val="0"/>
        </w:rPr>
        <w:br/>
      </w:r>
      <w:r w:rsidRPr="00C110DD">
        <w:t>Percentage of respondents representing organizations/institutions vs. individuals.</w:t>
      </w:r>
      <w:bookmarkEnd w:id="15"/>
      <w:bookmarkEnd w:id="16"/>
    </w:p>
    <w:p w14:paraId="14E1DC3A" w14:textId="77777777" w:rsidR="00C110DD" w:rsidRDefault="007F59C4" w:rsidP="00C110DD">
      <w:pPr>
        <w:pStyle w:val="Titletable"/>
      </w:pPr>
      <w:r>
        <w:rPr>
          <w:noProof/>
          <w:lang w:val="en-US"/>
        </w:rPr>
        <w:drawing>
          <wp:inline distT="0" distB="0" distL="0" distR="0" wp14:anchorId="1F84063E" wp14:editId="26F02B67">
            <wp:extent cx="5794048" cy="2510155"/>
            <wp:effectExtent l="0" t="0" r="0" b="4445"/>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bookmarkStart w:id="17" w:name="_Toc469302207"/>
    </w:p>
    <w:p w14:paraId="37CA4D06" w14:textId="77777777" w:rsidR="007F59C4" w:rsidRPr="00396026" w:rsidRDefault="00C110DD" w:rsidP="00C110DD">
      <w:pPr>
        <w:pStyle w:val="CH1"/>
        <w:rPr>
          <w:sz w:val="24"/>
          <w:szCs w:val="24"/>
        </w:rPr>
      </w:pPr>
      <w:r>
        <w:tab/>
        <w:t>II.</w:t>
      </w:r>
      <w:r>
        <w:tab/>
      </w:r>
      <w:r w:rsidR="007F59C4">
        <w:t>Stakeholder mapping: organizations/institutions</w:t>
      </w:r>
      <w:bookmarkEnd w:id="17"/>
    </w:p>
    <w:p w14:paraId="66F9C29C" w14:textId="77777777" w:rsidR="007F59C4" w:rsidRPr="00396026" w:rsidRDefault="00C110DD" w:rsidP="00C110DD">
      <w:pPr>
        <w:pStyle w:val="CH2"/>
      </w:pPr>
      <w:bookmarkStart w:id="18" w:name="_Toc467449028"/>
      <w:bookmarkStart w:id="19" w:name="_Toc469302208"/>
      <w:r>
        <w:tab/>
        <w:t>A.</w:t>
      </w:r>
      <w:r>
        <w:tab/>
      </w:r>
      <w:r w:rsidR="007F59C4" w:rsidRPr="00396026">
        <w:t>Composition</w:t>
      </w:r>
      <w:bookmarkEnd w:id="18"/>
      <w:r w:rsidR="007F59C4" w:rsidRPr="00396026">
        <w:t xml:space="preserve"> at global level</w:t>
      </w:r>
      <w:bookmarkEnd w:id="19"/>
      <w:r w:rsidR="007F59C4" w:rsidRPr="00396026">
        <w:t xml:space="preserve"> </w:t>
      </w:r>
    </w:p>
    <w:p w14:paraId="16ABB5F0" w14:textId="77777777" w:rsidR="007F59C4" w:rsidRDefault="007F59C4" w:rsidP="00C110DD">
      <w:pPr>
        <w:pStyle w:val="Normalnumber"/>
      </w:pPr>
      <w:r>
        <w:t xml:space="preserve">Academic institutions (24%) and research centres (15%) accounted for 39% of responses, Governments (21%) and non-governmental organizations (12%) accounted for 33% of responses. Two categories, </w:t>
      </w:r>
      <w:r w:rsidRPr="008C1913">
        <w:rPr>
          <w:bCs/>
        </w:rPr>
        <w:t>m</w:t>
      </w:r>
      <w:r>
        <w:rPr>
          <w:bCs/>
        </w:rPr>
        <w:t>edia and s</w:t>
      </w:r>
      <w:r w:rsidRPr="008C1913">
        <w:rPr>
          <w:bCs/>
        </w:rPr>
        <w:t>tudent network</w:t>
      </w:r>
      <w:r>
        <w:t>, were not represented in responses received</w:t>
      </w:r>
      <w:r w:rsidRPr="00997444">
        <w:rPr>
          <w:vertAlign w:val="superscript"/>
        </w:rPr>
        <w:footnoteReference w:id="3"/>
      </w:r>
      <w:r>
        <w:t>.</w:t>
      </w:r>
    </w:p>
    <w:p w14:paraId="546F74CE" w14:textId="77777777" w:rsidR="007F59C4" w:rsidRDefault="007F59C4" w:rsidP="00C110DD">
      <w:pPr>
        <w:pStyle w:val="Normalnumber"/>
      </w:pPr>
      <w:r w:rsidRPr="00C110DD">
        <w:rPr>
          <w:b/>
        </w:rPr>
        <w:t>Observations</w:t>
      </w:r>
      <w:r>
        <w:t xml:space="preserve">: </w:t>
      </w:r>
    </w:p>
    <w:p w14:paraId="52E0DAA7" w14:textId="77777777" w:rsidR="007F59C4" w:rsidRDefault="007F59C4" w:rsidP="00060458">
      <w:pPr>
        <w:pStyle w:val="Normalnumber"/>
        <w:numPr>
          <w:ilvl w:val="1"/>
          <w:numId w:val="6"/>
        </w:numPr>
      </w:pPr>
      <w:r>
        <w:t xml:space="preserve">Since 72% of responses fall within the four categories outlined above, specific outreach activities may be </w:t>
      </w:r>
      <w:r w:rsidRPr="00C110DD">
        <w:t>needed</w:t>
      </w:r>
      <w:r>
        <w:t xml:space="preserve"> to further engage with the 15 stakeholder categories represented by the remaining 28% of responses. </w:t>
      </w:r>
    </w:p>
    <w:p w14:paraId="17310E04" w14:textId="77777777" w:rsidR="007F59C4" w:rsidRDefault="007F59C4" w:rsidP="00060458">
      <w:pPr>
        <w:pStyle w:val="Normalnumber"/>
        <w:numPr>
          <w:ilvl w:val="1"/>
          <w:numId w:val="6"/>
        </w:numPr>
      </w:pPr>
      <w:r>
        <w:t>There may be a need for specific outreach activities toward stakeholders in the media and student network categories. Such outreach activities may be best implemented initially at the global level.</w:t>
      </w:r>
    </w:p>
    <w:p w14:paraId="4FF35EA8" w14:textId="77777777" w:rsidR="00060458" w:rsidRPr="003F3DDD" w:rsidRDefault="00060458" w:rsidP="00060458">
      <w:pPr>
        <w:pStyle w:val="Titlefigure"/>
        <w:rPr>
          <w:rFonts w:eastAsia="MS Mincho"/>
          <w:bCs/>
        </w:rPr>
      </w:pPr>
      <w:r w:rsidRPr="00060458">
        <w:rPr>
          <w:rFonts w:eastAsia="MS Mincho"/>
          <w:b w:val="0"/>
        </w:rPr>
        <w:lastRenderedPageBreak/>
        <w:t>Figure 15</w:t>
      </w:r>
      <w:r w:rsidRPr="00C110DD">
        <w:rPr>
          <w:rFonts w:eastAsia="MS Mincho"/>
        </w:rPr>
        <w:br/>
      </w:r>
      <w:r w:rsidRPr="003F3DDD">
        <w:rPr>
          <w:rFonts w:eastAsia="MS Mincho"/>
        </w:rPr>
        <w:t>Number of responses to the question “To which category does your Organization/Institution most closely correspond?”</w:t>
      </w:r>
    </w:p>
    <w:p w14:paraId="46833D81" w14:textId="77777777" w:rsidR="00C110DD" w:rsidRDefault="00060458" w:rsidP="00060458">
      <w:r w:rsidRPr="006823FD">
        <w:rPr>
          <w:noProof/>
          <w:lang w:val="en-US"/>
        </w:rPr>
        <w:drawing>
          <wp:inline distT="0" distB="0" distL="0" distR="0" wp14:anchorId="66BDCEB4" wp14:editId="1AAFC9C0">
            <wp:extent cx="5383530" cy="4581525"/>
            <wp:effectExtent l="0" t="0" r="762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3DB5BF9" w14:textId="77777777" w:rsidR="007F59C4" w:rsidRDefault="00060458" w:rsidP="00060458">
      <w:pPr>
        <w:pStyle w:val="CH2"/>
      </w:pPr>
      <w:r>
        <w:tab/>
        <w:t>B.</w:t>
      </w:r>
      <w:r>
        <w:tab/>
      </w:r>
      <w:r w:rsidR="007F59C4" w:rsidRPr="002A798C">
        <w:t>Composition at regional level</w:t>
      </w:r>
    </w:p>
    <w:p w14:paraId="01643EB2" w14:textId="77777777" w:rsidR="007F59C4" w:rsidRDefault="007F59C4" w:rsidP="00060458">
      <w:pPr>
        <w:pStyle w:val="Normalnumber"/>
      </w:pPr>
      <w:r>
        <w:t>Not a</w:t>
      </w:r>
      <w:r w:rsidRPr="002A798C">
        <w:t>ll categories were represented in all regions, with</w:t>
      </w:r>
      <w:r>
        <w:t xml:space="preserve"> media and s</w:t>
      </w:r>
      <w:r w:rsidRPr="002A798C">
        <w:t>tudent network</w:t>
      </w:r>
      <w:r w:rsidRPr="00111F1D">
        <w:rPr>
          <w:vertAlign w:val="superscript"/>
        </w:rPr>
        <w:footnoteReference w:id="4"/>
      </w:r>
      <w:r w:rsidRPr="002A798C">
        <w:t xml:space="preserve"> missing from all regions</w:t>
      </w:r>
      <w:r>
        <w:t xml:space="preserve"> (see Figure 16</w:t>
      </w:r>
      <w:r w:rsidRPr="002A798C">
        <w:t>.</w:t>
      </w:r>
      <w:r>
        <w:t>)</w:t>
      </w:r>
      <w:r w:rsidRPr="002A798C">
        <w:t xml:space="preserve"> </w:t>
      </w:r>
      <w:r>
        <w:t>The r</w:t>
      </w:r>
      <w:r w:rsidRPr="002A798C">
        <w:t>egional composition of organizational</w:t>
      </w:r>
      <w:r>
        <w:t>/institutional</w:t>
      </w:r>
      <w:r w:rsidRPr="002A798C">
        <w:t xml:space="preserve"> categories </w:t>
      </w:r>
      <w:r>
        <w:t>was</w:t>
      </w:r>
      <w:r w:rsidRPr="002A798C">
        <w:t xml:space="preserve"> also very differen</w:t>
      </w:r>
      <w:r>
        <w:t xml:space="preserve">t from one region to another, illustrated by the </w:t>
      </w:r>
      <w:r w:rsidRPr="002A798C">
        <w:t>per region graphs</w:t>
      </w:r>
      <w:r>
        <w:t xml:space="preserve"> that follow</w:t>
      </w:r>
      <w:r w:rsidRPr="002A798C">
        <w:t xml:space="preserve">. </w:t>
      </w:r>
    </w:p>
    <w:p w14:paraId="7DC5E0F7" w14:textId="77777777" w:rsidR="00111F1D" w:rsidRPr="006823FD" w:rsidRDefault="00111F1D" w:rsidP="00111F1D">
      <w:pPr>
        <w:pStyle w:val="Titletable"/>
      </w:pPr>
      <w:bookmarkStart w:id="20" w:name="_Toc469302248"/>
      <w:r w:rsidRPr="00111F1D">
        <w:rPr>
          <w:b w:val="0"/>
        </w:rPr>
        <w:lastRenderedPageBreak/>
        <w:t>Figure 16</w:t>
      </w:r>
      <w:r w:rsidRPr="00111F1D">
        <w:rPr>
          <w:b w:val="0"/>
        </w:rPr>
        <w:br/>
      </w:r>
      <w:r>
        <w:t>Organizational/institutional categories per region</w:t>
      </w:r>
      <w:r w:rsidRPr="00073128">
        <w:t xml:space="preserve"> as a percentage of </w:t>
      </w:r>
      <w:r>
        <w:t xml:space="preserve">total </w:t>
      </w:r>
      <w:r w:rsidRPr="00073128">
        <w:t xml:space="preserve">responses per </w:t>
      </w:r>
      <w:r>
        <w:t>category</w:t>
      </w:r>
      <w:bookmarkEnd w:id="20"/>
    </w:p>
    <w:p w14:paraId="2B546DAD" w14:textId="77777777" w:rsidR="00840468" w:rsidRDefault="007F59C4" w:rsidP="00111F1D">
      <w:pPr>
        <w:pStyle w:val="Titlefigure"/>
        <w:rPr>
          <w:b w:val="0"/>
        </w:rPr>
      </w:pPr>
      <w:r>
        <w:rPr>
          <w:noProof/>
          <w:lang w:val="en-US"/>
        </w:rPr>
        <w:drawing>
          <wp:inline distT="0" distB="0" distL="0" distR="0" wp14:anchorId="64DB95FA" wp14:editId="57157FBF">
            <wp:extent cx="5418034" cy="4890770"/>
            <wp:effectExtent l="0" t="0" r="0" b="5080"/>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bookmarkStart w:id="21" w:name="_Toc469302249"/>
    </w:p>
    <w:p w14:paraId="6100544C" w14:textId="77777777" w:rsidR="00840468" w:rsidRDefault="00840468">
      <w:pPr>
        <w:tabs>
          <w:tab w:val="clear" w:pos="1247"/>
          <w:tab w:val="clear" w:pos="1814"/>
          <w:tab w:val="clear" w:pos="2381"/>
          <w:tab w:val="clear" w:pos="2948"/>
          <w:tab w:val="clear" w:pos="3515"/>
        </w:tabs>
      </w:pPr>
      <w:r>
        <w:rPr>
          <w:b/>
        </w:rPr>
        <w:br w:type="page"/>
      </w:r>
    </w:p>
    <w:p w14:paraId="64AEC844" w14:textId="77777777" w:rsidR="007F59C4" w:rsidRDefault="00111F1D" w:rsidP="00111F1D">
      <w:pPr>
        <w:pStyle w:val="Titlefigure"/>
      </w:pPr>
      <w:r w:rsidRPr="00111F1D">
        <w:rPr>
          <w:b w:val="0"/>
        </w:rPr>
        <w:lastRenderedPageBreak/>
        <w:t>Figure 17</w:t>
      </w:r>
      <w:r w:rsidRPr="00111F1D">
        <w:rPr>
          <w:b w:val="0"/>
        </w:rPr>
        <w:br/>
      </w:r>
      <w:r>
        <w:t>Organizational/institutional</w:t>
      </w:r>
      <w:r w:rsidRPr="00D4336D">
        <w:t xml:space="preserve"> categories</w:t>
      </w:r>
      <w:r>
        <w:t xml:space="preserve"> in Africa (AF)</w:t>
      </w:r>
      <w:bookmarkEnd w:id="21"/>
    </w:p>
    <w:p w14:paraId="2045BEAF" w14:textId="77777777" w:rsidR="00840468" w:rsidRDefault="00840468" w:rsidP="006221FC">
      <w:r w:rsidRPr="006823FD">
        <w:rPr>
          <w:noProof/>
          <w:lang w:val="en-US"/>
        </w:rPr>
        <w:drawing>
          <wp:inline distT="0" distB="0" distL="0" distR="0" wp14:anchorId="6ED299C0" wp14:editId="20615303">
            <wp:extent cx="5418034" cy="4800600"/>
            <wp:effectExtent l="0" t="0" r="0" b="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EB0FB38" w14:textId="77777777" w:rsidR="007F59C4" w:rsidRDefault="007F59C4" w:rsidP="00840468">
      <w:pPr>
        <w:pStyle w:val="Normalnumber"/>
        <w:spacing w:before="120"/>
      </w:pPr>
      <w:r>
        <w:t xml:space="preserve">Six categories were not represented in the responses received from AF (see Figure 17): </w:t>
      </w:r>
    </w:p>
    <w:p w14:paraId="56A25D4C" w14:textId="77777777" w:rsidR="007F59C4" w:rsidRDefault="007F59C4" w:rsidP="00111F1D">
      <w:pPr>
        <w:pStyle w:val="Normalnumber"/>
        <w:numPr>
          <w:ilvl w:val="1"/>
          <w:numId w:val="6"/>
        </w:numPr>
      </w:pPr>
      <w:r>
        <w:t>Commission</w:t>
      </w:r>
    </w:p>
    <w:p w14:paraId="2DE2112A" w14:textId="77777777" w:rsidR="007F59C4" w:rsidRPr="000E39BD" w:rsidRDefault="007F59C4" w:rsidP="00111F1D">
      <w:pPr>
        <w:pStyle w:val="Normalnumber"/>
        <w:numPr>
          <w:ilvl w:val="1"/>
          <w:numId w:val="6"/>
        </w:numPr>
      </w:pPr>
      <w:r w:rsidRPr="008E5301">
        <w:t>Intergovernmental scientific organization</w:t>
      </w:r>
      <w:r w:rsidRPr="000E39BD">
        <w:t xml:space="preserve"> </w:t>
      </w:r>
    </w:p>
    <w:p w14:paraId="54B948F4" w14:textId="77777777" w:rsidR="007F59C4" w:rsidRDefault="007F59C4" w:rsidP="00111F1D">
      <w:pPr>
        <w:pStyle w:val="Normalnumber"/>
        <w:numPr>
          <w:ilvl w:val="1"/>
          <w:numId w:val="6"/>
        </w:numPr>
      </w:pPr>
      <w:r>
        <w:t>Media</w:t>
      </w:r>
    </w:p>
    <w:p w14:paraId="6330AA88" w14:textId="77777777" w:rsidR="007F59C4" w:rsidRDefault="007F59C4" w:rsidP="00111F1D">
      <w:pPr>
        <w:pStyle w:val="Normalnumber"/>
        <w:numPr>
          <w:ilvl w:val="1"/>
          <w:numId w:val="6"/>
        </w:numPr>
      </w:pPr>
      <w:r>
        <w:t xml:space="preserve">Private sector organization </w:t>
      </w:r>
    </w:p>
    <w:p w14:paraId="5D0B00D7" w14:textId="77777777" w:rsidR="007F59C4" w:rsidRDefault="007F59C4" w:rsidP="00111F1D">
      <w:pPr>
        <w:pStyle w:val="Normalnumber"/>
        <w:numPr>
          <w:ilvl w:val="1"/>
          <w:numId w:val="6"/>
        </w:numPr>
      </w:pPr>
      <w:r>
        <w:t>Specialist boundary organization</w:t>
      </w:r>
    </w:p>
    <w:p w14:paraId="0A2C255B" w14:textId="77777777" w:rsidR="007F59C4" w:rsidRDefault="007F59C4" w:rsidP="00111F1D">
      <w:pPr>
        <w:pStyle w:val="Normalnumber"/>
        <w:numPr>
          <w:ilvl w:val="1"/>
          <w:numId w:val="6"/>
        </w:numPr>
      </w:pPr>
      <w:r>
        <w:t xml:space="preserve">Student networks. </w:t>
      </w:r>
    </w:p>
    <w:p w14:paraId="5AA1C117" w14:textId="77777777" w:rsidR="00840468" w:rsidRDefault="00840468">
      <w:pPr>
        <w:tabs>
          <w:tab w:val="clear" w:pos="1247"/>
          <w:tab w:val="clear" w:pos="1814"/>
          <w:tab w:val="clear" w:pos="2381"/>
          <w:tab w:val="clear" w:pos="2948"/>
          <w:tab w:val="clear" w:pos="3515"/>
        </w:tabs>
        <w:rPr>
          <w:rFonts w:ascii="Calibri" w:eastAsia="Calibri" w:hAnsi="Calibri"/>
          <w:noProof/>
          <w:sz w:val="22"/>
          <w:szCs w:val="22"/>
        </w:rPr>
      </w:pPr>
      <w:bookmarkStart w:id="22" w:name="_Toc469302250"/>
      <w:r>
        <w:rPr>
          <w:rFonts w:ascii="Calibri" w:eastAsia="Calibri" w:hAnsi="Calibri"/>
          <w:noProof/>
          <w:sz w:val="22"/>
          <w:szCs w:val="22"/>
        </w:rPr>
        <w:br w:type="page"/>
      </w:r>
    </w:p>
    <w:p w14:paraId="0A796F91" w14:textId="77777777" w:rsidR="007F59C4" w:rsidRDefault="007F59C4" w:rsidP="00840468">
      <w:pPr>
        <w:pStyle w:val="Titlefigure"/>
      </w:pPr>
      <w:r w:rsidRPr="00840468">
        <w:rPr>
          <w:b w:val="0"/>
        </w:rPr>
        <w:lastRenderedPageBreak/>
        <w:t xml:space="preserve">Figure </w:t>
      </w:r>
      <w:r w:rsidR="00840468" w:rsidRPr="00840468">
        <w:rPr>
          <w:b w:val="0"/>
        </w:rPr>
        <w:t>18</w:t>
      </w:r>
      <w:r w:rsidR="00840468" w:rsidRPr="00840468">
        <w:rPr>
          <w:b w:val="0"/>
        </w:rPr>
        <w:br/>
      </w:r>
      <w:r>
        <w:t>Organizational/institutional</w:t>
      </w:r>
      <w:r w:rsidRPr="00BC4087">
        <w:t xml:space="preserve"> categories in Asia-Pacific</w:t>
      </w:r>
      <w:r>
        <w:t xml:space="preserve"> (AP)</w:t>
      </w:r>
      <w:bookmarkEnd w:id="22"/>
    </w:p>
    <w:p w14:paraId="6FB9C9D7" w14:textId="77777777" w:rsidR="00840468" w:rsidRDefault="00840468" w:rsidP="00840468">
      <w:r w:rsidRPr="00BC4087">
        <w:rPr>
          <w:rFonts w:ascii="Calibri" w:eastAsia="Calibri" w:hAnsi="Calibri"/>
          <w:noProof/>
          <w:sz w:val="22"/>
          <w:szCs w:val="22"/>
          <w:lang w:val="en-US"/>
        </w:rPr>
        <w:drawing>
          <wp:inline distT="0" distB="0" distL="0" distR="0" wp14:anchorId="50BA6218" wp14:editId="195221EA">
            <wp:extent cx="5452217" cy="4733925"/>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58137D7" w14:textId="77777777" w:rsidR="007F59C4" w:rsidRPr="00BC4087" w:rsidRDefault="007F59C4" w:rsidP="00840468">
      <w:pPr>
        <w:pStyle w:val="Normalnumber"/>
        <w:spacing w:before="120"/>
      </w:pPr>
      <w:r>
        <w:t>S</w:t>
      </w:r>
      <w:r w:rsidRPr="00BC4087">
        <w:t xml:space="preserve">even categories </w:t>
      </w:r>
      <w:r>
        <w:t>were</w:t>
      </w:r>
      <w:r w:rsidRPr="00BC4087">
        <w:t xml:space="preserve"> </w:t>
      </w:r>
      <w:r>
        <w:t>not represented</w:t>
      </w:r>
      <w:r w:rsidRPr="00BC4087">
        <w:t xml:space="preserve"> in </w:t>
      </w:r>
      <w:r>
        <w:t xml:space="preserve">the </w:t>
      </w:r>
      <w:r w:rsidRPr="00BC4087">
        <w:t>responses</w:t>
      </w:r>
      <w:r>
        <w:t xml:space="preserve"> received from AP (see Figure 18)</w:t>
      </w:r>
      <w:r w:rsidRPr="00BC4087">
        <w:t>:</w:t>
      </w:r>
    </w:p>
    <w:p w14:paraId="0947FAF7" w14:textId="77777777" w:rsidR="007F59C4" w:rsidRPr="00BC4087" w:rsidRDefault="007F59C4" w:rsidP="00840468">
      <w:pPr>
        <w:pStyle w:val="Normalnumber"/>
        <w:numPr>
          <w:ilvl w:val="1"/>
          <w:numId w:val="6"/>
        </w:numPr>
        <w:spacing w:before="120"/>
      </w:pPr>
      <w:r w:rsidRPr="00BC4087">
        <w:t>Commis</w:t>
      </w:r>
      <w:r>
        <w:t>sion</w:t>
      </w:r>
    </w:p>
    <w:p w14:paraId="297390A0" w14:textId="77777777" w:rsidR="007F59C4" w:rsidRPr="008E5301" w:rsidRDefault="007F59C4" w:rsidP="00840468">
      <w:pPr>
        <w:pStyle w:val="Normalnumber"/>
        <w:numPr>
          <w:ilvl w:val="1"/>
          <w:numId w:val="6"/>
        </w:numPr>
        <w:spacing w:before="120"/>
      </w:pPr>
      <w:r w:rsidRPr="008E5301">
        <w:t>Indigenous community platform</w:t>
      </w:r>
    </w:p>
    <w:p w14:paraId="51801B1F" w14:textId="77777777" w:rsidR="007F59C4" w:rsidRPr="009751CA" w:rsidRDefault="007F59C4" w:rsidP="00840468">
      <w:pPr>
        <w:pStyle w:val="Normalnumber"/>
        <w:numPr>
          <w:ilvl w:val="1"/>
          <w:numId w:val="6"/>
        </w:numPr>
        <w:spacing w:before="120"/>
      </w:pPr>
      <w:r w:rsidRPr="009751CA">
        <w:t>Media</w:t>
      </w:r>
    </w:p>
    <w:p w14:paraId="3A9D5BAA" w14:textId="77777777" w:rsidR="007F59C4" w:rsidRPr="009751CA" w:rsidRDefault="007F59C4" w:rsidP="00840468">
      <w:pPr>
        <w:pStyle w:val="Normalnumber"/>
        <w:numPr>
          <w:ilvl w:val="1"/>
          <w:numId w:val="6"/>
        </w:numPr>
        <w:spacing w:before="120"/>
      </w:pPr>
      <w:r w:rsidRPr="009751CA">
        <w:t>Platform for practitioners</w:t>
      </w:r>
    </w:p>
    <w:p w14:paraId="41D255B6" w14:textId="77777777" w:rsidR="007F59C4" w:rsidRPr="008E5301" w:rsidRDefault="007F59C4" w:rsidP="00840468">
      <w:pPr>
        <w:pStyle w:val="Normalnumber"/>
        <w:numPr>
          <w:ilvl w:val="1"/>
          <w:numId w:val="6"/>
        </w:numPr>
        <w:spacing w:before="120"/>
      </w:pPr>
      <w:r w:rsidRPr="008E5301">
        <w:t>Research initiatives</w:t>
      </w:r>
    </w:p>
    <w:p w14:paraId="3D2EEF80" w14:textId="77777777" w:rsidR="007F59C4" w:rsidRPr="00BC4087" w:rsidRDefault="007F59C4" w:rsidP="00840468">
      <w:pPr>
        <w:pStyle w:val="Normalnumber"/>
        <w:numPr>
          <w:ilvl w:val="1"/>
          <w:numId w:val="6"/>
        </w:numPr>
        <w:spacing w:before="120"/>
      </w:pPr>
      <w:r>
        <w:t>Student network</w:t>
      </w:r>
    </w:p>
    <w:p w14:paraId="4CA6C6CF" w14:textId="77777777" w:rsidR="007F59C4" w:rsidRPr="00BC4087" w:rsidRDefault="007F59C4" w:rsidP="00840468">
      <w:pPr>
        <w:pStyle w:val="Normalnumber"/>
        <w:numPr>
          <w:ilvl w:val="1"/>
          <w:numId w:val="6"/>
        </w:numPr>
        <w:spacing w:before="120"/>
      </w:pPr>
      <w:r w:rsidRPr="00BC4087">
        <w:t>Subsidiary body or mechanism established under a Multilateral Environmental Agreement</w:t>
      </w:r>
    </w:p>
    <w:p w14:paraId="3525CDB7" w14:textId="77777777" w:rsidR="007F59C4" w:rsidRDefault="00840468" w:rsidP="00840468">
      <w:pPr>
        <w:pStyle w:val="Titlefigure"/>
      </w:pPr>
      <w:bookmarkStart w:id="23" w:name="_Toc469302251"/>
      <w:r w:rsidRPr="00840468">
        <w:rPr>
          <w:b w:val="0"/>
        </w:rPr>
        <w:lastRenderedPageBreak/>
        <w:t>Figure 19</w:t>
      </w:r>
      <w:r w:rsidRPr="00840468">
        <w:br/>
      </w:r>
      <w:r w:rsidR="007F59C4" w:rsidRPr="00840468">
        <w:t>Organizational/institutional categories in Eastern Europe (EE)</w:t>
      </w:r>
      <w:bookmarkEnd w:id="23"/>
    </w:p>
    <w:p w14:paraId="0651A925" w14:textId="77777777" w:rsidR="00840468" w:rsidRDefault="00840468" w:rsidP="00840468">
      <w:r w:rsidRPr="006823FD">
        <w:rPr>
          <w:noProof/>
          <w:lang w:val="en-US"/>
        </w:rPr>
        <w:drawing>
          <wp:inline distT="0" distB="0" distL="0" distR="0" wp14:anchorId="7EEBD6C2" wp14:editId="389ADEFE">
            <wp:extent cx="5349667" cy="4762500"/>
            <wp:effectExtent l="0" t="0" r="381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5D2A4BF" w14:textId="77777777" w:rsidR="007F59C4" w:rsidRPr="00260FA7" w:rsidRDefault="007F59C4" w:rsidP="00840468">
      <w:pPr>
        <w:pStyle w:val="Normalnumber"/>
        <w:spacing w:before="120"/>
      </w:pPr>
      <w:r>
        <w:t>O</w:t>
      </w:r>
      <w:r w:rsidRPr="00260FA7">
        <w:t>nly five</w:t>
      </w:r>
      <w:r>
        <w:t xml:space="preserve"> out of 21 categories were</w:t>
      </w:r>
      <w:r w:rsidRPr="00260FA7">
        <w:t xml:space="preserve"> </w:t>
      </w:r>
      <w:r>
        <w:t>represented</w:t>
      </w:r>
      <w:r w:rsidRPr="00260FA7">
        <w:t xml:space="preserve"> in responses</w:t>
      </w:r>
      <w:r>
        <w:t xml:space="preserve"> received from EE (see Figure 19)</w:t>
      </w:r>
      <w:r w:rsidRPr="00260FA7">
        <w:t>:</w:t>
      </w:r>
    </w:p>
    <w:p w14:paraId="7D06DE9E" w14:textId="77777777" w:rsidR="007F59C4" w:rsidRPr="00260FA7" w:rsidRDefault="007F59C4" w:rsidP="00840468">
      <w:pPr>
        <w:pStyle w:val="Normalnumber"/>
        <w:numPr>
          <w:ilvl w:val="1"/>
          <w:numId w:val="6"/>
        </w:numPr>
      </w:pPr>
      <w:r>
        <w:t>Academic institution</w:t>
      </w:r>
    </w:p>
    <w:p w14:paraId="0B974C30" w14:textId="77777777" w:rsidR="007F59C4" w:rsidRPr="00260FA7" w:rsidRDefault="007F59C4" w:rsidP="00840468">
      <w:pPr>
        <w:pStyle w:val="Normalnumber"/>
        <w:numPr>
          <w:ilvl w:val="1"/>
          <w:numId w:val="6"/>
        </w:numPr>
      </w:pPr>
      <w:r>
        <w:t>Government</w:t>
      </w:r>
    </w:p>
    <w:p w14:paraId="4652796C" w14:textId="77777777" w:rsidR="007F59C4" w:rsidRPr="00260FA7" w:rsidRDefault="007F59C4" w:rsidP="00840468">
      <w:pPr>
        <w:pStyle w:val="Normalnumber"/>
        <w:numPr>
          <w:ilvl w:val="1"/>
          <w:numId w:val="6"/>
        </w:numPr>
      </w:pPr>
      <w:r>
        <w:t>Non-governmental organization</w:t>
      </w:r>
    </w:p>
    <w:p w14:paraId="6508EF9C" w14:textId="77777777" w:rsidR="007F59C4" w:rsidRPr="00260FA7" w:rsidRDefault="007F59C4" w:rsidP="00840468">
      <w:pPr>
        <w:pStyle w:val="Normalnumber"/>
        <w:numPr>
          <w:ilvl w:val="1"/>
          <w:numId w:val="6"/>
        </w:numPr>
      </w:pPr>
      <w:r>
        <w:t>Research centre</w:t>
      </w:r>
      <w:r w:rsidRPr="00260FA7">
        <w:t xml:space="preserve"> </w:t>
      </w:r>
    </w:p>
    <w:p w14:paraId="22DD2989" w14:textId="77777777" w:rsidR="007F59C4" w:rsidRPr="00260FA7" w:rsidRDefault="007F59C4" w:rsidP="00840468">
      <w:pPr>
        <w:pStyle w:val="Normalnumber"/>
        <w:numPr>
          <w:ilvl w:val="1"/>
          <w:numId w:val="6"/>
        </w:numPr>
      </w:pPr>
      <w:r w:rsidRPr="00260FA7">
        <w:t>Scientific network.</w:t>
      </w:r>
    </w:p>
    <w:p w14:paraId="198F3BE5" w14:textId="77777777" w:rsidR="007F59C4" w:rsidRDefault="00840468" w:rsidP="00840468">
      <w:pPr>
        <w:pStyle w:val="Titletable"/>
      </w:pPr>
      <w:bookmarkStart w:id="24" w:name="_Toc469302252"/>
      <w:r w:rsidRPr="00840468">
        <w:rPr>
          <w:b w:val="0"/>
        </w:rPr>
        <w:lastRenderedPageBreak/>
        <w:t>Figure 20</w:t>
      </w:r>
      <w:r w:rsidRPr="00840468">
        <w:rPr>
          <w:b w:val="0"/>
        </w:rPr>
        <w:br/>
      </w:r>
      <w:r w:rsidR="007F59C4">
        <w:t>Organizational/institutional</w:t>
      </w:r>
      <w:r w:rsidR="007F59C4" w:rsidRPr="001048FB">
        <w:t xml:space="preserve"> categories </w:t>
      </w:r>
      <w:r w:rsidR="007F59C4">
        <w:t>in Latin America and the Caribbean (LAC)</w:t>
      </w:r>
      <w:bookmarkEnd w:id="24"/>
    </w:p>
    <w:p w14:paraId="26F992D7" w14:textId="77777777" w:rsidR="00840468" w:rsidRDefault="00840468" w:rsidP="00840468">
      <w:r w:rsidRPr="006823FD">
        <w:rPr>
          <w:noProof/>
          <w:lang w:val="en-US"/>
        </w:rPr>
        <w:drawing>
          <wp:inline distT="0" distB="0" distL="0" distR="0" wp14:anchorId="28697C55" wp14:editId="71D39C59">
            <wp:extent cx="5426579" cy="4857750"/>
            <wp:effectExtent l="0" t="0" r="3175"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F8302FE" w14:textId="77777777" w:rsidR="007F59C4" w:rsidRPr="000C1597" w:rsidRDefault="007F59C4" w:rsidP="00840468">
      <w:pPr>
        <w:pStyle w:val="Normalnumber"/>
      </w:pPr>
      <w:r>
        <w:t>The following</w:t>
      </w:r>
      <w:r w:rsidRPr="000C1597">
        <w:t xml:space="preserve"> categories </w:t>
      </w:r>
      <w:r>
        <w:t>were</w:t>
      </w:r>
      <w:r w:rsidRPr="000C1597">
        <w:t xml:space="preserve"> not </w:t>
      </w:r>
      <w:r>
        <w:t>represented</w:t>
      </w:r>
      <w:r w:rsidRPr="000C1597">
        <w:t xml:space="preserve"> in responses</w:t>
      </w:r>
      <w:r>
        <w:t xml:space="preserve"> received from LAC (see Figure 20):</w:t>
      </w:r>
    </w:p>
    <w:p w14:paraId="7016AFA6" w14:textId="77777777" w:rsidR="007F59C4" w:rsidRPr="00260FA7" w:rsidRDefault="007F59C4" w:rsidP="00840468">
      <w:pPr>
        <w:pStyle w:val="Normalnumber"/>
        <w:numPr>
          <w:ilvl w:val="1"/>
          <w:numId w:val="6"/>
        </w:numPr>
      </w:pPr>
      <w:r>
        <w:t>Indigenous community platform</w:t>
      </w:r>
    </w:p>
    <w:p w14:paraId="315D6A4B" w14:textId="77777777" w:rsidR="007F59C4" w:rsidRPr="00260FA7" w:rsidRDefault="007F59C4" w:rsidP="00840468">
      <w:pPr>
        <w:pStyle w:val="Normalnumber"/>
        <w:numPr>
          <w:ilvl w:val="1"/>
          <w:numId w:val="6"/>
        </w:numPr>
      </w:pPr>
      <w:r>
        <w:t>Intergovernmental organization</w:t>
      </w:r>
    </w:p>
    <w:p w14:paraId="67C383CE" w14:textId="77777777" w:rsidR="007F59C4" w:rsidRPr="00F31215" w:rsidRDefault="007F59C4" w:rsidP="00840468">
      <w:pPr>
        <w:pStyle w:val="Normalnumber"/>
        <w:numPr>
          <w:ilvl w:val="1"/>
          <w:numId w:val="6"/>
        </w:numPr>
      </w:pPr>
      <w:r w:rsidRPr="00F31215">
        <w:t>Intergovernmental scientific organization</w:t>
      </w:r>
    </w:p>
    <w:p w14:paraId="52A45764" w14:textId="77777777" w:rsidR="007F59C4" w:rsidRPr="009751CA" w:rsidRDefault="007F59C4" w:rsidP="00840468">
      <w:pPr>
        <w:pStyle w:val="Normalnumber"/>
        <w:numPr>
          <w:ilvl w:val="1"/>
          <w:numId w:val="6"/>
        </w:numPr>
      </w:pPr>
      <w:r w:rsidRPr="009751CA">
        <w:t>Media</w:t>
      </w:r>
    </w:p>
    <w:p w14:paraId="05B98434" w14:textId="77777777" w:rsidR="007F59C4" w:rsidRPr="009751CA" w:rsidRDefault="007F59C4" w:rsidP="00840468">
      <w:pPr>
        <w:pStyle w:val="Normalnumber"/>
        <w:numPr>
          <w:ilvl w:val="1"/>
          <w:numId w:val="6"/>
        </w:numPr>
      </w:pPr>
      <w:r w:rsidRPr="009751CA">
        <w:t>Scientific advisory group</w:t>
      </w:r>
    </w:p>
    <w:p w14:paraId="39116F72" w14:textId="77777777" w:rsidR="007F59C4" w:rsidRPr="00F31215" w:rsidRDefault="007F59C4" w:rsidP="00840468">
      <w:pPr>
        <w:pStyle w:val="Normalnumber"/>
        <w:numPr>
          <w:ilvl w:val="1"/>
          <w:numId w:val="6"/>
        </w:numPr>
      </w:pPr>
      <w:r w:rsidRPr="00F31215">
        <w:t>Scientific network</w:t>
      </w:r>
    </w:p>
    <w:p w14:paraId="6CED36DD" w14:textId="77777777" w:rsidR="007F59C4" w:rsidRPr="00260FA7" w:rsidRDefault="007F59C4" w:rsidP="00840468">
      <w:pPr>
        <w:pStyle w:val="Normalnumber"/>
        <w:numPr>
          <w:ilvl w:val="1"/>
          <w:numId w:val="6"/>
        </w:numPr>
      </w:pPr>
      <w:r w:rsidRPr="00260FA7">
        <w:t>Spe</w:t>
      </w:r>
      <w:r>
        <w:t>cialist “boundary” organisation</w:t>
      </w:r>
    </w:p>
    <w:p w14:paraId="635E9CF1" w14:textId="77777777" w:rsidR="007F59C4" w:rsidRPr="00260FA7" w:rsidRDefault="007F59C4" w:rsidP="00840468">
      <w:pPr>
        <w:pStyle w:val="Normalnumber"/>
        <w:numPr>
          <w:ilvl w:val="1"/>
          <w:numId w:val="6"/>
        </w:numPr>
      </w:pPr>
      <w:r>
        <w:t>Student network</w:t>
      </w:r>
    </w:p>
    <w:p w14:paraId="3FB7AFAE" w14:textId="77777777" w:rsidR="007F59C4" w:rsidRPr="00260FA7" w:rsidRDefault="007F59C4" w:rsidP="00840468">
      <w:pPr>
        <w:pStyle w:val="Normalnumber"/>
        <w:numPr>
          <w:ilvl w:val="1"/>
          <w:numId w:val="6"/>
        </w:numPr>
      </w:pPr>
      <w:r>
        <w:t>Subsidiary body</w:t>
      </w:r>
    </w:p>
    <w:p w14:paraId="04DB6FCB" w14:textId="77777777" w:rsidR="007F59C4" w:rsidRDefault="00490F9B" w:rsidP="00490F9B">
      <w:pPr>
        <w:pStyle w:val="Titlefigure"/>
      </w:pPr>
      <w:bookmarkStart w:id="25" w:name="_Toc469302253"/>
      <w:r w:rsidRPr="00490F9B">
        <w:rPr>
          <w:b w:val="0"/>
        </w:rPr>
        <w:lastRenderedPageBreak/>
        <w:t>Figure 21</w:t>
      </w:r>
      <w:r w:rsidRPr="00490F9B">
        <w:rPr>
          <w:b w:val="0"/>
        </w:rPr>
        <w:br/>
      </w:r>
      <w:r w:rsidR="007F59C4">
        <w:t>Organizational/institutional</w:t>
      </w:r>
      <w:r w:rsidR="007F59C4" w:rsidRPr="002654FC">
        <w:t xml:space="preserve"> categories </w:t>
      </w:r>
      <w:r w:rsidR="007F59C4">
        <w:t>in Western Europe and Other Groups (WEOG)</w:t>
      </w:r>
      <w:bookmarkEnd w:id="25"/>
    </w:p>
    <w:p w14:paraId="715C8075" w14:textId="77777777" w:rsidR="00490F9B" w:rsidRPr="00490F9B" w:rsidRDefault="00490F9B" w:rsidP="00490F9B">
      <w:pPr>
        <w:pStyle w:val="NormalNonumber"/>
      </w:pPr>
      <w:r w:rsidRPr="006823FD">
        <w:rPr>
          <w:noProof/>
          <w:lang w:val="en-US"/>
        </w:rPr>
        <w:drawing>
          <wp:inline distT="0" distB="0" distL="0" distR="0" wp14:anchorId="5E21E982" wp14:editId="5607FEB6">
            <wp:extent cx="5426579" cy="4562475"/>
            <wp:effectExtent l="0" t="0" r="3175"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4B8EDD0" w14:textId="77777777" w:rsidR="007F59C4" w:rsidRPr="000C1597" w:rsidRDefault="007F59C4" w:rsidP="00490F9B">
      <w:pPr>
        <w:pStyle w:val="Normalnumber"/>
      </w:pPr>
      <w:r>
        <w:t>O</w:t>
      </w:r>
      <w:r w:rsidRPr="000C1597">
        <w:t xml:space="preserve">nly four categories </w:t>
      </w:r>
      <w:r>
        <w:t>were</w:t>
      </w:r>
      <w:r w:rsidRPr="000C1597">
        <w:t xml:space="preserve"> not </w:t>
      </w:r>
      <w:r>
        <w:t>represented</w:t>
      </w:r>
      <w:r w:rsidRPr="000C1597">
        <w:t xml:space="preserve"> in responses</w:t>
      </w:r>
      <w:r>
        <w:t xml:space="preserve"> received from WEOG (see Figure 21)</w:t>
      </w:r>
      <w:r w:rsidRPr="000C1597">
        <w:t>:</w:t>
      </w:r>
    </w:p>
    <w:p w14:paraId="4587E7DB" w14:textId="77777777" w:rsidR="007F59C4" w:rsidRPr="008E5301" w:rsidRDefault="007F59C4" w:rsidP="00490F9B">
      <w:pPr>
        <w:pStyle w:val="Normalnumber"/>
        <w:numPr>
          <w:ilvl w:val="1"/>
          <w:numId w:val="6"/>
        </w:numPr>
      </w:pPr>
      <w:r w:rsidRPr="008E5301">
        <w:t>Indigenous community platform</w:t>
      </w:r>
    </w:p>
    <w:p w14:paraId="09D6853E" w14:textId="77777777" w:rsidR="007F59C4" w:rsidRPr="00260FA7" w:rsidRDefault="007F59C4" w:rsidP="00490F9B">
      <w:pPr>
        <w:pStyle w:val="Normalnumber"/>
        <w:numPr>
          <w:ilvl w:val="1"/>
          <w:numId w:val="6"/>
        </w:numPr>
      </w:pPr>
      <w:r>
        <w:t>Media</w:t>
      </w:r>
    </w:p>
    <w:p w14:paraId="05C25659" w14:textId="77777777" w:rsidR="007F59C4" w:rsidRPr="00260FA7" w:rsidRDefault="007F59C4" w:rsidP="00490F9B">
      <w:pPr>
        <w:pStyle w:val="Normalnumber"/>
        <w:numPr>
          <w:ilvl w:val="1"/>
          <w:numId w:val="6"/>
        </w:numPr>
      </w:pPr>
      <w:r w:rsidRPr="00260FA7">
        <w:t>Student network</w:t>
      </w:r>
    </w:p>
    <w:p w14:paraId="0B773800" w14:textId="77777777" w:rsidR="007F59C4" w:rsidRDefault="007F59C4" w:rsidP="00490F9B">
      <w:pPr>
        <w:pStyle w:val="Normalnumber"/>
        <w:numPr>
          <w:ilvl w:val="1"/>
          <w:numId w:val="6"/>
        </w:numPr>
      </w:pPr>
      <w:r>
        <w:t>Subsidiary body</w:t>
      </w:r>
    </w:p>
    <w:p w14:paraId="77AC1D28" w14:textId="77777777" w:rsidR="007F59C4" w:rsidRPr="00490F9B" w:rsidRDefault="007F59C4" w:rsidP="00490F9B">
      <w:pPr>
        <w:pStyle w:val="Normalnumber"/>
      </w:pPr>
      <w:r w:rsidRPr="00490F9B">
        <w:rPr>
          <w:b/>
        </w:rPr>
        <w:t>Overall Observation</w:t>
      </w:r>
      <w:r w:rsidRPr="00490F9B">
        <w:t xml:space="preserve">: The analysis presented above provides useful information about underrepresented categories in each of the four regions. It confirms that there is, for example, a general need to increase the engagement of private sector stakeholders with IPBES across all regions, and civil society engagement is another apparent gap across most regions. Such patterns will be used in future activities involving stakeholders to decide on which categories to engage as priorities depending on the specific activity and the region. </w:t>
      </w:r>
    </w:p>
    <w:p w14:paraId="20E77A79" w14:textId="77777777" w:rsidR="007F59C4" w:rsidRPr="003F3DDD" w:rsidRDefault="00490F9B" w:rsidP="00490F9B">
      <w:pPr>
        <w:pStyle w:val="CH2"/>
      </w:pPr>
      <w:r>
        <w:tab/>
        <w:t>C.</w:t>
      </w:r>
      <w:r>
        <w:tab/>
      </w:r>
      <w:r w:rsidR="007F59C4">
        <w:t>Organizational/institutional profile</w:t>
      </w:r>
    </w:p>
    <w:p w14:paraId="6B524002" w14:textId="24723CAB" w:rsidR="007F59C4" w:rsidRDefault="007F59C4" w:rsidP="00490F9B">
      <w:pPr>
        <w:pStyle w:val="Normalnumber"/>
      </w:pPr>
      <w:r>
        <w:t xml:space="preserve">The social sciences (21%) as well as indigenous and local knowledge (17%) were </w:t>
      </w:r>
      <w:r w:rsidR="00997444">
        <w:br/>
      </w:r>
      <w:r>
        <w:t>well-represented in survey responses received on behalf of organizations/institutions; however, natural science was predominant (indicated by 43% of organizational/institutional respondents).</w:t>
      </w:r>
    </w:p>
    <w:p w14:paraId="4D6E7494" w14:textId="77777777" w:rsidR="007F59C4" w:rsidRDefault="007F59C4" w:rsidP="00490F9B">
      <w:pPr>
        <w:pStyle w:val="Normalnumber"/>
      </w:pPr>
      <w:r w:rsidRPr="00E017BD">
        <w:rPr>
          <w:b/>
          <w:bCs/>
          <w:u w:val="single"/>
        </w:rPr>
        <w:t>Observation</w:t>
      </w:r>
      <w:r>
        <w:t>: The balance in the profile of engaged organizations/institutions could be improved by attracting engagement of other disciplines, knowledge systems and the business sector.</w:t>
      </w:r>
    </w:p>
    <w:p w14:paraId="217B2251" w14:textId="77777777" w:rsidR="007F59C4" w:rsidRDefault="007F59C4" w:rsidP="00490F9B">
      <w:pPr>
        <w:pStyle w:val="Normalnumber"/>
      </w:pPr>
      <w:r>
        <w:t>It is noteworthy that 43% of organizations/institutions that indicated indigenous and local knowledge as their profile were from AF and 1% were from EE (se Figure 23).</w:t>
      </w:r>
    </w:p>
    <w:p w14:paraId="0BE03B05" w14:textId="77777777" w:rsidR="007F59C4" w:rsidRDefault="007F59C4" w:rsidP="00490F9B">
      <w:pPr>
        <w:pStyle w:val="Titletable"/>
        <w:rPr>
          <w:rFonts w:eastAsia="MS Mincho"/>
        </w:rPr>
      </w:pPr>
      <w:bookmarkStart w:id="26" w:name="_Toc469302254"/>
      <w:r w:rsidRPr="00490F9B">
        <w:rPr>
          <w:rFonts w:eastAsia="MS Mincho"/>
          <w:b w:val="0"/>
        </w:rPr>
        <w:lastRenderedPageBreak/>
        <w:t>Figure 22</w:t>
      </w:r>
      <w:r w:rsidR="00490F9B" w:rsidRPr="00490F9B">
        <w:rPr>
          <w:rFonts w:eastAsia="MS Mincho"/>
        </w:rPr>
        <w:br/>
      </w:r>
      <w:r>
        <w:rPr>
          <w:rFonts w:eastAsia="MS Mincho"/>
        </w:rPr>
        <w:t xml:space="preserve">Organizational/institutional profile </w:t>
      </w:r>
      <w:r w:rsidRPr="0000132C">
        <w:rPr>
          <w:rFonts w:eastAsia="MS Mincho"/>
        </w:rPr>
        <w:t>(percentage of total responses)</w:t>
      </w:r>
      <w:bookmarkEnd w:id="26"/>
    </w:p>
    <w:p w14:paraId="3444EE22" w14:textId="77777777" w:rsidR="00490F9B" w:rsidRPr="0000132C" w:rsidRDefault="00490F9B" w:rsidP="00490F9B">
      <w:pPr>
        <w:ind w:left="1276"/>
        <w:rPr>
          <w:rFonts w:eastAsia="MS Mincho"/>
          <w:b/>
          <w:bCs/>
        </w:rPr>
      </w:pPr>
      <w:r w:rsidRPr="006823FD">
        <w:rPr>
          <w:noProof/>
          <w:lang w:val="en-US"/>
        </w:rPr>
        <w:drawing>
          <wp:inline distT="0" distB="0" distL="0" distR="0" wp14:anchorId="0BC367D5" wp14:editId="62731671">
            <wp:extent cx="5426579" cy="2981325"/>
            <wp:effectExtent l="0" t="0" r="0" b="0"/>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370547C" w14:textId="77777777" w:rsidR="00490F9B" w:rsidRPr="0000132C" w:rsidRDefault="00490F9B" w:rsidP="00490F9B">
      <w:pPr>
        <w:pStyle w:val="Titlefigure"/>
        <w:rPr>
          <w:rFonts w:eastAsia="MS Mincho"/>
          <w:bCs/>
        </w:rPr>
      </w:pPr>
      <w:bookmarkStart w:id="27" w:name="_Toc469302255"/>
      <w:r w:rsidRPr="00490F9B">
        <w:rPr>
          <w:rFonts w:eastAsia="MS Mincho"/>
          <w:b w:val="0"/>
        </w:rPr>
        <w:t>Figure 23</w:t>
      </w:r>
      <w:r w:rsidRPr="00490F9B">
        <w:rPr>
          <w:rFonts w:eastAsia="MS Mincho"/>
          <w:b w:val="0"/>
        </w:rPr>
        <w:br/>
      </w:r>
      <w:r>
        <w:rPr>
          <w:rFonts w:eastAsia="MS Mincho"/>
        </w:rPr>
        <w:t>Organizational/institutional</w:t>
      </w:r>
      <w:r w:rsidRPr="0000132C">
        <w:rPr>
          <w:rFonts w:eastAsia="MS Mincho"/>
        </w:rPr>
        <w:t xml:space="preserve"> </w:t>
      </w:r>
      <w:r>
        <w:rPr>
          <w:rFonts w:eastAsia="MS Mincho"/>
        </w:rPr>
        <w:t xml:space="preserve">profile per region as a </w:t>
      </w:r>
      <w:r w:rsidRPr="0000132C">
        <w:rPr>
          <w:rFonts w:eastAsia="MS Mincho"/>
        </w:rPr>
        <w:t xml:space="preserve">percentage of </w:t>
      </w:r>
      <w:r>
        <w:rPr>
          <w:rFonts w:eastAsia="MS Mincho"/>
        </w:rPr>
        <w:t xml:space="preserve">total </w:t>
      </w:r>
      <w:r w:rsidRPr="0000132C">
        <w:rPr>
          <w:rFonts w:eastAsia="MS Mincho"/>
        </w:rPr>
        <w:t>responses</w:t>
      </w:r>
      <w:r>
        <w:rPr>
          <w:rFonts w:eastAsia="MS Mincho"/>
        </w:rPr>
        <w:t xml:space="preserve"> received</w:t>
      </w:r>
      <w:r w:rsidRPr="0000132C">
        <w:rPr>
          <w:rFonts w:eastAsia="MS Mincho"/>
        </w:rPr>
        <w:t xml:space="preserve"> per </w:t>
      </w:r>
      <w:bookmarkEnd w:id="27"/>
      <w:r>
        <w:rPr>
          <w:rFonts w:eastAsia="MS Mincho"/>
        </w:rPr>
        <w:t>category.</w:t>
      </w:r>
    </w:p>
    <w:p w14:paraId="1765F37D" w14:textId="77777777" w:rsidR="007F59C4" w:rsidRDefault="007F59C4" w:rsidP="00490F9B">
      <w:pPr>
        <w:ind w:left="1276"/>
      </w:pPr>
      <w:r>
        <w:rPr>
          <w:noProof/>
          <w:lang w:val="en-US"/>
        </w:rPr>
        <w:drawing>
          <wp:inline distT="0" distB="0" distL="0" distR="0" wp14:anchorId="7430D280" wp14:editId="10087675">
            <wp:extent cx="5341121" cy="2754630"/>
            <wp:effectExtent l="0" t="0" r="12065" b="762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D3ABF1A" w14:textId="77777777" w:rsidR="00552509" w:rsidRDefault="00552509" w:rsidP="00552509"/>
    <w:p w14:paraId="11C2273C" w14:textId="77777777" w:rsidR="007F59C4" w:rsidRDefault="00552509" w:rsidP="00552509">
      <w:pPr>
        <w:pStyle w:val="CH1"/>
      </w:pPr>
      <w:r>
        <w:lastRenderedPageBreak/>
        <w:tab/>
        <w:t>I</w:t>
      </w:r>
      <w:r w:rsidR="00A615A1">
        <w:t>II</w:t>
      </w:r>
      <w:r>
        <w:t>.</w:t>
      </w:r>
      <w:r>
        <w:tab/>
      </w:r>
      <w:r w:rsidR="007F59C4">
        <w:t xml:space="preserve">Stakeholder mapping: individual capacity </w:t>
      </w:r>
    </w:p>
    <w:p w14:paraId="6067D3A7" w14:textId="77777777" w:rsidR="007F59C4" w:rsidRDefault="00552509" w:rsidP="00552509">
      <w:pPr>
        <w:pStyle w:val="CH2"/>
      </w:pPr>
      <w:r>
        <w:tab/>
        <w:t>A.</w:t>
      </w:r>
      <w:r>
        <w:tab/>
      </w:r>
      <w:r w:rsidR="007F59C4">
        <w:t>Composition at global level</w:t>
      </w:r>
    </w:p>
    <w:p w14:paraId="0A2FA9FA" w14:textId="77777777" w:rsidR="00552509" w:rsidRPr="00552509" w:rsidRDefault="00552509" w:rsidP="00552509">
      <w:pPr>
        <w:pStyle w:val="Titletable"/>
      </w:pPr>
      <w:bookmarkStart w:id="28" w:name="_Toc469302256"/>
      <w:r w:rsidRPr="00552509">
        <w:rPr>
          <w:b w:val="0"/>
        </w:rPr>
        <w:t>Figure 24</w:t>
      </w:r>
      <w:r w:rsidRPr="00552509">
        <w:br/>
      </w:r>
      <w:r w:rsidRPr="006823FD">
        <w:t xml:space="preserve">Gender and age distribution of stakeholders engaging in their </w:t>
      </w:r>
      <w:r>
        <w:t>individual</w:t>
      </w:r>
      <w:r w:rsidRPr="006823FD">
        <w:t xml:space="preserve"> capacity</w:t>
      </w:r>
      <w:r>
        <w:t xml:space="preserve"> (number of responses)</w:t>
      </w:r>
      <w:bookmarkEnd w:id="28"/>
    </w:p>
    <w:p w14:paraId="61989C68" w14:textId="77777777" w:rsidR="007F59C4" w:rsidRDefault="007F59C4" w:rsidP="007F59C4">
      <w:pPr>
        <w:keepNext/>
        <w:ind w:left="1276"/>
      </w:pPr>
      <w:r>
        <w:rPr>
          <w:noProof/>
          <w:lang w:val="en-US"/>
        </w:rPr>
        <w:drawing>
          <wp:inline distT="0" distB="0" distL="0" distR="0" wp14:anchorId="2FB52705" wp14:editId="53A6AD5A">
            <wp:extent cx="5418034" cy="2837815"/>
            <wp:effectExtent l="0" t="0" r="0" b="635"/>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6B531A6" w14:textId="77777777" w:rsidR="007F59C4" w:rsidRPr="000C1597" w:rsidRDefault="007F59C4" w:rsidP="00552509">
      <w:pPr>
        <w:pStyle w:val="Normalnumber"/>
      </w:pPr>
      <w:r w:rsidRPr="00260FA7">
        <w:t xml:space="preserve">The distribution </w:t>
      </w:r>
      <w:r>
        <w:t>of responses was</w:t>
      </w:r>
      <w:r w:rsidRPr="00260FA7">
        <w:t xml:space="preserve"> a bell curve</w:t>
      </w:r>
      <w:r>
        <w:t>,</w:t>
      </w:r>
      <w:r w:rsidRPr="00260FA7">
        <w:t xml:space="preserve"> </w:t>
      </w:r>
      <w:r>
        <w:t>with</w:t>
      </w:r>
      <w:r w:rsidRPr="00260FA7">
        <w:t xml:space="preserve"> men more represented than women</w:t>
      </w:r>
      <w:r>
        <w:t>. Men accounted for 56% of respondents aged “35 to 44”, while women accounted for 43%. In the age category “45 to 54”, respondents were 67% men and 32% women.</w:t>
      </w:r>
    </w:p>
    <w:p w14:paraId="603E8E69" w14:textId="77777777" w:rsidR="007F59C4" w:rsidRPr="00B23144" w:rsidRDefault="00B23144" w:rsidP="00B23144">
      <w:pPr>
        <w:pStyle w:val="CH2"/>
      </w:pPr>
      <w:r>
        <w:rPr>
          <w:rStyle w:val="Heading2Char"/>
          <w:b/>
        </w:rPr>
        <w:tab/>
        <w:t>B.</w:t>
      </w:r>
      <w:r>
        <w:rPr>
          <w:rStyle w:val="Heading2Char"/>
          <w:b/>
        </w:rPr>
        <w:tab/>
      </w:r>
      <w:bookmarkStart w:id="29" w:name="_Toc469302213"/>
      <w:r w:rsidR="007F59C4" w:rsidRPr="00B23144">
        <w:rPr>
          <w:rStyle w:val="Heading2Char"/>
          <w:b/>
        </w:rPr>
        <w:t>Composition at regional level</w:t>
      </w:r>
      <w:bookmarkEnd w:id="29"/>
      <w:r w:rsidR="007F59C4" w:rsidRPr="00B23144">
        <w:t xml:space="preserve"> </w:t>
      </w:r>
    </w:p>
    <w:p w14:paraId="5AEA3B91" w14:textId="77777777" w:rsidR="00B23144" w:rsidRPr="00B23144" w:rsidRDefault="00B23144" w:rsidP="00B23144">
      <w:pPr>
        <w:pStyle w:val="Titletable"/>
      </w:pPr>
      <w:bookmarkStart w:id="30" w:name="_Toc469302257"/>
      <w:r w:rsidRPr="00B23144">
        <w:rPr>
          <w:b w:val="0"/>
        </w:rPr>
        <w:t>Figure 25</w:t>
      </w:r>
      <w:r w:rsidRPr="00B23144">
        <w:rPr>
          <w:b w:val="0"/>
        </w:rPr>
        <w:br/>
      </w:r>
      <w:r w:rsidRPr="006823FD">
        <w:t xml:space="preserve">Gender and age distribution of stakeholders engaging in their </w:t>
      </w:r>
      <w:r>
        <w:t>individual</w:t>
      </w:r>
      <w:r w:rsidRPr="006823FD">
        <w:t xml:space="preserve"> capacity in </w:t>
      </w:r>
      <w:r>
        <w:t xml:space="preserve">Africa (AF) </w:t>
      </w:r>
      <w:r w:rsidRPr="00FF7AE4">
        <w:t>(number of responses)</w:t>
      </w:r>
      <w:bookmarkEnd w:id="30"/>
    </w:p>
    <w:p w14:paraId="66FC1951" w14:textId="77777777" w:rsidR="007F59C4" w:rsidRDefault="007F59C4" w:rsidP="002D15C2">
      <w:pPr>
        <w:ind w:left="624"/>
      </w:pPr>
      <w:r w:rsidRPr="00B965AD">
        <w:rPr>
          <w:noProof/>
          <w:lang w:val="en-US"/>
        </w:rPr>
        <w:drawing>
          <wp:inline distT="0" distB="0" distL="0" distR="0" wp14:anchorId="3C553AED" wp14:editId="2CC258C9">
            <wp:extent cx="5332576" cy="2743200"/>
            <wp:effectExtent l="0" t="0" r="1905"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0642AFD" w14:textId="77777777" w:rsidR="00B23144" w:rsidRDefault="007F59C4" w:rsidP="00B23144">
      <w:pPr>
        <w:pStyle w:val="Normalnumber"/>
      </w:pPr>
      <w:r w:rsidRPr="00260FA7">
        <w:t xml:space="preserve">In </w:t>
      </w:r>
      <w:r>
        <w:t>AF</w:t>
      </w:r>
      <w:r w:rsidRPr="00260FA7">
        <w:t>, male representation was predominant</w:t>
      </w:r>
      <w:r>
        <w:t>, with 80% males in the “35 to 44” category, and 66% in the “45 to 54” category</w:t>
      </w:r>
      <w:r w:rsidRPr="00260FA7">
        <w:t xml:space="preserve">. </w:t>
      </w:r>
    </w:p>
    <w:p w14:paraId="4DD221B2" w14:textId="77777777" w:rsidR="007F59C4" w:rsidRDefault="00B23144" w:rsidP="00B23144">
      <w:pPr>
        <w:pStyle w:val="Titlefigure"/>
      </w:pPr>
      <w:bookmarkStart w:id="31" w:name="_Toc469302258"/>
      <w:r w:rsidRPr="00B23144">
        <w:rPr>
          <w:b w:val="0"/>
        </w:rPr>
        <w:lastRenderedPageBreak/>
        <w:t>Figure 26</w:t>
      </w:r>
      <w:r w:rsidRPr="00B23144">
        <w:rPr>
          <w:b w:val="0"/>
        </w:rPr>
        <w:br/>
      </w:r>
      <w:r w:rsidRPr="006823FD">
        <w:t xml:space="preserve">Gender and age distribution of stakeholders engaging in their </w:t>
      </w:r>
      <w:r>
        <w:t>individual</w:t>
      </w:r>
      <w:r w:rsidRPr="006823FD">
        <w:t xml:space="preserve"> capacity in </w:t>
      </w:r>
      <w:r>
        <w:t xml:space="preserve">Asia–Pacific (AP) </w:t>
      </w:r>
      <w:r w:rsidRPr="003B2363">
        <w:t>(number of responses)</w:t>
      </w:r>
      <w:bookmarkEnd w:id="31"/>
      <w:r w:rsidR="007F59C4" w:rsidRPr="006823FD">
        <w:rPr>
          <w:noProof/>
          <w:lang w:val="en-US"/>
        </w:rPr>
        <w:drawing>
          <wp:inline distT="0" distB="0" distL="0" distR="0" wp14:anchorId="36D4E3D2" wp14:editId="2034D019">
            <wp:extent cx="5400942" cy="2631440"/>
            <wp:effectExtent l="0" t="0" r="0"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1639830" w14:textId="77777777" w:rsidR="007F59C4" w:rsidRDefault="007F59C4" w:rsidP="002D15C2">
      <w:pPr>
        <w:pStyle w:val="Normalnumber"/>
      </w:pPr>
      <w:r w:rsidRPr="002D15C2">
        <w:t>In AP, men were more represented than women, with 70% men in the “35 to 44” category, and 85% in the “45 to 54” category.</w:t>
      </w:r>
    </w:p>
    <w:p w14:paraId="34D219D8" w14:textId="77777777" w:rsidR="002D15C2" w:rsidRPr="002D15C2" w:rsidRDefault="002D15C2" w:rsidP="002D15C2">
      <w:pPr>
        <w:pStyle w:val="Titletable"/>
      </w:pPr>
      <w:bookmarkStart w:id="32" w:name="_Toc469302259"/>
      <w:r w:rsidRPr="002D15C2">
        <w:rPr>
          <w:b w:val="0"/>
        </w:rPr>
        <w:t>Figure 27</w:t>
      </w:r>
      <w:r w:rsidRPr="002D15C2">
        <w:br/>
      </w:r>
      <w:r w:rsidRPr="006823FD">
        <w:t xml:space="preserve">Gender and age distribution of stakeholders engaging in their </w:t>
      </w:r>
      <w:r>
        <w:t>individual</w:t>
      </w:r>
      <w:r w:rsidRPr="006823FD">
        <w:t xml:space="preserve"> capacity in Eastern Europe</w:t>
      </w:r>
      <w:r>
        <w:t xml:space="preserve"> (EE) </w:t>
      </w:r>
      <w:r w:rsidRPr="003B2363">
        <w:t>(number of responses)</w:t>
      </w:r>
      <w:bookmarkEnd w:id="32"/>
    </w:p>
    <w:p w14:paraId="7B3633FB" w14:textId="77777777" w:rsidR="007F59C4" w:rsidRDefault="002D15C2" w:rsidP="002D15C2">
      <w:pPr>
        <w:jc w:val="both"/>
      </w:pPr>
      <w:r w:rsidRPr="006823FD">
        <w:rPr>
          <w:noProof/>
          <w:lang w:val="en-US"/>
        </w:rPr>
        <w:drawing>
          <wp:anchor distT="0" distB="0" distL="114300" distR="114300" simplePos="0" relativeHeight="251665408" behindDoc="0" locked="0" layoutInCell="1" allowOverlap="1" wp14:anchorId="25201CA3" wp14:editId="5BF74C9D">
            <wp:simplePos x="0" y="0"/>
            <wp:positionH relativeFrom="column">
              <wp:posOffset>152400</wp:posOffset>
            </wp:positionH>
            <wp:positionV relativeFrom="paragraph">
              <wp:posOffset>152400</wp:posOffset>
            </wp:positionV>
            <wp:extent cx="5272405" cy="2535555"/>
            <wp:effectExtent l="0" t="0" r="4445" b="0"/>
            <wp:wrapSquare wrapText="bothSides"/>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anchor>
        </w:drawing>
      </w:r>
    </w:p>
    <w:p w14:paraId="69750D15" w14:textId="77777777" w:rsidR="002D15C2" w:rsidRDefault="002D15C2" w:rsidP="002D15C2">
      <w:pPr>
        <w:jc w:val="both"/>
      </w:pPr>
    </w:p>
    <w:p w14:paraId="4A83C3DB" w14:textId="77777777" w:rsidR="002D15C2" w:rsidRDefault="002D15C2" w:rsidP="002D15C2">
      <w:pPr>
        <w:jc w:val="both"/>
      </w:pPr>
    </w:p>
    <w:p w14:paraId="3BFD919C" w14:textId="77777777" w:rsidR="002D15C2" w:rsidRDefault="002D15C2" w:rsidP="002D15C2">
      <w:pPr>
        <w:jc w:val="both"/>
      </w:pPr>
    </w:p>
    <w:p w14:paraId="09C7DA7A" w14:textId="77777777" w:rsidR="002D15C2" w:rsidRDefault="002D15C2" w:rsidP="002D15C2">
      <w:pPr>
        <w:jc w:val="both"/>
      </w:pPr>
    </w:p>
    <w:p w14:paraId="531534C3" w14:textId="77777777" w:rsidR="002D15C2" w:rsidRDefault="002D15C2" w:rsidP="002D15C2">
      <w:pPr>
        <w:jc w:val="both"/>
      </w:pPr>
    </w:p>
    <w:p w14:paraId="6F9610C0" w14:textId="77777777" w:rsidR="002D15C2" w:rsidRDefault="002D15C2" w:rsidP="002D15C2">
      <w:pPr>
        <w:jc w:val="both"/>
      </w:pPr>
    </w:p>
    <w:p w14:paraId="6B0D95E0" w14:textId="77777777" w:rsidR="002D15C2" w:rsidRDefault="002D15C2" w:rsidP="002D15C2">
      <w:pPr>
        <w:jc w:val="both"/>
      </w:pPr>
    </w:p>
    <w:p w14:paraId="033BA398" w14:textId="77777777" w:rsidR="002D15C2" w:rsidRDefault="002D15C2" w:rsidP="002D15C2">
      <w:pPr>
        <w:jc w:val="both"/>
      </w:pPr>
    </w:p>
    <w:p w14:paraId="21FFC361" w14:textId="77777777" w:rsidR="002D15C2" w:rsidRDefault="002D15C2" w:rsidP="002D15C2">
      <w:pPr>
        <w:jc w:val="both"/>
      </w:pPr>
    </w:p>
    <w:p w14:paraId="6BF72CD1" w14:textId="77777777" w:rsidR="002D15C2" w:rsidRDefault="002D15C2" w:rsidP="002D15C2">
      <w:pPr>
        <w:jc w:val="both"/>
      </w:pPr>
    </w:p>
    <w:p w14:paraId="047F30D6" w14:textId="77777777" w:rsidR="002D15C2" w:rsidRDefault="002D15C2" w:rsidP="002D15C2">
      <w:pPr>
        <w:jc w:val="both"/>
      </w:pPr>
    </w:p>
    <w:p w14:paraId="1E812C3B" w14:textId="77777777" w:rsidR="002D15C2" w:rsidRDefault="002D15C2" w:rsidP="002D15C2">
      <w:pPr>
        <w:jc w:val="both"/>
      </w:pPr>
    </w:p>
    <w:p w14:paraId="5C8A8689" w14:textId="77777777" w:rsidR="002D15C2" w:rsidRDefault="002D15C2" w:rsidP="002D15C2">
      <w:pPr>
        <w:jc w:val="both"/>
      </w:pPr>
    </w:p>
    <w:p w14:paraId="49580AF6" w14:textId="77777777" w:rsidR="002D15C2" w:rsidRDefault="002D15C2" w:rsidP="002D15C2">
      <w:pPr>
        <w:jc w:val="both"/>
      </w:pPr>
    </w:p>
    <w:p w14:paraId="51A96D5C" w14:textId="77777777" w:rsidR="002D15C2" w:rsidRDefault="002D15C2" w:rsidP="002D15C2">
      <w:pPr>
        <w:jc w:val="both"/>
      </w:pPr>
    </w:p>
    <w:p w14:paraId="6BD55522" w14:textId="77777777" w:rsidR="002D15C2" w:rsidRDefault="002D15C2" w:rsidP="002D15C2">
      <w:pPr>
        <w:jc w:val="both"/>
      </w:pPr>
    </w:p>
    <w:p w14:paraId="722FFD13" w14:textId="77777777" w:rsidR="002D15C2" w:rsidRDefault="002D15C2" w:rsidP="002D15C2">
      <w:pPr>
        <w:jc w:val="both"/>
      </w:pPr>
    </w:p>
    <w:p w14:paraId="360CA855" w14:textId="77777777" w:rsidR="002D15C2" w:rsidRPr="002D15C2" w:rsidRDefault="002D15C2" w:rsidP="002D15C2"/>
    <w:p w14:paraId="1EA2840C" w14:textId="77777777" w:rsidR="007F59C4" w:rsidRDefault="007F59C4" w:rsidP="002D15C2">
      <w:pPr>
        <w:pStyle w:val="Normalnumber"/>
      </w:pPr>
      <w:r w:rsidRPr="000C1597">
        <w:t xml:space="preserve">In </w:t>
      </w:r>
      <w:r>
        <w:t>EE</w:t>
      </w:r>
      <w:r w:rsidRPr="000C1597">
        <w:t xml:space="preserve">, it </w:t>
      </w:r>
      <w:r>
        <w:t>was</w:t>
      </w:r>
      <w:r w:rsidRPr="000C1597">
        <w:t xml:space="preserve"> challenging to </w:t>
      </w:r>
      <w:r>
        <w:t>draw</w:t>
      </w:r>
      <w:r w:rsidRPr="000C1597">
        <w:t xml:space="preserve"> </w:t>
      </w:r>
      <w:r>
        <w:t xml:space="preserve">any </w:t>
      </w:r>
      <w:r w:rsidRPr="000C1597">
        <w:t xml:space="preserve">significant </w:t>
      </w:r>
      <w:r>
        <w:t>conclusions because of the low number of responses received</w:t>
      </w:r>
      <w:r w:rsidRPr="000C1597">
        <w:t xml:space="preserve">. </w:t>
      </w:r>
      <w:r>
        <w:t xml:space="preserve">There </w:t>
      </w:r>
      <w:r w:rsidRPr="000C1597">
        <w:t>were twice</w:t>
      </w:r>
      <w:r>
        <w:t xml:space="preserve"> as many </w:t>
      </w:r>
      <w:r w:rsidRPr="000C1597">
        <w:t xml:space="preserve">responses </w:t>
      </w:r>
      <w:r>
        <w:t xml:space="preserve">received </w:t>
      </w:r>
      <w:r w:rsidRPr="000C1597">
        <w:t xml:space="preserve">from women </w:t>
      </w:r>
      <w:r>
        <w:t>as there were from men</w:t>
      </w:r>
      <w:r w:rsidRPr="000C1597">
        <w:t xml:space="preserve"> in the age category “35 to 44”</w:t>
      </w:r>
      <w:r>
        <w:t>, but again, based on a very small sample size of 9 responses</w:t>
      </w:r>
      <w:r w:rsidRPr="000C1597">
        <w:t>.</w:t>
      </w:r>
      <w:r>
        <w:t xml:space="preserve"> </w:t>
      </w:r>
    </w:p>
    <w:p w14:paraId="5BB0788E" w14:textId="77777777" w:rsidR="002D15C2" w:rsidRPr="00260FA7" w:rsidRDefault="002D15C2" w:rsidP="002D15C2">
      <w:pPr>
        <w:pStyle w:val="Titlefigure"/>
      </w:pPr>
      <w:r w:rsidRPr="002D15C2">
        <w:rPr>
          <w:b w:val="0"/>
        </w:rPr>
        <w:lastRenderedPageBreak/>
        <w:t>Figure 28</w:t>
      </w:r>
      <w:r w:rsidRPr="002D15C2">
        <w:rPr>
          <w:b w:val="0"/>
        </w:rPr>
        <w:br/>
      </w:r>
      <w:r w:rsidRPr="006823FD">
        <w:t xml:space="preserve">Gender and age distribution of stakeholders engaging in their </w:t>
      </w:r>
      <w:r>
        <w:t>individual</w:t>
      </w:r>
      <w:r w:rsidRPr="006823FD">
        <w:t xml:space="preserve"> capacity in </w:t>
      </w:r>
      <w:r>
        <w:t xml:space="preserve">Latin America and the Caribbean (LAC) </w:t>
      </w:r>
      <w:r w:rsidRPr="003B2363">
        <w:t>(number of responses)</w:t>
      </w:r>
    </w:p>
    <w:p w14:paraId="1C0DC245" w14:textId="77777777" w:rsidR="007F59C4" w:rsidRDefault="007F59C4" w:rsidP="002D15C2">
      <w:pPr>
        <w:jc w:val="both"/>
      </w:pPr>
      <w:r w:rsidRPr="006823FD">
        <w:rPr>
          <w:noProof/>
          <w:lang w:val="en-US"/>
        </w:rPr>
        <w:drawing>
          <wp:inline distT="0" distB="0" distL="0" distR="0" wp14:anchorId="3943141A" wp14:editId="5D6706F4">
            <wp:extent cx="5341121" cy="2803525"/>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6E28D02" w14:textId="77777777" w:rsidR="007F59C4" w:rsidRDefault="007F59C4" w:rsidP="007F59C4">
      <w:pPr>
        <w:pStyle w:val="Normalnumber"/>
      </w:pPr>
      <w:r w:rsidRPr="00260FA7">
        <w:t xml:space="preserve">In </w:t>
      </w:r>
      <w:r>
        <w:t>LAC</w:t>
      </w:r>
      <w:r w:rsidRPr="00260FA7">
        <w:t xml:space="preserve">, the distribution between men and women was balanced across the age categories represented. </w:t>
      </w:r>
    </w:p>
    <w:p w14:paraId="4C486B8E" w14:textId="77777777" w:rsidR="002D15C2" w:rsidRPr="00260FA7" w:rsidRDefault="002D15C2" w:rsidP="002D15C2">
      <w:pPr>
        <w:pStyle w:val="Titlefigure"/>
      </w:pPr>
      <w:bookmarkStart w:id="33" w:name="_Toc469302261"/>
      <w:r w:rsidRPr="002D15C2">
        <w:rPr>
          <w:b w:val="0"/>
        </w:rPr>
        <w:t>Figure 29</w:t>
      </w:r>
      <w:r w:rsidRPr="002D15C2">
        <w:rPr>
          <w:b w:val="0"/>
        </w:rPr>
        <w:br/>
      </w:r>
      <w:r w:rsidRPr="006823FD">
        <w:t xml:space="preserve">Gender and age distribution of stakeholders engaging in their </w:t>
      </w:r>
      <w:r>
        <w:t>individual</w:t>
      </w:r>
      <w:r w:rsidRPr="006823FD">
        <w:t xml:space="preserve"> capacity in </w:t>
      </w:r>
      <w:r>
        <w:t xml:space="preserve">Western Europe and Other Groups (WEOG) </w:t>
      </w:r>
      <w:r w:rsidRPr="003B2363">
        <w:t>(number of responses)</w:t>
      </w:r>
      <w:bookmarkEnd w:id="33"/>
    </w:p>
    <w:p w14:paraId="1152FAA9" w14:textId="77777777" w:rsidR="007F59C4" w:rsidRDefault="007F59C4" w:rsidP="007F59C4">
      <w:pPr>
        <w:keepNext/>
        <w:ind w:left="1276"/>
      </w:pPr>
      <w:r w:rsidRPr="006823FD">
        <w:rPr>
          <w:noProof/>
          <w:lang w:val="en-US"/>
        </w:rPr>
        <w:drawing>
          <wp:inline distT="0" distB="0" distL="0" distR="0" wp14:anchorId="5482B2DA" wp14:editId="35144AD5">
            <wp:extent cx="5340985" cy="2567940"/>
            <wp:effectExtent l="0" t="0" r="12065" b="381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766D13A" w14:textId="77777777" w:rsidR="007F59C4" w:rsidRPr="00260FA7" w:rsidRDefault="007F59C4" w:rsidP="002D15C2">
      <w:pPr>
        <w:pStyle w:val="Normalnumber"/>
        <w:spacing w:before="240"/>
      </w:pPr>
      <w:r w:rsidRPr="00260FA7">
        <w:t xml:space="preserve">In </w:t>
      </w:r>
      <w:r>
        <w:t>WEOG</w:t>
      </w:r>
      <w:r w:rsidRPr="00260FA7">
        <w:t>, responses from men and women were nearly balanced. Responses from women in the age category</w:t>
      </w:r>
      <w:r>
        <w:t xml:space="preserve"> </w:t>
      </w:r>
      <w:r w:rsidRPr="00260FA7">
        <w:t xml:space="preserve">“35 to 44” were greater </w:t>
      </w:r>
      <w:r>
        <w:t xml:space="preserve">(56%) </w:t>
      </w:r>
      <w:r w:rsidRPr="00260FA7">
        <w:t>than the number of responses from men (</w:t>
      </w:r>
      <w:r>
        <w:t>44%</w:t>
      </w:r>
      <w:r w:rsidRPr="00260FA7">
        <w:t xml:space="preserve">). </w:t>
      </w:r>
    </w:p>
    <w:p w14:paraId="7E7581DF" w14:textId="77777777" w:rsidR="007F59C4" w:rsidRDefault="002D15C2" w:rsidP="002D15C2">
      <w:pPr>
        <w:pStyle w:val="CH2"/>
      </w:pPr>
      <w:r>
        <w:tab/>
        <w:t>C.</w:t>
      </w:r>
      <w:r>
        <w:tab/>
      </w:r>
      <w:r w:rsidR="007F59C4">
        <w:t>Profile of stakeholders engaging</w:t>
      </w:r>
      <w:r w:rsidR="007F59C4" w:rsidRPr="0029017D">
        <w:t xml:space="preserve"> in their individual capacit</w:t>
      </w:r>
      <w:r w:rsidR="007F59C4">
        <w:t>y</w:t>
      </w:r>
    </w:p>
    <w:p w14:paraId="7D04461D" w14:textId="77777777" w:rsidR="007F59C4" w:rsidRDefault="007F59C4" w:rsidP="002D15C2">
      <w:pPr>
        <w:pStyle w:val="Normalnumber"/>
      </w:pPr>
      <w:r>
        <w:t>The profile of stakeholders engaged in their individual capacity was broadly similar to responses received from representatives of organizations/institutions with a predominance of natural sciences (51%) over social science (17%), Indigenous and Local Knowledge (14%) and business (3%).</w:t>
      </w:r>
    </w:p>
    <w:p w14:paraId="2802BB5A" w14:textId="77777777" w:rsidR="007F59C4" w:rsidRDefault="007F59C4" w:rsidP="002D15C2">
      <w:pPr>
        <w:pStyle w:val="Normalnumber"/>
      </w:pPr>
      <w:r>
        <w:t>The percentage of individuals and organizations with a natural science background was similarly spread across the regions.</w:t>
      </w:r>
    </w:p>
    <w:p w14:paraId="0BDA2611" w14:textId="77777777" w:rsidR="007F59C4" w:rsidRDefault="007F59C4" w:rsidP="002D15C2">
      <w:pPr>
        <w:pStyle w:val="Normalnumber"/>
      </w:pPr>
      <w:r>
        <w:t>Compared to responses received from representatives of organizations/institutions, the percentage of individuals with a business profile was greater in four regions (+11% in EE, +9% in AF and LAC, +2% in WEOG) but dropped significantly in AP (-29%).</w:t>
      </w:r>
    </w:p>
    <w:p w14:paraId="4AF320C2" w14:textId="77777777" w:rsidR="007F59C4" w:rsidRDefault="007F59C4" w:rsidP="002D15C2">
      <w:pPr>
        <w:pStyle w:val="Normalnumber"/>
      </w:pPr>
      <w:r>
        <w:lastRenderedPageBreak/>
        <w:t>The percentage of stakeholders engaged in their individual capacity with an indigenous and local knowledge profile was greater than that for representatives of organizations/institutions in AP (+11%) and EE (+4%) but lower in AF (-9%) and WEOG (-7%) and comparable in LAC.</w:t>
      </w:r>
    </w:p>
    <w:p w14:paraId="6C3C905C" w14:textId="77777777" w:rsidR="007F59C4" w:rsidRDefault="007F59C4" w:rsidP="002D15C2">
      <w:pPr>
        <w:pStyle w:val="Normalnumber"/>
      </w:pPr>
      <w:r>
        <w:t>The percentage of stakeholders engaged in their individual capacity with a social science profile was greater in EE and WEOG (+5%), lower in AF (-10%) and LAC (-3%) and comparable in AP.</w:t>
      </w:r>
    </w:p>
    <w:p w14:paraId="6A7B0A1D" w14:textId="77777777" w:rsidR="002D15C2" w:rsidRDefault="002D15C2" w:rsidP="002D15C2">
      <w:pPr>
        <w:pStyle w:val="Titlefigure"/>
      </w:pPr>
      <w:bookmarkStart w:id="34" w:name="_Toc469302262"/>
      <w:r w:rsidRPr="002D15C2">
        <w:rPr>
          <w:b w:val="0"/>
        </w:rPr>
        <w:t>Figure 30</w:t>
      </w:r>
      <w:r w:rsidRPr="002D15C2">
        <w:rPr>
          <w:b w:val="0"/>
        </w:rPr>
        <w:br/>
      </w:r>
      <w:r>
        <w:t>Profile of stakeholders engaged in their individual capacity (percentage of total responses)</w:t>
      </w:r>
      <w:bookmarkEnd w:id="34"/>
    </w:p>
    <w:p w14:paraId="0D3FDB92" w14:textId="77777777" w:rsidR="007F59C4" w:rsidRDefault="007F59C4" w:rsidP="002D15C2">
      <w:pPr>
        <w:pStyle w:val="Titlefigure"/>
      </w:pPr>
      <w:r w:rsidRPr="007810FF">
        <w:rPr>
          <w:noProof/>
          <w:lang w:val="en-US"/>
        </w:rPr>
        <w:drawing>
          <wp:inline distT="0" distB="0" distL="0" distR="0" wp14:anchorId="6687ADF6" wp14:editId="7E29955F">
            <wp:extent cx="5297805" cy="4001414"/>
            <wp:effectExtent l="0" t="0" r="0" b="0"/>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002D15C2" w:rsidRPr="002D15C2">
        <w:rPr>
          <w:b w:val="0"/>
        </w:rPr>
        <w:t>Figure 31</w:t>
      </w:r>
      <w:r w:rsidR="002D15C2" w:rsidRPr="002D15C2">
        <w:rPr>
          <w:b w:val="0"/>
        </w:rPr>
        <w:br/>
      </w:r>
      <w:r w:rsidR="002D15C2">
        <w:t>Individual</w:t>
      </w:r>
      <w:r w:rsidR="002D15C2" w:rsidRPr="00DE7370">
        <w:t xml:space="preserve"> </w:t>
      </w:r>
      <w:r w:rsidR="002D15C2">
        <w:t>profiles per region</w:t>
      </w:r>
      <w:r w:rsidR="002D15C2" w:rsidRPr="00DE7370">
        <w:t xml:space="preserve"> </w:t>
      </w:r>
      <w:r w:rsidR="002D15C2">
        <w:t>as</w:t>
      </w:r>
      <w:r w:rsidR="002D15C2" w:rsidRPr="00B82EFB">
        <w:t xml:space="preserve"> a percentage of </w:t>
      </w:r>
      <w:r w:rsidR="002D15C2">
        <w:t xml:space="preserve">total </w:t>
      </w:r>
      <w:r w:rsidR="002D15C2" w:rsidRPr="00B82EFB">
        <w:t xml:space="preserve">responses </w:t>
      </w:r>
      <w:r w:rsidR="002D15C2">
        <w:t xml:space="preserve">received </w:t>
      </w:r>
      <w:r w:rsidR="002D15C2" w:rsidRPr="00B82EFB">
        <w:t xml:space="preserve">per </w:t>
      </w:r>
      <w:r w:rsidR="002D15C2">
        <w:t>category</w:t>
      </w:r>
    </w:p>
    <w:p w14:paraId="65D72C21" w14:textId="77777777" w:rsidR="007F59C4" w:rsidRDefault="007F59C4" w:rsidP="002D15C2">
      <w:pPr>
        <w:pStyle w:val="Titlefigure"/>
      </w:pPr>
      <w:r>
        <w:rPr>
          <w:noProof/>
          <w:lang w:val="en-US"/>
        </w:rPr>
        <w:drawing>
          <wp:inline distT="0" distB="0" distL="0" distR="0" wp14:anchorId="1C546A01" wp14:editId="6D737204">
            <wp:extent cx="5452217" cy="2933065"/>
            <wp:effectExtent l="0" t="0" r="0" b="635"/>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E1574F1" w14:textId="77777777" w:rsidR="007F59C4" w:rsidRDefault="007F59C4" w:rsidP="007F59C4">
      <w:r>
        <w:br w:type="page"/>
      </w:r>
    </w:p>
    <w:p w14:paraId="5834147F" w14:textId="77777777" w:rsidR="007F59C4" w:rsidRDefault="002D15C2" w:rsidP="002D15C2">
      <w:pPr>
        <w:pStyle w:val="CH1"/>
      </w:pPr>
      <w:r>
        <w:lastRenderedPageBreak/>
        <w:tab/>
        <w:t>IV.</w:t>
      </w:r>
      <w:r>
        <w:tab/>
      </w:r>
      <w:r w:rsidR="007F59C4">
        <w:t>Analysis of responses to selected questions</w:t>
      </w:r>
    </w:p>
    <w:p w14:paraId="610328E5" w14:textId="77777777" w:rsidR="007F59C4" w:rsidRDefault="002D15C2" w:rsidP="002D15C2">
      <w:pPr>
        <w:pStyle w:val="CH2"/>
      </w:pPr>
      <w:r>
        <w:tab/>
        <w:t>A.</w:t>
      </w:r>
      <w:r>
        <w:tab/>
      </w:r>
      <w:r w:rsidR="007F59C4">
        <w:t>Interest or expertise in IPBES areas of work</w:t>
      </w:r>
    </w:p>
    <w:p w14:paraId="5144D473" w14:textId="77777777" w:rsidR="007F59C4" w:rsidRDefault="007F59C4" w:rsidP="002D15C2">
      <w:pPr>
        <w:pStyle w:val="Normalnumber"/>
      </w:pPr>
      <w:r w:rsidRPr="009C2241">
        <w:t xml:space="preserve">Respondents were invited to indicate </w:t>
      </w:r>
      <w:r>
        <w:t>which</w:t>
      </w:r>
      <w:r w:rsidRPr="009C2241">
        <w:t xml:space="preserve"> area</w:t>
      </w:r>
      <w:r>
        <w:t>/s</w:t>
      </w:r>
      <w:r w:rsidRPr="009C2241">
        <w:t xml:space="preserve"> of the work programme they were most interest</w:t>
      </w:r>
      <w:r>
        <w:t>ed</w:t>
      </w:r>
      <w:r w:rsidRPr="009C2241">
        <w:t xml:space="preserve"> in, and/or </w:t>
      </w:r>
      <w:r>
        <w:t>which area of IPBES work most closely aligned with their own</w:t>
      </w:r>
      <w:r w:rsidRPr="009C2241">
        <w:t xml:space="preserve"> expertise. In all regions, the interest</w:t>
      </w:r>
      <w:r>
        <w:t>s</w:t>
      </w:r>
      <w:r w:rsidRPr="009C2241">
        <w:t>/expertise of respondents were well spread across the main areas of the IPBES work</w:t>
      </w:r>
      <w:r>
        <w:t xml:space="preserve"> programme.</w:t>
      </w:r>
    </w:p>
    <w:p w14:paraId="589711E6" w14:textId="77777777" w:rsidR="007F59C4" w:rsidRDefault="007F59C4" w:rsidP="002D15C2">
      <w:pPr>
        <w:pStyle w:val="Normalnumber"/>
      </w:pPr>
      <w:r>
        <w:t>Interest/expertise in the four regional assessments was also well spread across the regions.</w:t>
      </w:r>
    </w:p>
    <w:p w14:paraId="36968164" w14:textId="77777777" w:rsidR="007F59C4" w:rsidRDefault="002D15C2" w:rsidP="002D15C2">
      <w:pPr>
        <w:pStyle w:val="CH3"/>
      </w:pPr>
      <w:r>
        <w:tab/>
      </w:r>
      <w:r>
        <w:tab/>
      </w:r>
      <w:r w:rsidR="007F59C4">
        <w:t>Respondents engaging on behalf of organisations/i</w:t>
      </w:r>
      <w:r w:rsidR="007F59C4" w:rsidRPr="00067E83">
        <w:t>nstitutions</w:t>
      </w:r>
    </w:p>
    <w:p w14:paraId="46EEB531" w14:textId="77777777" w:rsidR="007F59C4" w:rsidRDefault="007F59C4" w:rsidP="002D15C2">
      <w:pPr>
        <w:pStyle w:val="Normalnumber"/>
      </w:pPr>
      <w:r w:rsidRPr="00312875">
        <w:t>Valuation of biodiversity and nature's benefits to people, with 222 responses (11%); land degradation and restoration, with 184 responses (10%); as well as sustainable use of wild species, with 166 responses (9%) were the areas of IPBES work of most interest to respondents engaging on behalf of organisations/institutions</w:t>
      </w:r>
      <w:r>
        <w:t>.</w:t>
      </w:r>
    </w:p>
    <w:p w14:paraId="4EA9E6CD" w14:textId="77777777" w:rsidR="002D15C2" w:rsidRPr="00312875" w:rsidRDefault="002D15C2" w:rsidP="002D15C2">
      <w:pPr>
        <w:pStyle w:val="Titlefigure"/>
      </w:pPr>
      <w:bookmarkStart w:id="35" w:name="_Toc467449417"/>
      <w:bookmarkStart w:id="36" w:name="_Toc469302264"/>
      <w:r w:rsidRPr="002D15C2">
        <w:rPr>
          <w:b w:val="0"/>
        </w:rPr>
        <w:t>Figure 32</w:t>
      </w:r>
      <w:r w:rsidRPr="002D15C2">
        <w:rPr>
          <w:b w:val="0"/>
        </w:rPr>
        <w:br/>
      </w:r>
      <w:r>
        <w:t>Interest/</w:t>
      </w:r>
      <w:r w:rsidRPr="006823FD">
        <w:t xml:space="preserve">expertise of </w:t>
      </w:r>
      <w:r>
        <w:t>organizations/institutions</w:t>
      </w:r>
      <w:r w:rsidRPr="006823FD">
        <w:t xml:space="preserve"> </w:t>
      </w:r>
      <w:r w:rsidRPr="00B82EFB">
        <w:t xml:space="preserve">per region as a percentage of </w:t>
      </w:r>
      <w:r>
        <w:t xml:space="preserve">total </w:t>
      </w:r>
      <w:r w:rsidRPr="00B82EFB">
        <w:t>responses</w:t>
      </w:r>
      <w:bookmarkEnd w:id="35"/>
      <w:bookmarkEnd w:id="36"/>
      <w:r>
        <w:t xml:space="preserve"> received for each area of IPBES work</w:t>
      </w:r>
    </w:p>
    <w:p w14:paraId="670823AE" w14:textId="77777777" w:rsidR="007F59C4" w:rsidRDefault="007F59C4" w:rsidP="007F59C4">
      <w:pPr>
        <w:keepNext/>
        <w:spacing w:before="240"/>
        <w:ind w:left="1276"/>
      </w:pPr>
      <w:r w:rsidRPr="009D0A50">
        <w:rPr>
          <w:noProof/>
          <w:lang w:val="en-US"/>
        </w:rPr>
        <w:drawing>
          <wp:inline distT="0" distB="0" distL="0" distR="0" wp14:anchorId="00E9F280" wp14:editId="2A08D378">
            <wp:extent cx="5383987" cy="3989070"/>
            <wp:effectExtent l="0" t="0" r="7620" b="1143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E4DC8EA" w14:textId="77777777" w:rsidR="007F59C4" w:rsidRDefault="002D15C2" w:rsidP="002D15C2">
      <w:pPr>
        <w:pStyle w:val="CH3"/>
        <w:spacing w:before="240"/>
      </w:pPr>
      <w:r>
        <w:tab/>
      </w:r>
      <w:r>
        <w:tab/>
      </w:r>
      <w:r w:rsidR="007F59C4">
        <w:t>Respondents</w:t>
      </w:r>
      <w:r w:rsidR="007F59C4" w:rsidRPr="00067E83">
        <w:t xml:space="preserve"> engaging in their individual capacity</w:t>
      </w:r>
    </w:p>
    <w:p w14:paraId="492198C4" w14:textId="77777777" w:rsidR="007F59C4" w:rsidRDefault="007F59C4" w:rsidP="007F59C4">
      <w:pPr>
        <w:ind w:left="1247"/>
      </w:pPr>
      <w:r>
        <w:t xml:space="preserve">Valuation of biodiversity and nature's benefits to people, with 311 responses (12%); land degradation and restoration, with 235 responses (9%); as well as regional and subregional assessments, with 213 responses (9%) were the areas of IPBES work </w:t>
      </w:r>
      <w:r w:rsidRPr="008A6C86">
        <w:t xml:space="preserve">of most interest to respondents engaging with IPBES in their individual capacity. </w:t>
      </w:r>
    </w:p>
    <w:p w14:paraId="28EE764A" w14:textId="77777777" w:rsidR="002D15C2" w:rsidRDefault="002D15C2" w:rsidP="002D15C2">
      <w:pPr>
        <w:pStyle w:val="Titletable"/>
      </w:pPr>
      <w:bookmarkStart w:id="37" w:name="_Toc469302265"/>
      <w:r w:rsidRPr="002D15C2">
        <w:rPr>
          <w:b w:val="0"/>
        </w:rPr>
        <w:lastRenderedPageBreak/>
        <w:t>Figure 33</w:t>
      </w:r>
      <w:bookmarkEnd w:id="37"/>
      <w:r w:rsidRPr="002D15C2">
        <w:rPr>
          <w:b w:val="0"/>
        </w:rPr>
        <w:br/>
      </w:r>
      <w:r>
        <w:t>Interest/</w:t>
      </w:r>
      <w:r w:rsidRPr="006823FD">
        <w:t xml:space="preserve">expertise of </w:t>
      </w:r>
      <w:r>
        <w:t>individuals</w:t>
      </w:r>
      <w:r w:rsidRPr="006823FD">
        <w:t xml:space="preserve"> </w:t>
      </w:r>
      <w:r w:rsidRPr="00B82EFB">
        <w:t xml:space="preserve">per region as a percentage of </w:t>
      </w:r>
      <w:r>
        <w:t xml:space="preserve">total </w:t>
      </w:r>
      <w:r w:rsidRPr="00B82EFB">
        <w:t>responses</w:t>
      </w:r>
      <w:r>
        <w:t xml:space="preserve"> received for each area of IPBES work</w:t>
      </w:r>
    </w:p>
    <w:p w14:paraId="5F3CBB9D" w14:textId="77777777" w:rsidR="007F59C4" w:rsidRDefault="007F59C4" w:rsidP="007F59C4">
      <w:pPr>
        <w:keepNext/>
        <w:ind w:left="1276"/>
      </w:pPr>
      <w:r>
        <w:rPr>
          <w:noProof/>
          <w:lang w:val="en-US"/>
        </w:rPr>
        <w:drawing>
          <wp:inline distT="0" distB="0" distL="0" distR="0" wp14:anchorId="2FA57A90" wp14:editId="7A5BAEBA">
            <wp:extent cx="5420563" cy="4310380"/>
            <wp:effectExtent l="0" t="0" r="8890" b="13970"/>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7F661DC" w14:textId="77777777" w:rsidR="007F59C4" w:rsidRDefault="005E1F75" w:rsidP="005E1F75">
      <w:pPr>
        <w:pStyle w:val="CH2"/>
        <w:spacing w:before="240"/>
      </w:pPr>
      <w:r>
        <w:tab/>
        <w:t>B.</w:t>
      </w:r>
      <w:r>
        <w:tab/>
      </w:r>
      <w:r w:rsidR="007F59C4">
        <w:t>Intended future contribution to IPBES</w:t>
      </w:r>
    </w:p>
    <w:p w14:paraId="0214F703" w14:textId="77777777" w:rsidR="007F59C4" w:rsidRPr="00D45A74" w:rsidRDefault="007F59C4" w:rsidP="005E1F75">
      <w:pPr>
        <w:pStyle w:val="Normalnumber"/>
      </w:pPr>
      <w:r>
        <w:t xml:space="preserve">Respondents were asked to indicate what contribution/s they intend to make to IPBES in the future that they were not already contributing. </w:t>
      </w:r>
      <w:r w:rsidRPr="00D45A74">
        <w:t xml:space="preserve">Given some apparently contradictory data within individual responses it is important to note that </w:t>
      </w:r>
      <w:r>
        <w:t>a number of</w:t>
      </w:r>
      <w:r w:rsidRPr="00D45A74">
        <w:t xml:space="preserve"> respondents may have misunderstood or misread these questions, with some indicating both an intention to make future financial and/or in-kind contributions to IPBES, and simultaneously indicating as major obstacles to their engagement with IPBES a lack of financial/other resources.</w:t>
      </w:r>
    </w:p>
    <w:p w14:paraId="7954E981" w14:textId="77777777" w:rsidR="007F59C4" w:rsidRPr="00140CB5" w:rsidRDefault="007F59C4" w:rsidP="005E1F75">
      <w:pPr>
        <w:pStyle w:val="Normalnumber"/>
      </w:pPr>
      <w:r w:rsidRPr="005E1F75">
        <w:rPr>
          <w:b/>
        </w:rPr>
        <w:t>Observation</w:t>
      </w:r>
      <w:r w:rsidRPr="005E1F75">
        <w:t>:</w:t>
      </w:r>
      <w:r w:rsidRPr="00140CB5">
        <w:t xml:space="preserve"> To </w:t>
      </w:r>
      <w:r>
        <w:t xml:space="preserve">increase and improve stakeholder </w:t>
      </w:r>
      <w:r w:rsidRPr="00140CB5">
        <w:t>engagement, this information could be used to:</w:t>
      </w:r>
    </w:p>
    <w:p w14:paraId="498EFBA4" w14:textId="77777777" w:rsidR="007F59C4" w:rsidRPr="005E5AEB" w:rsidRDefault="007F59C4" w:rsidP="005E1F75">
      <w:pPr>
        <w:pStyle w:val="Normalnumber"/>
        <w:numPr>
          <w:ilvl w:val="1"/>
          <w:numId w:val="6"/>
        </w:numPr>
      </w:pPr>
      <w:r>
        <w:t>Further develop IPBES guidelines</w:t>
      </w:r>
      <w:r w:rsidRPr="005E5AEB">
        <w:t xml:space="preserve">/procedures with </w:t>
      </w:r>
      <w:r>
        <w:t>respect to future contributions.</w:t>
      </w:r>
    </w:p>
    <w:p w14:paraId="0D58A437" w14:textId="77777777" w:rsidR="007F59C4" w:rsidRPr="005E1F75" w:rsidRDefault="007F59C4" w:rsidP="005E1F75">
      <w:pPr>
        <w:pStyle w:val="Normalnumber"/>
        <w:numPr>
          <w:ilvl w:val="1"/>
          <w:numId w:val="6"/>
        </w:numPr>
      </w:pPr>
      <w:r>
        <w:t>Focus c</w:t>
      </w:r>
      <w:r w:rsidRPr="005E5AEB">
        <w:t xml:space="preserve">ommunication </w:t>
      </w:r>
      <w:r>
        <w:t xml:space="preserve">and outreach </w:t>
      </w:r>
      <w:r w:rsidRPr="005E5AEB">
        <w:t>activities and materials.</w:t>
      </w:r>
    </w:p>
    <w:p w14:paraId="1CA07918" w14:textId="77777777" w:rsidR="007F59C4" w:rsidRDefault="005E1F75" w:rsidP="005E1F75">
      <w:pPr>
        <w:pStyle w:val="CH3"/>
      </w:pPr>
      <w:r>
        <w:tab/>
      </w:r>
      <w:r>
        <w:tab/>
      </w:r>
      <w:r w:rsidR="007F59C4">
        <w:t>Respondents engaging on behalf of organisations/i</w:t>
      </w:r>
      <w:r w:rsidR="007F59C4" w:rsidRPr="00067E83">
        <w:t>nstitutions</w:t>
      </w:r>
    </w:p>
    <w:p w14:paraId="53526083" w14:textId="77777777" w:rsidR="007F59C4" w:rsidRDefault="007F59C4" w:rsidP="005E1F75">
      <w:pPr>
        <w:pStyle w:val="Normalnumber"/>
      </w:pPr>
      <w:r>
        <w:t>In AF, indigenous and local knowledge (41%), in-kind support (34%) and organizing information meetings to promote IPBES and its work were the three most-indicated future contributions from r</w:t>
      </w:r>
      <w:r w:rsidRPr="00140CB5">
        <w:t>espondents engaging on behalf of organisations/institutions</w:t>
      </w:r>
      <w:r>
        <w:t>.</w:t>
      </w:r>
    </w:p>
    <w:p w14:paraId="1A4D76C8" w14:textId="77777777" w:rsidR="007F59C4" w:rsidRDefault="007F59C4" w:rsidP="005E1F75">
      <w:pPr>
        <w:pStyle w:val="Normalnumber"/>
      </w:pPr>
      <w:r>
        <w:t>In AP, organizing information meetings was the most-indicated future contribution (29%). In-kind support and regional knowledge were the next most-indicated (27% and 25% respectively).</w:t>
      </w:r>
    </w:p>
    <w:p w14:paraId="28D28D6E" w14:textId="77777777" w:rsidR="007F59C4" w:rsidRDefault="007F59C4" w:rsidP="005E1F75">
      <w:pPr>
        <w:pStyle w:val="Normalnumber"/>
      </w:pPr>
      <w:r>
        <w:t>In EE, financial support was the most-indicated future contribution (10%) along with provision of expertise to IPBES, making data or indicators available to IPBES and providing regional knowledge (8% each).</w:t>
      </w:r>
    </w:p>
    <w:p w14:paraId="30888656" w14:textId="77777777" w:rsidR="007F59C4" w:rsidRDefault="007F59C4" w:rsidP="005E1F75">
      <w:pPr>
        <w:pStyle w:val="Normalnumber"/>
      </w:pPr>
      <w:r>
        <w:t>In LAC, financial support (33%), providing regional knowledge (24%) and making data available (24%) were the most-indicated future contributions.</w:t>
      </w:r>
    </w:p>
    <w:p w14:paraId="00964EC3" w14:textId="77777777" w:rsidR="007F59C4" w:rsidRDefault="007F59C4" w:rsidP="005E1F75">
      <w:pPr>
        <w:pStyle w:val="Normalnumber"/>
      </w:pPr>
      <w:r>
        <w:lastRenderedPageBreak/>
        <w:t>In WEOG, the most-indicated future contributions were provision of expertise to IPBES (28%), access to networks (24%) and nominating experts (23%).</w:t>
      </w:r>
    </w:p>
    <w:p w14:paraId="21584730" w14:textId="77777777" w:rsidR="005E1F75" w:rsidRPr="00BE3AC5" w:rsidRDefault="005E1F75" w:rsidP="005E1F75">
      <w:pPr>
        <w:pStyle w:val="Titlefigure"/>
      </w:pPr>
      <w:r w:rsidRPr="005E1F75">
        <w:rPr>
          <w:b w:val="0"/>
        </w:rPr>
        <w:t>Figure 36</w:t>
      </w:r>
      <w:r w:rsidRPr="005E1F75">
        <w:rPr>
          <w:b w:val="0"/>
        </w:rPr>
        <w:br/>
      </w:r>
      <w:r>
        <w:t>N</w:t>
      </w:r>
      <w:r w:rsidRPr="00BE3AC5">
        <w:t xml:space="preserve">umber of responses from </w:t>
      </w:r>
      <w:r>
        <w:t>r</w:t>
      </w:r>
      <w:r w:rsidRPr="00140CB5">
        <w:t>espondents engaging on behalf of organisations/institutions</w:t>
      </w:r>
      <w:r w:rsidRPr="00BE3AC5">
        <w:t xml:space="preserve"> to the question “What specific contributions do you/your </w:t>
      </w:r>
      <w:r>
        <w:t>Organization/Institution</w:t>
      </w:r>
      <w:r w:rsidRPr="00BE3AC5">
        <w:t xml:space="preserve"> wish to make to the work of IPBES which you are not already making? (Choose all that apply)”</w:t>
      </w:r>
    </w:p>
    <w:p w14:paraId="52AFC6B1" w14:textId="77777777" w:rsidR="007F59C4" w:rsidRDefault="007F59C4" w:rsidP="007F59C4">
      <w:pPr>
        <w:tabs>
          <w:tab w:val="clear" w:pos="1247"/>
        </w:tabs>
        <w:ind w:left="1276"/>
      </w:pPr>
      <w:r>
        <w:rPr>
          <w:noProof/>
          <w:lang w:val="en-US"/>
        </w:rPr>
        <w:drawing>
          <wp:inline distT="0" distB="0" distL="0" distR="0" wp14:anchorId="2A4B17E9" wp14:editId="1DE10AF5">
            <wp:extent cx="5442509" cy="2495550"/>
            <wp:effectExtent l="0" t="0" r="6350" b="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C6659DE" w14:textId="77777777" w:rsidR="005E1F75" w:rsidRDefault="005E1F75" w:rsidP="005E1F75">
      <w:pPr>
        <w:pStyle w:val="Titlefigure"/>
      </w:pPr>
      <w:r w:rsidRPr="005E1F75">
        <w:rPr>
          <w:b w:val="0"/>
        </w:rPr>
        <w:t>Figure 37</w:t>
      </w:r>
      <w:r w:rsidRPr="005E1F75">
        <w:rPr>
          <w:b w:val="0"/>
        </w:rPr>
        <w:br/>
      </w:r>
      <w:r>
        <w:t>Intended future organizational/institutional</w:t>
      </w:r>
      <w:r w:rsidRPr="001975BD">
        <w:t xml:space="preserve"> </w:t>
      </w:r>
      <w:r>
        <w:t>contributions</w:t>
      </w:r>
      <w:r w:rsidRPr="001975BD">
        <w:t xml:space="preserve"> to IPBES</w:t>
      </w:r>
      <w:r>
        <w:t xml:space="preserve"> (percentage of total)</w:t>
      </w:r>
    </w:p>
    <w:p w14:paraId="34BEC718" w14:textId="77777777" w:rsidR="007F59C4" w:rsidRDefault="007F59C4" w:rsidP="007F59C4">
      <w:pPr>
        <w:tabs>
          <w:tab w:val="clear" w:pos="1247"/>
        </w:tabs>
        <w:ind w:left="1276"/>
      </w:pPr>
      <w:r>
        <w:rPr>
          <w:noProof/>
          <w:lang w:val="en-US"/>
        </w:rPr>
        <w:drawing>
          <wp:inline distT="0" distB="0" distL="0" distR="0" wp14:anchorId="5D6E0D27" wp14:editId="61FB7B31">
            <wp:extent cx="5252313" cy="3191510"/>
            <wp:effectExtent l="0" t="0" r="5715" b="8890"/>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5E8B518" w14:textId="77777777" w:rsidR="007F59C4" w:rsidRDefault="005E1F75" w:rsidP="005E1F75">
      <w:pPr>
        <w:pStyle w:val="Titlefigure"/>
      </w:pPr>
      <w:bookmarkStart w:id="38" w:name="_Toc469302270"/>
      <w:r w:rsidRPr="005E1F75">
        <w:rPr>
          <w:b w:val="0"/>
        </w:rPr>
        <w:lastRenderedPageBreak/>
        <w:t>Figure 38</w:t>
      </w:r>
      <w:r w:rsidRPr="005E1F75">
        <w:rPr>
          <w:b w:val="0"/>
        </w:rPr>
        <w:br/>
      </w:r>
      <w:r>
        <w:t>Intended future organizational/institutional</w:t>
      </w:r>
      <w:r w:rsidRPr="00B82EFB">
        <w:t xml:space="preserve"> </w:t>
      </w:r>
      <w:r>
        <w:t xml:space="preserve">contributions per region </w:t>
      </w:r>
      <w:r w:rsidRPr="00B82EFB">
        <w:t>as a percentage of</w:t>
      </w:r>
      <w:r>
        <w:t xml:space="preserve"> total</w:t>
      </w:r>
      <w:r w:rsidRPr="00B82EFB">
        <w:t xml:space="preserve"> responses </w:t>
      </w:r>
      <w:r>
        <w:t xml:space="preserve">received </w:t>
      </w:r>
      <w:r w:rsidRPr="00B82EFB">
        <w:t xml:space="preserve">per </w:t>
      </w:r>
      <w:bookmarkEnd w:id="38"/>
      <w:r>
        <w:t>type of contribution</w:t>
      </w:r>
    </w:p>
    <w:p w14:paraId="1B78173D" w14:textId="77777777" w:rsidR="007F59C4" w:rsidRDefault="007F59C4" w:rsidP="005E1F75">
      <w:pPr>
        <w:pStyle w:val="Titlefigure"/>
      </w:pPr>
      <w:r>
        <w:rPr>
          <w:noProof/>
          <w:lang w:val="en-US"/>
        </w:rPr>
        <w:drawing>
          <wp:inline distT="0" distB="0" distL="0" distR="0" wp14:anchorId="07B1E178" wp14:editId="4E2363D4">
            <wp:extent cx="5383987" cy="3289300"/>
            <wp:effectExtent l="0" t="0" r="7620" b="6350"/>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69203781" w14:textId="77777777" w:rsidR="007F59C4" w:rsidRDefault="005E1F75" w:rsidP="005E1F75">
      <w:pPr>
        <w:pStyle w:val="CH3"/>
      </w:pPr>
      <w:r>
        <w:tab/>
      </w:r>
      <w:r>
        <w:tab/>
      </w:r>
      <w:r w:rsidR="007F59C4">
        <w:t>Respondents</w:t>
      </w:r>
      <w:r w:rsidR="007F59C4" w:rsidRPr="00067E83">
        <w:t xml:space="preserve"> engaging in their individual capacity</w:t>
      </w:r>
    </w:p>
    <w:p w14:paraId="13FE407C" w14:textId="77777777" w:rsidR="007F59C4" w:rsidRDefault="007F59C4" w:rsidP="005E1F75">
      <w:pPr>
        <w:pStyle w:val="Normalnumber"/>
      </w:pPr>
      <w:r>
        <w:t>In AF, financial support (41%), in-kind support (32%), information meetings (31%) and indigenous and local knowledge (29%) were the most-indicated future contributions.</w:t>
      </w:r>
    </w:p>
    <w:p w14:paraId="1BFC88C0" w14:textId="77777777" w:rsidR="007F59C4" w:rsidRDefault="007F59C4" w:rsidP="005E1F75">
      <w:pPr>
        <w:pStyle w:val="Normalnumber"/>
      </w:pPr>
      <w:r>
        <w:t>In AP, indigenous and local knowledge was the most-indicated future contribution (43%). Information meetings and regional knowledge were next (25% each).</w:t>
      </w:r>
    </w:p>
    <w:p w14:paraId="4216EDF7" w14:textId="77777777" w:rsidR="007F59C4" w:rsidRDefault="007F59C4" w:rsidP="005E1F75">
      <w:pPr>
        <w:pStyle w:val="Normalnumber"/>
      </w:pPr>
      <w:r>
        <w:t>In EE, financial support was the most-indicated future contribution (23%), followed by making data available (10%) and providing regional knowledge (9%).</w:t>
      </w:r>
    </w:p>
    <w:p w14:paraId="04B3E9C3" w14:textId="77777777" w:rsidR="007F59C4" w:rsidRDefault="007F59C4" w:rsidP="005E1F75">
      <w:pPr>
        <w:pStyle w:val="Normalnumber"/>
      </w:pPr>
      <w:r>
        <w:t>In LAC, nominating experts (24%), financial support (23%), providing regional knowledge (21%) and making data available (21%) were the most-indicated future contributions.</w:t>
      </w:r>
    </w:p>
    <w:p w14:paraId="051B86D4" w14:textId="77777777" w:rsidR="007F59C4" w:rsidRDefault="007F59C4" w:rsidP="005E1F75">
      <w:pPr>
        <w:pStyle w:val="Normalnumber"/>
      </w:pPr>
      <w:r>
        <w:t>In WEOG, the most-indicated future contributions were specialized expertize (33%), in-kind support (29%), making data available (27%) and access to networks (27%).</w:t>
      </w:r>
    </w:p>
    <w:p w14:paraId="0C103435" w14:textId="77777777" w:rsidR="005E1F75" w:rsidRDefault="005E1F75" w:rsidP="005E1F75">
      <w:pPr>
        <w:pStyle w:val="Titlefigure"/>
      </w:pPr>
      <w:r w:rsidRPr="005E1F75">
        <w:rPr>
          <w:b w:val="0"/>
        </w:rPr>
        <w:lastRenderedPageBreak/>
        <w:t>Figure 39</w:t>
      </w:r>
      <w:r w:rsidRPr="005E1F75">
        <w:rPr>
          <w:b w:val="0"/>
        </w:rPr>
        <w:br/>
      </w:r>
      <w:r w:rsidRPr="00BE3AC5">
        <w:t>Number of responses from individuals to the question “What specific contributions do</w:t>
      </w:r>
      <w:r>
        <w:t xml:space="preserve"> y</w:t>
      </w:r>
      <w:r w:rsidRPr="00BE3AC5">
        <w:t xml:space="preserve">ou/your </w:t>
      </w:r>
      <w:r>
        <w:t>Organization/Institution</w:t>
      </w:r>
      <w:r w:rsidRPr="00BE3AC5">
        <w:t xml:space="preserve"> wish to make to the work of IPBES which you are not already making? (Choose all that apply)”</w:t>
      </w:r>
    </w:p>
    <w:p w14:paraId="64AF89C7" w14:textId="77777777" w:rsidR="007F59C4" w:rsidRDefault="007F59C4" w:rsidP="007F59C4">
      <w:pPr>
        <w:keepNext/>
        <w:ind w:left="1276"/>
      </w:pPr>
      <w:r>
        <w:rPr>
          <w:noProof/>
          <w:lang w:val="en-US"/>
        </w:rPr>
        <w:drawing>
          <wp:inline distT="0" distB="0" distL="0" distR="0" wp14:anchorId="3EB98E70" wp14:editId="6F9A3108">
            <wp:extent cx="5354726" cy="2481580"/>
            <wp:effectExtent l="0" t="0" r="0" b="0"/>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bookmarkStart w:id="39" w:name="_Toc469302271"/>
    </w:p>
    <w:p w14:paraId="3D457DCC" w14:textId="77777777" w:rsidR="007F59C4" w:rsidRPr="00BE3AC5" w:rsidRDefault="005E1F75" w:rsidP="005E1F75">
      <w:pPr>
        <w:pStyle w:val="Titletable"/>
      </w:pPr>
      <w:bookmarkStart w:id="40" w:name="_Toc469302272"/>
      <w:bookmarkEnd w:id="39"/>
      <w:r w:rsidRPr="005E1F75">
        <w:rPr>
          <w:b w:val="0"/>
        </w:rPr>
        <w:t>Figure 40</w:t>
      </w:r>
      <w:bookmarkEnd w:id="40"/>
      <w:r w:rsidRPr="005E1F75">
        <w:rPr>
          <w:b w:val="0"/>
        </w:rPr>
        <w:br/>
      </w:r>
      <w:r>
        <w:t>Intended future individual</w:t>
      </w:r>
      <w:r w:rsidRPr="001975BD">
        <w:t xml:space="preserve"> </w:t>
      </w:r>
      <w:r>
        <w:t>contributions</w:t>
      </w:r>
      <w:r w:rsidRPr="001975BD">
        <w:t xml:space="preserve"> to IPBES</w:t>
      </w:r>
      <w:r>
        <w:t xml:space="preserve"> (percentage of total)</w:t>
      </w:r>
    </w:p>
    <w:p w14:paraId="2DF7C12B" w14:textId="77777777" w:rsidR="007F59C4" w:rsidRDefault="007F59C4" w:rsidP="007F59C4">
      <w:pPr>
        <w:keepNext/>
        <w:ind w:left="1276"/>
      </w:pPr>
      <w:r>
        <w:rPr>
          <w:noProof/>
          <w:lang w:val="en-US"/>
        </w:rPr>
        <w:drawing>
          <wp:inline distT="0" distB="0" distL="0" distR="0" wp14:anchorId="0957F1A7" wp14:editId="0DDE3CF5">
            <wp:extent cx="5310835" cy="2337435"/>
            <wp:effectExtent l="0" t="0" r="4445" b="5715"/>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4BA6218" w14:textId="77777777" w:rsidR="005E1F75" w:rsidRDefault="005E1F75">
      <w:pPr>
        <w:tabs>
          <w:tab w:val="clear" w:pos="1247"/>
          <w:tab w:val="clear" w:pos="1814"/>
          <w:tab w:val="clear" w:pos="2381"/>
          <w:tab w:val="clear" w:pos="2948"/>
          <w:tab w:val="clear" w:pos="3515"/>
        </w:tabs>
      </w:pPr>
      <w:bookmarkStart w:id="41" w:name="_Toc469302273"/>
      <w:r>
        <w:rPr>
          <w:b/>
        </w:rPr>
        <w:br w:type="page"/>
      </w:r>
    </w:p>
    <w:p w14:paraId="4D51F388" w14:textId="77777777" w:rsidR="007F59C4" w:rsidRPr="00AD7923" w:rsidRDefault="005E1F75" w:rsidP="005E1F75">
      <w:pPr>
        <w:pStyle w:val="Titlefigure"/>
      </w:pPr>
      <w:r w:rsidRPr="005E1F75">
        <w:rPr>
          <w:b w:val="0"/>
        </w:rPr>
        <w:lastRenderedPageBreak/>
        <w:t>Figure 41</w:t>
      </w:r>
      <w:bookmarkEnd w:id="41"/>
      <w:r w:rsidRPr="005E1F75">
        <w:br/>
      </w:r>
      <w:r>
        <w:t>Intended future individual</w:t>
      </w:r>
      <w:r w:rsidRPr="00B82EFB">
        <w:t xml:space="preserve"> </w:t>
      </w:r>
      <w:r>
        <w:t xml:space="preserve">contributions per region </w:t>
      </w:r>
      <w:r w:rsidRPr="00B82EFB">
        <w:t>as a percentage of</w:t>
      </w:r>
      <w:r>
        <w:t xml:space="preserve"> total</w:t>
      </w:r>
      <w:r w:rsidRPr="00B82EFB">
        <w:t xml:space="preserve"> responses per </w:t>
      </w:r>
      <w:r>
        <w:t>type of contribution</w:t>
      </w:r>
    </w:p>
    <w:p w14:paraId="5BF886D1" w14:textId="77777777" w:rsidR="007F59C4" w:rsidRDefault="007F59C4" w:rsidP="005E1F75">
      <w:pPr>
        <w:pStyle w:val="Titlefigure"/>
      </w:pPr>
      <w:r>
        <w:rPr>
          <w:noProof/>
          <w:lang w:val="en-US"/>
        </w:rPr>
        <w:drawing>
          <wp:inline distT="0" distB="0" distL="0" distR="0" wp14:anchorId="21D539B4" wp14:editId="0C1378CC">
            <wp:extent cx="5398617" cy="3645535"/>
            <wp:effectExtent l="0" t="0" r="0" b="0"/>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858D4AB" w14:textId="77777777" w:rsidR="007F59C4" w:rsidRDefault="005D2E5E" w:rsidP="005D2E5E">
      <w:pPr>
        <w:pStyle w:val="CH2"/>
      </w:pPr>
      <w:r>
        <w:tab/>
        <w:t>C.</w:t>
      </w:r>
      <w:r>
        <w:tab/>
      </w:r>
      <w:r w:rsidR="007F59C4">
        <w:t>Incentives/</w:t>
      </w:r>
      <w:r w:rsidR="007F59C4" w:rsidRPr="003C5DA7">
        <w:t xml:space="preserve">disincentives to engagement </w:t>
      </w:r>
      <w:r w:rsidR="007F59C4">
        <w:t>with IPBES</w:t>
      </w:r>
    </w:p>
    <w:p w14:paraId="32E38EAC" w14:textId="77777777" w:rsidR="007F59C4" w:rsidRDefault="007F59C4" w:rsidP="005D2E5E">
      <w:pPr>
        <w:pStyle w:val="Normalnumber"/>
      </w:pPr>
      <w:r>
        <w:t>Respondents were asked to indicate which types of incentives and disincentives were most applicable to drive or discourage their engagement with IPBES.</w:t>
      </w:r>
    </w:p>
    <w:p w14:paraId="5EE51B33" w14:textId="77777777" w:rsidR="007F59C4" w:rsidRDefault="005D2E5E" w:rsidP="005D2E5E">
      <w:pPr>
        <w:pStyle w:val="CH3"/>
      </w:pPr>
      <w:r>
        <w:tab/>
      </w:r>
      <w:r>
        <w:tab/>
      </w:r>
      <w:r w:rsidR="007F59C4">
        <w:t>I</w:t>
      </w:r>
      <w:r w:rsidR="007F59C4" w:rsidRPr="003C5DA7">
        <w:t>ncentives</w:t>
      </w:r>
    </w:p>
    <w:p w14:paraId="16514EA5" w14:textId="77777777" w:rsidR="007F59C4" w:rsidRDefault="007F59C4" w:rsidP="005D2E5E">
      <w:pPr>
        <w:pStyle w:val="Normalnumber"/>
      </w:pPr>
      <w:r>
        <w:t>In AF, the incentives most-indicated were linked to support (Figure 42), with better organizational support (52%), better financial support (33%) and better local support (31%) indicated most often. Least mentioned was recognition (9%).</w:t>
      </w:r>
    </w:p>
    <w:p w14:paraId="4842BE9F" w14:textId="77777777" w:rsidR="007F59C4" w:rsidRDefault="007F59C4" w:rsidP="005D2E5E">
      <w:pPr>
        <w:pStyle w:val="Normalnumber"/>
      </w:pPr>
      <w:r>
        <w:t>In AP, recognition was the incentive most indicated (46%), followed by financial (29%) and international (28%) support, as well as increased knowledge (27%). Better local support was the least-indicated category (12%).</w:t>
      </w:r>
    </w:p>
    <w:p w14:paraId="4397B9D2" w14:textId="77777777" w:rsidR="007F59C4" w:rsidRDefault="007F59C4" w:rsidP="005D2E5E">
      <w:pPr>
        <w:pStyle w:val="Normalnumber"/>
      </w:pPr>
      <w:r>
        <w:t>In EE, better local support was the incentive most-indicated (12%), followed by increased knowledge (10%) and access to expertise (10%). Better visibility was least-indicated (3%).</w:t>
      </w:r>
    </w:p>
    <w:p w14:paraId="2EC081E2" w14:textId="77777777" w:rsidR="007F59C4" w:rsidRDefault="007F59C4" w:rsidP="005D2E5E">
      <w:pPr>
        <w:pStyle w:val="Normalnumber"/>
      </w:pPr>
      <w:r>
        <w:t>In LAC, better local support was the incentive most-indicated (27%), followed by helping to ensure sustainable development (26%) and access to expertise (24%). The incentive least-mentioned was better organizational support (7%).</w:t>
      </w:r>
    </w:p>
    <w:p w14:paraId="2A4397B7" w14:textId="77777777" w:rsidR="007F59C4" w:rsidRDefault="007F59C4" w:rsidP="005D2E5E">
      <w:pPr>
        <w:pStyle w:val="Normalnumber"/>
      </w:pPr>
      <w:r>
        <w:t>In WEOG, better visibility (44%) was the incentive most-indicated, along with overlapping research interests (42%), policy and decision making support (39%) and building networks (39%). The incentive least-mentioned was organizational support (3%).</w:t>
      </w:r>
    </w:p>
    <w:p w14:paraId="7E200E6F" w14:textId="77777777" w:rsidR="007F59C4" w:rsidRDefault="007F59C4" w:rsidP="002D4BFE">
      <w:pPr>
        <w:pStyle w:val="Normalnumber"/>
      </w:pPr>
      <w:r w:rsidRPr="002D4BFE">
        <w:rPr>
          <w:b/>
        </w:rPr>
        <w:t>Observation</w:t>
      </w:r>
      <w:r w:rsidRPr="002D4BFE">
        <w:t>:</w:t>
      </w:r>
      <w:r>
        <w:t xml:space="preserve"> Incentives were very different between regions, which could be taken into consideration when designing communication and outreach activities/materials to encourage wider and deeper stakeholder engagement with IPBES. It should also be noted that some of the categories represented perceived incentives rather than actual benefits accru</w:t>
      </w:r>
      <w:r w:rsidR="002D4BFE">
        <w:t>ing from engagement with IPBES.</w:t>
      </w:r>
    </w:p>
    <w:p w14:paraId="2ED6B90D" w14:textId="77777777" w:rsidR="002D4BFE" w:rsidRDefault="002D4BFE" w:rsidP="002D4BFE">
      <w:pPr>
        <w:pStyle w:val="Titlefigure"/>
      </w:pPr>
      <w:bookmarkStart w:id="42" w:name="_Ref468882319"/>
      <w:bookmarkStart w:id="43" w:name="_Ref468882313"/>
      <w:r w:rsidRPr="002D4BFE">
        <w:rPr>
          <w:b w:val="0"/>
        </w:rPr>
        <w:lastRenderedPageBreak/>
        <w:t xml:space="preserve">Figure </w:t>
      </w:r>
      <w:bookmarkEnd w:id="42"/>
      <w:r w:rsidRPr="002D4BFE">
        <w:rPr>
          <w:b w:val="0"/>
        </w:rPr>
        <w:t>42</w:t>
      </w:r>
      <w:r w:rsidRPr="002D4BFE">
        <w:rPr>
          <w:b w:val="0"/>
        </w:rPr>
        <w:br/>
      </w:r>
      <w:r>
        <w:t xml:space="preserve">Incentives for engagement per region as a percentage of responses per </w:t>
      </w:r>
      <w:bookmarkEnd w:id="43"/>
      <w:r>
        <w:t>specific incentive</w:t>
      </w:r>
    </w:p>
    <w:p w14:paraId="7E8603F5" w14:textId="77777777" w:rsidR="007F59C4" w:rsidRDefault="007F59C4" w:rsidP="002D4BFE">
      <w:pPr>
        <w:jc w:val="both"/>
      </w:pPr>
      <w:r w:rsidRPr="00716B4B">
        <w:rPr>
          <w:noProof/>
          <w:lang w:val="en-US"/>
        </w:rPr>
        <w:drawing>
          <wp:inline distT="0" distB="0" distL="0" distR="0" wp14:anchorId="620DEBBF" wp14:editId="4B19DCB9">
            <wp:extent cx="5383987" cy="4623435"/>
            <wp:effectExtent l="0" t="0" r="7620" b="5715"/>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652BED8" w14:textId="77777777" w:rsidR="007F59C4" w:rsidRDefault="002D4BFE" w:rsidP="002D4BFE">
      <w:pPr>
        <w:pStyle w:val="CH3"/>
      </w:pPr>
      <w:r>
        <w:tab/>
      </w:r>
      <w:r>
        <w:tab/>
      </w:r>
      <w:r w:rsidR="007F59C4">
        <w:t>D</w:t>
      </w:r>
      <w:r w:rsidR="007F59C4" w:rsidRPr="009A7E30">
        <w:t>isincentives</w:t>
      </w:r>
    </w:p>
    <w:p w14:paraId="5F705396" w14:textId="77777777" w:rsidR="007F59C4" w:rsidRDefault="007F59C4" w:rsidP="002D4BFE">
      <w:pPr>
        <w:pStyle w:val="Normalnumber"/>
      </w:pPr>
      <w:r>
        <w:t>Lack of money (35%) and lack of time (24%) were the two most-indicated disincentives to engagement with IPBES (Figure 43), followed by lack of clarity on how IPBES works (17%). The language barrier was also indicated as a disincentive (6%).</w:t>
      </w:r>
    </w:p>
    <w:p w14:paraId="734389B7" w14:textId="77777777" w:rsidR="007F59C4" w:rsidRDefault="007F59C4" w:rsidP="002D4BFE">
      <w:pPr>
        <w:pStyle w:val="Normalnumber"/>
      </w:pPr>
      <w:r>
        <w:t>In AF, an insufficient research overlap was the most-indicated disincentive (46%). Language barriers (33%), insufficient recognition (30%) and risks of distortion (29%) were the next most commonly indicated categories. High work commitment was the least-indicated disincentive (14%).</w:t>
      </w:r>
    </w:p>
    <w:p w14:paraId="010724B9" w14:textId="77777777" w:rsidR="007F59C4" w:rsidRDefault="007F59C4" w:rsidP="002D4BFE">
      <w:pPr>
        <w:pStyle w:val="Normalnumber"/>
      </w:pPr>
      <w:r>
        <w:t>In AP, the three disincentives most-indicated were insufficient recognition (25%), risk of distortion (24%) and not enough money (22%). Language barriers were the least-indicated disincentive.</w:t>
      </w:r>
    </w:p>
    <w:p w14:paraId="0A188EC6" w14:textId="77777777" w:rsidR="007F59C4" w:rsidRDefault="007F59C4" w:rsidP="002D4BFE">
      <w:pPr>
        <w:pStyle w:val="Normalnumber"/>
      </w:pPr>
      <w:r>
        <w:t>In EE, an insufficient research overlap (11%), language barriers (9%), risk of distortion (8%) and lack of clarity about how IPBES works (8%) were most-indicated. Least-indicated was high work commitments (5%).</w:t>
      </w:r>
    </w:p>
    <w:p w14:paraId="6B29F2EF" w14:textId="77777777" w:rsidR="007F59C4" w:rsidRDefault="007F59C4" w:rsidP="002D4BFE">
      <w:pPr>
        <w:pStyle w:val="Normalnumber"/>
      </w:pPr>
      <w:r>
        <w:t>In LAC, the two most-indicated disincentives were language barriers (36%) and risk of distortion (20%). High work commitment was least-indicated (16%).</w:t>
      </w:r>
    </w:p>
    <w:p w14:paraId="43599839" w14:textId="77777777" w:rsidR="007F59C4" w:rsidRDefault="007F59C4" w:rsidP="002D4BFE">
      <w:pPr>
        <w:pStyle w:val="Normalnumber"/>
      </w:pPr>
      <w:r>
        <w:t>In WEOG, high work commitment was the disincentive most indicated (44%), followed by lack of clarity on how IPBES works (30%) and lack of funding (23%). Insufficient research overlap was least-indicated (8%).</w:t>
      </w:r>
    </w:p>
    <w:p w14:paraId="5F319966" w14:textId="77777777" w:rsidR="007F59C4" w:rsidRPr="002079E0" w:rsidRDefault="007F59C4" w:rsidP="002D4BFE">
      <w:pPr>
        <w:pStyle w:val="Normalnumber"/>
        <w:rPr>
          <w:b/>
          <w:u w:val="single"/>
        </w:rPr>
      </w:pPr>
      <w:r w:rsidRPr="002079E0">
        <w:rPr>
          <w:b/>
          <w:u w:val="single"/>
        </w:rPr>
        <w:t xml:space="preserve">Observations: </w:t>
      </w:r>
    </w:p>
    <w:p w14:paraId="0CD6BDF7" w14:textId="77777777" w:rsidR="007F59C4" w:rsidRDefault="007F59C4" w:rsidP="002D4BFE">
      <w:pPr>
        <w:pStyle w:val="Normalnumber"/>
        <w:numPr>
          <w:ilvl w:val="1"/>
          <w:numId w:val="6"/>
        </w:numPr>
      </w:pPr>
      <w:r>
        <w:t xml:space="preserve">IPBES provides financial support to all experts from developing countries, however, disincentives due to a “lack of money” and a “lack of time” were predominant at the global level. </w:t>
      </w:r>
    </w:p>
    <w:p w14:paraId="25427364" w14:textId="77777777" w:rsidR="007F59C4" w:rsidRDefault="007F59C4" w:rsidP="002D4BFE">
      <w:pPr>
        <w:pStyle w:val="Normalnumber"/>
        <w:numPr>
          <w:ilvl w:val="1"/>
          <w:numId w:val="6"/>
        </w:numPr>
      </w:pPr>
      <w:r>
        <w:t xml:space="preserve">“Unclear how IPBES works” was the third most-indicated disincentive at the global level. A communication campaign could be specifically designed to promote IPBES through the website, social media channels and marketing materials to address this issue. </w:t>
      </w:r>
    </w:p>
    <w:p w14:paraId="015181D3" w14:textId="77777777" w:rsidR="007F59C4" w:rsidRDefault="007F59C4" w:rsidP="002D4BFE">
      <w:pPr>
        <w:pStyle w:val="Normalnumber"/>
        <w:numPr>
          <w:ilvl w:val="1"/>
          <w:numId w:val="6"/>
        </w:numPr>
      </w:pPr>
      <w:r>
        <w:lastRenderedPageBreak/>
        <w:t>“Language barrier” was a significant disincentive in AF, EE and LAC. Translation of more IPBES documents into the official United Nations languages could address some of these challenges.</w:t>
      </w:r>
    </w:p>
    <w:p w14:paraId="2EEE1B80" w14:textId="77777777" w:rsidR="002D4BFE" w:rsidRDefault="002D4BFE" w:rsidP="002D4BFE">
      <w:pPr>
        <w:pStyle w:val="Titlefigure"/>
      </w:pPr>
      <w:bookmarkStart w:id="44" w:name="_Ref467356360"/>
      <w:bookmarkStart w:id="45" w:name="_Toc467449453"/>
      <w:bookmarkStart w:id="46" w:name="_Toc469302275"/>
      <w:r w:rsidRPr="002D4BFE">
        <w:rPr>
          <w:b w:val="0"/>
        </w:rPr>
        <w:t xml:space="preserve">Figure </w:t>
      </w:r>
      <w:bookmarkEnd w:id="44"/>
      <w:r w:rsidRPr="002D4BFE">
        <w:rPr>
          <w:b w:val="0"/>
        </w:rPr>
        <w:t>43</w:t>
      </w:r>
      <w:r w:rsidRPr="002D4BFE">
        <w:rPr>
          <w:b w:val="0"/>
        </w:rPr>
        <w:br/>
      </w:r>
      <w:r>
        <w:t>Disincentives as a percentage of total responses</w:t>
      </w:r>
      <w:bookmarkEnd w:id="45"/>
      <w:bookmarkEnd w:id="46"/>
    </w:p>
    <w:p w14:paraId="7FA1B88B" w14:textId="77777777" w:rsidR="007F59C4" w:rsidRDefault="007F59C4" w:rsidP="007F59C4">
      <w:pPr>
        <w:keepNext/>
        <w:ind w:left="1276"/>
      </w:pPr>
      <w:r>
        <w:rPr>
          <w:noProof/>
          <w:lang w:val="en-US"/>
        </w:rPr>
        <w:drawing>
          <wp:inline distT="0" distB="0" distL="0" distR="0" wp14:anchorId="3A3572FC" wp14:editId="2F88F5DB">
            <wp:extent cx="5318150" cy="2510155"/>
            <wp:effectExtent l="0" t="0" r="0" b="4445"/>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A3196EE" w14:textId="77777777" w:rsidR="007F59C4" w:rsidRPr="006823FD" w:rsidRDefault="002D4BFE" w:rsidP="002D4BFE">
      <w:pPr>
        <w:pStyle w:val="Titletable"/>
      </w:pPr>
      <w:bookmarkStart w:id="47" w:name="_Toc467449455"/>
      <w:bookmarkStart w:id="48" w:name="_Toc469302276"/>
      <w:r w:rsidRPr="002D4BFE">
        <w:rPr>
          <w:b w:val="0"/>
        </w:rPr>
        <w:t>Figure 44</w:t>
      </w:r>
      <w:r>
        <w:br/>
        <w:t>Disincentives to engagement per region as a percentage of total responses received per disincentive</w:t>
      </w:r>
      <w:bookmarkEnd w:id="47"/>
      <w:bookmarkEnd w:id="48"/>
    </w:p>
    <w:p w14:paraId="5B781661" w14:textId="77777777" w:rsidR="002D4BFE" w:rsidRDefault="007F59C4" w:rsidP="002D4BFE">
      <w:r>
        <w:rPr>
          <w:noProof/>
          <w:lang w:val="en-US"/>
        </w:rPr>
        <w:drawing>
          <wp:inline distT="0" distB="0" distL="0" distR="0" wp14:anchorId="344C90E6" wp14:editId="785FA630">
            <wp:extent cx="5508345" cy="2629535"/>
            <wp:effectExtent l="0" t="0" r="0" b="0"/>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2"/>
        <w:gridCol w:w="1942"/>
        <w:gridCol w:w="1942"/>
        <w:gridCol w:w="1943"/>
        <w:gridCol w:w="1943"/>
      </w:tblGrid>
      <w:tr w:rsidR="002D4BFE" w14:paraId="3AD0A7F5" w14:textId="77777777" w:rsidTr="002D4BFE">
        <w:tc>
          <w:tcPr>
            <w:tcW w:w="1942" w:type="dxa"/>
          </w:tcPr>
          <w:p w14:paraId="28FF7310" w14:textId="77777777" w:rsidR="002D4BFE" w:rsidRDefault="002D4BFE" w:rsidP="002D4BFE">
            <w:pPr>
              <w:spacing w:before="520"/>
            </w:pPr>
          </w:p>
        </w:tc>
        <w:tc>
          <w:tcPr>
            <w:tcW w:w="1942" w:type="dxa"/>
          </w:tcPr>
          <w:p w14:paraId="6AEDEEE6" w14:textId="77777777" w:rsidR="002D4BFE" w:rsidRDefault="002D4BFE" w:rsidP="002D4BFE">
            <w:pPr>
              <w:spacing w:before="520"/>
            </w:pPr>
          </w:p>
        </w:tc>
        <w:tc>
          <w:tcPr>
            <w:tcW w:w="1942" w:type="dxa"/>
            <w:tcBorders>
              <w:bottom w:val="single" w:sz="4" w:space="0" w:color="auto"/>
            </w:tcBorders>
          </w:tcPr>
          <w:p w14:paraId="44F2CF56" w14:textId="77777777" w:rsidR="002D4BFE" w:rsidRDefault="002D4BFE" w:rsidP="002D4BFE">
            <w:pPr>
              <w:spacing w:before="520"/>
            </w:pPr>
          </w:p>
        </w:tc>
        <w:tc>
          <w:tcPr>
            <w:tcW w:w="1943" w:type="dxa"/>
          </w:tcPr>
          <w:p w14:paraId="3208F1BB" w14:textId="77777777" w:rsidR="002D4BFE" w:rsidRDefault="002D4BFE" w:rsidP="002D4BFE">
            <w:pPr>
              <w:spacing w:before="520"/>
            </w:pPr>
          </w:p>
        </w:tc>
        <w:tc>
          <w:tcPr>
            <w:tcW w:w="1943" w:type="dxa"/>
          </w:tcPr>
          <w:p w14:paraId="1C2E6475" w14:textId="77777777" w:rsidR="002D4BFE" w:rsidRDefault="002D4BFE" w:rsidP="002D4BFE">
            <w:pPr>
              <w:spacing w:before="520"/>
            </w:pPr>
          </w:p>
        </w:tc>
      </w:tr>
    </w:tbl>
    <w:p w14:paraId="71C83878" w14:textId="77777777" w:rsidR="002D4BFE" w:rsidRDefault="002D4BFE" w:rsidP="002D4BFE"/>
    <w:sectPr w:rsidR="002D4BFE" w:rsidSect="00CC136E">
      <w:headerReference w:type="even" r:id="rId56"/>
      <w:headerReference w:type="default" r:id="rId57"/>
      <w:footerReference w:type="even" r:id="rId58"/>
      <w:footerReference w:type="default" r:id="rId59"/>
      <w:footerReference w:type="first" r:id="rId60"/>
      <w:type w:val="continuous"/>
      <w:pgSz w:w="11906" w:h="16838" w:code="9"/>
      <w:pgMar w:top="907" w:right="992" w:bottom="1418" w:left="1418" w:header="539" w:footer="975" w:gutter="0"/>
      <w:cols w:space="53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7B7DDA" w14:textId="77777777" w:rsidR="00E92AFA" w:rsidRDefault="00E92AFA">
      <w:r>
        <w:separator/>
      </w:r>
    </w:p>
  </w:endnote>
  <w:endnote w:type="continuationSeparator" w:id="0">
    <w:p w14:paraId="3804C0F5" w14:textId="77777777" w:rsidR="00E92AFA" w:rsidRDefault="00E92A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Univers">
    <w:altName w:val="Arial"/>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AD23E3" w14:textId="1CC74008" w:rsidR="002A6864" w:rsidRPr="002D4BFE" w:rsidRDefault="002A6864">
    <w:pPr>
      <w:rPr>
        <w:b/>
        <w:sz w:val="18"/>
        <w:szCs w:val="18"/>
      </w:rPr>
    </w:pPr>
    <w:r w:rsidRPr="002D4BFE">
      <w:rPr>
        <w:b/>
        <w:sz w:val="18"/>
        <w:szCs w:val="18"/>
      </w:rPr>
      <w:fldChar w:fldCharType="begin"/>
    </w:r>
    <w:r w:rsidRPr="002D4BFE">
      <w:rPr>
        <w:b/>
        <w:sz w:val="18"/>
        <w:szCs w:val="18"/>
      </w:rPr>
      <w:instrText xml:space="preserve"> PAGE </w:instrText>
    </w:r>
    <w:r w:rsidRPr="002D4BFE">
      <w:rPr>
        <w:b/>
        <w:sz w:val="18"/>
        <w:szCs w:val="18"/>
      </w:rPr>
      <w:fldChar w:fldCharType="separate"/>
    </w:r>
    <w:r w:rsidR="004B6984">
      <w:rPr>
        <w:b/>
        <w:noProof/>
        <w:sz w:val="18"/>
        <w:szCs w:val="18"/>
      </w:rPr>
      <w:t>2</w:t>
    </w:r>
    <w:r w:rsidRPr="002D4BFE">
      <w:rPr>
        <w:b/>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DD575F" w14:textId="54770726" w:rsidR="002A6864" w:rsidRPr="00840468" w:rsidRDefault="002A6864" w:rsidP="00035EDE">
    <w:pPr>
      <w:jc w:val="right"/>
      <w:rPr>
        <w:b/>
        <w:sz w:val="18"/>
        <w:szCs w:val="18"/>
      </w:rPr>
    </w:pPr>
    <w:r w:rsidRPr="00840468">
      <w:rPr>
        <w:b/>
        <w:sz w:val="18"/>
        <w:szCs w:val="18"/>
      </w:rPr>
      <w:fldChar w:fldCharType="begin"/>
    </w:r>
    <w:r w:rsidRPr="00840468">
      <w:rPr>
        <w:b/>
        <w:sz w:val="18"/>
        <w:szCs w:val="18"/>
      </w:rPr>
      <w:instrText xml:space="preserve"> PAGE </w:instrText>
    </w:r>
    <w:r w:rsidRPr="00840468">
      <w:rPr>
        <w:b/>
        <w:sz w:val="18"/>
        <w:szCs w:val="18"/>
      </w:rPr>
      <w:fldChar w:fldCharType="separate"/>
    </w:r>
    <w:r w:rsidR="004B6984">
      <w:rPr>
        <w:b/>
        <w:noProof/>
        <w:sz w:val="18"/>
        <w:szCs w:val="18"/>
      </w:rPr>
      <w:t>21</w:t>
    </w:r>
    <w:r w:rsidRPr="00840468">
      <w:rPr>
        <w:b/>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51485F" w14:textId="393101BA" w:rsidR="00CC136E" w:rsidRDefault="00CC136E" w:rsidP="00CC136E">
    <w:pPr>
      <w:pStyle w:val="Footer"/>
      <w:tabs>
        <w:tab w:val="clear" w:pos="1814"/>
        <w:tab w:val="clear" w:pos="2381"/>
        <w:tab w:val="clear" w:pos="2948"/>
        <w:tab w:val="clear" w:pos="3515"/>
        <w:tab w:val="clear" w:pos="4320"/>
        <w:tab w:val="clear" w:pos="8640"/>
        <w:tab w:val="left" w:pos="624"/>
      </w:tabs>
    </w:pPr>
    <w:r>
      <w:t>K1700440</w:t>
    </w:r>
    <w:r>
      <w:tab/>
    </w:r>
    <w:r w:rsidR="003B4B00">
      <w:t>0902</w:t>
    </w:r>
    <w:r>
      <w:t>17</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D196A5E" w14:textId="77777777" w:rsidR="00E92AFA" w:rsidRDefault="00E92AFA" w:rsidP="00CC136E">
      <w:pPr>
        <w:tabs>
          <w:tab w:val="clear" w:pos="1247"/>
          <w:tab w:val="clear" w:pos="1814"/>
          <w:tab w:val="clear" w:pos="2381"/>
          <w:tab w:val="clear" w:pos="2948"/>
          <w:tab w:val="clear" w:pos="3515"/>
          <w:tab w:val="left" w:pos="624"/>
        </w:tabs>
        <w:spacing w:before="60"/>
        <w:ind w:left="624"/>
      </w:pPr>
      <w:r>
        <w:separator/>
      </w:r>
    </w:p>
  </w:footnote>
  <w:footnote w:type="continuationSeparator" w:id="0">
    <w:p w14:paraId="0C3A7D22" w14:textId="77777777" w:rsidR="00E92AFA" w:rsidRDefault="00E92AFA">
      <w:r>
        <w:continuationSeparator/>
      </w:r>
    </w:p>
  </w:footnote>
  <w:footnote w:id="1">
    <w:p w14:paraId="1ED88AC4" w14:textId="77777777" w:rsidR="00CC136E" w:rsidRPr="00111F1D" w:rsidRDefault="00CC136E" w:rsidP="00CC136E">
      <w:pPr>
        <w:tabs>
          <w:tab w:val="clear" w:pos="1247"/>
          <w:tab w:val="clear" w:pos="1814"/>
          <w:tab w:val="clear" w:pos="2381"/>
          <w:tab w:val="clear" w:pos="2948"/>
          <w:tab w:val="clear" w:pos="3515"/>
          <w:tab w:val="left" w:pos="624"/>
        </w:tabs>
        <w:spacing w:before="20" w:after="40"/>
        <w:ind w:left="1247"/>
        <w:rPr>
          <w:sz w:val="18"/>
          <w:szCs w:val="18"/>
        </w:rPr>
      </w:pPr>
      <w:r w:rsidRPr="00111F1D">
        <w:rPr>
          <w:rStyle w:val="FootnoteReference"/>
          <w:spacing w:val="5"/>
          <w:w w:val="104"/>
          <w:sz w:val="18"/>
          <w:vertAlign w:val="baseline"/>
        </w:rPr>
        <w:t>*</w:t>
      </w:r>
      <w:r w:rsidRPr="00111F1D">
        <w:rPr>
          <w:sz w:val="18"/>
          <w:szCs w:val="18"/>
        </w:rPr>
        <w:t xml:space="preserve"> </w:t>
      </w:r>
      <w:hyperlink r:id="rId1" w:history="1">
        <w:r w:rsidRPr="00111F1D">
          <w:rPr>
            <w:rStyle w:val="Hyperlink"/>
            <w:sz w:val="18"/>
            <w:szCs w:val="18"/>
            <w:lang w:val="en-US"/>
          </w:rPr>
          <w:t>IPBES/5/1/Rev.1</w:t>
        </w:r>
      </w:hyperlink>
      <w:r w:rsidRPr="00111F1D">
        <w:rPr>
          <w:sz w:val="18"/>
          <w:szCs w:val="18"/>
        </w:rPr>
        <w:t>.</w:t>
      </w:r>
    </w:p>
  </w:footnote>
  <w:footnote w:id="2">
    <w:p w14:paraId="745049E1" w14:textId="77777777" w:rsidR="00A911DB" w:rsidRPr="00111F1D" w:rsidRDefault="00A911DB" w:rsidP="00A911DB">
      <w:pPr>
        <w:tabs>
          <w:tab w:val="left" w:pos="624"/>
        </w:tabs>
        <w:spacing w:before="20" w:after="40"/>
        <w:ind w:left="1247"/>
        <w:rPr>
          <w:sz w:val="18"/>
          <w:szCs w:val="18"/>
        </w:rPr>
      </w:pPr>
      <w:r w:rsidRPr="00111F1D">
        <w:rPr>
          <w:sz w:val="18"/>
          <w:szCs w:val="18"/>
          <w:vertAlign w:val="superscript"/>
        </w:rPr>
        <w:footnoteRef/>
      </w:r>
      <w:r w:rsidRPr="00111F1D">
        <w:rPr>
          <w:sz w:val="18"/>
          <w:szCs w:val="18"/>
        </w:rPr>
        <w:t xml:space="preserve"> All numbers throughout the present note have been rounded to the nearest integer. </w:t>
      </w:r>
    </w:p>
  </w:footnote>
  <w:footnote w:id="3">
    <w:p w14:paraId="472F4449" w14:textId="77777777" w:rsidR="007F59C4" w:rsidRPr="00111F1D" w:rsidRDefault="007F59C4" w:rsidP="00CC136E">
      <w:pPr>
        <w:tabs>
          <w:tab w:val="left" w:pos="624"/>
        </w:tabs>
        <w:spacing w:before="20" w:after="40"/>
        <w:ind w:left="1247"/>
        <w:rPr>
          <w:sz w:val="18"/>
          <w:szCs w:val="18"/>
        </w:rPr>
      </w:pPr>
      <w:r w:rsidRPr="00111F1D">
        <w:rPr>
          <w:sz w:val="18"/>
          <w:szCs w:val="18"/>
          <w:vertAlign w:val="superscript"/>
        </w:rPr>
        <w:footnoteRef/>
      </w:r>
      <w:r w:rsidRPr="00111F1D">
        <w:rPr>
          <w:sz w:val="18"/>
          <w:szCs w:val="18"/>
          <w:vertAlign w:val="superscript"/>
        </w:rPr>
        <w:t xml:space="preserve"> </w:t>
      </w:r>
      <w:r w:rsidRPr="00111F1D">
        <w:rPr>
          <w:sz w:val="18"/>
          <w:szCs w:val="18"/>
        </w:rPr>
        <w:t>For the purposes of this survey, “boundary organizations” were taken to be organizations whose central purpose is to create and sustain meaningful and mutually beneficial links between knowledge producers and users.</w:t>
      </w:r>
    </w:p>
  </w:footnote>
  <w:footnote w:id="4">
    <w:p w14:paraId="7B5B6E9F" w14:textId="77777777" w:rsidR="007F59C4" w:rsidRPr="00111F1D" w:rsidRDefault="007F59C4" w:rsidP="00CC136E">
      <w:pPr>
        <w:tabs>
          <w:tab w:val="left" w:pos="624"/>
        </w:tabs>
        <w:spacing w:before="20" w:after="40"/>
        <w:ind w:left="1247"/>
        <w:rPr>
          <w:sz w:val="18"/>
          <w:szCs w:val="18"/>
        </w:rPr>
      </w:pPr>
      <w:r w:rsidRPr="00A6162B">
        <w:rPr>
          <w:sz w:val="18"/>
          <w:szCs w:val="18"/>
          <w:vertAlign w:val="superscript"/>
        </w:rPr>
        <w:footnoteRef/>
      </w:r>
      <w:r w:rsidRPr="00111F1D">
        <w:rPr>
          <w:sz w:val="18"/>
          <w:szCs w:val="18"/>
        </w:rPr>
        <w:t xml:space="preserve"> The engagement with IPBES by early-career experts may be a more relevant category of stakeholders for future mapping than student networks – which may also partially explain the lack of responses received in this regard.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10464C" w14:textId="77777777" w:rsidR="002A6864" w:rsidRPr="00CC136E" w:rsidRDefault="00CC136E" w:rsidP="00CC136E">
    <w:pPr>
      <w:pStyle w:val="Header"/>
    </w:pPr>
    <w:r w:rsidRPr="00CC136E">
      <w:t>IPBES/5/INF/16</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2A8693" w14:textId="77777777" w:rsidR="002A6864" w:rsidRPr="00CC136E" w:rsidRDefault="00CC136E" w:rsidP="00D67E66">
    <w:pPr>
      <w:pStyle w:val="Header"/>
      <w:jc w:val="right"/>
    </w:pPr>
    <w:r w:rsidRPr="00CC136E">
      <w:t>IPBES/5/INF/16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1113A7"/>
    <w:multiLevelType w:val="multilevel"/>
    <w:tmpl w:val="48241D10"/>
    <w:numStyleLink w:val="Normallist"/>
  </w:abstractNum>
  <w:abstractNum w:abstractNumId="1" w15:restartNumberingAfterBreak="0">
    <w:nsid w:val="1B571867"/>
    <w:multiLevelType w:val="singleLevel"/>
    <w:tmpl w:val="A2E252AA"/>
    <w:lvl w:ilvl="0">
      <w:start w:val="1"/>
      <w:numFmt w:val="upperRoman"/>
      <w:pStyle w:val="Heading8"/>
      <w:lvlText w:val="%1."/>
      <w:lvlJc w:val="left"/>
      <w:pPr>
        <w:tabs>
          <w:tab w:val="num" w:pos="720"/>
        </w:tabs>
        <w:ind w:left="720" w:hanging="720"/>
      </w:pPr>
      <w:rPr>
        <w:rFonts w:hint="default"/>
      </w:rPr>
    </w:lvl>
  </w:abstractNum>
  <w:abstractNum w:abstractNumId="2" w15:restartNumberingAfterBreak="0">
    <w:nsid w:val="35571603"/>
    <w:multiLevelType w:val="singleLevel"/>
    <w:tmpl w:val="2868AC2A"/>
    <w:lvl w:ilvl="0">
      <w:start w:val="6"/>
      <w:numFmt w:val="upperLetter"/>
      <w:pStyle w:val="Heading9"/>
      <w:lvlText w:val="%1."/>
      <w:lvlJc w:val="left"/>
      <w:pPr>
        <w:tabs>
          <w:tab w:val="num" w:pos="360"/>
        </w:tabs>
        <w:ind w:left="360" w:hanging="360"/>
      </w:pPr>
      <w:rPr>
        <w:rFonts w:hint="default"/>
      </w:rPr>
    </w:lvl>
  </w:abstractNum>
  <w:abstractNum w:abstractNumId="3" w15:restartNumberingAfterBreak="0">
    <w:nsid w:val="36E47EE8"/>
    <w:multiLevelType w:val="hybridMultilevel"/>
    <w:tmpl w:val="16729768"/>
    <w:lvl w:ilvl="0" w:tplc="04090015">
      <w:start w:val="1"/>
      <w:numFmt w:val="upperLetter"/>
      <w:lvlText w:val="%1."/>
      <w:lvlJc w:val="left"/>
      <w:pPr>
        <w:ind w:left="1976" w:hanging="360"/>
      </w:pPr>
    </w:lvl>
    <w:lvl w:ilvl="1" w:tplc="1206E210">
      <w:start w:val="1"/>
      <w:numFmt w:val="upperLetter"/>
      <w:lvlText w:val="%2."/>
      <w:lvlJc w:val="left"/>
      <w:pPr>
        <w:ind w:left="2696" w:hanging="360"/>
      </w:pPr>
    </w:lvl>
    <w:lvl w:ilvl="2" w:tplc="0409001B">
      <w:start w:val="1"/>
      <w:numFmt w:val="lowerRoman"/>
      <w:lvlText w:val="%3."/>
      <w:lvlJc w:val="right"/>
      <w:pPr>
        <w:ind w:left="3416" w:hanging="180"/>
      </w:pPr>
    </w:lvl>
    <w:lvl w:ilvl="3" w:tplc="0409000F" w:tentative="1">
      <w:start w:val="1"/>
      <w:numFmt w:val="decimal"/>
      <w:lvlText w:val="%4."/>
      <w:lvlJc w:val="left"/>
      <w:pPr>
        <w:ind w:left="4136" w:hanging="360"/>
      </w:pPr>
    </w:lvl>
    <w:lvl w:ilvl="4" w:tplc="04090019" w:tentative="1">
      <w:start w:val="1"/>
      <w:numFmt w:val="lowerLetter"/>
      <w:lvlText w:val="%5."/>
      <w:lvlJc w:val="left"/>
      <w:pPr>
        <w:ind w:left="4856" w:hanging="360"/>
      </w:pPr>
    </w:lvl>
    <w:lvl w:ilvl="5" w:tplc="0409001B" w:tentative="1">
      <w:start w:val="1"/>
      <w:numFmt w:val="lowerRoman"/>
      <w:lvlText w:val="%6."/>
      <w:lvlJc w:val="right"/>
      <w:pPr>
        <w:ind w:left="5576" w:hanging="180"/>
      </w:pPr>
    </w:lvl>
    <w:lvl w:ilvl="6" w:tplc="0409000F" w:tentative="1">
      <w:start w:val="1"/>
      <w:numFmt w:val="decimal"/>
      <w:lvlText w:val="%7."/>
      <w:lvlJc w:val="left"/>
      <w:pPr>
        <w:ind w:left="6296" w:hanging="360"/>
      </w:pPr>
    </w:lvl>
    <w:lvl w:ilvl="7" w:tplc="04090019" w:tentative="1">
      <w:start w:val="1"/>
      <w:numFmt w:val="lowerLetter"/>
      <w:lvlText w:val="%8."/>
      <w:lvlJc w:val="left"/>
      <w:pPr>
        <w:ind w:left="7016" w:hanging="360"/>
      </w:pPr>
    </w:lvl>
    <w:lvl w:ilvl="8" w:tplc="0409001B" w:tentative="1">
      <w:start w:val="1"/>
      <w:numFmt w:val="lowerRoman"/>
      <w:lvlText w:val="%9."/>
      <w:lvlJc w:val="right"/>
      <w:pPr>
        <w:ind w:left="7736" w:hanging="180"/>
      </w:pPr>
    </w:lvl>
  </w:abstractNum>
  <w:abstractNum w:abstractNumId="4" w15:restartNumberingAfterBreak="0">
    <w:nsid w:val="52A66A9D"/>
    <w:multiLevelType w:val="multilevel"/>
    <w:tmpl w:val="48241D10"/>
    <w:styleLink w:val="Normallist"/>
    <w:lvl w:ilvl="0">
      <w:start w:val="1"/>
      <w:numFmt w:val="decimal"/>
      <w:pStyle w:val="Normalnumber"/>
      <w:lvlText w:val="%1."/>
      <w:lvlJc w:val="left"/>
      <w:pPr>
        <w:tabs>
          <w:tab w:val="num" w:pos="567"/>
        </w:tabs>
        <w:ind w:left="1247" w:firstLine="0"/>
      </w:pPr>
      <w:rPr>
        <w:rFonts w:hint="default"/>
      </w:rPr>
    </w:lvl>
    <w:lvl w:ilvl="1">
      <w:start w:val="1"/>
      <w:numFmt w:val="lowerLetter"/>
      <w:lvlText w:val="(%2)"/>
      <w:lvlJc w:val="left"/>
      <w:pPr>
        <w:tabs>
          <w:tab w:val="num" w:pos="567"/>
        </w:tabs>
        <w:ind w:left="1247" w:firstLine="567"/>
      </w:pPr>
      <w:rPr>
        <w:rFonts w:hint="default"/>
      </w:rPr>
    </w:lvl>
    <w:lvl w:ilvl="2">
      <w:start w:val="1"/>
      <w:numFmt w:val="lowerRoman"/>
      <w:lvlText w:val="(%3)"/>
      <w:lvlJc w:val="left"/>
      <w:pPr>
        <w:tabs>
          <w:tab w:val="num" w:pos="567"/>
        </w:tabs>
        <w:ind w:left="2948" w:hanging="567"/>
      </w:pPr>
      <w:rPr>
        <w:rFonts w:hint="default"/>
      </w:rPr>
    </w:lvl>
    <w:lvl w:ilvl="3">
      <w:start w:val="1"/>
      <w:numFmt w:val="lowerLetter"/>
      <w:lvlText w:val="%4."/>
      <w:lvlJc w:val="left"/>
      <w:pPr>
        <w:tabs>
          <w:tab w:val="num" w:pos="567"/>
        </w:tabs>
        <w:ind w:left="3515" w:hanging="567"/>
      </w:pPr>
      <w:rPr>
        <w:rFonts w:hint="default"/>
      </w:rPr>
    </w:lvl>
    <w:lvl w:ilvl="4">
      <w:start w:val="1"/>
      <w:numFmt w:val="lowerLetter"/>
      <w:lvlText w:val="%5."/>
      <w:lvlJc w:val="left"/>
      <w:pPr>
        <w:tabs>
          <w:tab w:val="num" w:pos="6548"/>
        </w:tabs>
        <w:ind w:left="6548" w:hanging="360"/>
      </w:pPr>
      <w:rPr>
        <w:rFonts w:hint="default"/>
      </w:rPr>
    </w:lvl>
    <w:lvl w:ilvl="5">
      <w:start w:val="1"/>
      <w:numFmt w:val="lowerRoman"/>
      <w:lvlText w:val="%6."/>
      <w:lvlJc w:val="right"/>
      <w:pPr>
        <w:tabs>
          <w:tab w:val="num" w:pos="7268"/>
        </w:tabs>
        <w:ind w:left="7268" w:hanging="180"/>
      </w:pPr>
      <w:rPr>
        <w:rFonts w:hint="default"/>
      </w:rPr>
    </w:lvl>
    <w:lvl w:ilvl="6">
      <w:start w:val="1"/>
      <w:numFmt w:val="decimal"/>
      <w:lvlText w:val="%7."/>
      <w:lvlJc w:val="left"/>
      <w:pPr>
        <w:tabs>
          <w:tab w:val="num" w:pos="7988"/>
        </w:tabs>
        <w:ind w:left="7988" w:hanging="360"/>
      </w:pPr>
      <w:rPr>
        <w:rFonts w:hint="default"/>
      </w:rPr>
    </w:lvl>
    <w:lvl w:ilvl="7">
      <w:start w:val="1"/>
      <w:numFmt w:val="lowerLetter"/>
      <w:lvlText w:val="%8."/>
      <w:lvlJc w:val="left"/>
      <w:pPr>
        <w:tabs>
          <w:tab w:val="num" w:pos="8708"/>
        </w:tabs>
        <w:ind w:left="8708" w:hanging="360"/>
      </w:pPr>
      <w:rPr>
        <w:rFonts w:hint="default"/>
      </w:rPr>
    </w:lvl>
    <w:lvl w:ilvl="8">
      <w:start w:val="1"/>
      <w:numFmt w:val="lowerRoman"/>
      <w:lvlText w:val="%9."/>
      <w:lvlJc w:val="right"/>
      <w:pPr>
        <w:tabs>
          <w:tab w:val="num" w:pos="9428"/>
        </w:tabs>
        <w:ind w:left="9428" w:hanging="180"/>
      </w:pPr>
      <w:rPr>
        <w:rFonts w:hint="default"/>
      </w:rPr>
    </w:lvl>
  </w:abstractNum>
  <w:abstractNum w:abstractNumId="5" w15:restartNumberingAfterBreak="0">
    <w:nsid w:val="558B7316"/>
    <w:multiLevelType w:val="hybridMultilevel"/>
    <w:tmpl w:val="0B646E8C"/>
    <w:lvl w:ilvl="0" w:tplc="29482764">
      <w:start w:val="1"/>
      <w:numFmt w:val="upperRoman"/>
      <w:lvlText w:val="%1."/>
      <w:lvlJc w:val="right"/>
      <w:pPr>
        <w:ind w:left="1344" w:hanging="360"/>
      </w:pPr>
    </w:lvl>
    <w:lvl w:ilvl="1" w:tplc="7CB24C92">
      <w:start w:val="1"/>
      <w:numFmt w:val="upperLetter"/>
      <w:lvlText w:val="%2."/>
      <w:lvlJc w:val="left"/>
      <w:pPr>
        <w:ind w:left="2334" w:hanging="630"/>
      </w:pPr>
      <w:rPr>
        <w:rFonts w:hint="default"/>
      </w:rPr>
    </w:lvl>
    <w:lvl w:ilvl="2" w:tplc="0409001B" w:tentative="1">
      <w:start w:val="1"/>
      <w:numFmt w:val="lowerRoman"/>
      <w:lvlText w:val="%3."/>
      <w:lvlJc w:val="right"/>
      <w:pPr>
        <w:ind w:left="2784" w:hanging="180"/>
      </w:pPr>
    </w:lvl>
    <w:lvl w:ilvl="3" w:tplc="0409000F" w:tentative="1">
      <w:start w:val="1"/>
      <w:numFmt w:val="decimal"/>
      <w:lvlText w:val="%4."/>
      <w:lvlJc w:val="left"/>
      <w:pPr>
        <w:ind w:left="3504" w:hanging="360"/>
      </w:pPr>
    </w:lvl>
    <w:lvl w:ilvl="4" w:tplc="04090019" w:tentative="1">
      <w:start w:val="1"/>
      <w:numFmt w:val="lowerLetter"/>
      <w:lvlText w:val="%5."/>
      <w:lvlJc w:val="left"/>
      <w:pPr>
        <w:ind w:left="4224" w:hanging="360"/>
      </w:pPr>
    </w:lvl>
    <w:lvl w:ilvl="5" w:tplc="0409001B" w:tentative="1">
      <w:start w:val="1"/>
      <w:numFmt w:val="lowerRoman"/>
      <w:lvlText w:val="%6."/>
      <w:lvlJc w:val="right"/>
      <w:pPr>
        <w:ind w:left="4944" w:hanging="180"/>
      </w:pPr>
    </w:lvl>
    <w:lvl w:ilvl="6" w:tplc="0409000F" w:tentative="1">
      <w:start w:val="1"/>
      <w:numFmt w:val="decimal"/>
      <w:lvlText w:val="%7."/>
      <w:lvlJc w:val="left"/>
      <w:pPr>
        <w:ind w:left="5664" w:hanging="360"/>
      </w:pPr>
    </w:lvl>
    <w:lvl w:ilvl="7" w:tplc="04090019" w:tentative="1">
      <w:start w:val="1"/>
      <w:numFmt w:val="lowerLetter"/>
      <w:lvlText w:val="%8."/>
      <w:lvlJc w:val="left"/>
      <w:pPr>
        <w:ind w:left="6384" w:hanging="360"/>
      </w:pPr>
    </w:lvl>
    <w:lvl w:ilvl="8" w:tplc="0409001B" w:tentative="1">
      <w:start w:val="1"/>
      <w:numFmt w:val="lowerRoman"/>
      <w:lvlText w:val="%9."/>
      <w:lvlJc w:val="right"/>
      <w:pPr>
        <w:ind w:left="7104" w:hanging="180"/>
      </w:pPr>
    </w:lvl>
  </w:abstractNum>
  <w:num w:numId="1">
    <w:abstractNumId w:val="5"/>
  </w:num>
  <w:num w:numId="2">
    <w:abstractNumId w:val="3"/>
  </w:num>
  <w:num w:numId="3">
    <w:abstractNumId w:val="1"/>
  </w:num>
  <w:num w:numId="4">
    <w:abstractNumId w:val="2"/>
  </w:num>
  <w:num w:numId="5">
    <w:abstractNumId w:val="4"/>
  </w:num>
  <w:num w:numId="6">
    <w:abstractNumId w:val="0"/>
    <w:lvlOverride w:ilvl="0">
      <w:lvl w:ilvl="0">
        <w:start w:val="1"/>
        <w:numFmt w:val="decimal"/>
        <w:pStyle w:val="Normalnumber"/>
        <w:lvlText w:val="%1."/>
        <w:lvlJc w:val="left"/>
        <w:pPr>
          <w:tabs>
            <w:tab w:val="num" w:pos="567"/>
          </w:tabs>
          <w:ind w:left="1247" w:firstLine="0"/>
        </w:pPr>
        <w:rPr>
          <w:rFonts w:hint="default"/>
          <w:b w:val="0"/>
        </w:rPr>
      </w:lvl>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0"/>
  </w:num>
  <w:num w:numId="17">
    <w:abstractNumId w:val="0"/>
  </w:num>
  <w:num w:numId="18">
    <w:abstractNumId w:val="0"/>
  </w:num>
  <w:num w:numId="19">
    <w:abstractNumId w:val="0"/>
  </w:num>
  <w:num w:numId="20">
    <w:abstractNumId w:val="0"/>
  </w:num>
  <w:num w:numId="21">
    <w:abstractNumId w:val="0"/>
  </w:num>
  <w:num w:numId="22">
    <w:abstractNumId w:val="0"/>
  </w:num>
  <w:num w:numId="23">
    <w:abstractNumId w:val="0"/>
  </w:num>
  <w:num w:numId="24">
    <w:abstractNumId w:val="0"/>
  </w:num>
  <w:num w:numId="25">
    <w:abstractNumId w:val="0"/>
  </w:num>
  <w:num w:numId="26">
    <w:abstractNumId w:val="0"/>
  </w:num>
  <w:num w:numId="27">
    <w:abstractNumId w:val="0"/>
  </w:num>
  <w:num w:numId="28">
    <w:abstractNumId w:val="0"/>
  </w:num>
  <w:num w:numId="29">
    <w:abstractNumId w:val="0"/>
  </w:num>
  <w:num w:numId="30">
    <w:abstractNumId w:val="0"/>
  </w:num>
  <w:num w:numId="31">
    <w:abstractNumId w:val="0"/>
    <w:lvlOverride w:ilvl="0">
      <w:lvl w:ilvl="0">
        <w:start w:val="1"/>
        <w:numFmt w:val="decimal"/>
        <w:pStyle w:val="Normalnumber"/>
        <w:lvlText w:val="%1."/>
        <w:lvlJc w:val="left"/>
        <w:pPr>
          <w:tabs>
            <w:tab w:val="num" w:pos="567"/>
          </w:tabs>
          <w:ind w:left="1247" w:firstLine="0"/>
        </w:pPr>
        <w:rPr>
          <w:rFonts w:hint="default"/>
          <w:b w:val="0"/>
        </w:rPr>
      </w:lvl>
    </w:lvlOverride>
  </w:num>
  <w:num w:numId="32">
    <w:abstractNumId w:val="0"/>
    <w:lvlOverride w:ilvl="0">
      <w:lvl w:ilvl="0">
        <w:start w:val="1"/>
        <w:numFmt w:val="decimal"/>
        <w:pStyle w:val="Normalnumber"/>
        <w:lvlText w:val="%1."/>
        <w:lvlJc w:val="left"/>
        <w:pPr>
          <w:tabs>
            <w:tab w:val="num" w:pos="567"/>
          </w:tabs>
          <w:ind w:left="1247" w:firstLine="0"/>
        </w:pPr>
        <w:rPr>
          <w:rFonts w:hint="default"/>
          <w:b w:val="0"/>
        </w:rPr>
      </w:lvl>
    </w:lvlOverride>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activeWritingStyle w:appName="MSWord" w:lang="fr-FR" w:vendorID="64" w:dllVersion="131078" w:nlCheck="1" w:checkStyle="1"/>
  <w:activeWritingStyle w:appName="MSWord" w:lang="en-US" w:vendorID="64" w:dllVersion="131078" w:nlCheck="1" w:checkStyle="1"/>
  <w:activeWritingStyle w:appName="MSWord" w:lang="en-GB" w:vendorID="64" w:dllVersion="131078" w:nlCheck="1" w:checkStyle="0"/>
  <w:activeWritingStyle w:appName="MSWord" w:lang="es-ES" w:vendorID="64" w:dllVersion="131078" w:nlCheck="1" w:checkStyle="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revisionView w:markup="0"/>
  <w:defaultTabStop w:val="624"/>
  <w:hyphenationZone w:val="425"/>
  <w:evenAndOddHeaders/>
  <w:noPunctuationKerning/>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59C4"/>
    <w:rsid w:val="000149E6"/>
    <w:rsid w:val="000247B0"/>
    <w:rsid w:val="0002634C"/>
    <w:rsid w:val="00026997"/>
    <w:rsid w:val="00033E0B"/>
    <w:rsid w:val="000341BD"/>
    <w:rsid w:val="00035EDE"/>
    <w:rsid w:val="000509B4"/>
    <w:rsid w:val="00060458"/>
    <w:rsid w:val="00071886"/>
    <w:rsid w:val="000742BC"/>
    <w:rsid w:val="00082A0C"/>
    <w:rsid w:val="0009640C"/>
    <w:rsid w:val="000D33C0"/>
    <w:rsid w:val="00111F1D"/>
    <w:rsid w:val="001202E3"/>
    <w:rsid w:val="0012342A"/>
    <w:rsid w:val="0013059D"/>
    <w:rsid w:val="00141A55"/>
    <w:rsid w:val="00181EC8"/>
    <w:rsid w:val="00184349"/>
    <w:rsid w:val="001D3874"/>
    <w:rsid w:val="001D7E75"/>
    <w:rsid w:val="001E56D2"/>
    <w:rsid w:val="001E7D56"/>
    <w:rsid w:val="001F75DE"/>
    <w:rsid w:val="00200D58"/>
    <w:rsid w:val="002013BE"/>
    <w:rsid w:val="002063A4"/>
    <w:rsid w:val="0021145B"/>
    <w:rsid w:val="00247707"/>
    <w:rsid w:val="00286740"/>
    <w:rsid w:val="002929D8"/>
    <w:rsid w:val="002A237D"/>
    <w:rsid w:val="002A4C53"/>
    <w:rsid w:val="002A6864"/>
    <w:rsid w:val="002B2F99"/>
    <w:rsid w:val="002C145D"/>
    <w:rsid w:val="002C2C3E"/>
    <w:rsid w:val="002C533E"/>
    <w:rsid w:val="002D027F"/>
    <w:rsid w:val="002D15C2"/>
    <w:rsid w:val="002D4BFE"/>
    <w:rsid w:val="002D7B60"/>
    <w:rsid w:val="002F4761"/>
    <w:rsid w:val="0031413F"/>
    <w:rsid w:val="00355EA9"/>
    <w:rsid w:val="00396257"/>
    <w:rsid w:val="00397EB8"/>
    <w:rsid w:val="003A4259"/>
    <w:rsid w:val="003A4FD0"/>
    <w:rsid w:val="003A69D1"/>
    <w:rsid w:val="003B1545"/>
    <w:rsid w:val="003B4B00"/>
    <w:rsid w:val="003C409D"/>
    <w:rsid w:val="003F0E85"/>
    <w:rsid w:val="00410C55"/>
    <w:rsid w:val="00417725"/>
    <w:rsid w:val="00437F26"/>
    <w:rsid w:val="00454769"/>
    <w:rsid w:val="00466991"/>
    <w:rsid w:val="0047064C"/>
    <w:rsid w:val="00487608"/>
    <w:rsid w:val="00490F9B"/>
    <w:rsid w:val="004B6984"/>
    <w:rsid w:val="004C5C96"/>
    <w:rsid w:val="004D06A4"/>
    <w:rsid w:val="004F1A81"/>
    <w:rsid w:val="005218D9"/>
    <w:rsid w:val="00536186"/>
    <w:rsid w:val="00552509"/>
    <w:rsid w:val="0057315F"/>
    <w:rsid w:val="005A1CA9"/>
    <w:rsid w:val="005C67C8"/>
    <w:rsid w:val="005D0249"/>
    <w:rsid w:val="005D2E5E"/>
    <w:rsid w:val="005E1F75"/>
    <w:rsid w:val="005F100C"/>
    <w:rsid w:val="006221FC"/>
    <w:rsid w:val="006303B4"/>
    <w:rsid w:val="00641703"/>
    <w:rsid w:val="006431A6"/>
    <w:rsid w:val="006501AD"/>
    <w:rsid w:val="00651BFA"/>
    <w:rsid w:val="00692E2A"/>
    <w:rsid w:val="006A76F2"/>
    <w:rsid w:val="006E6722"/>
    <w:rsid w:val="007027B9"/>
    <w:rsid w:val="00715E88"/>
    <w:rsid w:val="00734CAA"/>
    <w:rsid w:val="00757581"/>
    <w:rsid w:val="007A5C12"/>
    <w:rsid w:val="007D5CE9"/>
    <w:rsid w:val="007E003F"/>
    <w:rsid w:val="007F59C4"/>
    <w:rsid w:val="00830E26"/>
    <w:rsid w:val="00840468"/>
    <w:rsid w:val="00843576"/>
    <w:rsid w:val="00843B64"/>
    <w:rsid w:val="0086487C"/>
    <w:rsid w:val="00867BFF"/>
    <w:rsid w:val="0088480A"/>
    <w:rsid w:val="00885B54"/>
    <w:rsid w:val="008957DD"/>
    <w:rsid w:val="00897D98"/>
    <w:rsid w:val="008A6DF2"/>
    <w:rsid w:val="008D7C99"/>
    <w:rsid w:val="008E0FCB"/>
    <w:rsid w:val="0092178C"/>
    <w:rsid w:val="0094179A"/>
    <w:rsid w:val="0094459E"/>
    <w:rsid w:val="00944DBC"/>
    <w:rsid w:val="00950977"/>
    <w:rsid w:val="009564A6"/>
    <w:rsid w:val="00970D27"/>
    <w:rsid w:val="0099519B"/>
    <w:rsid w:val="00997444"/>
    <w:rsid w:val="009B380A"/>
    <w:rsid w:val="009B4A0F"/>
    <w:rsid w:val="009D0B63"/>
    <w:rsid w:val="00A1348D"/>
    <w:rsid w:val="00A232EE"/>
    <w:rsid w:val="00A44411"/>
    <w:rsid w:val="00A469FA"/>
    <w:rsid w:val="00A55B01"/>
    <w:rsid w:val="00A56B5B"/>
    <w:rsid w:val="00A615A1"/>
    <w:rsid w:val="00A6162B"/>
    <w:rsid w:val="00A62138"/>
    <w:rsid w:val="00A657DD"/>
    <w:rsid w:val="00A666A6"/>
    <w:rsid w:val="00A80611"/>
    <w:rsid w:val="00A911DB"/>
    <w:rsid w:val="00AB5340"/>
    <w:rsid w:val="00AB6405"/>
    <w:rsid w:val="00AC7C96"/>
    <w:rsid w:val="00AE237D"/>
    <w:rsid w:val="00AF7C07"/>
    <w:rsid w:val="00B23144"/>
    <w:rsid w:val="00B405B7"/>
    <w:rsid w:val="00B62321"/>
    <w:rsid w:val="00B66901"/>
    <w:rsid w:val="00B71E6D"/>
    <w:rsid w:val="00B72070"/>
    <w:rsid w:val="00B779E1"/>
    <w:rsid w:val="00BA1A67"/>
    <w:rsid w:val="00C110DD"/>
    <w:rsid w:val="00C30C63"/>
    <w:rsid w:val="00C558DA"/>
    <w:rsid w:val="00C84759"/>
    <w:rsid w:val="00CA6C7F"/>
    <w:rsid w:val="00CC10A6"/>
    <w:rsid w:val="00CC136E"/>
    <w:rsid w:val="00CD7044"/>
    <w:rsid w:val="00CE524C"/>
    <w:rsid w:val="00CF141F"/>
    <w:rsid w:val="00CF4777"/>
    <w:rsid w:val="00D169AF"/>
    <w:rsid w:val="00D25249"/>
    <w:rsid w:val="00D44172"/>
    <w:rsid w:val="00D63B8C"/>
    <w:rsid w:val="00D67E66"/>
    <w:rsid w:val="00D739CC"/>
    <w:rsid w:val="00D8093D"/>
    <w:rsid w:val="00D8108C"/>
    <w:rsid w:val="00D842AE"/>
    <w:rsid w:val="00D9211C"/>
    <w:rsid w:val="00D94475"/>
    <w:rsid w:val="00DA1BCA"/>
    <w:rsid w:val="00DC46FF"/>
    <w:rsid w:val="00DD1A4F"/>
    <w:rsid w:val="00DD7C2C"/>
    <w:rsid w:val="00E06797"/>
    <w:rsid w:val="00E21C83"/>
    <w:rsid w:val="00E46D9A"/>
    <w:rsid w:val="00E565FF"/>
    <w:rsid w:val="00E65388"/>
    <w:rsid w:val="00E85B7D"/>
    <w:rsid w:val="00E9121B"/>
    <w:rsid w:val="00E92AFA"/>
    <w:rsid w:val="00EA39E5"/>
    <w:rsid w:val="00EC5A46"/>
    <w:rsid w:val="00EC63E2"/>
    <w:rsid w:val="00ED4EA6"/>
    <w:rsid w:val="00ED7663"/>
    <w:rsid w:val="00EF22B3"/>
    <w:rsid w:val="00F113DA"/>
    <w:rsid w:val="00F37DC8"/>
    <w:rsid w:val="00F650C3"/>
    <w:rsid w:val="00F66E2C"/>
    <w:rsid w:val="00F6717A"/>
    <w:rsid w:val="00F8091E"/>
    <w:rsid w:val="00F8615C"/>
    <w:rsid w:val="00FD5860"/>
    <w:rsid w:val="00FE352D"/>
    <w:rsid w:val="00FE7D6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BAD9EEA"/>
  <w15:docId w15:val="{8F9CA609-3E8F-4A54-82C0-6ABED4EBE9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2">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atentStyles>
  <w:style w:type="paragraph" w:default="1" w:styleId="Normal">
    <w:name w:val="Normal"/>
    <w:aliases w:val="Normal-pool"/>
    <w:qFormat/>
    <w:rsid w:val="00CC136E"/>
    <w:pPr>
      <w:tabs>
        <w:tab w:val="left" w:pos="1247"/>
        <w:tab w:val="left" w:pos="1814"/>
        <w:tab w:val="left" w:pos="2381"/>
        <w:tab w:val="left" w:pos="2948"/>
        <w:tab w:val="left" w:pos="3515"/>
      </w:tabs>
    </w:pPr>
    <w:rPr>
      <w:lang w:val="en-GB"/>
    </w:rPr>
  </w:style>
  <w:style w:type="paragraph" w:styleId="Heading1">
    <w:name w:val="heading 1"/>
    <w:basedOn w:val="Normal"/>
    <w:next w:val="Normal"/>
    <w:qFormat/>
    <w:rsid w:val="00CC136E"/>
    <w:pPr>
      <w:keepNext/>
      <w:spacing w:before="240" w:after="120"/>
      <w:ind w:left="1247" w:hanging="680"/>
      <w:outlineLvl w:val="0"/>
    </w:pPr>
    <w:rPr>
      <w:b/>
      <w:sz w:val="28"/>
    </w:rPr>
  </w:style>
  <w:style w:type="paragraph" w:styleId="Heading2">
    <w:name w:val="heading 2"/>
    <w:basedOn w:val="Normal"/>
    <w:next w:val="Normal"/>
    <w:link w:val="Heading2Char"/>
    <w:qFormat/>
    <w:rsid w:val="00CC136E"/>
    <w:pPr>
      <w:keepNext/>
      <w:spacing w:before="240" w:after="120"/>
      <w:ind w:left="1247" w:hanging="680"/>
      <w:outlineLvl w:val="1"/>
    </w:pPr>
    <w:rPr>
      <w:b/>
      <w:sz w:val="24"/>
      <w:szCs w:val="24"/>
    </w:rPr>
  </w:style>
  <w:style w:type="paragraph" w:styleId="Heading3">
    <w:name w:val="heading 3"/>
    <w:basedOn w:val="Normal"/>
    <w:next w:val="Normal"/>
    <w:link w:val="Heading3Char"/>
    <w:qFormat/>
    <w:rsid w:val="00CC136E"/>
    <w:pPr>
      <w:spacing w:after="120"/>
      <w:ind w:left="1247" w:hanging="680"/>
      <w:outlineLvl w:val="2"/>
    </w:pPr>
    <w:rPr>
      <w:b/>
    </w:rPr>
  </w:style>
  <w:style w:type="paragraph" w:styleId="Heading4">
    <w:name w:val="heading 4"/>
    <w:basedOn w:val="Heading3"/>
    <w:next w:val="Normal"/>
    <w:qFormat/>
    <w:rsid w:val="00CC136E"/>
    <w:pPr>
      <w:keepNext/>
      <w:outlineLvl w:val="3"/>
    </w:pPr>
  </w:style>
  <w:style w:type="paragraph" w:styleId="Heading5">
    <w:name w:val="heading 5"/>
    <w:basedOn w:val="Normal"/>
    <w:next w:val="Normal"/>
    <w:qFormat/>
    <w:rsid w:val="00CC136E"/>
    <w:pPr>
      <w:keepNext/>
      <w:outlineLvl w:val="4"/>
    </w:pPr>
    <w:rPr>
      <w:rFonts w:ascii="Univers" w:hAnsi="Univers"/>
      <w:b/>
      <w:sz w:val="24"/>
    </w:rPr>
  </w:style>
  <w:style w:type="paragraph" w:styleId="Heading6">
    <w:name w:val="heading 6"/>
    <w:basedOn w:val="Normal"/>
    <w:next w:val="Normal"/>
    <w:qFormat/>
    <w:rsid w:val="00CC136E"/>
    <w:pPr>
      <w:keepNext/>
      <w:ind w:left="578"/>
      <w:outlineLvl w:val="5"/>
    </w:pPr>
    <w:rPr>
      <w:b/>
      <w:bCs/>
      <w:sz w:val="24"/>
    </w:rPr>
  </w:style>
  <w:style w:type="paragraph" w:styleId="Heading7">
    <w:name w:val="heading 7"/>
    <w:basedOn w:val="Normal"/>
    <w:next w:val="Normal"/>
    <w:qFormat/>
    <w:rsid w:val="00CC136E"/>
    <w:pPr>
      <w:keepNext/>
      <w:widowControl w:val="0"/>
      <w:jc w:val="center"/>
      <w:outlineLvl w:val="6"/>
    </w:pPr>
    <w:rPr>
      <w:snapToGrid w:val="0"/>
      <w:u w:val="single"/>
      <w:lang w:val="en-US"/>
    </w:rPr>
  </w:style>
  <w:style w:type="paragraph" w:styleId="Heading8">
    <w:name w:val="heading 8"/>
    <w:basedOn w:val="Normal"/>
    <w:next w:val="Normal"/>
    <w:qFormat/>
    <w:rsid w:val="00CC136E"/>
    <w:pPr>
      <w:keepNext/>
      <w:widowControl w:val="0"/>
      <w:numPr>
        <w:numId w:val="3"/>
      </w:numPr>
      <w:tabs>
        <w:tab w:val="left" w:pos="-1440"/>
        <w:tab w:val="left" w:pos="-720"/>
      </w:tabs>
      <w:suppressAutoHyphens/>
      <w:jc w:val="center"/>
      <w:outlineLvl w:val="7"/>
    </w:pPr>
    <w:rPr>
      <w:snapToGrid w:val="0"/>
      <w:u w:val="single"/>
      <w:lang w:val="en-US"/>
    </w:rPr>
  </w:style>
  <w:style w:type="paragraph" w:styleId="Heading9">
    <w:name w:val="heading 9"/>
    <w:basedOn w:val="Normal"/>
    <w:next w:val="Normal"/>
    <w:qFormat/>
    <w:rsid w:val="00CC136E"/>
    <w:pPr>
      <w:keepNext/>
      <w:widowControl w:val="0"/>
      <w:numPr>
        <w:numId w:val="4"/>
      </w:numPr>
      <w:suppressAutoHyphens/>
      <w:jc w:val="center"/>
      <w:outlineLvl w:val="8"/>
    </w:pPr>
    <w:rPr>
      <w:snapToGrid w:val="0"/>
      <w:u w:val="single"/>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AATable">
    <w:name w:val="AA_Table"/>
    <w:basedOn w:val="TableNormal"/>
    <w:rsid w:val="00CC136E"/>
    <w:tblPr>
      <w:tblStyleRowBandSize w:val="1"/>
      <w:tblStyleColBandSize w:val="1"/>
      <w:jc w:val="right"/>
    </w:tblPr>
    <w:trPr>
      <w:jc w:val="right"/>
    </w:trPr>
    <w:tblStylePr w:type="firstRow">
      <w:pPr>
        <w:wordWrap/>
        <w:spacing w:beforeLines="0" w:before="0" w:beforeAutospacing="0" w:afterLines="0" w:after="0" w:afterAutospacing="0"/>
        <w:contextualSpacing w:val="0"/>
        <w:jc w:val="left"/>
      </w:pPr>
      <w:rPr>
        <w:rFonts w:ascii="Arial" w:hAnsi="Arial"/>
        <w:b/>
        <w:i w:val="0"/>
        <w:caps/>
        <w:smallCaps w:val="0"/>
        <w:color w:val="auto"/>
        <w:sz w:val="27"/>
        <w:szCs w:val="27"/>
      </w:rPr>
    </w:tblStylePr>
    <w:tblStylePr w:type="lastRow">
      <w:pPr>
        <w:wordWrap/>
        <w:ind w:rightChars="0" w:right="567"/>
      </w:pPr>
      <w:rPr>
        <w:rFonts w:ascii="Arial" w:hAnsi="Arial"/>
        <w:b/>
        <w:sz w:val="32"/>
      </w:rPr>
      <w:tblPr/>
      <w:tcPr>
        <w:tcBorders>
          <w:top w:val="nil"/>
          <w:left w:val="nil"/>
          <w:bottom w:val="single" w:sz="18" w:space="0" w:color="auto"/>
          <w:right w:val="nil"/>
          <w:insideH w:val="nil"/>
          <w:insideV w:val="nil"/>
        </w:tcBorders>
      </w:tcPr>
    </w:tblStylePr>
    <w:tblStylePr w:type="firstCol">
      <w:pPr>
        <w:wordWrap/>
        <w:ind w:rightChars="0" w:right="0"/>
      </w:pPr>
    </w:tblStylePr>
    <w:tblStylePr w:type="lastCol">
      <w:rPr>
        <w:rFonts w:ascii="Times New Roman" w:hAnsi="Times New Roman"/>
        <w:sz w:val="20"/>
      </w:rPr>
    </w:tblStylePr>
    <w:tblStylePr w:type="band1Vert">
      <w:rPr>
        <w:rFonts w:ascii="Times New Roman" w:hAnsi="Times New Roman"/>
      </w:rPr>
    </w:tblStylePr>
    <w:tblStylePr w:type="band2Vert">
      <w:pPr>
        <w:wordWrap/>
        <w:spacing w:beforeLines="0" w:before="0" w:beforeAutospacing="0" w:afterLines="0" w:after="0" w:afterAutospacing="0"/>
        <w:contextualSpacing w:val="0"/>
      </w:pPr>
      <w:rPr>
        <w:rFonts w:ascii="Times New Roman" w:hAnsi="Times New Roman"/>
        <w:b/>
        <w:i w:val="0"/>
        <w:color w:val="auto"/>
        <w:sz w:val="20"/>
        <w:szCs w:val="32"/>
      </w:rPr>
    </w:tblStylePr>
    <w:tblStylePr w:type="band1Horz">
      <w:rPr>
        <w:rFonts w:ascii="Times New Roman" w:hAnsi="Times New Roman"/>
        <w:sz w:val="20"/>
      </w:rPr>
      <w:tblPr/>
      <w:tcPr>
        <w:tcBorders>
          <w:bottom w:val="single" w:sz="4" w:space="0" w:color="auto"/>
        </w:tcBorders>
      </w:tcPr>
    </w:tblStylePr>
    <w:tblStylePr w:type="band2Horz">
      <w:rPr>
        <w:rFonts w:ascii="Times New Roman" w:hAnsi="Times New Roman"/>
        <w:b w:val="0"/>
        <w:i w:val="0"/>
        <w:color w:val="auto"/>
        <w:sz w:val="20"/>
        <w:szCs w:val="20"/>
      </w:rPr>
      <w:tblPr/>
      <w:tcPr>
        <w:tcBorders>
          <w:top w:val="nil"/>
          <w:left w:val="nil"/>
          <w:bottom w:val="nil"/>
          <w:right w:val="nil"/>
          <w:insideH w:val="nil"/>
          <w:insideV w:val="nil"/>
          <w:tl2br w:val="nil"/>
          <w:tr2bl w:val="nil"/>
        </w:tcBorders>
      </w:tcPr>
    </w:tblStylePr>
    <w:tblStylePr w:type="neCell">
      <w:pPr>
        <w:wordWrap/>
        <w:spacing w:beforeLines="0" w:before="0" w:beforeAutospacing="0" w:afterLines="0" w:after="0" w:afterAutospacing="0"/>
        <w:contextualSpacing w:val="0"/>
        <w:jc w:val="right"/>
      </w:pPr>
      <w:rPr>
        <w:rFonts w:ascii="Arial" w:hAnsi="Arial"/>
        <w:b/>
        <w:i w:val="0"/>
        <w:color w:val="auto"/>
        <w:sz w:val="64"/>
        <w:szCs w:val="64"/>
      </w:rPr>
    </w:tblStylePr>
    <w:tblStylePr w:type="nwCell">
      <w:rPr>
        <w:rFonts w:ascii="Arial" w:hAnsi="Arial"/>
        <w:b/>
        <w:i w:val="0"/>
        <w:caps/>
        <w:smallCaps w:val="0"/>
        <w:color w:val="auto"/>
        <w:sz w:val="27"/>
        <w:szCs w:val="27"/>
      </w:rPr>
    </w:tblStylePr>
    <w:tblStylePr w:type="seCell">
      <w:pPr>
        <w:wordWrap/>
        <w:spacing w:beforeLines="0" w:before="120" w:beforeAutospacing="0" w:afterLines="0" w:after="120" w:afterAutospacing="0"/>
        <w:ind w:leftChars="0" w:left="0" w:rightChars="0" w:right="0"/>
        <w:contextualSpacing w:val="0"/>
      </w:pPr>
      <w:rPr>
        <w:rFonts w:ascii="Times New Roman" w:hAnsi="Times New Roman"/>
        <w:b w:val="0"/>
        <w:sz w:val="20"/>
      </w:rPr>
    </w:tblStylePr>
    <w:tblStylePr w:type="swCell">
      <w:pPr>
        <w:wordWrap/>
        <w:spacing w:afterLines="0" w:after="1600" w:afterAutospacing="0"/>
        <w:ind w:rightChars="0" w:right="0"/>
      </w:pPr>
      <w:rPr>
        <w:rFonts w:ascii="Times New Roman" w:hAnsi="Times New Roman"/>
      </w:rPr>
    </w:tblStylePr>
  </w:style>
  <w:style w:type="paragraph" w:customStyle="1" w:styleId="AATitle">
    <w:name w:val="AA_Title"/>
    <w:basedOn w:val="Normal"/>
    <w:rsid w:val="00CC136E"/>
    <w:pPr>
      <w:keepNext/>
      <w:keepLines/>
      <w:suppressAutoHyphens/>
      <w:ind w:right="3402"/>
    </w:pPr>
    <w:rPr>
      <w:b/>
    </w:rPr>
  </w:style>
  <w:style w:type="paragraph" w:customStyle="1" w:styleId="AATitle2">
    <w:name w:val="AA_Title2"/>
    <w:basedOn w:val="AATitle"/>
    <w:rsid w:val="00CC136E"/>
    <w:pPr>
      <w:spacing w:before="120" w:after="120"/>
      <w:ind w:right="1701"/>
    </w:pPr>
  </w:style>
  <w:style w:type="paragraph" w:customStyle="1" w:styleId="BBTitle">
    <w:name w:val="BB_Title"/>
    <w:basedOn w:val="Normal"/>
    <w:rsid w:val="00CC136E"/>
    <w:pPr>
      <w:keepNext/>
      <w:keepLines/>
      <w:suppressAutoHyphens/>
      <w:spacing w:before="320" w:after="240"/>
      <w:ind w:left="1247" w:right="567"/>
    </w:pPr>
    <w:rPr>
      <w:b/>
      <w:sz w:val="28"/>
      <w:szCs w:val="28"/>
    </w:rPr>
  </w:style>
  <w:style w:type="paragraph" w:customStyle="1" w:styleId="CH1">
    <w:name w:val="CH1"/>
    <w:basedOn w:val="Normal"/>
    <w:next w:val="Normal"/>
    <w:rsid w:val="00CC136E"/>
    <w:pPr>
      <w:keepNext/>
      <w:keepLines/>
      <w:tabs>
        <w:tab w:val="right" w:pos="851"/>
      </w:tabs>
      <w:suppressAutoHyphens/>
      <w:spacing w:before="240" w:after="120"/>
      <w:ind w:left="1247" w:right="284" w:hanging="1247"/>
    </w:pPr>
    <w:rPr>
      <w:b/>
      <w:sz w:val="28"/>
      <w:szCs w:val="28"/>
    </w:rPr>
  </w:style>
  <w:style w:type="paragraph" w:customStyle="1" w:styleId="CH2">
    <w:name w:val="CH2"/>
    <w:basedOn w:val="Normal"/>
    <w:next w:val="Normal"/>
    <w:rsid w:val="00CC136E"/>
    <w:pPr>
      <w:keepNext/>
      <w:keepLines/>
      <w:tabs>
        <w:tab w:val="right" w:pos="851"/>
      </w:tabs>
      <w:suppressAutoHyphens/>
      <w:spacing w:before="80" w:after="120"/>
      <w:ind w:left="1247" w:right="284" w:hanging="1247"/>
    </w:pPr>
    <w:rPr>
      <w:b/>
      <w:sz w:val="24"/>
      <w:szCs w:val="24"/>
    </w:rPr>
  </w:style>
  <w:style w:type="paragraph" w:customStyle="1" w:styleId="CH3">
    <w:name w:val="CH3"/>
    <w:basedOn w:val="Normal"/>
    <w:next w:val="Normal"/>
    <w:rsid w:val="00CC136E"/>
    <w:pPr>
      <w:keepNext/>
      <w:keepLines/>
      <w:tabs>
        <w:tab w:val="right" w:pos="851"/>
      </w:tabs>
      <w:suppressAutoHyphens/>
      <w:spacing w:after="120"/>
      <w:ind w:left="1247" w:right="284" w:hanging="1247"/>
    </w:pPr>
    <w:rPr>
      <w:b/>
    </w:rPr>
  </w:style>
  <w:style w:type="paragraph" w:customStyle="1" w:styleId="CH4">
    <w:name w:val="CH4"/>
    <w:basedOn w:val="Normal"/>
    <w:next w:val="Normal"/>
    <w:rsid w:val="00CC136E"/>
    <w:pPr>
      <w:keepNext/>
      <w:keepLines/>
      <w:tabs>
        <w:tab w:val="right" w:pos="851"/>
      </w:tabs>
      <w:suppressAutoHyphens/>
      <w:spacing w:after="120"/>
      <w:ind w:left="1247" w:right="284" w:hanging="1247"/>
    </w:pPr>
    <w:rPr>
      <w:b/>
    </w:rPr>
  </w:style>
  <w:style w:type="paragraph" w:customStyle="1" w:styleId="CH5">
    <w:name w:val="CH5"/>
    <w:basedOn w:val="Normal"/>
    <w:next w:val="Normal"/>
    <w:semiHidden/>
    <w:rsid w:val="00CC136E"/>
    <w:pPr>
      <w:keepNext/>
      <w:keepLines/>
      <w:tabs>
        <w:tab w:val="right" w:pos="851"/>
      </w:tabs>
      <w:suppressAutoHyphens/>
      <w:spacing w:after="120"/>
      <w:ind w:left="1247" w:right="284" w:hanging="1247"/>
    </w:pPr>
    <w:rPr>
      <w:b/>
    </w:rPr>
  </w:style>
  <w:style w:type="paragraph" w:styleId="Footer">
    <w:name w:val="footer"/>
    <w:aliases w:val="Footer-pool"/>
    <w:basedOn w:val="Normal"/>
    <w:link w:val="FooterChar"/>
    <w:rsid w:val="00CC136E"/>
    <w:pPr>
      <w:tabs>
        <w:tab w:val="clear" w:pos="1247"/>
        <w:tab w:val="center" w:pos="4320"/>
        <w:tab w:val="right" w:pos="8640"/>
      </w:tabs>
      <w:spacing w:before="60" w:after="120"/>
    </w:pPr>
  </w:style>
  <w:style w:type="character" w:customStyle="1" w:styleId="FooterChar">
    <w:name w:val="Footer Char"/>
    <w:aliases w:val="Footer-pool Char"/>
    <w:basedOn w:val="DefaultParagraphFont"/>
    <w:link w:val="Footer"/>
    <w:rsid w:val="00CC136E"/>
    <w:rPr>
      <w:lang w:val="en-GB"/>
    </w:rPr>
  </w:style>
  <w:style w:type="table" w:customStyle="1" w:styleId="Footertable">
    <w:name w:val="Footer_table"/>
    <w:basedOn w:val="TableNormal"/>
    <w:semiHidden/>
    <w:rsid w:val="00CC136E"/>
    <w:rPr>
      <w:rFonts w:ascii="Arial" w:hAnsi="Arial"/>
      <w:sz w:val="16"/>
    </w:rPr>
    <w:tblPr>
      <w:jc w:val="right"/>
      <w:tblBorders>
        <w:top w:val="double" w:sz="4" w:space="0" w:color="auto"/>
        <w:left w:val="double" w:sz="4" w:space="0" w:color="auto"/>
        <w:bottom w:val="double" w:sz="4" w:space="0" w:color="auto"/>
        <w:right w:val="double" w:sz="4" w:space="0" w:color="auto"/>
      </w:tblBorders>
    </w:tblPr>
    <w:trPr>
      <w:jc w:val="right"/>
    </w:trPr>
    <w:tcPr>
      <w:tcMar>
        <w:top w:w="28" w:type="dxa"/>
        <w:bottom w:w="28" w:type="dxa"/>
      </w:tcMar>
    </w:tcPr>
  </w:style>
  <w:style w:type="character" w:styleId="FootnoteReference">
    <w:name w:val="footnote reference"/>
    <w:aliases w:val="16 Point,Superscript 6 Point,number,SUPERS,Footnote Reference Superscript"/>
    <w:basedOn w:val="DefaultParagraphFont"/>
    <w:rsid w:val="00CC136E"/>
    <w:rPr>
      <w:rFonts w:ascii="Times New Roman" w:hAnsi="Times New Roman"/>
      <w:color w:val="auto"/>
      <w:sz w:val="20"/>
      <w:szCs w:val="18"/>
      <w:vertAlign w:val="superscript"/>
    </w:rPr>
  </w:style>
  <w:style w:type="paragraph" w:styleId="FootnoteText">
    <w:name w:val="footnote text"/>
    <w:basedOn w:val="Normal"/>
    <w:link w:val="FootnoteTextChar"/>
    <w:rsid w:val="00CC136E"/>
    <w:pPr>
      <w:spacing w:before="20" w:after="40"/>
      <w:ind w:left="1247"/>
    </w:pPr>
    <w:rPr>
      <w:sz w:val="18"/>
    </w:rPr>
  </w:style>
  <w:style w:type="character" w:customStyle="1" w:styleId="FootnoteTextChar">
    <w:name w:val="Footnote Text Char"/>
    <w:basedOn w:val="DefaultParagraphFont"/>
    <w:link w:val="FootnoteText"/>
    <w:rsid w:val="00CC136E"/>
    <w:rPr>
      <w:sz w:val="18"/>
      <w:lang w:val="en-GB"/>
    </w:rPr>
  </w:style>
  <w:style w:type="paragraph" w:styleId="Header">
    <w:name w:val="header"/>
    <w:aliases w:val="Header-pool"/>
    <w:basedOn w:val="Normal"/>
    <w:link w:val="HeaderChar"/>
    <w:rsid w:val="00CC136E"/>
    <w:pPr>
      <w:pBdr>
        <w:bottom w:val="single" w:sz="4" w:space="1" w:color="auto"/>
      </w:pBdr>
      <w:tabs>
        <w:tab w:val="clear" w:pos="1814"/>
        <w:tab w:val="clear" w:pos="2381"/>
        <w:tab w:val="clear" w:pos="2948"/>
        <w:tab w:val="clear" w:pos="3515"/>
        <w:tab w:val="center" w:pos="4536"/>
        <w:tab w:val="right" w:pos="9072"/>
      </w:tabs>
      <w:spacing w:after="120"/>
    </w:pPr>
    <w:rPr>
      <w:b/>
      <w:sz w:val="18"/>
    </w:rPr>
  </w:style>
  <w:style w:type="character" w:customStyle="1" w:styleId="HeaderChar">
    <w:name w:val="Header Char"/>
    <w:aliases w:val="Header-pool Char"/>
    <w:basedOn w:val="DefaultParagraphFont"/>
    <w:link w:val="Header"/>
    <w:rsid w:val="00CC136E"/>
    <w:rPr>
      <w:b/>
      <w:sz w:val="18"/>
      <w:lang w:val="en-GB"/>
    </w:rPr>
  </w:style>
  <w:style w:type="character" w:styleId="Hyperlink">
    <w:name w:val="Hyperlink"/>
    <w:basedOn w:val="DefaultParagraphFont"/>
    <w:uiPriority w:val="99"/>
    <w:rsid w:val="00CC136E"/>
    <w:rPr>
      <w:rFonts w:ascii="Times New Roman" w:hAnsi="Times New Roman"/>
      <w:color w:val="auto"/>
      <w:sz w:val="20"/>
      <w:szCs w:val="20"/>
      <w:u w:val="none"/>
      <w:lang w:val="fr-FR"/>
    </w:rPr>
  </w:style>
  <w:style w:type="numbering" w:customStyle="1" w:styleId="Normallist">
    <w:name w:val="Normal_list"/>
    <w:basedOn w:val="NoList"/>
    <w:rsid w:val="00CC136E"/>
    <w:pPr>
      <w:numPr>
        <w:numId w:val="5"/>
      </w:numPr>
    </w:pPr>
  </w:style>
  <w:style w:type="paragraph" w:customStyle="1" w:styleId="NormalNonumber">
    <w:name w:val="Normal_No_number"/>
    <w:basedOn w:val="Normal"/>
    <w:rsid w:val="00CC136E"/>
    <w:pPr>
      <w:spacing w:after="120"/>
      <w:ind w:left="1247"/>
    </w:pPr>
  </w:style>
  <w:style w:type="paragraph" w:customStyle="1" w:styleId="Normalnumber">
    <w:name w:val="Normal_number"/>
    <w:basedOn w:val="Normal"/>
    <w:rsid w:val="00CC136E"/>
    <w:pPr>
      <w:numPr>
        <w:numId w:val="6"/>
      </w:numPr>
      <w:spacing w:after="120"/>
    </w:pPr>
  </w:style>
  <w:style w:type="character" w:styleId="PageNumber">
    <w:name w:val="page number"/>
    <w:basedOn w:val="DefaultParagraphFont"/>
    <w:rsid w:val="00CC136E"/>
    <w:rPr>
      <w:rFonts w:ascii="Times New Roman" w:hAnsi="Times New Roman"/>
      <w:b/>
      <w:sz w:val="18"/>
    </w:rPr>
  </w:style>
  <w:style w:type="paragraph" w:styleId="TableofFigures">
    <w:name w:val="table of figures"/>
    <w:basedOn w:val="Normal"/>
    <w:next w:val="Normal"/>
    <w:autoRedefine/>
    <w:rsid w:val="00840468"/>
    <w:pPr>
      <w:tabs>
        <w:tab w:val="clear" w:pos="1814"/>
        <w:tab w:val="clear" w:pos="2381"/>
        <w:tab w:val="clear" w:pos="2948"/>
        <w:tab w:val="clear" w:pos="3515"/>
      </w:tabs>
      <w:ind w:left="1814" w:hanging="567"/>
    </w:pPr>
  </w:style>
  <w:style w:type="table" w:customStyle="1" w:styleId="Tabledocright">
    <w:name w:val="Table_doc_right"/>
    <w:basedOn w:val="TableNormal"/>
    <w:rsid w:val="00CC136E"/>
    <w:pPr>
      <w:spacing w:before="40" w:after="40"/>
    </w:pPr>
    <w:rPr>
      <w:sz w:val="18"/>
      <w:szCs w:val="18"/>
    </w:rPr>
    <w:tblPr>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17" w:type="dxa"/>
        <w:bottom w:w="28" w:type="dxa"/>
        <w:right w:w="17" w:type="dxa"/>
      </w:tblCellMar>
    </w:tblPr>
    <w:trPr>
      <w:jc w:val="right"/>
    </w:trPr>
    <w:tcPr>
      <w:tcMar>
        <w:left w:w="57" w:type="dxa"/>
        <w:right w:w="57" w:type="dxa"/>
      </w:tcMar>
    </w:tcPr>
  </w:style>
  <w:style w:type="paragraph" w:customStyle="1" w:styleId="Titletable">
    <w:name w:val="Title_table"/>
    <w:basedOn w:val="Normal"/>
    <w:rsid w:val="00CC136E"/>
    <w:pPr>
      <w:keepNext/>
      <w:keepLines/>
      <w:suppressAutoHyphens/>
      <w:spacing w:after="60"/>
      <w:ind w:left="1247"/>
    </w:pPr>
    <w:rPr>
      <w:b/>
      <w:bCs/>
    </w:rPr>
  </w:style>
  <w:style w:type="paragraph" w:customStyle="1" w:styleId="Titlefigure">
    <w:name w:val="Title_figure"/>
    <w:basedOn w:val="Titletable"/>
    <w:next w:val="NormalNonumber"/>
    <w:rsid w:val="00CC136E"/>
    <w:rPr>
      <w:bCs w:val="0"/>
    </w:rPr>
  </w:style>
  <w:style w:type="paragraph" w:styleId="TOC1">
    <w:name w:val="toc 1"/>
    <w:basedOn w:val="Normal"/>
    <w:next w:val="Normal"/>
    <w:rsid w:val="00CC136E"/>
    <w:pPr>
      <w:tabs>
        <w:tab w:val="clear" w:pos="2381"/>
        <w:tab w:val="clear" w:pos="2948"/>
        <w:tab w:val="clear" w:pos="3515"/>
        <w:tab w:val="right" w:leader="dot" w:pos="9486"/>
      </w:tabs>
      <w:spacing w:before="120" w:after="120"/>
      <w:ind w:left="1814" w:hanging="567"/>
    </w:pPr>
    <w:rPr>
      <w:bCs/>
    </w:rPr>
  </w:style>
  <w:style w:type="paragraph" w:styleId="TOC2">
    <w:name w:val="toc 2"/>
    <w:basedOn w:val="Normal"/>
    <w:next w:val="Normal"/>
    <w:rsid w:val="00CC136E"/>
    <w:pPr>
      <w:tabs>
        <w:tab w:val="clear" w:pos="1814"/>
        <w:tab w:val="clear" w:pos="2948"/>
        <w:tab w:val="clear" w:pos="3515"/>
        <w:tab w:val="right" w:leader="dot" w:pos="9486"/>
      </w:tabs>
      <w:ind w:left="2381" w:hanging="567"/>
    </w:pPr>
  </w:style>
  <w:style w:type="paragraph" w:styleId="TOC3">
    <w:name w:val="toc 3"/>
    <w:basedOn w:val="Normal"/>
    <w:next w:val="Normal"/>
    <w:rsid w:val="00CC136E"/>
    <w:pPr>
      <w:tabs>
        <w:tab w:val="clear" w:pos="1814"/>
        <w:tab w:val="clear" w:pos="2381"/>
        <w:tab w:val="clear" w:pos="2948"/>
        <w:tab w:val="clear" w:pos="3515"/>
        <w:tab w:val="right" w:leader="dot" w:pos="9486"/>
      </w:tabs>
      <w:ind w:left="2948" w:hanging="567"/>
    </w:pPr>
    <w:rPr>
      <w:iCs/>
    </w:rPr>
  </w:style>
  <w:style w:type="paragraph" w:styleId="TOC4">
    <w:name w:val="toc 4"/>
    <w:basedOn w:val="Normal"/>
    <w:next w:val="Normal"/>
    <w:rsid w:val="00CC136E"/>
    <w:pPr>
      <w:tabs>
        <w:tab w:val="clear" w:pos="1814"/>
        <w:tab w:val="clear" w:pos="2381"/>
        <w:tab w:val="clear" w:pos="2948"/>
        <w:tab w:val="clear" w:pos="3515"/>
        <w:tab w:val="left" w:pos="1000"/>
        <w:tab w:val="right" w:leader="dot" w:pos="9486"/>
      </w:tabs>
      <w:ind w:left="3515" w:hanging="567"/>
    </w:pPr>
    <w:rPr>
      <w:szCs w:val="18"/>
    </w:rPr>
  </w:style>
  <w:style w:type="paragraph" w:styleId="TOC5">
    <w:name w:val="toc 5"/>
    <w:basedOn w:val="Normal"/>
    <w:next w:val="Normal"/>
    <w:autoRedefine/>
    <w:rsid w:val="00CC136E"/>
    <w:pPr>
      <w:tabs>
        <w:tab w:val="clear" w:pos="1814"/>
        <w:tab w:val="clear" w:pos="2381"/>
        <w:tab w:val="clear" w:pos="2948"/>
        <w:tab w:val="clear" w:pos="3515"/>
      </w:tabs>
      <w:ind w:left="800"/>
    </w:pPr>
    <w:rPr>
      <w:sz w:val="18"/>
      <w:szCs w:val="18"/>
    </w:rPr>
  </w:style>
  <w:style w:type="paragraph" w:styleId="TOC6">
    <w:name w:val="toc 6"/>
    <w:basedOn w:val="Normal"/>
    <w:next w:val="Normal"/>
    <w:autoRedefine/>
    <w:rsid w:val="00CC136E"/>
    <w:pPr>
      <w:tabs>
        <w:tab w:val="clear" w:pos="1814"/>
        <w:tab w:val="clear" w:pos="2381"/>
        <w:tab w:val="clear" w:pos="2948"/>
        <w:tab w:val="clear" w:pos="3515"/>
      </w:tabs>
      <w:ind w:left="1000"/>
    </w:pPr>
    <w:rPr>
      <w:sz w:val="18"/>
      <w:szCs w:val="18"/>
    </w:rPr>
  </w:style>
  <w:style w:type="paragraph" w:styleId="TOC7">
    <w:name w:val="toc 7"/>
    <w:basedOn w:val="Normal"/>
    <w:next w:val="Normal"/>
    <w:autoRedefine/>
    <w:rsid w:val="00CC136E"/>
    <w:pPr>
      <w:tabs>
        <w:tab w:val="clear" w:pos="1814"/>
        <w:tab w:val="clear" w:pos="2381"/>
        <w:tab w:val="clear" w:pos="2948"/>
        <w:tab w:val="clear" w:pos="3515"/>
      </w:tabs>
      <w:ind w:left="1200"/>
    </w:pPr>
    <w:rPr>
      <w:sz w:val="18"/>
      <w:szCs w:val="18"/>
    </w:rPr>
  </w:style>
  <w:style w:type="paragraph" w:styleId="TOC8">
    <w:name w:val="toc 8"/>
    <w:basedOn w:val="Normal"/>
    <w:next w:val="Normal"/>
    <w:autoRedefine/>
    <w:rsid w:val="00CC136E"/>
    <w:pPr>
      <w:tabs>
        <w:tab w:val="clear" w:pos="1814"/>
        <w:tab w:val="clear" w:pos="2381"/>
        <w:tab w:val="clear" w:pos="2948"/>
        <w:tab w:val="clear" w:pos="3515"/>
      </w:tabs>
      <w:ind w:left="1400"/>
    </w:pPr>
    <w:rPr>
      <w:sz w:val="18"/>
      <w:szCs w:val="18"/>
    </w:rPr>
  </w:style>
  <w:style w:type="paragraph" w:styleId="TOC9">
    <w:name w:val="toc 9"/>
    <w:basedOn w:val="Normal"/>
    <w:next w:val="Normal"/>
    <w:autoRedefine/>
    <w:rsid w:val="00CC136E"/>
    <w:pPr>
      <w:tabs>
        <w:tab w:val="clear" w:pos="1814"/>
        <w:tab w:val="clear" w:pos="2381"/>
        <w:tab w:val="clear" w:pos="2948"/>
        <w:tab w:val="clear" w:pos="3515"/>
      </w:tabs>
      <w:ind w:left="1600"/>
    </w:pPr>
    <w:rPr>
      <w:sz w:val="18"/>
      <w:szCs w:val="18"/>
    </w:rPr>
  </w:style>
  <w:style w:type="paragraph" w:customStyle="1" w:styleId="ZZAnxheader">
    <w:name w:val="ZZ_Anx_header"/>
    <w:basedOn w:val="Normal"/>
    <w:rsid w:val="00CC136E"/>
    <w:rPr>
      <w:b/>
      <w:bCs/>
      <w:sz w:val="28"/>
      <w:szCs w:val="22"/>
    </w:rPr>
  </w:style>
  <w:style w:type="paragraph" w:customStyle="1" w:styleId="ZZAnxtitle">
    <w:name w:val="ZZ_Anx_title"/>
    <w:basedOn w:val="Normal"/>
    <w:rsid w:val="00CC136E"/>
    <w:pPr>
      <w:spacing w:before="360" w:after="120"/>
      <w:ind w:left="1247"/>
    </w:pPr>
    <w:rPr>
      <w:b/>
      <w:bCs/>
      <w:sz w:val="28"/>
      <w:szCs w:val="26"/>
    </w:rPr>
  </w:style>
  <w:style w:type="character" w:customStyle="1" w:styleId="Normal-poolChar">
    <w:name w:val="Normal-pool Char"/>
    <w:rsid w:val="00CC136E"/>
    <w:rPr>
      <w:lang w:val="en-GB"/>
    </w:rPr>
  </w:style>
  <w:style w:type="character" w:customStyle="1" w:styleId="Heading2Char">
    <w:name w:val="Heading 2 Char"/>
    <w:link w:val="Heading2"/>
    <w:locked/>
    <w:rsid w:val="007F59C4"/>
    <w:rPr>
      <w:b/>
      <w:sz w:val="24"/>
      <w:szCs w:val="24"/>
      <w:lang w:val="en-GB"/>
    </w:rPr>
  </w:style>
  <w:style w:type="paragraph" w:styleId="ListParagraph">
    <w:name w:val="List Paragraph"/>
    <w:basedOn w:val="Normal"/>
    <w:uiPriority w:val="34"/>
    <w:qFormat/>
    <w:rsid w:val="00A911DB"/>
    <w:pPr>
      <w:ind w:left="720"/>
      <w:contextualSpacing/>
    </w:pPr>
  </w:style>
  <w:style w:type="paragraph" w:customStyle="1" w:styleId="ColorfulShading-Accent11">
    <w:name w:val="Colorful Shading - Accent 11"/>
    <w:hidden/>
    <w:rsid w:val="007F59C4"/>
    <w:rPr>
      <w:sz w:val="24"/>
      <w:szCs w:val="24"/>
    </w:rPr>
  </w:style>
  <w:style w:type="paragraph" w:customStyle="1" w:styleId="DarkList-Accent31">
    <w:name w:val="Dark List - Accent 31"/>
    <w:hidden/>
    <w:uiPriority w:val="99"/>
    <w:semiHidden/>
    <w:rsid w:val="007F59C4"/>
    <w:rPr>
      <w:spacing w:val="4"/>
      <w:w w:val="103"/>
      <w:kern w:val="14"/>
      <w:lang w:val="en-GB"/>
    </w:rPr>
  </w:style>
  <w:style w:type="character" w:customStyle="1" w:styleId="Heading3Char">
    <w:name w:val="Heading 3 Char"/>
    <w:link w:val="Heading3"/>
    <w:rsid w:val="007F59C4"/>
    <w:rPr>
      <w:b/>
      <w:lang w:val="en-GB"/>
    </w:rPr>
  </w:style>
  <w:style w:type="paragraph" w:styleId="BalloonText">
    <w:name w:val="Balloon Text"/>
    <w:basedOn w:val="Normal"/>
    <w:link w:val="BalloonTextChar"/>
    <w:rsid w:val="00A62138"/>
    <w:rPr>
      <w:rFonts w:ascii="Tahoma" w:hAnsi="Tahoma" w:cs="Tahoma"/>
      <w:sz w:val="16"/>
      <w:szCs w:val="16"/>
    </w:rPr>
  </w:style>
  <w:style w:type="character" w:customStyle="1" w:styleId="BalloonTextChar">
    <w:name w:val="Balloon Text Char"/>
    <w:basedOn w:val="DefaultParagraphFont"/>
    <w:link w:val="BalloonText"/>
    <w:rsid w:val="00A62138"/>
    <w:rPr>
      <w:rFonts w:ascii="Tahoma" w:hAnsi="Tahoma" w:cs="Tahoma"/>
      <w:sz w:val="16"/>
      <w:szCs w:val="16"/>
      <w:lang w:val="en-GB"/>
    </w:rPr>
  </w:style>
  <w:style w:type="table" w:styleId="TableGrid">
    <w:name w:val="Table Grid"/>
    <w:basedOn w:val="TableNormal"/>
    <w:uiPriority w:val="59"/>
    <w:rsid w:val="002D4B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unhideWhenUsed/>
    <w:rsid w:val="003A4259"/>
    <w:rPr>
      <w:sz w:val="16"/>
      <w:szCs w:val="16"/>
    </w:rPr>
  </w:style>
  <w:style w:type="paragraph" w:styleId="CommentText">
    <w:name w:val="annotation text"/>
    <w:basedOn w:val="Normal"/>
    <w:link w:val="CommentTextChar"/>
    <w:semiHidden/>
    <w:unhideWhenUsed/>
    <w:rsid w:val="003A4259"/>
  </w:style>
  <w:style w:type="character" w:customStyle="1" w:styleId="CommentTextChar">
    <w:name w:val="Comment Text Char"/>
    <w:basedOn w:val="DefaultParagraphFont"/>
    <w:link w:val="CommentText"/>
    <w:semiHidden/>
    <w:rsid w:val="003A4259"/>
    <w:rPr>
      <w:lang w:val="en-GB"/>
    </w:rPr>
  </w:style>
  <w:style w:type="paragraph" w:styleId="CommentSubject">
    <w:name w:val="annotation subject"/>
    <w:basedOn w:val="CommentText"/>
    <w:next w:val="CommentText"/>
    <w:link w:val="CommentSubjectChar"/>
    <w:semiHidden/>
    <w:unhideWhenUsed/>
    <w:rsid w:val="003A4259"/>
    <w:rPr>
      <w:b/>
      <w:bCs/>
    </w:rPr>
  </w:style>
  <w:style w:type="character" w:customStyle="1" w:styleId="CommentSubjectChar">
    <w:name w:val="Comment Subject Char"/>
    <w:basedOn w:val="CommentTextChar"/>
    <w:link w:val="CommentSubject"/>
    <w:semiHidden/>
    <w:rsid w:val="003A4259"/>
    <w:rPr>
      <w:b/>
      <w:bCs/>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4164682">
      <w:bodyDiv w:val="1"/>
      <w:marLeft w:val="0"/>
      <w:marRight w:val="0"/>
      <w:marTop w:val="0"/>
      <w:marBottom w:val="0"/>
      <w:divBdr>
        <w:top w:val="none" w:sz="0" w:space="0" w:color="auto"/>
        <w:left w:val="none" w:sz="0" w:space="0" w:color="auto"/>
        <w:bottom w:val="none" w:sz="0" w:space="0" w:color="auto"/>
        <w:right w:val="none" w:sz="0" w:space="0" w:color="auto"/>
      </w:divBdr>
    </w:div>
    <w:div w:id="1196232797">
      <w:bodyDiv w:val="1"/>
      <w:marLeft w:val="0"/>
      <w:marRight w:val="0"/>
      <w:marTop w:val="0"/>
      <w:marBottom w:val="0"/>
      <w:divBdr>
        <w:top w:val="none" w:sz="0" w:space="0" w:color="auto"/>
        <w:left w:val="none" w:sz="0" w:space="0" w:color="auto"/>
        <w:bottom w:val="none" w:sz="0" w:space="0" w:color="auto"/>
        <w:right w:val="none" w:sz="0" w:space="0" w:color="auto"/>
      </w:divBdr>
    </w:div>
    <w:div w:id="1305313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chart" Target="charts/chart3.xml"/><Relationship Id="rId26" Type="http://schemas.openxmlformats.org/officeDocument/2006/relationships/chart" Target="charts/chart11.xml"/><Relationship Id="rId39" Type="http://schemas.openxmlformats.org/officeDocument/2006/relationships/chart" Target="charts/chart24.xml"/><Relationship Id="rId21" Type="http://schemas.openxmlformats.org/officeDocument/2006/relationships/chart" Target="charts/chart6.xml"/><Relationship Id="rId34" Type="http://schemas.openxmlformats.org/officeDocument/2006/relationships/chart" Target="charts/chart19.xml"/><Relationship Id="rId42" Type="http://schemas.openxmlformats.org/officeDocument/2006/relationships/chart" Target="charts/chart27.xml"/><Relationship Id="rId47" Type="http://schemas.openxmlformats.org/officeDocument/2006/relationships/chart" Target="charts/chart32.xml"/><Relationship Id="rId50" Type="http://schemas.openxmlformats.org/officeDocument/2006/relationships/chart" Target="charts/chart35.xml"/><Relationship Id="rId55" Type="http://schemas.openxmlformats.org/officeDocument/2006/relationships/chart" Target="charts/chart4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chart" Target="charts/chart14.xml"/><Relationship Id="rId11" Type="http://schemas.openxmlformats.org/officeDocument/2006/relationships/image" Target="media/image4.jpeg"/><Relationship Id="rId24" Type="http://schemas.openxmlformats.org/officeDocument/2006/relationships/chart" Target="charts/chart9.xml"/><Relationship Id="rId32" Type="http://schemas.openxmlformats.org/officeDocument/2006/relationships/chart" Target="charts/chart17.xml"/><Relationship Id="rId37" Type="http://schemas.openxmlformats.org/officeDocument/2006/relationships/chart" Target="charts/chart22.xml"/><Relationship Id="rId40" Type="http://schemas.openxmlformats.org/officeDocument/2006/relationships/chart" Target="charts/chart25.xml"/><Relationship Id="rId45" Type="http://schemas.openxmlformats.org/officeDocument/2006/relationships/chart" Target="charts/chart30.xml"/><Relationship Id="rId53" Type="http://schemas.openxmlformats.org/officeDocument/2006/relationships/chart" Target="charts/chart38.xml"/><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chart" Target="charts/chart4.xml"/><Relationship Id="rId14" Type="http://schemas.openxmlformats.org/officeDocument/2006/relationships/image" Target="media/image7.png"/><Relationship Id="rId22" Type="http://schemas.openxmlformats.org/officeDocument/2006/relationships/chart" Target="charts/chart7.xml"/><Relationship Id="rId27" Type="http://schemas.openxmlformats.org/officeDocument/2006/relationships/chart" Target="charts/chart12.xml"/><Relationship Id="rId30" Type="http://schemas.openxmlformats.org/officeDocument/2006/relationships/chart" Target="charts/chart15.xml"/><Relationship Id="rId35" Type="http://schemas.openxmlformats.org/officeDocument/2006/relationships/chart" Target="charts/chart20.xml"/><Relationship Id="rId43" Type="http://schemas.openxmlformats.org/officeDocument/2006/relationships/chart" Target="charts/chart28.xml"/><Relationship Id="rId48" Type="http://schemas.openxmlformats.org/officeDocument/2006/relationships/chart" Target="charts/chart33.xml"/><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chart" Target="charts/chart36.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chart" Target="charts/chart2.xml"/><Relationship Id="rId25" Type="http://schemas.openxmlformats.org/officeDocument/2006/relationships/chart" Target="charts/chart10.xml"/><Relationship Id="rId33" Type="http://schemas.openxmlformats.org/officeDocument/2006/relationships/chart" Target="charts/chart18.xml"/><Relationship Id="rId38" Type="http://schemas.openxmlformats.org/officeDocument/2006/relationships/chart" Target="charts/chart23.xml"/><Relationship Id="rId46" Type="http://schemas.openxmlformats.org/officeDocument/2006/relationships/chart" Target="charts/chart31.xml"/><Relationship Id="rId59" Type="http://schemas.openxmlformats.org/officeDocument/2006/relationships/footer" Target="footer2.xml"/><Relationship Id="rId20" Type="http://schemas.openxmlformats.org/officeDocument/2006/relationships/chart" Target="charts/chart5.xml"/><Relationship Id="rId41" Type="http://schemas.openxmlformats.org/officeDocument/2006/relationships/chart" Target="charts/chart26.xml"/><Relationship Id="rId54" Type="http://schemas.openxmlformats.org/officeDocument/2006/relationships/chart" Target="charts/chart39.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chart" Target="charts/chart8.xml"/><Relationship Id="rId28" Type="http://schemas.openxmlformats.org/officeDocument/2006/relationships/chart" Target="charts/chart13.xml"/><Relationship Id="rId36" Type="http://schemas.openxmlformats.org/officeDocument/2006/relationships/chart" Target="charts/chart21.xml"/><Relationship Id="rId49" Type="http://schemas.openxmlformats.org/officeDocument/2006/relationships/chart" Target="charts/chart34.xml"/><Relationship Id="rId57" Type="http://schemas.openxmlformats.org/officeDocument/2006/relationships/header" Target="header2.xml"/><Relationship Id="rId10" Type="http://schemas.openxmlformats.org/officeDocument/2006/relationships/image" Target="media/image3.jpeg"/><Relationship Id="rId31" Type="http://schemas.openxmlformats.org/officeDocument/2006/relationships/chart" Target="charts/chart16.xml"/><Relationship Id="rId44" Type="http://schemas.openxmlformats.org/officeDocument/2006/relationships/chart" Target="charts/chart29.xml"/><Relationship Id="rId52" Type="http://schemas.openxmlformats.org/officeDocument/2006/relationships/chart" Target="charts/chart37.xml"/><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1" Type="http://schemas.openxmlformats.org/officeDocument/2006/relationships/hyperlink" Target="file:///C:\Users\anne.larigauderie\AppData\Local\Microsoft\Windows\INetCache\Content.Outlook\16RFSBO0\IPBES\5\1\Rev.1"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11.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5.xml"/></Relationships>
</file>

<file path=word/charts/_rels/chart12.xml.rels><?xml version="1.0" encoding="UTF-8" standalone="yes"?>
<Relationships xmlns="http://schemas.openxmlformats.org/package/2006/relationships"><Relationship Id="rId1" Type="http://schemas.openxmlformats.org/officeDocument/2006/relationships/oleObject" Target="file:///D:\Home\My%20Documents\IPBES%20SH%20NEEDS%20SURVEY\2016-11-11%20ipbes_stakeholders_needs_analysis_survey.xlsx" TargetMode="Externa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14.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themeOverride" Target="../theme/themeOverride7.xml"/></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9.xml.rels><?xml version="1.0" encoding="UTF-8" standalone="yes"?>
<Relationships xmlns="http://schemas.openxmlformats.org/package/2006/relationships"><Relationship Id="rId1" Type="http://schemas.openxmlformats.org/officeDocument/2006/relationships/oleObject" Target="file:///D:\Home\My%20Documents\IPBES%20SH%20NEEDS%20SURVEY\2016-11-11%20ipbes_stakeholders_needs_analysis_survey.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2" Type="http://schemas.openxmlformats.org/officeDocument/2006/relationships/oleObject" Target="../embeddings/oleObject7.bin"/><Relationship Id="rId1" Type="http://schemas.openxmlformats.org/officeDocument/2006/relationships/themeOverride" Target="../theme/themeOverride9.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0.xml"/></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24.xml.rels><?xml version="1.0" encoding="UTF-8" standalone="yes"?>
<Relationships xmlns="http://schemas.openxmlformats.org/package/2006/relationships"><Relationship Id="rId1" Type="http://schemas.openxmlformats.org/officeDocument/2006/relationships/oleObject" Target="file:///D:\Home\My%20Documents\IPBES%20SH%20NEEDS%20SURVEY\2016-11-11%20ipbes_stakeholders_needs_analysis_survey.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D:\Home\My%20Documents\IPBES%20SH%20NEEDS%20SURVEY\2016-11-11%20ipbes_stakeholders_needs_analysis_survey.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D:\Home\My%20Documents\IPBES%20SH%20NEEDS%20SURVEY\2016-11-11%20ipbes_stakeholders_needs_analysis_survey.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D:\Home\My%20Documents\IPBES%20SH%20NEEDS%20SURVEY\2016-11-11%20ipbes_stakeholders_needs_analysis_survey.xlsx" TargetMode="External"/></Relationships>
</file>

<file path=word/charts/_rels/chart28.xml.rels><?xml version="1.0" encoding="UTF-8" standalone="yes"?>
<Relationships xmlns="http://schemas.openxmlformats.org/package/2006/relationships"><Relationship Id="rId2" Type="http://schemas.openxmlformats.org/officeDocument/2006/relationships/oleObject" Target="../embeddings/oleObject8.bin"/><Relationship Id="rId1" Type="http://schemas.openxmlformats.org/officeDocument/2006/relationships/themeOverride" Target="../theme/themeOverride11.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2.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3.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4.xml"/></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5.xml"/></Relationships>
</file>

<file path=word/charts/_rels/chart34.xml.rels><?xml version="1.0" encoding="UTF-8" standalone="yes"?>
<Relationships xmlns="http://schemas.openxmlformats.org/package/2006/relationships"><Relationship Id="rId2" Type="http://schemas.openxmlformats.org/officeDocument/2006/relationships/oleObject" Target="../embeddings/oleObject9.bin"/><Relationship Id="rId1" Type="http://schemas.openxmlformats.org/officeDocument/2006/relationships/themeOverride" Target="../theme/themeOverride16.xml"/></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17.xml"/></Relationships>
</file>

<file path=word/charts/_rels/chart37.xml.rels><?xml version="1.0" encoding="UTF-8" standalone="yes"?>
<Relationships xmlns="http://schemas.openxmlformats.org/package/2006/relationships"><Relationship Id="rId2" Type="http://schemas.openxmlformats.org/officeDocument/2006/relationships/oleObject" Target="../embeddings/oleObject10.bin"/><Relationship Id="rId1" Type="http://schemas.openxmlformats.org/officeDocument/2006/relationships/themeOverride" Target="../theme/themeOverride18.xml"/></Relationships>
</file>

<file path=word/charts/_rels/chart38.xml.rels><?xml version="1.0" encoding="UTF-8" standalone="yes"?>
<Relationships xmlns="http://schemas.openxmlformats.org/package/2006/relationships"><Relationship Id="rId2" Type="http://schemas.openxmlformats.org/officeDocument/2006/relationships/oleObject" Target="file:///D:\Home\My%20Documents\IPBES%20SH%20NEEDS%20SURVEY\2016-11-11%20ipbes_stakeholders_needs_analysis_survey.xlsx" TargetMode="External"/><Relationship Id="rId1" Type="http://schemas.openxmlformats.org/officeDocument/2006/relationships/themeOverride" Target="../theme/themeOverride19.xml"/></Relationships>
</file>

<file path=word/charts/_rels/chart39.xml.rels><?xml version="1.0" encoding="UTF-8" standalone="yes"?>
<Relationships xmlns="http://schemas.openxmlformats.org/package/2006/relationships"><Relationship Id="rId2" Type="http://schemas.openxmlformats.org/officeDocument/2006/relationships/oleObject" Target="../embeddings/oleObject11.bin"/><Relationship Id="rId1" Type="http://schemas.openxmlformats.org/officeDocument/2006/relationships/themeOverride" Target="../theme/themeOverride20.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0.xml.rels><?xml version="1.0" encoding="UTF-8" standalone="yes"?>
<Relationships xmlns="http://schemas.openxmlformats.org/package/2006/relationships"><Relationship Id="rId2" Type="http://schemas.openxmlformats.org/officeDocument/2006/relationships/oleObject" Target="../embeddings/oleObject12.bin"/><Relationship Id="rId1" Type="http://schemas.openxmlformats.org/officeDocument/2006/relationships/themeOverride" Target="../theme/themeOverride21.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7.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3.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9.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[2016-11-11 ipbes_stakeholders_needs_analysis_survey.xlsx]responses per region!PivotTable1</c:name>
    <c:fmtId val="-1"/>
  </c:pivotSource>
  <c:chart>
    <c:autoTitleDeleted val="1"/>
    <c:pivotFmts>
      <c:pivotFmt>
        <c:idx val="0"/>
        <c:marker>
          <c:symbol val="none"/>
        </c:marker>
      </c:pivotFmt>
      <c:pivotFmt>
        <c:idx val="1"/>
        <c:marker>
          <c:symbol val="none"/>
        </c:marker>
      </c:pivotFmt>
      <c:pivotFmt>
        <c:idx val="2"/>
        <c:marker>
          <c:symbol val="none"/>
        </c:marker>
      </c:pivotFmt>
    </c:pivotFmts>
    <c:view3D>
      <c:rotX val="30"/>
      <c:rotY val="50"/>
      <c:rAngAx val="0"/>
    </c:view3D>
    <c:floor>
      <c:thickness val="0"/>
    </c:floor>
    <c:sideWall>
      <c:thickness val="0"/>
    </c:sideWall>
    <c:backWall>
      <c:thickness val="0"/>
    </c:backWall>
    <c:plotArea>
      <c:layout>
        <c:manualLayout>
          <c:layoutTarget val="inner"/>
          <c:xMode val="edge"/>
          <c:yMode val="edge"/>
          <c:x val="4.7222222222222221E-2"/>
          <c:y val="6.9228023420149401E-2"/>
          <c:w val="0.89166666666666661"/>
          <c:h val="0.87616846355743994"/>
        </c:manualLayout>
      </c:layout>
      <c:pie3DChart>
        <c:varyColors val="1"/>
        <c:ser>
          <c:idx val="0"/>
          <c:order val="0"/>
          <c:tx>
            <c:strRef>
              <c:f>'responses per region'!$B$3</c:f>
              <c:strCache>
                <c:ptCount val="1"/>
                <c:pt idx="0">
                  <c:v>Total</c:v>
                </c:pt>
              </c:strCache>
            </c:strRef>
          </c:tx>
          <c:dLbls>
            <c:dLbl>
              <c:idx val="2"/>
              <c:spPr>
                <a:ln>
                  <a:solidFill>
                    <a:schemeClr val="bg1"/>
                  </a:solidFill>
                </a:ln>
              </c:spPr>
              <c:txPr>
                <a:bodyPr/>
                <a:lstStyle/>
                <a:p>
                  <a:pPr>
                    <a:defRPr b="1">
                      <a:solidFill>
                        <a:schemeClr val="bg1"/>
                      </a:solidFill>
                    </a:defRPr>
                  </a:pPr>
                  <a:endParaRPr lang="en-US"/>
                </a:p>
              </c:txPr>
              <c:dLblPos val="in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6631-4606-9046-06FA04D3C959}"/>
                </c:ext>
              </c:extLst>
            </c:dLbl>
            <c:dLbl>
              <c:idx val="5"/>
              <c:layout>
                <c:manualLayout>
                  <c:x val="5.3106299212598372E-2"/>
                  <c:y val="-1.1215150848393477E-2"/>
                </c:manualLayout>
              </c:layout>
              <c:spPr/>
              <c:txPr>
                <a:bodyPr/>
                <a:lstStyle/>
                <a:p>
                  <a:pPr>
                    <a:defRPr b="1">
                      <a:solidFill>
                        <a:schemeClr val="tx1"/>
                      </a:solidFill>
                    </a:defRPr>
                  </a:pPr>
                  <a:endParaRPr lang="en-US"/>
                </a:p>
              </c:txPr>
              <c:dLblPos val="bestFit"/>
              <c:showLegendKey val="1"/>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6631-4606-9046-06FA04D3C959}"/>
                </c:ext>
              </c:extLst>
            </c:dLbl>
            <c:spPr>
              <a:noFill/>
              <a:ln>
                <a:noFill/>
              </a:ln>
              <a:effectLst/>
            </c:spPr>
            <c:txPr>
              <a:bodyPr/>
              <a:lstStyle/>
              <a:p>
                <a:pPr>
                  <a:defRPr b="1">
                    <a:solidFill>
                      <a:schemeClr val="bg1"/>
                    </a:solidFill>
                  </a:defRPr>
                </a:pPr>
                <a:endParaRPr lang="en-US"/>
              </a:p>
            </c:txPr>
            <c:dLblPos val="inEnd"/>
            <c:showLegendKey val="0"/>
            <c:showVal val="0"/>
            <c:showCatName val="1"/>
            <c:showSerName val="0"/>
            <c:showPercent val="1"/>
            <c:showBubbleSize val="0"/>
            <c:separator> </c:separator>
            <c:showLeaderLines val="0"/>
            <c:extLst>
              <c:ext xmlns:c15="http://schemas.microsoft.com/office/drawing/2012/chart" uri="{CE6537A1-D6FC-4f65-9D91-7224C49458BB}"/>
            </c:extLst>
          </c:dLbls>
          <c:cat>
            <c:strRef>
              <c:f>'responses per region'!$A$4:$A$10</c:f>
              <c:strCache>
                <c:ptCount val="6"/>
                <c:pt idx="0">
                  <c:v>AF</c:v>
                </c:pt>
                <c:pt idx="1">
                  <c:v>AP</c:v>
                </c:pt>
                <c:pt idx="2">
                  <c:v>EE</c:v>
                </c:pt>
                <c:pt idx="3">
                  <c:v>LAC</c:v>
                </c:pt>
                <c:pt idx="4">
                  <c:v>WEOG</c:v>
                </c:pt>
                <c:pt idx="5">
                  <c:v>Not indicated</c:v>
                </c:pt>
              </c:strCache>
            </c:strRef>
          </c:cat>
          <c:val>
            <c:numRef>
              <c:f>'responses per region'!$B$4:$B$10</c:f>
              <c:numCache>
                <c:formatCode>General</c:formatCode>
                <c:ptCount val="6"/>
                <c:pt idx="0">
                  <c:v>192</c:v>
                </c:pt>
                <c:pt idx="1">
                  <c:v>169</c:v>
                </c:pt>
                <c:pt idx="2">
                  <c:v>54</c:v>
                </c:pt>
                <c:pt idx="3">
                  <c:v>159</c:v>
                </c:pt>
                <c:pt idx="4">
                  <c:v>240</c:v>
                </c:pt>
                <c:pt idx="5">
                  <c:v>20</c:v>
                </c:pt>
              </c:numCache>
            </c:numRef>
          </c:val>
          <c:extLst>
            <c:ext xmlns:c16="http://schemas.microsoft.com/office/drawing/2014/chart" uri="{C3380CC4-5D6E-409C-BE32-E72D297353CC}">
              <c16:uniqueId val="{00000002-6631-4606-9046-06FA04D3C959}"/>
            </c:ext>
          </c:extLst>
        </c:ser>
        <c:dLbls>
          <c:showLegendKey val="0"/>
          <c:showVal val="0"/>
          <c:showCatName val="0"/>
          <c:showSerName val="0"/>
          <c:showPercent val="0"/>
          <c:showBubbleSize val="0"/>
          <c:showLeaderLines val="0"/>
        </c:dLbls>
      </c:pie3DChart>
    </c:plotArea>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Data val="1"/>
        <c14:dropZoneSeries val="1"/>
        <c14:dropZonesVisible val="1"/>
      </c14:pivotOptions>
    </c:ext>
  </c:extLst>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[2016-11-11 ipbes_stakeholders_needs_analysis_survey.xlsx]Nationality vs region!PivotTable2</c:name>
    <c:fmtId val="-1"/>
  </c:pivotSource>
  <c:chart>
    <c:title>
      <c:tx>
        <c:rich>
          <a:bodyPr/>
          <a:lstStyle/>
          <a:p>
            <a:pPr>
              <a:defRPr sz="1100"/>
            </a:pPr>
            <a:r>
              <a:rPr lang="en-US" sz="1100"/>
              <a:t>Responses from</a:t>
            </a:r>
            <a:r>
              <a:rPr lang="en-US" sz="1100" baseline="0"/>
              <a:t> </a:t>
            </a:r>
            <a:r>
              <a:rPr lang="en-US" sz="1100"/>
              <a:t>Western Europe and Other Groups (WEOG)</a:t>
            </a:r>
          </a:p>
        </c:rich>
      </c:tx>
      <c:overlay val="0"/>
    </c:title>
    <c:autoTitleDeleted val="0"/>
    <c:pivotFmts>
      <c:pivotFmt>
        <c:idx val="0"/>
        <c:marker>
          <c:symbol val="none"/>
        </c:marker>
      </c:pivotFmt>
      <c:pivotFmt>
        <c:idx val="1"/>
        <c:marker>
          <c:symbol val="none"/>
        </c:marker>
      </c:pivotFmt>
      <c:pivotFmt>
        <c:idx val="2"/>
        <c:marker>
          <c:symbol val="none"/>
        </c:marker>
      </c:pivotFmt>
    </c:pivotFmts>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'Nationality vs region'!$B$3:$B$4</c:f>
              <c:strCache>
                <c:ptCount val="1"/>
                <c:pt idx="0">
                  <c:v>WEOG</c:v>
                </c:pt>
              </c:strCache>
            </c:strRef>
          </c:tx>
          <c:invertIfNegative val="0"/>
          <c:dPt>
            <c:idx val="10"/>
            <c:invertIfNegative val="0"/>
            <c:bubble3D val="0"/>
            <c:spPr>
              <a:solidFill>
                <a:srgbClr val="FFC000"/>
              </a:solidFill>
            </c:spPr>
            <c:extLst>
              <c:ext xmlns:c16="http://schemas.microsoft.com/office/drawing/2014/chart" uri="{C3380CC4-5D6E-409C-BE32-E72D297353CC}">
                <c16:uniqueId val="{00000001-C9CB-475B-A59A-0800279A4DA7}"/>
              </c:ext>
            </c:extLst>
          </c:dPt>
          <c:dLbls>
            <c:dLbl>
              <c:idx val="7"/>
              <c:layout>
                <c:manualLayout>
                  <c:x val="0"/>
                  <c:y val="-1.554648384941428E-3"/>
                </c:manualLayout>
              </c:layout>
              <c:spPr>
                <a:solidFill>
                  <a:schemeClr val="bg1"/>
                </a:solidFill>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9CB-475B-A59A-0800279A4DA7}"/>
                </c:ext>
              </c:extLst>
            </c:dLbl>
            <c:spPr>
              <a:solidFill>
                <a:schemeClr val="bg1"/>
              </a:solidFill>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'Nationality vs region'!$A$5:$A$25</c:f>
              <c:strCache>
                <c:ptCount val="20"/>
                <c:pt idx="0">
                  <c:v>Australia</c:v>
                </c:pt>
                <c:pt idx="1">
                  <c:v>Austria</c:v>
                </c:pt>
                <c:pt idx="2">
                  <c:v>Belgium</c:v>
                </c:pt>
                <c:pt idx="3">
                  <c:v>Canada</c:v>
                </c:pt>
                <c:pt idx="4">
                  <c:v>Denmark</c:v>
                </c:pt>
                <c:pt idx="5">
                  <c:v>Finland</c:v>
                </c:pt>
                <c:pt idx="6">
                  <c:v>France</c:v>
                </c:pt>
                <c:pt idx="7">
                  <c:v>Germany</c:v>
                </c:pt>
                <c:pt idx="8">
                  <c:v>Greece</c:v>
                </c:pt>
                <c:pt idx="9">
                  <c:v>Ireland</c:v>
                </c:pt>
                <c:pt idx="10">
                  <c:v>Italy</c:v>
                </c:pt>
                <c:pt idx="11">
                  <c:v>Netherlands</c:v>
                </c:pt>
                <c:pt idx="12">
                  <c:v>New Zealand</c:v>
                </c:pt>
                <c:pt idx="13">
                  <c:v>Norway</c:v>
                </c:pt>
                <c:pt idx="14">
                  <c:v>Portugal</c:v>
                </c:pt>
                <c:pt idx="15">
                  <c:v>Spain</c:v>
                </c:pt>
                <c:pt idx="16">
                  <c:v>Sweden</c:v>
                </c:pt>
                <c:pt idx="17">
                  <c:v>Switzerland</c:v>
                </c:pt>
                <c:pt idx="18">
                  <c:v>United Kingdom of Great Britain and Northern Ireland</c:v>
                </c:pt>
                <c:pt idx="19">
                  <c:v>United States of America</c:v>
                </c:pt>
              </c:strCache>
            </c:strRef>
          </c:cat>
          <c:val>
            <c:numRef>
              <c:f>'Nationality vs region'!$B$5:$B$25</c:f>
              <c:numCache>
                <c:formatCode>General</c:formatCode>
                <c:ptCount val="20"/>
                <c:pt idx="0">
                  <c:v>8</c:v>
                </c:pt>
                <c:pt idx="1">
                  <c:v>3</c:v>
                </c:pt>
                <c:pt idx="2">
                  <c:v>9</c:v>
                </c:pt>
                <c:pt idx="3">
                  <c:v>14</c:v>
                </c:pt>
                <c:pt idx="4">
                  <c:v>2</c:v>
                </c:pt>
                <c:pt idx="5">
                  <c:v>3</c:v>
                </c:pt>
                <c:pt idx="6">
                  <c:v>19</c:v>
                </c:pt>
                <c:pt idx="7">
                  <c:v>47</c:v>
                </c:pt>
                <c:pt idx="8">
                  <c:v>1</c:v>
                </c:pt>
                <c:pt idx="9">
                  <c:v>2</c:v>
                </c:pt>
                <c:pt idx="10">
                  <c:v>13</c:v>
                </c:pt>
                <c:pt idx="11">
                  <c:v>9</c:v>
                </c:pt>
                <c:pt idx="12">
                  <c:v>6</c:v>
                </c:pt>
                <c:pt idx="13">
                  <c:v>2</c:v>
                </c:pt>
                <c:pt idx="14">
                  <c:v>6</c:v>
                </c:pt>
                <c:pt idx="15">
                  <c:v>20</c:v>
                </c:pt>
                <c:pt idx="16">
                  <c:v>4</c:v>
                </c:pt>
                <c:pt idx="17">
                  <c:v>5</c:v>
                </c:pt>
                <c:pt idx="18">
                  <c:v>24</c:v>
                </c:pt>
                <c:pt idx="19">
                  <c:v>43</c:v>
                </c:pt>
              </c:numCache>
            </c:numRef>
          </c:val>
          <c:extLst>
            <c:ext xmlns:c16="http://schemas.microsoft.com/office/drawing/2014/chart" uri="{C3380CC4-5D6E-409C-BE32-E72D297353CC}">
              <c16:uniqueId val="{00000003-C9CB-475B-A59A-0800279A4DA7}"/>
            </c:ext>
          </c:extLst>
        </c:ser>
        <c:dLbls>
          <c:showLegendKey val="0"/>
          <c:showVal val="0"/>
          <c:showCatName val="0"/>
          <c:showSerName val="0"/>
          <c:showPercent val="0"/>
          <c:showBubbleSize val="0"/>
        </c:dLbls>
        <c:gapWidth val="150"/>
        <c:shape val="box"/>
        <c:axId val="110242816"/>
        <c:axId val="110248704"/>
        <c:axId val="0"/>
      </c:bar3DChart>
      <c:catAx>
        <c:axId val="110242816"/>
        <c:scaling>
          <c:orientation val="maxMin"/>
        </c:scaling>
        <c:delete val="0"/>
        <c:axPos val="l"/>
        <c:numFmt formatCode="General" sourceLinked="0"/>
        <c:majorTickMark val="out"/>
        <c:minorTickMark val="none"/>
        <c:tickLblPos val="nextTo"/>
        <c:crossAx val="110248704"/>
        <c:crosses val="autoZero"/>
        <c:auto val="1"/>
        <c:lblAlgn val="ctr"/>
        <c:lblOffset val="100"/>
        <c:noMultiLvlLbl val="0"/>
      </c:catAx>
      <c:valAx>
        <c:axId val="110248704"/>
        <c:scaling>
          <c:orientation val="minMax"/>
        </c:scaling>
        <c:delete val="0"/>
        <c:axPos val="t"/>
        <c:majorGridlines/>
        <c:numFmt formatCode="General" sourceLinked="1"/>
        <c:majorTickMark val="out"/>
        <c:minorTickMark val="none"/>
        <c:tickLblPos val="nextTo"/>
        <c:crossAx val="110242816"/>
        <c:crosses val="autoZero"/>
        <c:crossBetween val="between"/>
      </c:valAx>
    </c:plotArea>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70"/>
      <c:rAngAx val="0"/>
    </c:view3D>
    <c:floor>
      <c:thickness val="0"/>
    </c:floor>
    <c:sideWall>
      <c:thickness val="0"/>
    </c:sideWall>
    <c:backWall>
      <c:thickness val="0"/>
    </c:backWall>
    <c:plotArea>
      <c:layout>
        <c:manualLayout>
          <c:layoutTarget val="inner"/>
          <c:xMode val="edge"/>
          <c:yMode val="edge"/>
          <c:x val="7.7111977906004056E-4"/>
          <c:y val="0.17109451350735499"/>
          <c:w val="0.9697842760820975"/>
          <c:h val="0.79186672405499148"/>
        </c:manualLayout>
      </c:layout>
      <c:pie3DChart>
        <c:varyColors val="1"/>
        <c:ser>
          <c:idx val="0"/>
          <c:order val="0"/>
          <c:dLbls>
            <c:dLbl>
              <c:idx val="0"/>
              <c:layout>
                <c:manualLayout>
                  <c:x val="-8.4065922521402887E-3"/>
                  <c:y val="4.4441463007030703E-2"/>
                </c:manualLayout>
              </c:layout>
              <c:spPr/>
              <c:txPr>
                <a:bodyPr/>
                <a:lstStyle/>
                <a:p>
                  <a:pPr>
                    <a:defRPr b="1">
                      <a:solidFill>
                        <a:schemeClr val="tx1"/>
                      </a:solidFill>
                    </a:defRPr>
                  </a:pPr>
                  <a:endParaRPr lang="en-US"/>
                </a:p>
              </c:txPr>
              <c:dLblPos val="bestFit"/>
              <c:showLegendKey val="1"/>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0-0C0F-4F9F-B443-0D039FDF7F8E}"/>
                </c:ext>
              </c:extLst>
            </c:dLbl>
            <c:dLbl>
              <c:idx val="2"/>
              <c:layout>
                <c:manualLayout>
                  <c:x val="9.8890544280297935E-2"/>
                  <c:y val="-0.21140646956227008"/>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0C0F-4F9F-B443-0D039FDF7F8E}"/>
                </c:ext>
              </c:extLst>
            </c:dLbl>
            <c:dLbl>
              <c:idx val="3"/>
              <c:layout>
                <c:manualLayout>
                  <c:x val="0.15255567363895461"/>
                  <c:y val="-0.26371302802396335"/>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2-0C0F-4F9F-B443-0D039FDF7F8E}"/>
                </c:ext>
              </c:extLst>
            </c:dLbl>
            <c:dLbl>
              <c:idx val="5"/>
              <c:layout>
                <c:manualLayout>
                  <c:x val="-3.2939120189414181E-2"/>
                  <c:y val="-4.2219160104986879E-2"/>
                </c:manualLayout>
              </c:layout>
              <c:spPr/>
              <c:txPr>
                <a:bodyPr/>
                <a:lstStyle/>
                <a:p>
                  <a:pPr>
                    <a:defRPr b="1">
                      <a:solidFill>
                        <a:schemeClr val="tx1"/>
                      </a:solidFill>
                    </a:defRPr>
                  </a:pPr>
                  <a:endParaRPr lang="en-US"/>
                </a:p>
              </c:txPr>
              <c:dLblPos val="bestFit"/>
              <c:showLegendKey val="1"/>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0C0F-4F9F-B443-0D039FDF7F8E}"/>
                </c:ext>
              </c:extLst>
            </c:dLbl>
            <c:spPr>
              <a:noFill/>
              <a:ln>
                <a:noFill/>
              </a:ln>
              <a:effectLst/>
            </c:spPr>
            <c:txPr>
              <a:bodyPr/>
              <a:lstStyle/>
              <a:p>
                <a:pPr>
                  <a:defRPr b="1">
                    <a:solidFill>
                      <a:schemeClr val="bg1"/>
                    </a:solidFill>
                  </a:defRPr>
                </a:pPr>
                <a:endParaRPr lang="en-US"/>
              </a:p>
            </c:txPr>
            <c:dLblPos val="inEnd"/>
            <c:showLegendKey val="0"/>
            <c:showVal val="0"/>
            <c:showCatName val="1"/>
            <c:showSerName val="0"/>
            <c:showPercent val="1"/>
            <c:showBubbleSize val="0"/>
            <c:separator> </c:separator>
            <c:showLeaderLines val="0"/>
            <c:extLst>
              <c:ext xmlns:c15="http://schemas.microsoft.com/office/drawing/2012/chart" uri="{CE6537A1-D6FC-4f65-9D91-7224C49458BB}"/>
            </c:extLst>
          </c:dLbls>
          <c:cat>
            <c:strRef>
              <c:f>'SUBREGIONS graphs'!$B$151:$G$151</c:f>
              <c:strCache>
                <c:ptCount val="6"/>
                <c:pt idx="0">
                  <c:v>Australia and New Zealand</c:v>
                </c:pt>
                <c:pt idx="1">
                  <c:v>Northern America</c:v>
                </c:pt>
                <c:pt idx="2">
                  <c:v>Northern Europe</c:v>
                </c:pt>
                <c:pt idx="3">
                  <c:v>Southern Europe</c:v>
                </c:pt>
                <c:pt idx="4">
                  <c:v>Western Europe</c:v>
                </c:pt>
                <c:pt idx="5">
                  <c:v>Blank</c:v>
                </c:pt>
              </c:strCache>
            </c:strRef>
          </c:cat>
          <c:val>
            <c:numRef>
              <c:f>'SUBREGIONS graphs'!$B$152:$G$152</c:f>
              <c:numCache>
                <c:formatCode>General</c:formatCode>
                <c:ptCount val="6"/>
                <c:pt idx="0">
                  <c:v>14</c:v>
                </c:pt>
                <c:pt idx="1">
                  <c:v>57</c:v>
                </c:pt>
                <c:pt idx="2">
                  <c:v>18</c:v>
                </c:pt>
                <c:pt idx="3">
                  <c:v>40</c:v>
                </c:pt>
                <c:pt idx="4">
                  <c:v>92</c:v>
                </c:pt>
                <c:pt idx="5">
                  <c:v>19</c:v>
                </c:pt>
              </c:numCache>
            </c:numRef>
          </c:val>
          <c:extLst>
            <c:ext xmlns:c16="http://schemas.microsoft.com/office/drawing/2014/chart" uri="{C3380CC4-5D6E-409C-BE32-E72D297353CC}">
              <c16:uniqueId val="{00000004-0C0F-4F9F-B443-0D039FDF7F8E}"/>
            </c:ext>
          </c:extLst>
        </c:ser>
        <c:dLbls>
          <c:showLegendKey val="0"/>
          <c:showVal val="0"/>
          <c:showCatName val="1"/>
          <c:showSerName val="0"/>
          <c:showPercent val="1"/>
          <c:showBubbleSize val="0"/>
          <c:showLeaderLines val="0"/>
        </c:dLbls>
      </c:pie3DChart>
    </c:plotArea>
    <c:plotVisOnly val="1"/>
    <c:dispBlanksAs val="gap"/>
    <c:showDLblsOverMax val="0"/>
  </c:chart>
  <c:spPr>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extLst>
              <c:ext xmlns:c16="http://schemas.microsoft.com/office/drawing/2014/chart" uri="{C3380CC4-5D6E-409C-BE32-E72D297353CC}">
                <c16:uniqueId val="{00000000-E1D2-4A5D-BB46-F2527814788C}"/>
              </c:ext>
            </c:extLst>
          </c:dPt>
          <c:dPt>
            <c:idx val="1"/>
            <c:bubble3D val="0"/>
            <c:spPr>
              <a:pattFill prst="dkDnDiag">
                <a:fgClr>
                  <a:srgbClr val="0070C0"/>
                </a:fgClr>
                <a:bgClr>
                  <a:schemeClr val="bg1"/>
                </a:bgClr>
              </a:pattFill>
            </c:spPr>
            <c:extLst>
              <c:ext xmlns:c16="http://schemas.microsoft.com/office/drawing/2014/chart" uri="{C3380CC4-5D6E-409C-BE32-E72D297353CC}">
                <c16:uniqueId val="{00000002-E1D2-4A5D-BB46-F2527814788C}"/>
              </c:ext>
            </c:extLst>
          </c:dPt>
          <c:dPt>
            <c:idx val="2"/>
            <c:bubble3D val="0"/>
            <c:spPr>
              <a:solidFill>
                <a:srgbClr val="92D050"/>
              </a:solidFill>
            </c:spPr>
            <c:extLst>
              <c:ext xmlns:c16="http://schemas.microsoft.com/office/drawing/2014/chart" uri="{C3380CC4-5D6E-409C-BE32-E72D297353CC}">
                <c16:uniqueId val="{00000004-E1D2-4A5D-BB46-F2527814788C}"/>
              </c:ext>
            </c:extLst>
          </c:dPt>
          <c:dPt>
            <c:idx val="3"/>
            <c:bubble3D val="0"/>
            <c:spPr>
              <a:pattFill prst="dkUpDiag">
                <a:fgClr>
                  <a:srgbClr val="92D050"/>
                </a:fgClr>
                <a:bgClr>
                  <a:schemeClr val="bg1"/>
                </a:bgClr>
              </a:pattFill>
            </c:spPr>
            <c:extLst>
              <c:ext xmlns:c16="http://schemas.microsoft.com/office/drawing/2014/chart" uri="{C3380CC4-5D6E-409C-BE32-E72D297353CC}">
                <c16:uniqueId val="{00000006-E1D2-4A5D-BB46-F2527814788C}"/>
              </c:ext>
            </c:extLst>
          </c:dPt>
          <c:dLbls>
            <c:dLbl>
              <c:idx val="0"/>
              <c:layout>
                <c:manualLayout>
                  <c:x val="-0.11442547489309547"/>
                  <c:y val="-2.991211761842371E-2"/>
                </c:manualLayout>
              </c:layout>
              <c:spPr/>
              <c:txPr>
                <a:bodyPr/>
                <a:lstStyle/>
                <a:p>
                  <a:pPr>
                    <a:defRPr b="1">
                      <a:solidFill>
                        <a:schemeClr val="bg1"/>
                      </a:solidFill>
                    </a:defRPr>
                  </a:pPr>
                  <a:endParaRPr lang="en-US"/>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E1D2-4A5D-BB46-F2527814788C}"/>
                </c:ext>
              </c:extLst>
            </c:dLbl>
            <c:dLbl>
              <c:idx val="1"/>
              <c:layout>
                <c:manualLayout>
                  <c:x val="5.0419093568600061E-2"/>
                  <c:y val="-0.10401280809724148"/>
                </c:manualLayout>
              </c:layout>
              <c:spPr>
                <a:solidFill>
                  <a:srgbClr val="0070C0"/>
                </a:solidFill>
              </c:spPr>
              <c:txPr>
                <a:bodyPr/>
                <a:lstStyle/>
                <a:p>
                  <a:pPr>
                    <a:defRPr b="1">
                      <a:solidFill>
                        <a:schemeClr val="bg1"/>
                      </a:solidFill>
                    </a:defRPr>
                  </a:pPr>
                  <a:endParaRPr lang="en-US"/>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E1D2-4A5D-BB46-F2527814788C}"/>
                </c:ext>
              </c:extLst>
            </c:dLbl>
            <c:dLbl>
              <c:idx val="2"/>
              <c:layout>
                <c:manualLayout>
                  <c:x val="0.11954182864955688"/>
                  <c:y val="6.1677067750796268E-2"/>
                </c:manualLayout>
              </c:layout>
              <c:spPr/>
              <c:txPr>
                <a:bodyPr/>
                <a:lstStyle/>
                <a:p>
                  <a:pPr>
                    <a:defRPr b="1">
                      <a:solidFill>
                        <a:schemeClr val="bg1"/>
                      </a:solidFill>
                    </a:defRPr>
                  </a:pPr>
                  <a:endParaRPr lang="en-US"/>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E1D2-4A5D-BB46-F2527814788C}"/>
                </c:ext>
              </c:extLst>
            </c:dLbl>
            <c:dLbl>
              <c:idx val="3"/>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E1D2-4A5D-BB46-F2527814788C}"/>
                </c:ext>
              </c:extLst>
            </c:dLbl>
            <c:spPr>
              <a:noFill/>
              <a:ln>
                <a:noFill/>
              </a:ln>
              <a:effectLst/>
            </c:spPr>
            <c:txPr>
              <a:bodyPr/>
              <a:lstStyle/>
              <a:p>
                <a:pPr>
                  <a:defRPr b="1"/>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'indiv vs rep vs region'!$B$25:$E$25</c:f>
              <c:strCache>
                <c:ptCount val="4"/>
                <c:pt idx="0">
                  <c:v>I engage with IPBES in my individual capacity - affiliated </c:v>
                </c:pt>
                <c:pt idx="1">
                  <c:v>I engage with IPBES in my individual capacity - non affiliated </c:v>
                </c:pt>
                <c:pt idx="2">
                  <c:v>I engage with IPBES on behalf of an organization/institution - affiliated</c:v>
                </c:pt>
                <c:pt idx="3">
                  <c:v>I engage with IPBES on behalf of an organization/institution - non affiliated</c:v>
                </c:pt>
              </c:strCache>
            </c:strRef>
          </c:cat>
          <c:val>
            <c:numRef>
              <c:f>'indiv vs rep vs region'!$B$26:$E$26</c:f>
              <c:numCache>
                <c:formatCode>0</c:formatCode>
                <c:ptCount val="4"/>
                <c:pt idx="0">
                  <c:v>55.635491606714631</c:v>
                </c:pt>
                <c:pt idx="1">
                  <c:v>5.3956834532374103</c:v>
                </c:pt>
                <c:pt idx="2">
                  <c:v>38.009592326139092</c:v>
                </c:pt>
                <c:pt idx="3">
                  <c:v>0.95923261390887293</c:v>
                </c:pt>
              </c:numCache>
            </c:numRef>
          </c:val>
          <c:extLst>
            <c:ext xmlns:c16="http://schemas.microsoft.com/office/drawing/2014/chart" uri="{C3380CC4-5D6E-409C-BE32-E72D297353CC}">
              <c16:uniqueId val="{00000007-E1D2-4A5D-BB46-F2527814788C}"/>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55645256430554868"/>
          <c:y val="7.9101888130414258E-2"/>
          <c:w val="0.40580979191506211"/>
          <c:h val="0.88077466794355985"/>
        </c:manualLayout>
      </c:layout>
      <c:overlay val="0"/>
    </c:legend>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en-GB" sz="1100" b="1" i="0" u="none" strike="noStrike" kern="1200" baseline="0">
                <a:solidFill>
                  <a:sysClr val="windowText" lastClr="000000"/>
                </a:solidFill>
                <a:latin typeface="+mn-lt"/>
                <a:ea typeface="+mn-ea"/>
                <a:cs typeface="+mn-cs"/>
              </a:rPr>
              <a:t>Organizational/institutional</a:t>
            </a:r>
            <a:r>
              <a:rPr lang="en-GB" sz="1100"/>
              <a:t> categories</a:t>
            </a:r>
          </a:p>
        </c:rich>
      </c:tx>
      <c:layout>
        <c:manualLayout>
          <c:xMode val="edge"/>
          <c:yMode val="edge"/>
          <c:x val="0.28678591604304554"/>
          <c:y val="3.2410870107205184E-2"/>
        </c:manualLayout>
      </c:layout>
      <c:overlay val="0"/>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41973595353038734"/>
          <c:y val="0.12583513837921764"/>
          <c:w val="0.55011785724878781"/>
          <c:h val="0.83808110373637845"/>
        </c:manualLayout>
      </c:layout>
      <c:bar3DChart>
        <c:barDir val="bar"/>
        <c:grouping val="clustered"/>
        <c:varyColors val="0"/>
        <c:ser>
          <c:idx val="0"/>
          <c:order val="0"/>
          <c:tx>
            <c:strRef>
              <c:f>'org vs regions'!$B$53</c:f>
              <c:strCache>
                <c:ptCount val="1"/>
                <c:pt idx="0">
                  <c:v>Total</c:v>
                </c:pt>
              </c:strCache>
            </c:strRef>
          </c:tx>
          <c:invertIfNegative val="0"/>
          <c:dLbls>
            <c:dLbl>
              <c:idx val="0"/>
              <c:spPr>
                <a:solidFill>
                  <a:schemeClr val="bg1"/>
                </a:solidFill>
              </c:spPr>
              <c:txPr>
                <a:bodyPr/>
                <a:lstStyle/>
                <a:p>
                  <a:pPr>
                    <a:defRPr/>
                  </a:pPr>
                  <a:endParaRPr lang="en-US"/>
                </a:p>
              </c:txPr>
              <c:showLegendKey val="0"/>
              <c:showVal val="1"/>
              <c:showCatName val="0"/>
              <c:showSerName val="0"/>
              <c:showPercent val="0"/>
              <c:showBubbleSize val="0"/>
              <c:extLst>
                <c:ext xmlns:c16="http://schemas.microsoft.com/office/drawing/2014/chart" uri="{C3380CC4-5D6E-409C-BE32-E72D297353CC}">
                  <c16:uniqueId val="{00000000-4E13-48B0-974E-A3481EEF632B}"/>
                </c:ext>
              </c:extLst>
            </c:dLbl>
            <c:dLbl>
              <c:idx val="3"/>
              <c:spPr>
                <a:solidFill>
                  <a:schemeClr val="bg1"/>
                </a:solidFill>
              </c:spPr>
              <c:txPr>
                <a:bodyPr/>
                <a:lstStyle/>
                <a:p>
                  <a:pPr>
                    <a:defRPr/>
                  </a:pPr>
                  <a:endParaRPr lang="en-US"/>
                </a:p>
              </c:txPr>
              <c:showLegendKey val="0"/>
              <c:showVal val="1"/>
              <c:showCatName val="0"/>
              <c:showSerName val="0"/>
              <c:showPercent val="0"/>
              <c:showBubbleSize val="0"/>
              <c:extLst>
                <c:ext xmlns:c16="http://schemas.microsoft.com/office/drawing/2014/chart" uri="{C3380CC4-5D6E-409C-BE32-E72D297353CC}">
                  <c16:uniqueId val="{00000001-4E13-48B0-974E-A3481EEF632B}"/>
                </c:ext>
              </c:extLst>
            </c:dLbl>
            <c:dLbl>
              <c:idx val="9"/>
              <c:spPr>
                <a:solidFill>
                  <a:schemeClr val="bg1"/>
                </a:solidFill>
              </c:spPr>
              <c:txPr>
                <a:bodyPr/>
                <a:lstStyle/>
                <a:p>
                  <a:pPr>
                    <a:defRPr/>
                  </a:pPr>
                  <a:endParaRPr lang="en-US"/>
                </a:p>
              </c:txPr>
              <c:showLegendKey val="0"/>
              <c:showVal val="1"/>
              <c:showCatName val="0"/>
              <c:showSerName val="0"/>
              <c:showPercent val="0"/>
              <c:showBubbleSize val="0"/>
              <c:extLst>
                <c:ext xmlns:c16="http://schemas.microsoft.com/office/drawing/2014/chart" uri="{C3380CC4-5D6E-409C-BE32-E72D297353CC}">
                  <c16:uniqueId val="{00000002-4E13-48B0-974E-A3481EEF632B}"/>
                </c:ext>
              </c:extLst>
            </c:dLbl>
            <c:spPr>
              <a:solidFill>
                <a:schemeClr val="bg1"/>
              </a:solidFill>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 vs regions'!$A$54:$A$74</c:f>
              <c:strCache>
                <c:ptCount val="21"/>
                <c:pt idx="0">
                  <c:v> Academic institution</c:v>
                </c:pt>
                <c:pt idx="1">
                  <c:v> Civil society organisation</c:v>
                </c:pt>
                <c:pt idx="2">
                  <c:v> Commission</c:v>
                </c:pt>
                <c:pt idx="3">
                  <c:v> Government</c:v>
                </c:pt>
                <c:pt idx="4">
                  <c:v> Indigenous and local knowledge network</c:v>
                </c:pt>
                <c:pt idx="5">
                  <c:v> Indigenous community platform</c:v>
                </c:pt>
                <c:pt idx="6">
                  <c:v> Intergovernmental organisation</c:v>
                </c:pt>
                <c:pt idx="7">
                  <c:v> Intergovernmental scientific organisation</c:v>
                </c:pt>
                <c:pt idx="8">
                  <c:v> Media</c:v>
                </c:pt>
                <c:pt idx="9">
                  <c:v> Non-governmental organisation</c:v>
                </c:pt>
                <c:pt idx="10">
                  <c:v> Platform for practitioners</c:v>
                </c:pt>
                <c:pt idx="11">
                  <c:v> Private sector organisation</c:v>
                </c:pt>
                <c:pt idx="12">
                  <c:v> Research centre</c:v>
                </c:pt>
                <c:pt idx="13">
                  <c:v> Research initiative</c:v>
                </c:pt>
                <c:pt idx="14">
                  <c:v> Scientific advisory group</c:v>
                </c:pt>
                <c:pt idx="15">
                  <c:v> Scientific network</c:v>
                </c:pt>
                <c:pt idx="16">
                  <c:v> Scientific programme</c:v>
                </c:pt>
                <c:pt idx="17">
                  <c:v> Specialist “boundary” organisation</c:v>
                </c:pt>
                <c:pt idx="18">
                  <c:v> Student network</c:v>
                </c:pt>
                <c:pt idx="19">
                  <c:v> Subsidiary body or mechanism established under a MEA</c:v>
                </c:pt>
                <c:pt idx="20">
                  <c:v> UN Programme</c:v>
                </c:pt>
              </c:strCache>
            </c:strRef>
          </c:cat>
          <c:val>
            <c:numRef>
              <c:f>'org vs regions'!$B$54:$B$74</c:f>
              <c:numCache>
                <c:formatCode>General</c:formatCode>
                <c:ptCount val="21"/>
                <c:pt idx="0">
                  <c:v>116</c:v>
                </c:pt>
                <c:pt idx="1">
                  <c:v>25</c:v>
                </c:pt>
                <c:pt idx="2">
                  <c:v>2</c:v>
                </c:pt>
                <c:pt idx="3">
                  <c:v>100</c:v>
                </c:pt>
                <c:pt idx="4">
                  <c:v>16</c:v>
                </c:pt>
                <c:pt idx="5">
                  <c:v>4</c:v>
                </c:pt>
                <c:pt idx="6">
                  <c:v>9</c:v>
                </c:pt>
                <c:pt idx="7">
                  <c:v>9</c:v>
                </c:pt>
                <c:pt idx="9">
                  <c:v>55</c:v>
                </c:pt>
                <c:pt idx="10">
                  <c:v>5</c:v>
                </c:pt>
                <c:pt idx="11">
                  <c:v>10</c:v>
                </c:pt>
                <c:pt idx="12">
                  <c:v>71</c:v>
                </c:pt>
                <c:pt idx="13">
                  <c:v>5</c:v>
                </c:pt>
                <c:pt idx="14">
                  <c:v>12</c:v>
                </c:pt>
                <c:pt idx="15">
                  <c:v>21</c:v>
                </c:pt>
                <c:pt idx="16">
                  <c:v>5</c:v>
                </c:pt>
                <c:pt idx="17">
                  <c:v>4</c:v>
                </c:pt>
                <c:pt idx="19">
                  <c:v>1</c:v>
                </c:pt>
                <c:pt idx="20">
                  <c:v>6</c:v>
                </c:pt>
              </c:numCache>
            </c:numRef>
          </c:val>
          <c:extLst>
            <c:ext xmlns:c16="http://schemas.microsoft.com/office/drawing/2014/chart" uri="{C3380CC4-5D6E-409C-BE32-E72D297353CC}">
              <c16:uniqueId val="{00000003-EDB7-404D-B524-896F71043EA6}"/>
            </c:ext>
          </c:extLst>
        </c:ser>
        <c:dLbls>
          <c:showLegendKey val="0"/>
          <c:showVal val="0"/>
          <c:showCatName val="0"/>
          <c:showSerName val="0"/>
          <c:showPercent val="0"/>
          <c:showBubbleSize val="0"/>
        </c:dLbls>
        <c:gapWidth val="75"/>
        <c:shape val="box"/>
        <c:axId val="112689152"/>
        <c:axId val="112690688"/>
        <c:axId val="0"/>
      </c:bar3DChart>
      <c:catAx>
        <c:axId val="112689152"/>
        <c:scaling>
          <c:orientation val="maxMin"/>
        </c:scaling>
        <c:delete val="0"/>
        <c:axPos val="l"/>
        <c:numFmt formatCode="General" sourceLinked="0"/>
        <c:majorTickMark val="none"/>
        <c:minorTickMark val="none"/>
        <c:tickLblPos val="nextTo"/>
        <c:crossAx val="112690688"/>
        <c:crosses val="autoZero"/>
        <c:auto val="1"/>
        <c:lblAlgn val="ctr"/>
        <c:lblOffset val="100"/>
        <c:noMultiLvlLbl val="0"/>
      </c:catAx>
      <c:valAx>
        <c:axId val="112690688"/>
        <c:scaling>
          <c:orientation val="minMax"/>
        </c:scaling>
        <c:delete val="0"/>
        <c:axPos val="t"/>
        <c:majorGridlines/>
        <c:numFmt formatCode="General" sourceLinked="1"/>
        <c:majorTickMark val="none"/>
        <c:minorTickMark val="none"/>
        <c:tickLblPos val="nextTo"/>
        <c:spPr>
          <a:ln w="6350">
            <a:noFill/>
          </a:ln>
        </c:spPr>
        <c:crossAx val="112689152"/>
        <c:crosses val="autoZero"/>
        <c:crossBetween val="between"/>
      </c:valAx>
      <c:spPr>
        <a:ln>
          <a:noFill/>
        </a:ln>
      </c:spPr>
    </c:plotArea>
    <c:plotVisOnly val="1"/>
    <c:dispBlanksAs val="gap"/>
    <c:showDLblsOverMax val="0"/>
  </c:chart>
  <c:spPr>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en-GB" sz="1100" b="1" i="0" u="none" strike="noStrike" kern="1200" baseline="0">
                <a:solidFill>
                  <a:sysClr val="windowText" lastClr="000000"/>
                </a:solidFill>
                <a:latin typeface="+mn-lt"/>
                <a:ea typeface="+mn-ea"/>
                <a:cs typeface="+mn-cs"/>
              </a:rPr>
              <a:t>Organizational/institutional</a:t>
            </a:r>
            <a:r>
              <a:rPr lang="en-GB" sz="1100"/>
              <a:t> categories per region</a:t>
            </a:r>
          </a:p>
        </c:rich>
      </c:tx>
      <c:overlay val="0"/>
    </c:title>
    <c:autoTitleDeleted val="0"/>
    <c:plotArea>
      <c:layout/>
      <c:barChart>
        <c:barDir val="bar"/>
        <c:grouping val="percentStacked"/>
        <c:varyColors val="0"/>
        <c:ser>
          <c:idx val="0"/>
          <c:order val="0"/>
          <c:tx>
            <c:strRef>
              <c:f>'org categories'!$Q$5</c:f>
              <c:strCache>
                <c:ptCount val="1"/>
                <c:pt idx="0">
                  <c:v>AF</c:v>
                </c:pt>
              </c:strCache>
            </c:strRef>
          </c:tx>
          <c:invertIfNegative val="0"/>
          <c:dLbls>
            <c:dLbl>
              <c:idx val="2"/>
              <c:delete val="1"/>
              <c:extLst>
                <c:ext xmlns:c15="http://schemas.microsoft.com/office/drawing/2012/chart" uri="{CE6537A1-D6FC-4f65-9D91-7224C49458BB}"/>
                <c:ext xmlns:c16="http://schemas.microsoft.com/office/drawing/2014/chart" uri="{C3380CC4-5D6E-409C-BE32-E72D297353CC}">
                  <c16:uniqueId val="{00000000-EAB1-4F46-8770-7454A40E80CA}"/>
                </c:ext>
              </c:extLst>
            </c:dLbl>
            <c:dLbl>
              <c:idx val="7"/>
              <c:delete val="1"/>
              <c:extLst>
                <c:ext xmlns:c15="http://schemas.microsoft.com/office/drawing/2012/chart" uri="{CE6537A1-D6FC-4f65-9D91-7224C49458BB}"/>
                <c:ext xmlns:c16="http://schemas.microsoft.com/office/drawing/2014/chart" uri="{C3380CC4-5D6E-409C-BE32-E72D297353CC}">
                  <c16:uniqueId val="{00000001-EAB1-4F46-8770-7454A40E80CA}"/>
                </c:ext>
              </c:extLst>
            </c:dLbl>
            <c:dLbl>
              <c:idx val="11"/>
              <c:delete val="1"/>
              <c:extLst>
                <c:ext xmlns:c15="http://schemas.microsoft.com/office/drawing/2012/chart" uri="{CE6537A1-D6FC-4f65-9D91-7224C49458BB}"/>
                <c:ext xmlns:c16="http://schemas.microsoft.com/office/drawing/2014/chart" uri="{C3380CC4-5D6E-409C-BE32-E72D297353CC}">
                  <c16:uniqueId val="{00000002-EAB1-4F46-8770-7454A40E80CA}"/>
                </c:ext>
              </c:extLst>
            </c:dLbl>
            <c:dLbl>
              <c:idx val="17"/>
              <c:delete val="1"/>
              <c:extLst>
                <c:ext xmlns:c15="http://schemas.microsoft.com/office/drawing/2012/chart" uri="{CE6537A1-D6FC-4f65-9D91-7224C49458BB}"/>
                <c:ext xmlns:c16="http://schemas.microsoft.com/office/drawing/2014/chart" uri="{C3380CC4-5D6E-409C-BE32-E72D297353CC}">
                  <c16:uniqueId val="{00000003-EAB1-4F46-8770-7454A40E80CA}"/>
                </c:ext>
              </c:extLst>
            </c:dLbl>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 categories'!$I$6:$I$26</c:f>
              <c:strCache>
                <c:ptCount val="21"/>
                <c:pt idx="0">
                  <c:v> Academic institution</c:v>
                </c:pt>
                <c:pt idx="1">
                  <c:v> Civil society organisation</c:v>
                </c:pt>
                <c:pt idx="2">
                  <c:v> Commission</c:v>
                </c:pt>
                <c:pt idx="3">
                  <c:v> Government</c:v>
                </c:pt>
                <c:pt idx="4">
                  <c:v> Indigenous and local knowledge network</c:v>
                </c:pt>
                <c:pt idx="5">
                  <c:v> Indigenous community platform</c:v>
                </c:pt>
                <c:pt idx="6">
                  <c:v> Intergovernmental organisation</c:v>
                </c:pt>
                <c:pt idx="7">
                  <c:v> Intergovernmental scientific organisation</c:v>
                </c:pt>
                <c:pt idx="8">
                  <c:v> Media</c:v>
                </c:pt>
                <c:pt idx="9">
                  <c:v> Non-governmental organisation</c:v>
                </c:pt>
                <c:pt idx="10">
                  <c:v> Platform for practitioners</c:v>
                </c:pt>
                <c:pt idx="11">
                  <c:v> Private sector organisation</c:v>
                </c:pt>
                <c:pt idx="12">
                  <c:v> Research centre</c:v>
                </c:pt>
                <c:pt idx="13">
                  <c:v> Research initiative</c:v>
                </c:pt>
                <c:pt idx="14">
                  <c:v> Scientific advisory group</c:v>
                </c:pt>
                <c:pt idx="15">
                  <c:v> Scientific network</c:v>
                </c:pt>
                <c:pt idx="16">
                  <c:v> Scientific programme</c:v>
                </c:pt>
                <c:pt idx="17">
                  <c:v> Specialist “boundary” organisation</c:v>
                </c:pt>
                <c:pt idx="18">
                  <c:v> Student network</c:v>
                </c:pt>
                <c:pt idx="19">
                  <c:v> Subsidiary body or mechanism established under a Multilateral Environmental Agreement</c:v>
                </c:pt>
                <c:pt idx="20">
                  <c:v> UN Programme</c:v>
                </c:pt>
              </c:strCache>
            </c:strRef>
          </c:cat>
          <c:val>
            <c:numRef>
              <c:f>'org categories'!$Q$6:$Q$26</c:f>
              <c:numCache>
                <c:formatCode>0.000</c:formatCode>
                <c:ptCount val="21"/>
                <c:pt idx="0">
                  <c:v>0.18965517241379309</c:v>
                </c:pt>
                <c:pt idx="1">
                  <c:v>0.52</c:v>
                </c:pt>
                <c:pt idx="2">
                  <c:v>0</c:v>
                </c:pt>
                <c:pt idx="3">
                  <c:v>0.3</c:v>
                </c:pt>
                <c:pt idx="4">
                  <c:v>0.375</c:v>
                </c:pt>
                <c:pt idx="5">
                  <c:v>1</c:v>
                </c:pt>
                <c:pt idx="6">
                  <c:v>0.22222222222222221</c:v>
                </c:pt>
                <c:pt idx="7">
                  <c:v>0</c:v>
                </c:pt>
                <c:pt idx="9">
                  <c:v>0.25454545454545452</c:v>
                </c:pt>
                <c:pt idx="10">
                  <c:v>0.6</c:v>
                </c:pt>
                <c:pt idx="11">
                  <c:v>0</c:v>
                </c:pt>
                <c:pt idx="12">
                  <c:v>0.22535211267605634</c:v>
                </c:pt>
                <c:pt idx="13">
                  <c:v>0.4</c:v>
                </c:pt>
                <c:pt idx="14">
                  <c:v>0.25</c:v>
                </c:pt>
                <c:pt idx="15">
                  <c:v>0.23809523809523808</c:v>
                </c:pt>
                <c:pt idx="16">
                  <c:v>0.2</c:v>
                </c:pt>
                <c:pt idx="17">
                  <c:v>0</c:v>
                </c:pt>
                <c:pt idx="19">
                  <c:v>1</c:v>
                </c:pt>
                <c:pt idx="20">
                  <c:v>0.33333333333333331</c:v>
                </c:pt>
              </c:numCache>
            </c:numRef>
          </c:val>
          <c:extLst>
            <c:ext xmlns:c16="http://schemas.microsoft.com/office/drawing/2014/chart" uri="{C3380CC4-5D6E-409C-BE32-E72D297353CC}">
              <c16:uniqueId val="{00000004-EAB1-4F46-8770-7454A40E80CA}"/>
            </c:ext>
          </c:extLst>
        </c:ser>
        <c:ser>
          <c:idx val="1"/>
          <c:order val="1"/>
          <c:tx>
            <c:strRef>
              <c:f>'org categories'!$R$5</c:f>
              <c:strCache>
                <c:ptCount val="1"/>
                <c:pt idx="0">
                  <c:v>AP</c:v>
                </c:pt>
              </c:strCache>
            </c:strRef>
          </c:tx>
          <c:invertIfNegative val="0"/>
          <c:dLbls>
            <c:dLbl>
              <c:idx val="2"/>
              <c:delete val="1"/>
              <c:extLst>
                <c:ext xmlns:c15="http://schemas.microsoft.com/office/drawing/2012/chart" uri="{CE6537A1-D6FC-4f65-9D91-7224C49458BB}"/>
                <c:ext xmlns:c16="http://schemas.microsoft.com/office/drawing/2014/chart" uri="{C3380CC4-5D6E-409C-BE32-E72D297353CC}">
                  <c16:uniqueId val="{00000005-EAB1-4F46-8770-7454A40E80CA}"/>
                </c:ext>
              </c:extLst>
            </c:dLbl>
            <c:dLbl>
              <c:idx val="5"/>
              <c:delete val="1"/>
              <c:extLst>
                <c:ext xmlns:c15="http://schemas.microsoft.com/office/drawing/2012/chart" uri="{CE6537A1-D6FC-4f65-9D91-7224C49458BB}"/>
                <c:ext xmlns:c16="http://schemas.microsoft.com/office/drawing/2014/chart" uri="{C3380CC4-5D6E-409C-BE32-E72D297353CC}">
                  <c16:uniqueId val="{00000006-EAB1-4F46-8770-7454A40E80CA}"/>
                </c:ext>
              </c:extLst>
            </c:dLbl>
            <c:dLbl>
              <c:idx val="10"/>
              <c:delete val="1"/>
              <c:extLst>
                <c:ext xmlns:c15="http://schemas.microsoft.com/office/drawing/2012/chart" uri="{CE6537A1-D6FC-4f65-9D91-7224C49458BB}"/>
                <c:ext xmlns:c16="http://schemas.microsoft.com/office/drawing/2014/chart" uri="{C3380CC4-5D6E-409C-BE32-E72D297353CC}">
                  <c16:uniqueId val="{00000007-EAB1-4F46-8770-7454A40E80CA}"/>
                </c:ext>
              </c:extLst>
            </c:dLbl>
            <c:dLbl>
              <c:idx val="13"/>
              <c:delete val="1"/>
              <c:extLst>
                <c:ext xmlns:c15="http://schemas.microsoft.com/office/drawing/2012/chart" uri="{CE6537A1-D6FC-4f65-9D91-7224C49458BB}"/>
                <c:ext xmlns:c16="http://schemas.microsoft.com/office/drawing/2014/chart" uri="{C3380CC4-5D6E-409C-BE32-E72D297353CC}">
                  <c16:uniqueId val="{00000008-EAB1-4F46-8770-7454A40E80CA}"/>
                </c:ext>
              </c:extLst>
            </c:dLbl>
            <c:dLbl>
              <c:idx val="19"/>
              <c:delete val="1"/>
              <c:extLst>
                <c:ext xmlns:c15="http://schemas.microsoft.com/office/drawing/2012/chart" uri="{CE6537A1-D6FC-4f65-9D91-7224C49458BB}"/>
                <c:ext xmlns:c16="http://schemas.microsoft.com/office/drawing/2014/chart" uri="{C3380CC4-5D6E-409C-BE32-E72D297353CC}">
                  <c16:uniqueId val="{00000009-EAB1-4F46-8770-7454A40E80CA}"/>
                </c:ext>
              </c:extLst>
            </c:dLbl>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 categories'!$I$6:$I$26</c:f>
              <c:strCache>
                <c:ptCount val="21"/>
                <c:pt idx="0">
                  <c:v> Academic institution</c:v>
                </c:pt>
                <c:pt idx="1">
                  <c:v> Civil society organisation</c:v>
                </c:pt>
                <c:pt idx="2">
                  <c:v> Commission</c:v>
                </c:pt>
                <c:pt idx="3">
                  <c:v> Government</c:v>
                </c:pt>
                <c:pt idx="4">
                  <c:v> Indigenous and local knowledge network</c:v>
                </c:pt>
                <c:pt idx="5">
                  <c:v> Indigenous community platform</c:v>
                </c:pt>
                <c:pt idx="6">
                  <c:v> Intergovernmental organisation</c:v>
                </c:pt>
                <c:pt idx="7">
                  <c:v> Intergovernmental scientific organisation</c:v>
                </c:pt>
                <c:pt idx="8">
                  <c:v> Media</c:v>
                </c:pt>
                <c:pt idx="9">
                  <c:v> Non-governmental organisation</c:v>
                </c:pt>
                <c:pt idx="10">
                  <c:v> Platform for practitioners</c:v>
                </c:pt>
                <c:pt idx="11">
                  <c:v> Private sector organisation</c:v>
                </c:pt>
                <c:pt idx="12">
                  <c:v> Research centre</c:v>
                </c:pt>
                <c:pt idx="13">
                  <c:v> Research initiative</c:v>
                </c:pt>
                <c:pt idx="14">
                  <c:v> Scientific advisory group</c:v>
                </c:pt>
                <c:pt idx="15">
                  <c:v> Scientific network</c:v>
                </c:pt>
                <c:pt idx="16">
                  <c:v> Scientific programme</c:v>
                </c:pt>
                <c:pt idx="17">
                  <c:v> Specialist “boundary” organisation</c:v>
                </c:pt>
                <c:pt idx="18">
                  <c:v> Student network</c:v>
                </c:pt>
                <c:pt idx="19">
                  <c:v> Subsidiary body or mechanism established under a Multilateral Environmental Agreement</c:v>
                </c:pt>
                <c:pt idx="20">
                  <c:v> UN Programme</c:v>
                </c:pt>
              </c:strCache>
            </c:strRef>
          </c:cat>
          <c:val>
            <c:numRef>
              <c:f>'org categories'!$R$6:$R$26</c:f>
              <c:numCache>
                <c:formatCode>0.000</c:formatCode>
                <c:ptCount val="21"/>
                <c:pt idx="0">
                  <c:v>0.17241379310344829</c:v>
                </c:pt>
                <c:pt idx="1">
                  <c:v>0.16</c:v>
                </c:pt>
                <c:pt idx="2">
                  <c:v>0</c:v>
                </c:pt>
                <c:pt idx="3">
                  <c:v>0.23</c:v>
                </c:pt>
                <c:pt idx="4">
                  <c:v>0.25</c:v>
                </c:pt>
                <c:pt idx="5">
                  <c:v>0</c:v>
                </c:pt>
                <c:pt idx="6">
                  <c:v>0.44444444444444442</c:v>
                </c:pt>
                <c:pt idx="7">
                  <c:v>0.22222222222222221</c:v>
                </c:pt>
                <c:pt idx="9">
                  <c:v>0.16363636363636364</c:v>
                </c:pt>
                <c:pt idx="10">
                  <c:v>0</c:v>
                </c:pt>
                <c:pt idx="11">
                  <c:v>0.3</c:v>
                </c:pt>
                <c:pt idx="12">
                  <c:v>0.23943661971830985</c:v>
                </c:pt>
                <c:pt idx="13">
                  <c:v>0</c:v>
                </c:pt>
                <c:pt idx="14">
                  <c:v>8.3333333333333329E-2</c:v>
                </c:pt>
                <c:pt idx="15">
                  <c:v>0.14285714285714285</c:v>
                </c:pt>
                <c:pt idx="16">
                  <c:v>0.2</c:v>
                </c:pt>
                <c:pt idx="17">
                  <c:v>0.25</c:v>
                </c:pt>
                <c:pt idx="19">
                  <c:v>0</c:v>
                </c:pt>
                <c:pt idx="20">
                  <c:v>0.33333333333333331</c:v>
                </c:pt>
              </c:numCache>
            </c:numRef>
          </c:val>
          <c:extLst>
            <c:ext xmlns:c16="http://schemas.microsoft.com/office/drawing/2014/chart" uri="{C3380CC4-5D6E-409C-BE32-E72D297353CC}">
              <c16:uniqueId val="{0000000A-EAB1-4F46-8770-7454A40E80CA}"/>
            </c:ext>
          </c:extLst>
        </c:ser>
        <c:ser>
          <c:idx val="2"/>
          <c:order val="2"/>
          <c:tx>
            <c:strRef>
              <c:f>'org categories'!$S$5</c:f>
              <c:strCache>
                <c:ptCount val="1"/>
                <c:pt idx="0">
                  <c:v>EE</c:v>
                </c:pt>
              </c:strCache>
            </c:strRef>
          </c:tx>
          <c:spPr>
            <a:solidFill>
              <a:srgbClr val="92D050"/>
            </a:solidFill>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B-EAB1-4F46-8770-7454A40E80CA}"/>
                </c:ext>
              </c:extLst>
            </c:dLbl>
            <c:dLbl>
              <c:idx val="2"/>
              <c:delete val="1"/>
              <c:extLst>
                <c:ext xmlns:c15="http://schemas.microsoft.com/office/drawing/2012/chart" uri="{CE6537A1-D6FC-4f65-9D91-7224C49458BB}"/>
                <c:ext xmlns:c16="http://schemas.microsoft.com/office/drawing/2014/chart" uri="{C3380CC4-5D6E-409C-BE32-E72D297353CC}">
                  <c16:uniqueId val="{0000000C-EAB1-4F46-8770-7454A40E80CA}"/>
                </c:ext>
              </c:extLst>
            </c:dLbl>
            <c:dLbl>
              <c:idx val="4"/>
              <c:delete val="1"/>
              <c:extLst>
                <c:ext xmlns:c15="http://schemas.microsoft.com/office/drawing/2012/chart" uri="{CE6537A1-D6FC-4f65-9D91-7224C49458BB}"/>
                <c:ext xmlns:c16="http://schemas.microsoft.com/office/drawing/2014/chart" uri="{C3380CC4-5D6E-409C-BE32-E72D297353CC}">
                  <c16:uniqueId val="{0000000D-EAB1-4F46-8770-7454A40E80CA}"/>
                </c:ext>
              </c:extLst>
            </c:dLbl>
            <c:dLbl>
              <c:idx val="5"/>
              <c:delete val="1"/>
              <c:extLst>
                <c:ext xmlns:c15="http://schemas.microsoft.com/office/drawing/2012/chart" uri="{CE6537A1-D6FC-4f65-9D91-7224C49458BB}"/>
                <c:ext xmlns:c16="http://schemas.microsoft.com/office/drawing/2014/chart" uri="{C3380CC4-5D6E-409C-BE32-E72D297353CC}">
                  <c16:uniqueId val="{0000000E-EAB1-4F46-8770-7454A40E80CA}"/>
                </c:ext>
              </c:extLst>
            </c:dLbl>
            <c:dLbl>
              <c:idx val="6"/>
              <c:delete val="1"/>
              <c:extLst>
                <c:ext xmlns:c15="http://schemas.microsoft.com/office/drawing/2012/chart" uri="{CE6537A1-D6FC-4f65-9D91-7224C49458BB}"/>
                <c:ext xmlns:c16="http://schemas.microsoft.com/office/drawing/2014/chart" uri="{C3380CC4-5D6E-409C-BE32-E72D297353CC}">
                  <c16:uniqueId val="{0000000F-EAB1-4F46-8770-7454A40E80CA}"/>
                </c:ext>
              </c:extLst>
            </c:dLbl>
            <c:dLbl>
              <c:idx val="7"/>
              <c:delete val="1"/>
              <c:extLst>
                <c:ext xmlns:c15="http://schemas.microsoft.com/office/drawing/2012/chart" uri="{CE6537A1-D6FC-4f65-9D91-7224C49458BB}"/>
                <c:ext xmlns:c16="http://schemas.microsoft.com/office/drawing/2014/chart" uri="{C3380CC4-5D6E-409C-BE32-E72D297353CC}">
                  <c16:uniqueId val="{00000010-EAB1-4F46-8770-7454A40E80CA}"/>
                </c:ext>
              </c:extLst>
            </c:dLbl>
            <c:dLbl>
              <c:idx val="10"/>
              <c:delete val="1"/>
              <c:extLst>
                <c:ext xmlns:c15="http://schemas.microsoft.com/office/drawing/2012/chart" uri="{CE6537A1-D6FC-4f65-9D91-7224C49458BB}"/>
                <c:ext xmlns:c16="http://schemas.microsoft.com/office/drawing/2014/chart" uri="{C3380CC4-5D6E-409C-BE32-E72D297353CC}">
                  <c16:uniqueId val="{00000011-EAB1-4F46-8770-7454A40E80CA}"/>
                </c:ext>
              </c:extLst>
            </c:dLbl>
            <c:dLbl>
              <c:idx val="11"/>
              <c:delete val="1"/>
              <c:extLst>
                <c:ext xmlns:c15="http://schemas.microsoft.com/office/drawing/2012/chart" uri="{CE6537A1-D6FC-4f65-9D91-7224C49458BB}"/>
                <c:ext xmlns:c16="http://schemas.microsoft.com/office/drawing/2014/chart" uri="{C3380CC4-5D6E-409C-BE32-E72D297353CC}">
                  <c16:uniqueId val="{00000012-EAB1-4F46-8770-7454A40E80CA}"/>
                </c:ext>
              </c:extLst>
            </c:dLbl>
            <c:dLbl>
              <c:idx val="13"/>
              <c:delete val="1"/>
              <c:extLst>
                <c:ext xmlns:c15="http://schemas.microsoft.com/office/drawing/2012/chart" uri="{CE6537A1-D6FC-4f65-9D91-7224C49458BB}"/>
                <c:ext xmlns:c16="http://schemas.microsoft.com/office/drawing/2014/chart" uri="{C3380CC4-5D6E-409C-BE32-E72D297353CC}">
                  <c16:uniqueId val="{00000013-EAB1-4F46-8770-7454A40E80CA}"/>
                </c:ext>
              </c:extLst>
            </c:dLbl>
            <c:dLbl>
              <c:idx val="14"/>
              <c:delete val="1"/>
              <c:extLst>
                <c:ext xmlns:c15="http://schemas.microsoft.com/office/drawing/2012/chart" uri="{CE6537A1-D6FC-4f65-9D91-7224C49458BB}"/>
                <c:ext xmlns:c16="http://schemas.microsoft.com/office/drawing/2014/chart" uri="{C3380CC4-5D6E-409C-BE32-E72D297353CC}">
                  <c16:uniqueId val="{00000014-EAB1-4F46-8770-7454A40E80CA}"/>
                </c:ext>
              </c:extLst>
            </c:dLbl>
            <c:dLbl>
              <c:idx val="16"/>
              <c:delete val="1"/>
              <c:extLst>
                <c:ext xmlns:c15="http://schemas.microsoft.com/office/drawing/2012/chart" uri="{CE6537A1-D6FC-4f65-9D91-7224C49458BB}"/>
                <c:ext xmlns:c16="http://schemas.microsoft.com/office/drawing/2014/chart" uri="{C3380CC4-5D6E-409C-BE32-E72D297353CC}">
                  <c16:uniqueId val="{00000015-EAB1-4F46-8770-7454A40E80CA}"/>
                </c:ext>
              </c:extLst>
            </c:dLbl>
            <c:dLbl>
              <c:idx val="17"/>
              <c:delete val="1"/>
              <c:extLst>
                <c:ext xmlns:c15="http://schemas.microsoft.com/office/drawing/2012/chart" uri="{CE6537A1-D6FC-4f65-9D91-7224C49458BB}"/>
                <c:ext xmlns:c16="http://schemas.microsoft.com/office/drawing/2014/chart" uri="{C3380CC4-5D6E-409C-BE32-E72D297353CC}">
                  <c16:uniqueId val="{00000016-EAB1-4F46-8770-7454A40E80CA}"/>
                </c:ext>
              </c:extLst>
            </c:dLbl>
            <c:dLbl>
              <c:idx val="19"/>
              <c:delete val="1"/>
              <c:extLst>
                <c:ext xmlns:c15="http://schemas.microsoft.com/office/drawing/2012/chart" uri="{CE6537A1-D6FC-4f65-9D91-7224C49458BB}"/>
                <c:ext xmlns:c16="http://schemas.microsoft.com/office/drawing/2014/chart" uri="{C3380CC4-5D6E-409C-BE32-E72D297353CC}">
                  <c16:uniqueId val="{00000017-EAB1-4F46-8770-7454A40E80CA}"/>
                </c:ext>
              </c:extLst>
            </c:dLbl>
            <c:dLbl>
              <c:idx val="20"/>
              <c:delete val="1"/>
              <c:extLst>
                <c:ext xmlns:c15="http://schemas.microsoft.com/office/drawing/2012/chart" uri="{CE6537A1-D6FC-4f65-9D91-7224C49458BB}"/>
                <c:ext xmlns:c16="http://schemas.microsoft.com/office/drawing/2014/chart" uri="{C3380CC4-5D6E-409C-BE32-E72D297353CC}">
                  <c16:uniqueId val="{00000018-EAB1-4F46-8770-7454A40E80CA}"/>
                </c:ext>
              </c:extLst>
            </c:dLbl>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 categories'!$I$6:$I$26</c:f>
              <c:strCache>
                <c:ptCount val="21"/>
                <c:pt idx="0">
                  <c:v> Academic institution</c:v>
                </c:pt>
                <c:pt idx="1">
                  <c:v> Civil society organisation</c:v>
                </c:pt>
                <c:pt idx="2">
                  <c:v> Commission</c:v>
                </c:pt>
                <c:pt idx="3">
                  <c:v> Government</c:v>
                </c:pt>
                <c:pt idx="4">
                  <c:v> Indigenous and local knowledge network</c:v>
                </c:pt>
                <c:pt idx="5">
                  <c:v> Indigenous community platform</c:v>
                </c:pt>
                <c:pt idx="6">
                  <c:v> Intergovernmental organisation</c:v>
                </c:pt>
                <c:pt idx="7">
                  <c:v> Intergovernmental scientific organisation</c:v>
                </c:pt>
                <c:pt idx="8">
                  <c:v> Media</c:v>
                </c:pt>
                <c:pt idx="9">
                  <c:v> Non-governmental organisation</c:v>
                </c:pt>
                <c:pt idx="10">
                  <c:v> Platform for practitioners</c:v>
                </c:pt>
                <c:pt idx="11">
                  <c:v> Private sector organisation</c:v>
                </c:pt>
                <c:pt idx="12">
                  <c:v> Research centre</c:v>
                </c:pt>
                <c:pt idx="13">
                  <c:v> Research initiative</c:v>
                </c:pt>
                <c:pt idx="14">
                  <c:v> Scientific advisory group</c:v>
                </c:pt>
                <c:pt idx="15">
                  <c:v> Scientific network</c:v>
                </c:pt>
                <c:pt idx="16">
                  <c:v> Scientific programme</c:v>
                </c:pt>
                <c:pt idx="17">
                  <c:v> Specialist “boundary” organisation</c:v>
                </c:pt>
                <c:pt idx="18">
                  <c:v> Student network</c:v>
                </c:pt>
                <c:pt idx="19">
                  <c:v> Subsidiary body or mechanism established under a Multilateral Environmental Agreement</c:v>
                </c:pt>
                <c:pt idx="20">
                  <c:v> UN Programme</c:v>
                </c:pt>
              </c:strCache>
            </c:strRef>
          </c:cat>
          <c:val>
            <c:numRef>
              <c:f>'org categories'!$S$6:$S$26</c:f>
              <c:numCache>
                <c:formatCode>0.000</c:formatCode>
                <c:ptCount val="21"/>
                <c:pt idx="0">
                  <c:v>8.6206896551724144E-2</c:v>
                </c:pt>
                <c:pt idx="1">
                  <c:v>0</c:v>
                </c:pt>
                <c:pt idx="2">
                  <c:v>0</c:v>
                </c:pt>
                <c:pt idx="3">
                  <c:v>0.06</c:v>
                </c:pt>
                <c:pt idx="4">
                  <c:v>0</c:v>
                </c:pt>
                <c:pt idx="5">
                  <c:v>0</c:v>
                </c:pt>
                <c:pt idx="6">
                  <c:v>0</c:v>
                </c:pt>
                <c:pt idx="7">
                  <c:v>0</c:v>
                </c:pt>
                <c:pt idx="9">
                  <c:v>7.2727272727272724E-2</c:v>
                </c:pt>
                <c:pt idx="10">
                  <c:v>0</c:v>
                </c:pt>
                <c:pt idx="11">
                  <c:v>0</c:v>
                </c:pt>
                <c:pt idx="12">
                  <c:v>5.6338028169014086E-2</c:v>
                </c:pt>
                <c:pt idx="13">
                  <c:v>0</c:v>
                </c:pt>
                <c:pt idx="14">
                  <c:v>0</c:v>
                </c:pt>
                <c:pt idx="15">
                  <c:v>4.7619047619047616E-2</c:v>
                </c:pt>
                <c:pt idx="16">
                  <c:v>0</c:v>
                </c:pt>
                <c:pt idx="17">
                  <c:v>0</c:v>
                </c:pt>
                <c:pt idx="19">
                  <c:v>0</c:v>
                </c:pt>
                <c:pt idx="20">
                  <c:v>0</c:v>
                </c:pt>
              </c:numCache>
            </c:numRef>
          </c:val>
          <c:extLst>
            <c:ext xmlns:c16="http://schemas.microsoft.com/office/drawing/2014/chart" uri="{C3380CC4-5D6E-409C-BE32-E72D297353CC}">
              <c16:uniqueId val="{00000019-EAB1-4F46-8770-7454A40E80CA}"/>
            </c:ext>
          </c:extLst>
        </c:ser>
        <c:ser>
          <c:idx val="3"/>
          <c:order val="3"/>
          <c:tx>
            <c:strRef>
              <c:f>'org categories'!$T$5</c:f>
              <c:strCache>
                <c:ptCount val="1"/>
                <c:pt idx="0">
                  <c:v>LAC</c:v>
                </c:pt>
              </c:strCache>
            </c:strRef>
          </c:tx>
          <c:invertIfNegative val="0"/>
          <c:dLbls>
            <c:dLbl>
              <c:idx val="5"/>
              <c:delete val="1"/>
              <c:extLst>
                <c:ext xmlns:c15="http://schemas.microsoft.com/office/drawing/2012/chart" uri="{CE6537A1-D6FC-4f65-9D91-7224C49458BB}"/>
                <c:ext xmlns:c16="http://schemas.microsoft.com/office/drawing/2014/chart" uri="{C3380CC4-5D6E-409C-BE32-E72D297353CC}">
                  <c16:uniqueId val="{0000001A-EAB1-4F46-8770-7454A40E80CA}"/>
                </c:ext>
              </c:extLst>
            </c:dLbl>
            <c:dLbl>
              <c:idx val="6"/>
              <c:delete val="1"/>
              <c:extLst>
                <c:ext xmlns:c15="http://schemas.microsoft.com/office/drawing/2012/chart" uri="{CE6537A1-D6FC-4f65-9D91-7224C49458BB}"/>
                <c:ext xmlns:c16="http://schemas.microsoft.com/office/drawing/2014/chart" uri="{C3380CC4-5D6E-409C-BE32-E72D297353CC}">
                  <c16:uniqueId val="{0000001B-EAB1-4F46-8770-7454A40E80CA}"/>
                </c:ext>
              </c:extLst>
            </c:dLbl>
            <c:dLbl>
              <c:idx val="7"/>
              <c:delete val="1"/>
              <c:extLst>
                <c:ext xmlns:c15="http://schemas.microsoft.com/office/drawing/2012/chart" uri="{CE6537A1-D6FC-4f65-9D91-7224C49458BB}"/>
                <c:ext xmlns:c16="http://schemas.microsoft.com/office/drawing/2014/chart" uri="{C3380CC4-5D6E-409C-BE32-E72D297353CC}">
                  <c16:uniqueId val="{0000001C-EAB1-4F46-8770-7454A40E80CA}"/>
                </c:ext>
              </c:extLst>
            </c:dLbl>
            <c:dLbl>
              <c:idx val="14"/>
              <c:delete val="1"/>
              <c:extLst>
                <c:ext xmlns:c15="http://schemas.microsoft.com/office/drawing/2012/chart" uri="{CE6537A1-D6FC-4f65-9D91-7224C49458BB}"/>
                <c:ext xmlns:c16="http://schemas.microsoft.com/office/drawing/2014/chart" uri="{C3380CC4-5D6E-409C-BE32-E72D297353CC}">
                  <c16:uniqueId val="{0000001D-EAB1-4F46-8770-7454A40E80CA}"/>
                </c:ext>
              </c:extLst>
            </c:dLbl>
            <c:dLbl>
              <c:idx val="15"/>
              <c:delete val="1"/>
              <c:extLst>
                <c:ext xmlns:c15="http://schemas.microsoft.com/office/drawing/2012/chart" uri="{CE6537A1-D6FC-4f65-9D91-7224C49458BB}"/>
                <c:ext xmlns:c16="http://schemas.microsoft.com/office/drawing/2014/chart" uri="{C3380CC4-5D6E-409C-BE32-E72D297353CC}">
                  <c16:uniqueId val="{0000001E-EAB1-4F46-8770-7454A40E80CA}"/>
                </c:ext>
              </c:extLst>
            </c:dLbl>
            <c:dLbl>
              <c:idx val="17"/>
              <c:delete val="1"/>
              <c:extLst>
                <c:ext xmlns:c15="http://schemas.microsoft.com/office/drawing/2012/chart" uri="{CE6537A1-D6FC-4f65-9D91-7224C49458BB}"/>
                <c:ext xmlns:c16="http://schemas.microsoft.com/office/drawing/2014/chart" uri="{C3380CC4-5D6E-409C-BE32-E72D297353CC}">
                  <c16:uniqueId val="{0000001F-EAB1-4F46-8770-7454A40E80CA}"/>
                </c:ext>
              </c:extLst>
            </c:dLbl>
            <c:dLbl>
              <c:idx val="19"/>
              <c:delete val="1"/>
              <c:extLst>
                <c:ext xmlns:c15="http://schemas.microsoft.com/office/drawing/2012/chart" uri="{CE6537A1-D6FC-4f65-9D91-7224C49458BB}"/>
                <c:ext xmlns:c16="http://schemas.microsoft.com/office/drawing/2014/chart" uri="{C3380CC4-5D6E-409C-BE32-E72D297353CC}">
                  <c16:uniqueId val="{00000020-EAB1-4F46-8770-7454A40E80CA}"/>
                </c:ext>
              </c:extLst>
            </c:dLbl>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 categories'!$I$6:$I$26</c:f>
              <c:strCache>
                <c:ptCount val="21"/>
                <c:pt idx="0">
                  <c:v> Academic institution</c:v>
                </c:pt>
                <c:pt idx="1">
                  <c:v> Civil society organisation</c:v>
                </c:pt>
                <c:pt idx="2">
                  <c:v> Commission</c:v>
                </c:pt>
                <c:pt idx="3">
                  <c:v> Government</c:v>
                </c:pt>
                <c:pt idx="4">
                  <c:v> Indigenous and local knowledge network</c:v>
                </c:pt>
                <c:pt idx="5">
                  <c:v> Indigenous community platform</c:v>
                </c:pt>
                <c:pt idx="6">
                  <c:v> Intergovernmental organisation</c:v>
                </c:pt>
                <c:pt idx="7">
                  <c:v> Intergovernmental scientific organisation</c:v>
                </c:pt>
                <c:pt idx="8">
                  <c:v> Media</c:v>
                </c:pt>
                <c:pt idx="9">
                  <c:v> Non-governmental organisation</c:v>
                </c:pt>
                <c:pt idx="10">
                  <c:v> Platform for practitioners</c:v>
                </c:pt>
                <c:pt idx="11">
                  <c:v> Private sector organisation</c:v>
                </c:pt>
                <c:pt idx="12">
                  <c:v> Research centre</c:v>
                </c:pt>
                <c:pt idx="13">
                  <c:v> Research initiative</c:v>
                </c:pt>
                <c:pt idx="14">
                  <c:v> Scientific advisory group</c:v>
                </c:pt>
                <c:pt idx="15">
                  <c:v> Scientific network</c:v>
                </c:pt>
                <c:pt idx="16">
                  <c:v> Scientific programme</c:v>
                </c:pt>
                <c:pt idx="17">
                  <c:v> Specialist “boundary” organisation</c:v>
                </c:pt>
                <c:pt idx="18">
                  <c:v> Student network</c:v>
                </c:pt>
                <c:pt idx="19">
                  <c:v> Subsidiary body or mechanism established under a Multilateral Environmental Agreement</c:v>
                </c:pt>
                <c:pt idx="20">
                  <c:v> UN Programme</c:v>
                </c:pt>
              </c:strCache>
            </c:strRef>
          </c:cat>
          <c:val>
            <c:numRef>
              <c:f>'org categories'!$T$6:$T$26</c:f>
              <c:numCache>
                <c:formatCode>0.000</c:formatCode>
                <c:ptCount val="21"/>
                <c:pt idx="0">
                  <c:v>0.28448275862068967</c:v>
                </c:pt>
                <c:pt idx="1">
                  <c:v>0.2</c:v>
                </c:pt>
                <c:pt idx="2">
                  <c:v>0.5</c:v>
                </c:pt>
                <c:pt idx="3">
                  <c:v>0.17</c:v>
                </c:pt>
                <c:pt idx="4">
                  <c:v>0.3125</c:v>
                </c:pt>
                <c:pt idx="5">
                  <c:v>0</c:v>
                </c:pt>
                <c:pt idx="6">
                  <c:v>0</c:v>
                </c:pt>
                <c:pt idx="7">
                  <c:v>0</c:v>
                </c:pt>
                <c:pt idx="9">
                  <c:v>0.18181818181818182</c:v>
                </c:pt>
                <c:pt idx="10">
                  <c:v>0.2</c:v>
                </c:pt>
                <c:pt idx="11">
                  <c:v>0.2</c:v>
                </c:pt>
                <c:pt idx="12">
                  <c:v>0.25352112676056338</c:v>
                </c:pt>
                <c:pt idx="13">
                  <c:v>0.2</c:v>
                </c:pt>
                <c:pt idx="14">
                  <c:v>0</c:v>
                </c:pt>
                <c:pt idx="15">
                  <c:v>0</c:v>
                </c:pt>
                <c:pt idx="16">
                  <c:v>0.2</c:v>
                </c:pt>
                <c:pt idx="17">
                  <c:v>0</c:v>
                </c:pt>
                <c:pt idx="19">
                  <c:v>0</c:v>
                </c:pt>
                <c:pt idx="20">
                  <c:v>0.16666666666666666</c:v>
                </c:pt>
              </c:numCache>
            </c:numRef>
          </c:val>
          <c:extLst>
            <c:ext xmlns:c16="http://schemas.microsoft.com/office/drawing/2014/chart" uri="{C3380CC4-5D6E-409C-BE32-E72D297353CC}">
              <c16:uniqueId val="{00000021-EAB1-4F46-8770-7454A40E80CA}"/>
            </c:ext>
          </c:extLst>
        </c:ser>
        <c:ser>
          <c:idx val="4"/>
          <c:order val="4"/>
          <c:tx>
            <c:strRef>
              <c:f>'org categories'!$U$5</c:f>
              <c:strCache>
                <c:ptCount val="1"/>
                <c:pt idx="0">
                  <c:v>WEOG</c:v>
                </c:pt>
              </c:strCache>
            </c:strRef>
          </c:tx>
          <c:invertIfNegative val="0"/>
          <c:dLbls>
            <c:dLbl>
              <c:idx val="5"/>
              <c:delete val="1"/>
              <c:extLst>
                <c:ext xmlns:c15="http://schemas.microsoft.com/office/drawing/2012/chart" uri="{CE6537A1-D6FC-4f65-9D91-7224C49458BB}"/>
                <c:ext xmlns:c16="http://schemas.microsoft.com/office/drawing/2014/chart" uri="{C3380CC4-5D6E-409C-BE32-E72D297353CC}">
                  <c16:uniqueId val="{00000022-EAB1-4F46-8770-7454A40E80CA}"/>
                </c:ext>
              </c:extLst>
            </c:dLbl>
            <c:dLbl>
              <c:idx val="19"/>
              <c:delete val="1"/>
              <c:extLst>
                <c:ext xmlns:c15="http://schemas.microsoft.com/office/drawing/2012/chart" uri="{CE6537A1-D6FC-4f65-9D91-7224C49458BB}"/>
                <c:ext xmlns:c16="http://schemas.microsoft.com/office/drawing/2014/chart" uri="{C3380CC4-5D6E-409C-BE32-E72D297353CC}">
                  <c16:uniqueId val="{00000023-EAB1-4F46-8770-7454A40E80CA}"/>
                </c:ext>
              </c:extLst>
            </c:dLbl>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 categories'!$I$6:$I$26</c:f>
              <c:strCache>
                <c:ptCount val="21"/>
                <c:pt idx="0">
                  <c:v> Academic institution</c:v>
                </c:pt>
                <c:pt idx="1">
                  <c:v> Civil society organisation</c:v>
                </c:pt>
                <c:pt idx="2">
                  <c:v> Commission</c:v>
                </c:pt>
                <c:pt idx="3">
                  <c:v> Government</c:v>
                </c:pt>
                <c:pt idx="4">
                  <c:v> Indigenous and local knowledge network</c:v>
                </c:pt>
                <c:pt idx="5">
                  <c:v> Indigenous community platform</c:v>
                </c:pt>
                <c:pt idx="6">
                  <c:v> Intergovernmental organisation</c:v>
                </c:pt>
                <c:pt idx="7">
                  <c:v> Intergovernmental scientific organisation</c:v>
                </c:pt>
                <c:pt idx="8">
                  <c:v> Media</c:v>
                </c:pt>
                <c:pt idx="9">
                  <c:v> Non-governmental organisation</c:v>
                </c:pt>
                <c:pt idx="10">
                  <c:v> Platform for practitioners</c:v>
                </c:pt>
                <c:pt idx="11">
                  <c:v> Private sector organisation</c:v>
                </c:pt>
                <c:pt idx="12">
                  <c:v> Research centre</c:v>
                </c:pt>
                <c:pt idx="13">
                  <c:v> Research initiative</c:v>
                </c:pt>
                <c:pt idx="14">
                  <c:v> Scientific advisory group</c:v>
                </c:pt>
                <c:pt idx="15">
                  <c:v> Scientific network</c:v>
                </c:pt>
                <c:pt idx="16">
                  <c:v> Scientific programme</c:v>
                </c:pt>
                <c:pt idx="17">
                  <c:v> Specialist “boundary” organisation</c:v>
                </c:pt>
                <c:pt idx="18">
                  <c:v> Student network</c:v>
                </c:pt>
                <c:pt idx="19">
                  <c:v> Subsidiary body or mechanism established under a Multilateral Environmental Agreement</c:v>
                </c:pt>
                <c:pt idx="20">
                  <c:v> UN Programme</c:v>
                </c:pt>
              </c:strCache>
            </c:strRef>
          </c:cat>
          <c:val>
            <c:numRef>
              <c:f>'org categories'!$U$6:$U$26</c:f>
              <c:numCache>
                <c:formatCode>0.000</c:formatCode>
                <c:ptCount val="21"/>
                <c:pt idx="0">
                  <c:v>0.25</c:v>
                </c:pt>
                <c:pt idx="1">
                  <c:v>0.12</c:v>
                </c:pt>
                <c:pt idx="2">
                  <c:v>0.5</c:v>
                </c:pt>
                <c:pt idx="3">
                  <c:v>0.22</c:v>
                </c:pt>
                <c:pt idx="4">
                  <c:v>6.25E-2</c:v>
                </c:pt>
                <c:pt idx="5">
                  <c:v>0</c:v>
                </c:pt>
                <c:pt idx="6">
                  <c:v>0.33333333333333331</c:v>
                </c:pt>
                <c:pt idx="7">
                  <c:v>0.77777777777777779</c:v>
                </c:pt>
                <c:pt idx="9">
                  <c:v>0.30909090909090908</c:v>
                </c:pt>
                <c:pt idx="10">
                  <c:v>0.2</c:v>
                </c:pt>
                <c:pt idx="11">
                  <c:v>0.5</c:v>
                </c:pt>
                <c:pt idx="12">
                  <c:v>0.19718309859154928</c:v>
                </c:pt>
                <c:pt idx="13">
                  <c:v>0.4</c:v>
                </c:pt>
                <c:pt idx="14">
                  <c:v>0.66666666666666663</c:v>
                </c:pt>
                <c:pt idx="15">
                  <c:v>0.5714285714285714</c:v>
                </c:pt>
                <c:pt idx="16">
                  <c:v>0.4</c:v>
                </c:pt>
                <c:pt idx="17">
                  <c:v>0.75</c:v>
                </c:pt>
                <c:pt idx="19">
                  <c:v>0</c:v>
                </c:pt>
                <c:pt idx="20">
                  <c:v>0.16666666666666666</c:v>
                </c:pt>
              </c:numCache>
            </c:numRef>
          </c:val>
          <c:extLst>
            <c:ext xmlns:c16="http://schemas.microsoft.com/office/drawing/2014/chart" uri="{C3380CC4-5D6E-409C-BE32-E72D297353CC}">
              <c16:uniqueId val="{00000024-EAB1-4F46-8770-7454A40E80CA}"/>
            </c:ext>
          </c:extLst>
        </c:ser>
        <c:dLbls>
          <c:showLegendKey val="0"/>
          <c:showVal val="0"/>
          <c:showCatName val="0"/>
          <c:showSerName val="0"/>
          <c:showPercent val="0"/>
          <c:showBubbleSize val="0"/>
        </c:dLbls>
        <c:gapWidth val="25"/>
        <c:overlap val="100"/>
        <c:axId val="112458752"/>
        <c:axId val="113611520"/>
      </c:barChart>
      <c:catAx>
        <c:axId val="112458752"/>
        <c:scaling>
          <c:orientation val="maxMin"/>
        </c:scaling>
        <c:delete val="0"/>
        <c:axPos val="l"/>
        <c:numFmt formatCode="General" sourceLinked="0"/>
        <c:majorTickMark val="none"/>
        <c:minorTickMark val="none"/>
        <c:tickLblPos val="nextTo"/>
        <c:crossAx val="113611520"/>
        <c:crosses val="autoZero"/>
        <c:auto val="1"/>
        <c:lblAlgn val="ctr"/>
        <c:lblOffset val="100"/>
        <c:noMultiLvlLbl val="0"/>
      </c:catAx>
      <c:valAx>
        <c:axId val="113611520"/>
        <c:scaling>
          <c:orientation val="minMax"/>
        </c:scaling>
        <c:delete val="0"/>
        <c:axPos val="t"/>
        <c:majorGridlines/>
        <c:numFmt formatCode="0%" sourceLinked="1"/>
        <c:majorTickMark val="none"/>
        <c:minorTickMark val="none"/>
        <c:tickLblPos val="nextTo"/>
        <c:crossAx val="112458752"/>
        <c:crosses val="autoZero"/>
        <c:crossBetween val="between"/>
      </c:valAx>
    </c:plotArea>
    <c:legend>
      <c:legendPos val="b"/>
      <c:layout>
        <c:manualLayout>
          <c:xMode val="edge"/>
          <c:yMode val="edge"/>
          <c:x val="0.3677142642503613"/>
          <c:y val="0.93824896497114274"/>
          <c:w val="0.60228446039319405"/>
          <c:h val="4.6366425856480577E-2"/>
        </c:manualLayout>
      </c:layout>
      <c:overlay val="0"/>
    </c:legend>
    <c:plotVisOnly val="1"/>
    <c:dispBlanksAs val="gap"/>
    <c:showDLblsOverMax val="0"/>
  </c:chart>
  <c:spPr>
    <a:ln>
      <a:no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GB" sz="1100"/>
              <a:t>Africa (AF)</a:t>
            </a:r>
          </a:p>
        </c:rich>
      </c:tx>
      <c:overlay val="0"/>
    </c:title>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invertIfNegative val="0"/>
          <c:dLbls>
            <c:spPr>
              <a:solidFill>
                <a:schemeClr val="bg1"/>
              </a:solidFill>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 categories'!$A$78:$A$98</c:f>
              <c:strCache>
                <c:ptCount val="21"/>
                <c:pt idx="0">
                  <c:v> Academic institution</c:v>
                </c:pt>
                <c:pt idx="1">
                  <c:v> Civil society organisation</c:v>
                </c:pt>
                <c:pt idx="2">
                  <c:v> Commission</c:v>
                </c:pt>
                <c:pt idx="3">
                  <c:v> Government</c:v>
                </c:pt>
                <c:pt idx="4">
                  <c:v> Indigenous and local knowledge network</c:v>
                </c:pt>
                <c:pt idx="5">
                  <c:v> Indigenous community platform</c:v>
                </c:pt>
                <c:pt idx="6">
                  <c:v> Intergovernmental organisation</c:v>
                </c:pt>
                <c:pt idx="7">
                  <c:v> Intergovernmental scientific organisation</c:v>
                </c:pt>
                <c:pt idx="8">
                  <c:v> Media</c:v>
                </c:pt>
                <c:pt idx="9">
                  <c:v> Non-governmental organisation</c:v>
                </c:pt>
                <c:pt idx="10">
                  <c:v> Platform for practitioners</c:v>
                </c:pt>
                <c:pt idx="11">
                  <c:v> Private sector organisation</c:v>
                </c:pt>
                <c:pt idx="12">
                  <c:v> Research centre</c:v>
                </c:pt>
                <c:pt idx="13">
                  <c:v> Research initiative</c:v>
                </c:pt>
                <c:pt idx="14">
                  <c:v> Scientific advisory group</c:v>
                </c:pt>
                <c:pt idx="15">
                  <c:v> Scientific network</c:v>
                </c:pt>
                <c:pt idx="16">
                  <c:v> Scientific programme</c:v>
                </c:pt>
                <c:pt idx="17">
                  <c:v> Specialist “boundary” organisation</c:v>
                </c:pt>
                <c:pt idx="18">
                  <c:v> Student network</c:v>
                </c:pt>
                <c:pt idx="19">
                  <c:v> Subsidiary body or mechanism established under a Multilateral Environmental Agreement</c:v>
                </c:pt>
                <c:pt idx="20">
                  <c:v> UN Programme</c:v>
                </c:pt>
              </c:strCache>
            </c:strRef>
          </c:cat>
          <c:val>
            <c:numRef>
              <c:f>'org categories'!$B$78:$B$98</c:f>
              <c:numCache>
                <c:formatCode>General</c:formatCode>
                <c:ptCount val="21"/>
                <c:pt idx="0">
                  <c:v>22</c:v>
                </c:pt>
                <c:pt idx="1">
                  <c:v>13</c:v>
                </c:pt>
                <c:pt idx="3">
                  <c:v>30</c:v>
                </c:pt>
                <c:pt idx="4">
                  <c:v>6</c:v>
                </c:pt>
                <c:pt idx="5">
                  <c:v>4</c:v>
                </c:pt>
                <c:pt idx="6">
                  <c:v>2</c:v>
                </c:pt>
                <c:pt idx="9">
                  <c:v>14</c:v>
                </c:pt>
                <c:pt idx="10">
                  <c:v>3</c:v>
                </c:pt>
                <c:pt idx="12">
                  <c:v>16</c:v>
                </c:pt>
                <c:pt idx="13">
                  <c:v>2</c:v>
                </c:pt>
                <c:pt idx="14">
                  <c:v>3</c:v>
                </c:pt>
                <c:pt idx="15">
                  <c:v>5</c:v>
                </c:pt>
                <c:pt idx="16">
                  <c:v>1</c:v>
                </c:pt>
                <c:pt idx="19">
                  <c:v>1</c:v>
                </c:pt>
                <c:pt idx="20">
                  <c:v>2</c:v>
                </c:pt>
              </c:numCache>
            </c:numRef>
          </c:val>
          <c:extLst>
            <c:ext xmlns:c16="http://schemas.microsoft.com/office/drawing/2014/chart" uri="{C3380CC4-5D6E-409C-BE32-E72D297353CC}">
              <c16:uniqueId val="{00000000-0E19-43C1-AF15-A528FF37CB70}"/>
            </c:ext>
          </c:extLst>
        </c:ser>
        <c:dLbls>
          <c:showLegendKey val="0"/>
          <c:showVal val="0"/>
          <c:showCatName val="0"/>
          <c:showSerName val="0"/>
          <c:showPercent val="0"/>
          <c:showBubbleSize val="0"/>
        </c:dLbls>
        <c:gapWidth val="150"/>
        <c:shape val="box"/>
        <c:axId val="113639808"/>
        <c:axId val="113641344"/>
        <c:axId val="0"/>
      </c:bar3DChart>
      <c:catAx>
        <c:axId val="113639808"/>
        <c:scaling>
          <c:orientation val="maxMin"/>
        </c:scaling>
        <c:delete val="0"/>
        <c:axPos val="l"/>
        <c:numFmt formatCode="General" sourceLinked="0"/>
        <c:majorTickMark val="none"/>
        <c:minorTickMark val="none"/>
        <c:tickLblPos val="nextTo"/>
        <c:crossAx val="113641344"/>
        <c:crosses val="autoZero"/>
        <c:auto val="1"/>
        <c:lblAlgn val="ctr"/>
        <c:lblOffset val="100"/>
        <c:noMultiLvlLbl val="0"/>
      </c:catAx>
      <c:valAx>
        <c:axId val="113641344"/>
        <c:scaling>
          <c:orientation val="minMax"/>
        </c:scaling>
        <c:delete val="0"/>
        <c:axPos val="t"/>
        <c:majorGridlines/>
        <c:numFmt formatCode="General" sourceLinked="1"/>
        <c:majorTickMark val="out"/>
        <c:minorTickMark val="none"/>
        <c:tickLblPos val="nextTo"/>
        <c:crossAx val="113639808"/>
        <c:crosses val="autoZero"/>
        <c:crossBetween val="between"/>
      </c:valAx>
    </c:plotArea>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en-US" sz="1100"/>
              <a:t>Asia-Pacific (AP)</a:t>
            </a:r>
          </a:p>
        </c:rich>
      </c:tx>
      <c:overlay val="0"/>
    </c:title>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 categories'!$A$101:$A$121</c:f>
              <c:strCache>
                <c:ptCount val="21"/>
                <c:pt idx="0">
                  <c:v> Academic institution</c:v>
                </c:pt>
                <c:pt idx="1">
                  <c:v> Civil society organisation</c:v>
                </c:pt>
                <c:pt idx="2">
                  <c:v> Commission</c:v>
                </c:pt>
                <c:pt idx="3">
                  <c:v> Government</c:v>
                </c:pt>
                <c:pt idx="4">
                  <c:v> Indigenous and local knowledge network</c:v>
                </c:pt>
                <c:pt idx="5">
                  <c:v> Indigenous community platform</c:v>
                </c:pt>
                <c:pt idx="6">
                  <c:v> Intergovernmental organisation</c:v>
                </c:pt>
                <c:pt idx="7">
                  <c:v> Intergovernmental scientific organisation</c:v>
                </c:pt>
                <c:pt idx="8">
                  <c:v> Media</c:v>
                </c:pt>
                <c:pt idx="9">
                  <c:v> Non-governmental organisation</c:v>
                </c:pt>
                <c:pt idx="10">
                  <c:v> Platform for practitioners</c:v>
                </c:pt>
                <c:pt idx="11">
                  <c:v> Private sector organisation</c:v>
                </c:pt>
                <c:pt idx="12">
                  <c:v> Research centre</c:v>
                </c:pt>
                <c:pt idx="13">
                  <c:v> Research initiative</c:v>
                </c:pt>
                <c:pt idx="14">
                  <c:v> Scientific advisory group</c:v>
                </c:pt>
                <c:pt idx="15">
                  <c:v> Scientific network</c:v>
                </c:pt>
                <c:pt idx="16">
                  <c:v> Scientific programme</c:v>
                </c:pt>
                <c:pt idx="17">
                  <c:v> Specialist “boundary” organisation</c:v>
                </c:pt>
                <c:pt idx="18">
                  <c:v> Student network</c:v>
                </c:pt>
                <c:pt idx="19">
                  <c:v> Subsidiary body or mechanism established under a MEA</c:v>
                </c:pt>
                <c:pt idx="20">
                  <c:v> UN Programme</c:v>
                </c:pt>
              </c:strCache>
            </c:strRef>
          </c:cat>
          <c:val>
            <c:numRef>
              <c:f>'org categories'!$B$101:$B$121</c:f>
              <c:numCache>
                <c:formatCode>General</c:formatCode>
                <c:ptCount val="21"/>
                <c:pt idx="0">
                  <c:v>20</c:v>
                </c:pt>
                <c:pt idx="1">
                  <c:v>4</c:v>
                </c:pt>
                <c:pt idx="3">
                  <c:v>23</c:v>
                </c:pt>
                <c:pt idx="4">
                  <c:v>4</c:v>
                </c:pt>
                <c:pt idx="6">
                  <c:v>4</c:v>
                </c:pt>
                <c:pt idx="7">
                  <c:v>2</c:v>
                </c:pt>
                <c:pt idx="9">
                  <c:v>9</c:v>
                </c:pt>
                <c:pt idx="11">
                  <c:v>3</c:v>
                </c:pt>
                <c:pt idx="12">
                  <c:v>17</c:v>
                </c:pt>
                <c:pt idx="14">
                  <c:v>1</c:v>
                </c:pt>
                <c:pt idx="15">
                  <c:v>3</c:v>
                </c:pt>
                <c:pt idx="16">
                  <c:v>1</c:v>
                </c:pt>
                <c:pt idx="17">
                  <c:v>1</c:v>
                </c:pt>
                <c:pt idx="20">
                  <c:v>2</c:v>
                </c:pt>
              </c:numCache>
            </c:numRef>
          </c:val>
          <c:extLst>
            <c:ext xmlns:c16="http://schemas.microsoft.com/office/drawing/2014/chart" uri="{C3380CC4-5D6E-409C-BE32-E72D297353CC}">
              <c16:uniqueId val="{00000000-2C97-41CF-93C3-48DD152ADAB4}"/>
            </c:ext>
          </c:extLst>
        </c:ser>
        <c:dLbls>
          <c:showLegendKey val="0"/>
          <c:showVal val="0"/>
          <c:showCatName val="0"/>
          <c:showSerName val="0"/>
          <c:showPercent val="0"/>
          <c:showBubbleSize val="0"/>
        </c:dLbls>
        <c:gapWidth val="75"/>
        <c:shape val="box"/>
        <c:axId val="113818240"/>
        <c:axId val="113828224"/>
        <c:axId val="0"/>
      </c:bar3DChart>
      <c:catAx>
        <c:axId val="113818240"/>
        <c:scaling>
          <c:orientation val="maxMin"/>
        </c:scaling>
        <c:delete val="0"/>
        <c:axPos val="l"/>
        <c:numFmt formatCode="General" sourceLinked="0"/>
        <c:majorTickMark val="none"/>
        <c:minorTickMark val="none"/>
        <c:tickLblPos val="nextTo"/>
        <c:crossAx val="113828224"/>
        <c:crosses val="autoZero"/>
        <c:auto val="1"/>
        <c:lblAlgn val="ctr"/>
        <c:lblOffset val="100"/>
        <c:noMultiLvlLbl val="0"/>
      </c:catAx>
      <c:valAx>
        <c:axId val="113828224"/>
        <c:scaling>
          <c:orientation val="minMax"/>
        </c:scaling>
        <c:delete val="0"/>
        <c:axPos val="t"/>
        <c:majorGridlines/>
        <c:numFmt formatCode="General" sourceLinked="1"/>
        <c:majorTickMark val="none"/>
        <c:minorTickMark val="none"/>
        <c:tickLblPos val="nextTo"/>
        <c:spPr>
          <a:ln w="6350">
            <a:noFill/>
          </a:ln>
        </c:spPr>
        <c:crossAx val="113818240"/>
        <c:crosses val="autoZero"/>
        <c:crossBetween val="between"/>
      </c:valAx>
    </c:plotArea>
    <c:plotVisOnly val="1"/>
    <c:dispBlanksAs val="gap"/>
    <c:showDLblsOverMax val="0"/>
  </c:chart>
  <c:spPr>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GB" sz="1100"/>
              <a:t>Eastern</a:t>
            </a:r>
            <a:r>
              <a:rPr lang="en-GB" sz="1100" baseline="0"/>
              <a:t> Europe (EE)</a:t>
            </a:r>
            <a:endParaRPr lang="en-GB" sz="1100"/>
          </a:p>
        </c:rich>
      </c:tx>
      <c:overlay val="0"/>
    </c:title>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 categories'!$A$124:$A$144</c:f>
              <c:strCache>
                <c:ptCount val="21"/>
                <c:pt idx="0">
                  <c:v> Academic institution</c:v>
                </c:pt>
                <c:pt idx="1">
                  <c:v> Civil society organisation</c:v>
                </c:pt>
                <c:pt idx="2">
                  <c:v> Commission</c:v>
                </c:pt>
                <c:pt idx="3">
                  <c:v> Government</c:v>
                </c:pt>
                <c:pt idx="4">
                  <c:v> Indigenous and local knowledge network</c:v>
                </c:pt>
                <c:pt idx="5">
                  <c:v> Indigenous community platform</c:v>
                </c:pt>
                <c:pt idx="6">
                  <c:v> Intergovernmental organisation</c:v>
                </c:pt>
                <c:pt idx="7">
                  <c:v> Intergovernmental scientific organisation</c:v>
                </c:pt>
                <c:pt idx="8">
                  <c:v> Media</c:v>
                </c:pt>
                <c:pt idx="9">
                  <c:v> Non-governmental organisation</c:v>
                </c:pt>
                <c:pt idx="10">
                  <c:v> Platform for practitioners</c:v>
                </c:pt>
                <c:pt idx="11">
                  <c:v> Private sector organisation</c:v>
                </c:pt>
                <c:pt idx="12">
                  <c:v> Research centre</c:v>
                </c:pt>
                <c:pt idx="13">
                  <c:v> Research initiative</c:v>
                </c:pt>
                <c:pt idx="14">
                  <c:v> Scientific advisory group</c:v>
                </c:pt>
                <c:pt idx="15">
                  <c:v> Scientific network</c:v>
                </c:pt>
                <c:pt idx="16">
                  <c:v> Scientific programme</c:v>
                </c:pt>
                <c:pt idx="17">
                  <c:v> Specialist “boundary” organisation</c:v>
                </c:pt>
                <c:pt idx="18">
                  <c:v> Student network</c:v>
                </c:pt>
                <c:pt idx="19">
                  <c:v> Subsidiary body or mechanism established under a Multilateral Environmental Agreement</c:v>
                </c:pt>
                <c:pt idx="20">
                  <c:v> UN Programme</c:v>
                </c:pt>
              </c:strCache>
            </c:strRef>
          </c:cat>
          <c:val>
            <c:numRef>
              <c:f>'org categories'!$B$124:$B$144</c:f>
              <c:numCache>
                <c:formatCode>General</c:formatCode>
                <c:ptCount val="21"/>
                <c:pt idx="0">
                  <c:v>10</c:v>
                </c:pt>
                <c:pt idx="3">
                  <c:v>6</c:v>
                </c:pt>
                <c:pt idx="9">
                  <c:v>4</c:v>
                </c:pt>
                <c:pt idx="12">
                  <c:v>4</c:v>
                </c:pt>
                <c:pt idx="15">
                  <c:v>1</c:v>
                </c:pt>
              </c:numCache>
            </c:numRef>
          </c:val>
          <c:extLst>
            <c:ext xmlns:c16="http://schemas.microsoft.com/office/drawing/2014/chart" uri="{C3380CC4-5D6E-409C-BE32-E72D297353CC}">
              <c16:uniqueId val="{00000000-E949-407B-88F6-98308ADCAD59}"/>
            </c:ext>
          </c:extLst>
        </c:ser>
        <c:dLbls>
          <c:showLegendKey val="0"/>
          <c:showVal val="0"/>
          <c:showCatName val="0"/>
          <c:showSerName val="0"/>
          <c:showPercent val="0"/>
          <c:showBubbleSize val="0"/>
        </c:dLbls>
        <c:gapWidth val="75"/>
        <c:shape val="box"/>
        <c:axId val="115061888"/>
        <c:axId val="115063424"/>
        <c:axId val="0"/>
      </c:bar3DChart>
      <c:catAx>
        <c:axId val="115061888"/>
        <c:scaling>
          <c:orientation val="maxMin"/>
        </c:scaling>
        <c:delete val="0"/>
        <c:axPos val="l"/>
        <c:numFmt formatCode="General" sourceLinked="0"/>
        <c:majorTickMark val="none"/>
        <c:minorTickMark val="none"/>
        <c:tickLblPos val="nextTo"/>
        <c:crossAx val="115063424"/>
        <c:crosses val="autoZero"/>
        <c:auto val="1"/>
        <c:lblAlgn val="ctr"/>
        <c:lblOffset val="100"/>
        <c:noMultiLvlLbl val="0"/>
      </c:catAx>
      <c:valAx>
        <c:axId val="115063424"/>
        <c:scaling>
          <c:orientation val="minMax"/>
        </c:scaling>
        <c:delete val="0"/>
        <c:axPos val="t"/>
        <c:majorGridlines/>
        <c:numFmt formatCode="General" sourceLinked="1"/>
        <c:majorTickMark val="none"/>
        <c:minorTickMark val="none"/>
        <c:tickLblPos val="nextTo"/>
        <c:spPr>
          <a:ln w="6350">
            <a:noFill/>
          </a:ln>
        </c:spPr>
        <c:crossAx val="115061888"/>
        <c:crosses val="autoZero"/>
        <c:crossBetween val="between"/>
      </c:valAx>
    </c:plotArea>
    <c:plotVisOnly val="1"/>
    <c:dispBlanksAs val="gap"/>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GB" sz="1100" b="1" i="0" u="none" strike="noStrike" kern="1200" baseline="0">
                <a:solidFill>
                  <a:sysClr val="windowText" lastClr="000000"/>
                </a:solidFill>
                <a:latin typeface="+mn-lt"/>
                <a:ea typeface="+mn-ea"/>
                <a:cs typeface="+mn-cs"/>
              </a:rPr>
              <a:t>Latin America and the Caribbean (LAC)</a:t>
            </a:r>
            <a:endParaRPr lang="en-GB" sz="1100"/>
          </a:p>
        </c:rich>
      </c:tx>
      <c:overlay val="0"/>
    </c:title>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 categories'!$A$147:$A$167</c:f>
              <c:strCache>
                <c:ptCount val="21"/>
                <c:pt idx="0">
                  <c:v> Academic institution</c:v>
                </c:pt>
                <c:pt idx="1">
                  <c:v> Civil society organisation</c:v>
                </c:pt>
                <c:pt idx="2">
                  <c:v> Commission</c:v>
                </c:pt>
                <c:pt idx="3">
                  <c:v> Government</c:v>
                </c:pt>
                <c:pt idx="4">
                  <c:v> Indigenous and local knowledge network</c:v>
                </c:pt>
                <c:pt idx="5">
                  <c:v> Indigenous community platform</c:v>
                </c:pt>
                <c:pt idx="6">
                  <c:v> Intergovernmental organisation</c:v>
                </c:pt>
                <c:pt idx="7">
                  <c:v> Intergovernmental scientific organisation</c:v>
                </c:pt>
                <c:pt idx="8">
                  <c:v> Media</c:v>
                </c:pt>
                <c:pt idx="9">
                  <c:v> Non-governmental organisation</c:v>
                </c:pt>
                <c:pt idx="10">
                  <c:v> Platform for practitioners</c:v>
                </c:pt>
                <c:pt idx="11">
                  <c:v> Private sector organisation</c:v>
                </c:pt>
                <c:pt idx="12">
                  <c:v> Research centre</c:v>
                </c:pt>
                <c:pt idx="13">
                  <c:v> Research initiative</c:v>
                </c:pt>
                <c:pt idx="14">
                  <c:v> Scientific advisory group</c:v>
                </c:pt>
                <c:pt idx="15">
                  <c:v> Scientific network</c:v>
                </c:pt>
                <c:pt idx="16">
                  <c:v> Scientific programme</c:v>
                </c:pt>
                <c:pt idx="17">
                  <c:v> Specialist “boundary” organisation</c:v>
                </c:pt>
                <c:pt idx="18">
                  <c:v> Student network</c:v>
                </c:pt>
                <c:pt idx="19">
                  <c:v> Subsidiary body or mechanism established under a Multilateral Environmental Agreement</c:v>
                </c:pt>
                <c:pt idx="20">
                  <c:v> UN Programme</c:v>
                </c:pt>
              </c:strCache>
            </c:strRef>
          </c:cat>
          <c:val>
            <c:numRef>
              <c:f>'org categories'!$B$147:$B$167</c:f>
              <c:numCache>
                <c:formatCode>General</c:formatCode>
                <c:ptCount val="21"/>
                <c:pt idx="0">
                  <c:v>33</c:v>
                </c:pt>
                <c:pt idx="1">
                  <c:v>5</c:v>
                </c:pt>
                <c:pt idx="2">
                  <c:v>1</c:v>
                </c:pt>
                <c:pt idx="3">
                  <c:v>17</c:v>
                </c:pt>
                <c:pt idx="4">
                  <c:v>5</c:v>
                </c:pt>
                <c:pt idx="9">
                  <c:v>10</c:v>
                </c:pt>
                <c:pt idx="10">
                  <c:v>1</c:v>
                </c:pt>
                <c:pt idx="11">
                  <c:v>2</c:v>
                </c:pt>
                <c:pt idx="12">
                  <c:v>18</c:v>
                </c:pt>
                <c:pt idx="13">
                  <c:v>1</c:v>
                </c:pt>
                <c:pt idx="16">
                  <c:v>1</c:v>
                </c:pt>
                <c:pt idx="20">
                  <c:v>1</c:v>
                </c:pt>
              </c:numCache>
            </c:numRef>
          </c:val>
          <c:extLst>
            <c:ext xmlns:c16="http://schemas.microsoft.com/office/drawing/2014/chart" uri="{C3380CC4-5D6E-409C-BE32-E72D297353CC}">
              <c16:uniqueId val="{00000000-C0C6-42BA-905E-D674C56F7238}"/>
            </c:ext>
          </c:extLst>
        </c:ser>
        <c:dLbls>
          <c:showLegendKey val="0"/>
          <c:showVal val="0"/>
          <c:showCatName val="0"/>
          <c:showSerName val="0"/>
          <c:showPercent val="0"/>
          <c:showBubbleSize val="0"/>
        </c:dLbls>
        <c:gapWidth val="75"/>
        <c:shape val="box"/>
        <c:axId val="113712128"/>
        <c:axId val="113722112"/>
        <c:axId val="0"/>
      </c:bar3DChart>
      <c:catAx>
        <c:axId val="113712128"/>
        <c:scaling>
          <c:orientation val="maxMin"/>
        </c:scaling>
        <c:delete val="0"/>
        <c:axPos val="l"/>
        <c:numFmt formatCode="General" sourceLinked="0"/>
        <c:majorTickMark val="none"/>
        <c:minorTickMark val="none"/>
        <c:tickLblPos val="nextTo"/>
        <c:crossAx val="113722112"/>
        <c:crosses val="autoZero"/>
        <c:auto val="1"/>
        <c:lblAlgn val="ctr"/>
        <c:lblOffset val="100"/>
        <c:noMultiLvlLbl val="0"/>
      </c:catAx>
      <c:valAx>
        <c:axId val="113722112"/>
        <c:scaling>
          <c:orientation val="minMax"/>
        </c:scaling>
        <c:delete val="0"/>
        <c:axPos val="t"/>
        <c:majorGridlines/>
        <c:numFmt formatCode="General" sourceLinked="1"/>
        <c:majorTickMark val="none"/>
        <c:minorTickMark val="none"/>
        <c:tickLblPos val="nextTo"/>
        <c:spPr>
          <a:ln w="6350">
            <a:noFill/>
          </a:ln>
        </c:spPr>
        <c:crossAx val="113712128"/>
        <c:crosses val="autoZero"/>
        <c:crossBetween val="between"/>
      </c:valAx>
    </c:plotArea>
    <c:plotVisOnly val="1"/>
    <c:dispBlanksAs val="gap"/>
    <c:showDLblsOverMax val="0"/>
  </c:chart>
  <c:spPr>
    <a:ln>
      <a:noFill/>
    </a:ln>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GB" sz="1100"/>
              <a:t>Western Europe and Other Groups (WEOG)</a:t>
            </a:r>
          </a:p>
        </c:rich>
      </c:tx>
      <c:overlay val="0"/>
    </c:title>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invertIfNegative val="0"/>
          <c:dLbls>
            <c:dLbl>
              <c:idx val="0"/>
              <c:spPr>
                <a:solidFill>
                  <a:prstClr val="white"/>
                </a:solidFill>
              </c:spPr>
              <c:txPr>
                <a:bodyPr/>
                <a:lstStyle/>
                <a:p>
                  <a:pPr>
                    <a:defRPr/>
                  </a:pPr>
                  <a:endParaRPr lang="en-US"/>
                </a:p>
              </c:txPr>
              <c:showLegendKey val="0"/>
              <c:showVal val="1"/>
              <c:showCatName val="0"/>
              <c:showSerName val="0"/>
              <c:showPercent val="0"/>
              <c:showBubbleSize val="0"/>
              <c:extLst>
                <c:ext xmlns:c16="http://schemas.microsoft.com/office/drawing/2014/chart" uri="{C3380CC4-5D6E-409C-BE32-E72D297353CC}">
                  <c16:uniqueId val="{00000000-74C4-4EB4-8DEE-14FA95554F97}"/>
                </c:ext>
              </c:extLst>
            </c:dLbl>
            <c:dLbl>
              <c:idx val="12"/>
              <c:spPr>
                <a:solidFill>
                  <a:prstClr val="white"/>
                </a:solidFill>
              </c:spPr>
              <c:txPr>
                <a:bodyPr/>
                <a:lstStyle/>
                <a:p>
                  <a:pPr>
                    <a:defRPr/>
                  </a:pPr>
                  <a:endParaRPr lang="en-US"/>
                </a:p>
              </c:txPr>
              <c:showLegendKey val="0"/>
              <c:showVal val="1"/>
              <c:showCatName val="0"/>
              <c:showSerName val="0"/>
              <c:showPercent val="0"/>
              <c:showBubbleSize val="0"/>
              <c:extLst>
                <c:ext xmlns:c16="http://schemas.microsoft.com/office/drawing/2014/chart" uri="{C3380CC4-5D6E-409C-BE32-E72D297353CC}">
                  <c16:uniqueId val="{00000001-74C4-4EB4-8DEE-14FA95554F9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 categories'!$A$170:$A$190</c:f>
              <c:strCache>
                <c:ptCount val="21"/>
                <c:pt idx="0">
                  <c:v> Academic institution</c:v>
                </c:pt>
                <c:pt idx="1">
                  <c:v> Civil society organisation</c:v>
                </c:pt>
                <c:pt idx="2">
                  <c:v> Commission</c:v>
                </c:pt>
                <c:pt idx="3">
                  <c:v> Government</c:v>
                </c:pt>
                <c:pt idx="4">
                  <c:v> Indigenous and local knowledge network</c:v>
                </c:pt>
                <c:pt idx="5">
                  <c:v> Indigenous community platform</c:v>
                </c:pt>
                <c:pt idx="6">
                  <c:v> Intergovernmental organisation</c:v>
                </c:pt>
                <c:pt idx="7">
                  <c:v> Intergovernmental scientific organisation</c:v>
                </c:pt>
                <c:pt idx="8">
                  <c:v> Media</c:v>
                </c:pt>
                <c:pt idx="9">
                  <c:v> Non-governmental organisation</c:v>
                </c:pt>
                <c:pt idx="10">
                  <c:v> Platform for practitioners</c:v>
                </c:pt>
                <c:pt idx="11">
                  <c:v> Private sector organisation</c:v>
                </c:pt>
                <c:pt idx="12">
                  <c:v> Research centre</c:v>
                </c:pt>
                <c:pt idx="13">
                  <c:v> Research initiative</c:v>
                </c:pt>
                <c:pt idx="14">
                  <c:v> Scientific advisory group</c:v>
                </c:pt>
                <c:pt idx="15">
                  <c:v> Scientific network</c:v>
                </c:pt>
                <c:pt idx="16">
                  <c:v> Scientific programme</c:v>
                </c:pt>
                <c:pt idx="17">
                  <c:v> Specialist “boundary” organisation</c:v>
                </c:pt>
                <c:pt idx="18">
                  <c:v> Student network</c:v>
                </c:pt>
                <c:pt idx="19">
                  <c:v> Subsidiary body or mechanism established under a Multilateral Environmental Agreement</c:v>
                </c:pt>
                <c:pt idx="20">
                  <c:v> UN Programme</c:v>
                </c:pt>
              </c:strCache>
            </c:strRef>
          </c:cat>
          <c:val>
            <c:numRef>
              <c:f>'org categories'!$B$170:$B$190</c:f>
              <c:numCache>
                <c:formatCode>General</c:formatCode>
                <c:ptCount val="21"/>
                <c:pt idx="0">
                  <c:v>29</c:v>
                </c:pt>
                <c:pt idx="1">
                  <c:v>3</c:v>
                </c:pt>
                <c:pt idx="2">
                  <c:v>1</c:v>
                </c:pt>
                <c:pt idx="3">
                  <c:v>22</c:v>
                </c:pt>
                <c:pt idx="4">
                  <c:v>1</c:v>
                </c:pt>
                <c:pt idx="6">
                  <c:v>3</c:v>
                </c:pt>
                <c:pt idx="7">
                  <c:v>7</c:v>
                </c:pt>
                <c:pt idx="9">
                  <c:v>17</c:v>
                </c:pt>
                <c:pt idx="10">
                  <c:v>1</c:v>
                </c:pt>
                <c:pt idx="11">
                  <c:v>5</c:v>
                </c:pt>
                <c:pt idx="12">
                  <c:v>14</c:v>
                </c:pt>
                <c:pt idx="13">
                  <c:v>2</c:v>
                </c:pt>
                <c:pt idx="14">
                  <c:v>8</c:v>
                </c:pt>
                <c:pt idx="15">
                  <c:v>12</c:v>
                </c:pt>
                <c:pt idx="16">
                  <c:v>2</c:v>
                </c:pt>
                <c:pt idx="17">
                  <c:v>3</c:v>
                </c:pt>
                <c:pt idx="20">
                  <c:v>1</c:v>
                </c:pt>
              </c:numCache>
            </c:numRef>
          </c:val>
          <c:extLst>
            <c:ext xmlns:c16="http://schemas.microsoft.com/office/drawing/2014/chart" uri="{C3380CC4-5D6E-409C-BE32-E72D297353CC}">
              <c16:uniqueId val="{00000002-9E23-4066-BF77-5BB23E2A4299}"/>
            </c:ext>
          </c:extLst>
        </c:ser>
        <c:dLbls>
          <c:showLegendKey val="0"/>
          <c:showVal val="0"/>
          <c:showCatName val="0"/>
          <c:showSerName val="0"/>
          <c:showPercent val="0"/>
          <c:showBubbleSize val="0"/>
        </c:dLbls>
        <c:gapWidth val="75"/>
        <c:shape val="box"/>
        <c:axId val="117602560"/>
        <c:axId val="117624832"/>
        <c:axId val="0"/>
      </c:bar3DChart>
      <c:catAx>
        <c:axId val="117602560"/>
        <c:scaling>
          <c:orientation val="maxMin"/>
        </c:scaling>
        <c:delete val="0"/>
        <c:axPos val="l"/>
        <c:numFmt formatCode="General" sourceLinked="0"/>
        <c:majorTickMark val="none"/>
        <c:minorTickMark val="none"/>
        <c:tickLblPos val="nextTo"/>
        <c:crossAx val="117624832"/>
        <c:crosses val="autoZero"/>
        <c:auto val="1"/>
        <c:lblAlgn val="ctr"/>
        <c:lblOffset val="100"/>
        <c:noMultiLvlLbl val="0"/>
      </c:catAx>
      <c:valAx>
        <c:axId val="117624832"/>
        <c:scaling>
          <c:orientation val="minMax"/>
        </c:scaling>
        <c:delete val="0"/>
        <c:axPos val="t"/>
        <c:majorGridlines/>
        <c:numFmt formatCode="General" sourceLinked="1"/>
        <c:majorTickMark val="none"/>
        <c:minorTickMark val="none"/>
        <c:tickLblPos val="nextTo"/>
        <c:spPr>
          <a:ln w="6350">
            <a:noFill/>
          </a:ln>
        </c:spPr>
        <c:crossAx val="117602560"/>
        <c:crosses val="autoZero"/>
        <c:crossBetween val="between"/>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[2016-11-11 ipbes_stakeholders_needs_analysis_survey.xlsx]Nationality vs region!PivotTable2</c:name>
    <c:fmtId val="-1"/>
  </c:pivotSource>
  <c:chart>
    <c:title>
      <c:tx>
        <c:rich>
          <a:bodyPr/>
          <a:lstStyle/>
          <a:p>
            <a:pPr>
              <a:defRPr sz="1100"/>
            </a:pPr>
            <a:r>
              <a:rPr lang="en-US" sz="1100"/>
              <a:t>Reponses from Africa (AF)</a:t>
            </a:r>
          </a:p>
        </c:rich>
      </c:tx>
      <c:overlay val="0"/>
    </c:title>
    <c:autoTitleDeleted val="0"/>
    <c:pivotFmts>
      <c:pivotFmt>
        <c:idx val="0"/>
        <c:marker>
          <c:symbol val="none"/>
        </c:marker>
      </c:pivotFmt>
      <c:pivotFmt>
        <c:idx val="1"/>
        <c:marker>
          <c:symbol val="none"/>
        </c:marker>
      </c:pivotFmt>
      <c:pivotFmt>
        <c:idx val="2"/>
        <c:marker>
          <c:symbol val="none"/>
        </c:marker>
      </c:pivotFmt>
    </c:pivotFmts>
    <c:view3D>
      <c:rotX val="15"/>
      <c:rotY val="20"/>
      <c:rAngAx val="1"/>
    </c:view3D>
    <c:floor>
      <c:thickness val="0"/>
    </c:floor>
    <c:sideWall>
      <c:thickness val="0"/>
    </c:sideWall>
    <c:backWall>
      <c:thickness val="0"/>
    </c:backWall>
    <c:plotArea>
      <c:layout>
        <c:manualLayout>
          <c:layoutTarget val="inner"/>
          <c:xMode val="edge"/>
          <c:yMode val="edge"/>
          <c:x val="0.34172164761512869"/>
          <c:y val="9.4680457174319971E-2"/>
          <c:w val="0.62269376425378187"/>
          <c:h val="0.89065784136990356"/>
        </c:manualLayout>
      </c:layout>
      <c:bar3DChart>
        <c:barDir val="bar"/>
        <c:grouping val="clustered"/>
        <c:varyColors val="0"/>
        <c:ser>
          <c:idx val="0"/>
          <c:order val="0"/>
          <c:tx>
            <c:strRef>
              <c:f>'Nationality vs region'!$B$3:$B$4</c:f>
              <c:strCache>
                <c:ptCount val="1"/>
                <c:pt idx="0">
                  <c:v>AF</c:v>
                </c:pt>
              </c:strCache>
            </c:strRef>
          </c:tx>
          <c:invertIfNegative val="0"/>
          <c:dLbls>
            <c:spPr>
              <a:solidFill>
                <a:schemeClr val="bg1"/>
              </a:solidFill>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'Nationality vs region'!$A$5:$A$38</c:f>
              <c:strCache>
                <c:ptCount val="33"/>
                <c:pt idx="0">
                  <c:v>Algeria</c:v>
                </c:pt>
                <c:pt idx="1">
                  <c:v>Benin</c:v>
                </c:pt>
                <c:pt idx="2">
                  <c:v>Botswana</c:v>
                </c:pt>
                <c:pt idx="3">
                  <c:v>Burkina Faso</c:v>
                </c:pt>
                <c:pt idx="4">
                  <c:v>Burundi</c:v>
                </c:pt>
                <c:pt idx="5">
                  <c:v>Cameroon</c:v>
                </c:pt>
                <c:pt idx="6">
                  <c:v>Congo</c:v>
                </c:pt>
                <c:pt idx="7">
                  <c:v>Côte d’Ivoire</c:v>
                </c:pt>
                <c:pt idx="8">
                  <c:v>Democratic Republic of the Congo</c:v>
                </c:pt>
                <c:pt idx="9">
                  <c:v>Egypt</c:v>
                </c:pt>
                <c:pt idx="10">
                  <c:v>Eritrea</c:v>
                </c:pt>
                <c:pt idx="11">
                  <c:v>Ethiopia</c:v>
                </c:pt>
                <c:pt idx="12">
                  <c:v>Ghana</c:v>
                </c:pt>
                <c:pt idx="13">
                  <c:v>Guinea</c:v>
                </c:pt>
                <c:pt idx="14">
                  <c:v>Kenya</c:v>
                </c:pt>
                <c:pt idx="15">
                  <c:v>Madagascar</c:v>
                </c:pt>
                <c:pt idx="16">
                  <c:v>Malawi</c:v>
                </c:pt>
                <c:pt idx="17">
                  <c:v>Morocco</c:v>
                </c:pt>
                <c:pt idx="18">
                  <c:v>Mozambique</c:v>
                </c:pt>
                <c:pt idx="19">
                  <c:v>Niger</c:v>
                </c:pt>
                <c:pt idx="20">
                  <c:v>Nigeria</c:v>
                </c:pt>
                <c:pt idx="21">
                  <c:v>Rwanda</c:v>
                </c:pt>
                <c:pt idx="22">
                  <c:v>Senegal</c:v>
                </c:pt>
                <c:pt idx="23">
                  <c:v>Somalia</c:v>
                </c:pt>
                <c:pt idx="24">
                  <c:v>South Africa</c:v>
                </c:pt>
                <c:pt idx="25">
                  <c:v>Sudan</c:v>
                </c:pt>
                <c:pt idx="26">
                  <c:v>Swaziland</c:v>
                </c:pt>
                <c:pt idx="27">
                  <c:v>Togo</c:v>
                </c:pt>
                <c:pt idx="28">
                  <c:v>Tunisia</c:v>
                </c:pt>
                <c:pt idx="29">
                  <c:v>Uganda</c:v>
                </c:pt>
                <c:pt idx="30">
                  <c:v>United Republic of Tanzania</c:v>
                </c:pt>
                <c:pt idx="31">
                  <c:v>Zambia</c:v>
                </c:pt>
                <c:pt idx="32">
                  <c:v>Zimbabwe</c:v>
                </c:pt>
              </c:strCache>
            </c:strRef>
          </c:cat>
          <c:val>
            <c:numRef>
              <c:f>'Nationality vs region'!$B$5:$B$38</c:f>
              <c:numCache>
                <c:formatCode>General</c:formatCode>
                <c:ptCount val="33"/>
                <c:pt idx="0">
                  <c:v>3</c:v>
                </c:pt>
                <c:pt idx="1">
                  <c:v>5</c:v>
                </c:pt>
                <c:pt idx="2">
                  <c:v>4</c:v>
                </c:pt>
                <c:pt idx="3">
                  <c:v>1</c:v>
                </c:pt>
                <c:pt idx="4">
                  <c:v>2</c:v>
                </c:pt>
                <c:pt idx="5">
                  <c:v>10</c:v>
                </c:pt>
                <c:pt idx="6">
                  <c:v>2</c:v>
                </c:pt>
                <c:pt idx="7">
                  <c:v>4</c:v>
                </c:pt>
                <c:pt idx="8">
                  <c:v>5</c:v>
                </c:pt>
                <c:pt idx="9">
                  <c:v>15</c:v>
                </c:pt>
                <c:pt idx="10">
                  <c:v>1</c:v>
                </c:pt>
                <c:pt idx="11">
                  <c:v>4</c:v>
                </c:pt>
                <c:pt idx="12">
                  <c:v>9</c:v>
                </c:pt>
                <c:pt idx="13">
                  <c:v>1</c:v>
                </c:pt>
                <c:pt idx="14">
                  <c:v>30</c:v>
                </c:pt>
                <c:pt idx="15">
                  <c:v>15</c:v>
                </c:pt>
                <c:pt idx="16">
                  <c:v>3</c:v>
                </c:pt>
                <c:pt idx="17">
                  <c:v>5</c:v>
                </c:pt>
                <c:pt idx="18">
                  <c:v>1</c:v>
                </c:pt>
                <c:pt idx="19">
                  <c:v>1</c:v>
                </c:pt>
                <c:pt idx="20">
                  <c:v>27</c:v>
                </c:pt>
                <c:pt idx="21">
                  <c:v>1</c:v>
                </c:pt>
                <c:pt idx="22">
                  <c:v>4</c:v>
                </c:pt>
                <c:pt idx="23">
                  <c:v>1</c:v>
                </c:pt>
                <c:pt idx="24">
                  <c:v>8</c:v>
                </c:pt>
                <c:pt idx="25">
                  <c:v>4</c:v>
                </c:pt>
                <c:pt idx="26">
                  <c:v>2</c:v>
                </c:pt>
                <c:pt idx="27">
                  <c:v>1</c:v>
                </c:pt>
                <c:pt idx="28">
                  <c:v>5</c:v>
                </c:pt>
                <c:pt idx="29">
                  <c:v>4</c:v>
                </c:pt>
                <c:pt idx="30">
                  <c:v>7</c:v>
                </c:pt>
                <c:pt idx="31">
                  <c:v>2</c:v>
                </c:pt>
                <c:pt idx="32">
                  <c:v>5</c:v>
                </c:pt>
              </c:numCache>
            </c:numRef>
          </c:val>
          <c:extLst>
            <c:ext xmlns:c16="http://schemas.microsoft.com/office/drawing/2014/chart" uri="{C3380CC4-5D6E-409C-BE32-E72D297353CC}">
              <c16:uniqueId val="{00000000-6CCE-43F8-A617-84BE9D9C086B}"/>
            </c:ext>
          </c:extLst>
        </c:ser>
        <c:dLbls>
          <c:showLegendKey val="0"/>
          <c:showVal val="0"/>
          <c:showCatName val="0"/>
          <c:showSerName val="0"/>
          <c:showPercent val="0"/>
          <c:showBubbleSize val="0"/>
        </c:dLbls>
        <c:gapWidth val="150"/>
        <c:shape val="box"/>
        <c:axId val="97904512"/>
        <c:axId val="97906048"/>
        <c:axId val="0"/>
      </c:bar3DChart>
      <c:catAx>
        <c:axId val="97904512"/>
        <c:scaling>
          <c:orientation val="maxMin"/>
        </c:scaling>
        <c:delete val="0"/>
        <c:axPos val="l"/>
        <c:numFmt formatCode="General" sourceLinked="0"/>
        <c:majorTickMark val="out"/>
        <c:minorTickMark val="none"/>
        <c:tickLblPos val="nextTo"/>
        <c:crossAx val="97906048"/>
        <c:crosses val="autoZero"/>
        <c:auto val="1"/>
        <c:lblAlgn val="ctr"/>
        <c:lblOffset val="100"/>
        <c:noMultiLvlLbl val="0"/>
      </c:catAx>
      <c:valAx>
        <c:axId val="97906048"/>
        <c:scaling>
          <c:orientation val="minMax"/>
        </c:scaling>
        <c:delete val="0"/>
        <c:axPos val="t"/>
        <c:majorGridlines/>
        <c:numFmt formatCode="General" sourceLinked="1"/>
        <c:majorTickMark val="out"/>
        <c:minorTickMark val="none"/>
        <c:tickLblPos val="nextTo"/>
        <c:crossAx val="97904512"/>
        <c:crosses val="autoZero"/>
        <c:crossBetween val="between"/>
      </c:valAx>
    </c:plotArea>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786508069470041"/>
          <c:y val="0.19164199782945021"/>
          <c:w val="0.51675210811414529"/>
          <c:h val="0.71223897599310348"/>
        </c:manualLayout>
      </c:layout>
      <c:pieChart>
        <c:varyColors val="1"/>
        <c:ser>
          <c:idx val="0"/>
          <c:order val="0"/>
          <c:tx>
            <c:strRef>
              <c:f>Engagement!$B$22</c:f>
              <c:strCache>
                <c:ptCount val="1"/>
                <c:pt idx="0">
                  <c:v># org/inst. </c:v>
                </c:pt>
              </c:strCache>
            </c:strRef>
          </c:tx>
          <c:dLbls>
            <c:dLbl>
              <c:idx val="0"/>
              <c:layout>
                <c:manualLayout>
                  <c:x val="-2.0965917527801033E-2"/>
                  <c:y val="-3.0613552628135751E-3"/>
                </c:manualLayout>
              </c:layout>
              <c:showLegendKey val="1"/>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0-C1D8-4F57-A0BB-34FD92A734FC}"/>
                </c:ext>
              </c:extLst>
            </c:dLbl>
            <c:dLbl>
              <c:idx val="1"/>
              <c:spPr/>
              <c:txPr>
                <a:bodyPr/>
                <a:lstStyle/>
                <a:p>
                  <a:pPr>
                    <a:defRPr b="1">
                      <a:solidFill>
                        <a:schemeClr val="bg1"/>
                      </a:solidFill>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1D8-4F57-A0BB-34FD92A734FC}"/>
                </c:ext>
              </c:extLst>
            </c:dLbl>
            <c:dLbl>
              <c:idx val="2"/>
              <c:layout>
                <c:manualLayout>
                  <c:x val="0.20705600574929994"/>
                  <c:y val="-4.4670960503987979E-2"/>
                </c:manualLayout>
              </c:layout>
              <c:spPr/>
              <c:txPr>
                <a:bodyPr/>
                <a:lstStyle/>
                <a:p>
                  <a:pPr>
                    <a:defRPr b="1">
                      <a:solidFill>
                        <a:schemeClr val="bg1"/>
                      </a:solidFill>
                    </a:defRPr>
                  </a:pPr>
                  <a:endParaRPr lang="en-US"/>
                </a:p>
              </c:txPr>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2-C1D8-4F57-A0BB-34FD92A734FC}"/>
                </c:ext>
              </c:extLst>
            </c:dLbl>
            <c:dLbl>
              <c:idx val="3"/>
              <c:layout>
                <c:manualLayout>
                  <c:x val="-7.5020271402244931E-2"/>
                  <c:y val="0.19362166239483994"/>
                </c:manualLayout>
              </c:layout>
              <c:spPr/>
              <c:txPr>
                <a:bodyPr/>
                <a:lstStyle/>
                <a:p>
                  <a:pPr>
                    <a:defRPr b="1">
                      <a:solidFill>
                        <a:schemeClr val="bg1"/>
                      </a:solidFill>
                    </a:defRPr>
                  </a:pPr>
                  <a:endParaRPr lang="en-US"/>
                </a:p>
              </c:txPr>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C1D8-4F57-A0BB-34FD92A734FC}"/>
                </c:ext>
              </c:extLst>
            </c:dLbl>
            <c:dLbl>
              <c:idx val="4"/>
              <c:layout>
                <c:manualLayout>
                  <c:x val="-5.5650489189743399E-2"/>
                  <c:y val="-3.6749347302283422E-2"/>
                </c:manualLayout>
              </c:layout>
              <c:showLegendKey val="1"/>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4-C1D8-4F57-A0BB-34FD92A734FC}"/>
                </c:ext>
              </c:extLst>
            </c:dLbl>
            <c:dLbl>
              <c:idx val="5"/>
              <c:layout>
                <c:manualLayout>
                  <c:x val="-2.9913415525981021E-2"/>
                  <c:y val="-1.1275516605797497E-2"/>
                </c:manualLayout>
              </c:layout>
              <c:showLegendKey val="1"/>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C1D8-4F57-A0BB-34FD92A734FC}"/>
                </c:ext>
              </c:extLst>
            </c:dLbl>
            <c:dLbl>
              <c:idx val="6"/>
              <c:layout>
                <c:manualLayout>
                  <c:x val="-1.9440956005385042E-2"/>
                  <c:y val="2.0126775334434192E-2"/>
                </c:manualLayout>
              </c:layout>
              <c:showLegendKey val="1"/>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6-C1D8-4F57-A0BB-34FD92A734FC}"/>
                </c:ext>
              </c:extLst>
            </c:dLbl>
            <c:spPr>
              <a:noFill/>
              <a:ln>
                <a:noFill/>
              </a:ln>
              <a:effectLst/>
            </c:spPr>
            <c:txPr>
              <a:bodyPr/>
              <a:lstStyle/>
              <a:p>
                <a:pPr>
                  <a:defRPr b="1"/>
                </a:pPr>
                <a:endParaRPr lang="en-US"/>
              </a:p>
            </c:txPr>
            <c:showLegendKey val="0"/>
            <c:showVal val="0"/>
            <c:showCatName val="1"/>
            <c:showSerName val="0"/>
            <c:showPercent val="1"/>
            <c:showBubbleSize val="0"/>
            <c:separator> </c:separator>
            <c:showLeaderLines val="1"/>
            <c:extLst>
              <c:ext xmlns:c15="http://schemas.microsoft.com/office/drawing/2012/chart" uri="{CE6537A1-D6FC-4f65-9D91-7224C49458BB}"/>
            </c:extLst>
          </c:dLbls>
          <c:cat>
            <c:strRef>
              <c:f>Engagement!$A$23:$A$29</c:f>
              <c:strCache>
                <c:ptCount val="7"/>
                <c:pt idx="0">
                  <c:v> Business</c:v>
                </c:pt>
                <c:pt idx="1">
                  <c:v> Indigenous and local knowledge</c:v>
                </c:pt>
                <c:pt idx="2">
                  <c:v> Natural science</c:v>
                </c:pt>
                <c:pt idx="3">
                  <c:v> Social science</c:v>
                </c:pt>
                <c:pt idx="4">
                  <c:v> Other discipline</c:v>
                </c:pt>
                <c:pt idx="5">
                  <c:v> Other knowledge system</c:v>
                </c:pt>
                <c:pt idx="6">
                  <c:v> Other</c:v>
                </c:pt>
              </c:strCache>
            </c:strRef>
          </c:cat>
          <c:val>
            <c:numRef>
              <c:f>Engagement!$B$23:$B$29</c:f>
              <c:numCache>
                <c:formatCode>General</c:formatCode>
                <c:ptCount val="7"/>
                <c:pt idx="0">
                  <c:v>29</c:v>
                </c:pt>
                <c:pt idx="1">
                  <c:v>111</c:v>
                </c:pt>
                <c:pt idx="2">
                  <c:v>269</c:v>
                </c:pt>
                <c:pt idx="3">
                  <c:v>131</c:v>
                </c:pt>
                <c:pt idx="4">
                  <c:v>52</c:v>
                </c:pt>
                <c:pt idx="5">
                  <c:v>16</c:v>
                </c:pt>
                <c:pt idx="6">
                  <c:v>24</c:v>
                </c:pt>
              </c:numCache>
            </c:numRef>
          </c:val>
          <c:extLst>
            <c:ext xmlns:c16="http://schemas.microsoft.com/office/drawing/2014/chart" uri="{C3380CC4-5D6E-409C-BE32-E72D297353CC}">
              <c16:uniqueId val="{00000007-C1D8-4F57-A0BB-34FD92A734FC}"/>
            </c:ext>
          </c:extLst>
        </c:ser>
        <c:dLbls>
          <c:showLegendKey val="0"/>
          <c:showVal val="0"/>
          <c:showCatName val="1"/>
          <c:showSerName val="0"/>
          <c:showPercent val="1"/>
          <c:showBubbleSize val="0"/>
          <c:showLeaderLines val="1"/>
        </c:dLbls>
        <c:firstSliceAng val="100"/>
      </c:pieChart>
    </c:plotArea>
    <c:plotVisOnly val="1"/>
    <c:dispBlanksAs val="gap"/>
    <c:showDLblsOverMax val="0"/>
  </c:chart>
  <c:spPr>
    <a:noFill/>
    <a:ln>
      <a:noFill/>
    </a:ln>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en-GB" sz="1100" b="1" i="0" u="none" strike="noStrike" kern="1200" baseline="0">
                <a:solidFill>
                  <a:sysClr val="windowText" lastClr="000000"/>
                </a:solidFill>
                <a:latin typeface="+mn-lt"/>
                <a:ea typeface="+mn-ea"/>
                <a:cs typeface="+mn-cs"/>
              </a:rPr>
              <a:t>Organizational/institutional</a:t>
            </a:r>
            <a:r>
              <a:rPr lang="en-GB" sz="1100"/>
              <a:t> profile with respect to regions</a:t>
            </a:r>
          </a:p>
        </c:rich>
      </c:tx>
      <c:overlay val="0"/>
    </c:title>
    <c:autoTitleDeleted val="0"/>
    <c:view3D>
      <c:rotX val="15"/>
      <c:rotY val="20"/>
      <c:rAngAx val="1"/>
    </c:view3D>
    <c:floor>
      <c:thickness val="0"/>
    </c:floor>
    <c:sideWall>
      <c:thickness val="0"/>
    </c:sideWall>
    <c:backWall>
      <c:thickness val="0"/>
    </c:backWall>
    <c:plotArea>
      <c:layout/>
      <c:bar3DChart>
        <c:barDir val="bar"/>
        <c:grouping val="percentStacked"/>
        <c:varyColors val="0"/>
        <c:ser>
          <c:idx val="0"/>
          <c:order val="0"/>
          <c:tx>
            <c:strRef>
              <c:f>'ORG background'!$H$13</c:f>
              <c:strCache>
                <c:ptCount val="1"/>
                <c:pt idx="0">
                  <c:v>AF</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 background'!$A$14:$A$20</c:f>
              <c:strCache>
                <c:ptCount val="7"/>
                <c:pt idx="0">
                  <c:v> Business</c:v>
                </c:pt>
                <c:pt idx="1">
                  <c:v> Indigenous and local knowledge</c:v>
                </c:pt>
                <c:pt idx="2">
                  <c:v> Natural science</c:v>
                </c:pt>
                <c:pt idx="3">
                  <c:v> Social science</c:v>
                </c:pt>
                <c:pt idx="4">
                  <c:v> Other discipline</c:v>
                </c:pt>
                <c:pt idx="5">
                  <c:v> Other knowledge system</c:v>
                </c:pt>
                <c:pt idx="6">
                  <c:v> Other</c:v>
                </c:pt>
              </c:strCache>
            </c:strRef>
          </c:cat>
          <c:val>
            <c:numRef>
              <c:f>'ORG background'!$H$14:$H$20</c:f>
              <c:numCache>
                <c:formatCode>0.000</c:formatCode>
                <c:ptCount val="7"/>
                <c:pt idx="0">
                  <c:v>0.13793103448275862</c:v>
                </c:pt>
                <c:pt idx="1">
                  <c:v>0.43243243243243246</c:v>
                </c:pt>
                <c:pt idx="2">
                  <c:v>0.22676579925650558</c:v>
                </c:pt>
                <c:pt idx="3">
                  <c:v>0.26717557251908397</c:v>
                </c:pt>
                <c:pt idx="4">
                  <c:v>0.21153846153846154</c:v>
                </c:pt>
                <c:pt idx="5">
                  <c:v>0.1875</c:v>
                </c:pt>
                <c:pt idx="6">
                  <c:v>0.25</c:v>
                </c:pt>
              </c:numCache>
            </c:numRef>
          </c:val>
          <c:extLst>
            <c:ext xmlns:c16="http://schemas.microsoft.com/office/drawing/2014/chart" uri="{C3380CC4-5D6E-409C-BE32-E72D297353CC}">
              <c16:uniqueId val="{00000000-2588-4CC7-85CF-4F1BD63C4F0E}"/>
            </c:ext>
          </c:extLst>
        </c:ser>
        <c:ser>
          <c:idx val="1"/>
          <c:order val="1"/>
          <c:tx>
            <c:strRef>
              <c:f>'ORG background'!$I$13</c:f>
              <c:strCache>
                <c:ptCount val="1"/>
                <c:pt idx="0">
                  <c:v>AP</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 background'!$A$14:$A$20</c:f>
              <c:strCache>
                <c:ptCount val="7"/>
                <c:pt idx="0">
                  <c:v> Business</c:v>
                </c:pt>
                <c:pt idx="1">
                  <c:v> Indigenous and local knowledge</c:v>
                </c:pt>
                <c:pt idx="2">
                  <c:v> Natural science</c:v>
                </c:pt>
                <c:pt idx="3">
                  <c:v> Social science</c:v>
                </c:pt>
                <c:pt idx="4">
                  <c:v> Other discipline</c:v>
                </c:pt>
                <c:pt idx="5">
                  <c:v> Other knowledge system</c:v>
                </c:pt>
                <c:pt idx="6">
                  <c:v> Other</c:v>
                </c:pt>
              </c:strCache>
            </c:strRef>
          </c:cat>
          <c:val>
            <c:numRef>
              <c:f>'ORG background'!$I$14:$I$20</c:f>
              <c:numCache>
                <c:formatCode>0.000</c:formatCode>
                <c:ptCount val="7"/>
                <c:pt idx="0">
                  <c:v>0.34482758620689657</c:v>
                </c:pt>
                <c:pt idx="1">
                  <c:v>0.24324324324324326</c:v>
                </c:pt>
                <c:pt idx="2">
                  <c:v>0.20817843866171004</c:v>
                </c:pt>
                <c:pt idx="3">
                  <c:v>0.25190839694656486</c:v>
                </c:pt>
                <c:pt idx="4">
                  <c:v>0.23076923076923078</c:v>
                </c:pt>
                <c:pt idx="5">
                  <c:v>0.3125</c:v>
                </c:pt>
                <c:pt idx="6">
                  <c:v>0.25</c:v>
                </c:pt>
              </c:numCache>
            </c:numRef>
          </c:val>
          <c:extLst>
            <c:ext xmlns:c16="http://schemas.microsoft.com/office/drawing/2014/chart" uri="{C3380CC4-5D6E-409C-BE32-E72D297353CC}">
              <c16:uniqueId val="{00000001-2588-4CC7-85CF-4F1BD63C4F0E}"/>
            </c:ext>
          </c:extLst>
        </c:ser>
        <c:ser>
          <c:idx val="2"/>
          <c:order val="2"/>
          <c:tx>
            <c:strRef>
              <c:f>'ORG background'!$J$13</c:f>
              <c:strCache>
                <c:ptCount val="1"/>
                <c:pt idx="0">
                  <c:v>EE</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 background'!$A$14:$A$20</c:f>
              <c:strCache>
                <c:ptCount val="7"/>
                <c:pt idx="0">
                  <c:v> Business</c:v>
                </c:pt>
                <c:pt idx="1">
                  <c:v> Indigenous and local knowledge</c:v>
                </c:pt>
                <c:pt idx="2">
                  <c:v> Natural science</c:v>
                </c:pt>
                <c:pt idx="3">
                  <c:v> Social science</c:v>
                </c:pt>
                <c:pt idx="4">
                  <c:v> Other discipline</c:v>
                </c:pt>
                <c:pt idx="5">
                  <c:v> Other knowledge system</c:v>
                </c:pt>
                <c:pt idx="6">
                  <c:v> Other</c:v>
                </c:pt>
              </c:strCache>
            </c:strRef>
          </c:cat>
          <c:val>
            <c:numRef>
              <c:f>'ORG background'!$J$14:$J$20</c:f>
              <c:numCache>
                <c:formatCode>0.000</c:formatCode>
                <c:ptCount val="7"/>
                <c:pt idx="0">
                  <c:v>3.4482758620689655E-2</c:v>
                </c:pt>
                <c:pt idx="1">
                  <c:v>9.0090090090090089E-3</c:v>
                </c:pt>
                <c:pt idx="2">
                  <c:v>6.6914498141263934E-2</c:v>
                </c:pt>
                <c:pt idx="3">
                  <c:v>3.0534351145038167E-2</c:v>
                </c:pt>
                <c:pt idx="4">
                  <c:v>5.7692307692307696E-2</c:v>
                </c:pt>
                <c:pt idx="5">
                  <c:v>6.25E-2</c:v>
                </c:pt>
                <c:pt idx="6">
                  <c:v>8.3333333333333329E-2</c:v>
                </c:pt>
              </c:numCache>
            </c:numRef>
          </c:val>
          <c:extLst>
            <c:ext xmlns:c16="http://schemas.microsoft.com/office/drawing/2014/chart" uri="{C3380CC4-5D6E-409C-BE32-E72D297353CC}">
              <c16:uniqueId val="{00000002-2588-4CC7-85CF-4F1BD63C4F0E}"/>
            </c:ext>
          </c:extLst>
        </c:ser>
        <c:ser>
          <c:idx val="3"/>
          <c:order val="3"/>
          <c:tx>
            <c:strRef>
              <c:f>'ORG background'!$K$13</c:f>
              <c:strCache>
                <c:ptCount val="1"/>
                <c:pt idx="0">
                  <c:v>LAC</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 background'!$A$14:$A$20</c:f>
              <c:strCache>
                <c:ptCount val="7"/>
                <c:pt idx="0">
                  <c:v> Business</c:v>
                </c:pt>
                <c:pt idx="1">
                  <c:v> Indigenous and local knowledge</c:v>
                </c:pt>
                <c:pt idx="2">
                  <c:v> Natural science</c:v>
                </c:pt>
                <c:pt idx="3">
                  <c:v> Social science</c:v>
                </c:pt>
                <c:pt idx="4">
                  <c:v> Other discipline</c:v>
                </c:pt>
                <c:pt idx="5">
                  <c:v> Other knowledge system</c:v>
                </c:pt>
                <c:pt idx="6">
                  <c:v> Other</c:v>
                </c:pt>
              </c:strCache>
            </c:strRef>
          </c:cat>
          <c:val>
            <c:numRef>
              <c:f>'ORG background'!$K$14:$K$20</c:f>
              <c:numCache>
                <c:formatCode>0.000</c:formatCode>
                <c:ptCount val="7"/>
                <c:pt idx="0">
                  <c:v>0.13793103448275862</c:v>
                </c:pt>
                <c:pt idx="1">
                  <c:v>0.15315315315315314</c:v>
                </c:pt>
                <c:pt idx="2">
                  <c:v>0.19330855018587362</c:v>
                </c:pt>
                <c:pt idx="3">
                  <c:v>0.19083969465648856</c:v>
                </c:pt>
                <c:pt idx="4">
                  <c:v>0.23076923076923078</c:v>
                </c:pt>
                <c:pt idx="5">
                  <c:v>0.125</c:v>
                </c:pt>
                <c:pt idx="6">
                  <c:v>8.3333333333333329E-2</c:v>
                </c:pt>
              </c:numCache>
            </c:numRef>
          </c:val>
          <c:extLst>
            <c:ext xmlns:c16="http://schemas.microsoft.com/office/drawing/2014/chart" uri="{C3380CC4-5D6E-409C-BE32-E72D297353CC}">
              <c16:uniqueId val="{00000003-2588-4CC7-85CF-4F1BD63C4F0E}"/>
            </c:ext>
          </c:extLst>
        </c:ser>
        <c:ser>
          <c:idx val="4"/>
          <c:order val="4"/>
          <c:tx>
            <c:strRef>
              <c:f>'ORG background'!$L$13</c:f>
              <c:strCache>
                <c:ptCount val="1"/>
                <c:pt idx="0">
                  <c:v>WEOG</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 background'!$A$14:$A$20</c:f>
              <c:strCache>
                <c:ptCount val="7"/>
                <c:pt idx="0">
                  <c:v> Business</c:v>
                </c:pt>
                <c:pt idx="1">
                  <c:v> Indigenous and local knowledge</c:v>
                </c:pt>
                <c:pt idx="2">
                  <c:v> Natural science</c:v>
                </c:pt>
                <c:pt idx="3">
                  <c:v> Social science</c:v>
                </c:pt>
                <c:pt idx="4">
                  <c:v> Other discipline</c:v>
                </c:pt>
                <c:pt idx="5">
                  <c:v> Other knowledge system</c:v>
                </c:pt>
                <c:pt idx="6">
                  <c:v> Other</c:v>
                </c:pt>
              </c:strCache>
            </c:strRef>
          </c:cat>
          <c:val>
            <c:numRef>
              <c:f>'ORG background'!$L$14:$L$20</c:f>
              <c:numCache>
                <c:formatCode>0.000</c:formatCode>
                <c:ptCount val="7"/>
                <c:pt idx="0">
                  <c:v>0.34482758620689657</c:v>
                </c:pt>
                <c:pt idx="1">
                  <c:v>0.16216216216216217</c:v>
                </c:pt>
                <c:pt idx="2">
                  <c:v>0.30111524163568776</c:v>
                </c:pt>
                <c:pt idx="3">
                  <c:v>0.25190839694656486</c:v>
                </c:pt>
                <c:pt idx="4">
                  <c:v>0.21153846153846154</c:v>
                </c:pt>
                <c:pt idx="5">
                  <c:v>0.25</c:v>
                </c:pt>
                <c:pt idx="6">
                  <c:v>0.29166666666666669</c:v>
                </c:pt>
              </c:numCache>
            </c:numRef>
          </c:val>
          <c:extLst>
            <c:ext xmlns:c16="http://schemas.microsoft.com/office/drawing/2014/chart" uri="{C3380CC4-5D6E-409C-BE32-E72D297353CC}">
              <c16:uniqueId val="{00000004-2588-4CC7-85CF-4F1BD63C4F0E}"/>
            </c:ext>
          </c:extLst>
        </c:ser>
        <c:dLbls>
          <c:showLegendKey val="0"/>
          <c:showVal val="0"/>
          <c:showCatName val="0"/>
          <c:showSerName val="0"/>
          <c:showPercent val="0"/>
          <c:showBubbleSize val="0"/>
        </c:dLbls>
        <c:gapWidth val="75"/>
        <c:shape val="box"/>
        <c:axId val="118896896"/>
        <c:axId val="118910976"/>
        <c:axId val="0"/>
      </c:bar3DChart>
      <c:catAx>
        <c:axId val="118896896"/>
        <c:scaling>
          <c:orientation val="maxMin"/>
        </c:scaling>
        <c:delete val="0"/>
        <c:axPos val="l"/>
        <c:numFmt formatCode="General" sourceLinked="0"/>
        <c:majorTickMark val="none"/>
        <c:minorTickMark val="none"/>
        <c:tickLblPos val="nextTo"/>
        <c:crossAx val="118910976"/>
        <c:crosses val="autoZero"/>
        <c:auto val="1"/>
        <c:lblAlgn val="ctr"/>
        <c:lblOffset val="100"/>
        <c:noMultiLvlLbl val="0"/>
      </c:catAx>
      <c:valAx>
        <c:axId val="118910976"/>
        <c:scaling>
          <c:orientation val="minMax"/>
        </c:scaling>
        <c:delete val="0"/>
        <c:axPos val="t"/>
        <c:majorGridlines/>
        <c:numFmt formatCode="0%" sourceLinked="1"/>
        <c:majorTickMark val="none"/>
        <c:minorTickMark val="none"/>
        <c:tickLblPos val="nextTo"/>
        <c:spPr>
          <a:ln w="6350">
            <a:noFill/>
          </a:ln>
        </c:spPr>
        <c:crossAx val="118896896"/>
        <c:crosses val="autoZero"/>
        <c:crossBetween val="between"/>
        <c:majorUnit val="0.1"/>
      </c:valAx>
    </c:plotArea>
    <c:legend>
      <c:legendPos val="b"/>
      <c:layout>
        <c:manualLayout>
          <c:xMode val="edge"/>
          <c:yMode val="edge"/>
          <c:x val="0.34434499259021195"/>
          <c:y val="0.88387540099154271"/>
          <c:w val="0.59237559590765443"/>
          <c:h val="8.3717191601049873E-2"/>
        </c:manualLayout>
      </c:layout>
      <c:overlay val="0"/>
    </c:legend>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GB" sz="1100" b="1" i="0" baseline="0">
                <a:effectLst/>
              </a:rPr>
              <a:t>Gender and age distribution of stakeholders</a:t>
            </a:r>
            <a:br>
              <a:rPr lang="en-GB" sz="1100" b="1" i="0" baseline="0">
                <a:effectLst/>
              </a:rPr>
            </a:br>
            <a:r>
              <a:rPr lang="en-GB" sz="1100" b="1" i="0" baseline="0">
                <a:effectLst/>
              </a:rPr>
              <a:t> engaging in their individual capacity</a:t>
            </a:r>
            <a:endParaRPr lang="en-GB" sz="1100">
              <a:effectLst/>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'Indiv age gender '!$A$19</c:f>
              <c:strCache>
                <c:ptCount val="1"/>
                <c:pt idx="0">
                  <c:v>Female</c:v>
                </c:pt>
              </c:strCache>
            </c:strRef>
          </c:tx>
          <c:spPr>
            <a:solidFill>
              <a:srgbClr val="C00000"/>
            </a:solidFill>
          </c:spPr>
          <c:invertIfNegative val="0"/>
          <c:dLbls>
            <c:dLbl>
              <c:idx val="1"/>
              <c:layout>
                <c:manualLayout>
                  <c:x val="2.629781621139575E-2"/>
                  <c:y val="-6.6322131029292131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44E-4CA2-88C8-EBB32392A64C}"/>
                </c:ext>
              </c:extLst>
            </c:dLbl>
            <c:dLbl>
              <c:idx val="2"/>
              <c:spPr/>
              <c:txPr>
                <a:bodyPr/>
                <a:lstStyle/>
                <a:p>
                  <a:pPr>
                    <a:defRPr b="1">
                      <a:solidFill>
                        <a:schemeClr val="bg1"/>
                      </a:solidFill>
                    </a:defRPr>
                  </a:pPr>
                  <a:endParaRPr lang="en-US"/>
                </a:p>
              </c:txPr>
              <c:showLegendKey val="0"/>
              <c:showVal val="1"/>
              <c:showCatName val="0"/>
              <c:showSerName val="0"/>
              <c:showPercent val="0"/>
              <c:showBubbleSize val="0"/>
              <c:extLst>
                <c:ext xmlns:c16="http://schemas.microsoft.com/office/drawing/2014/chart" uri="{C3380CC4-5D6E-409C-BE32-E72D297353CC}">
                  <c16:uniqueId val="{00000000-431B-45B1-AC66-F2AB4E14F381}"/>
                </c:ext>
              </c:extLst>
            </c:dLbl>
            <c:dLbl>
              <c:idx val="3"/>
              <c:spPr/>
              <c:txPr>
                <a:bodyPr/>
                <a:lstStyle/>
                <a:p>
                  <a:pPr>
                    <a:defRPr b="1">
                      <a:solidFill>
                        <a:schemeClr val="bg1"/>
                      </a:solidFill>
                    </a:defRPr>
                  </a:pPr>
                  <a:endParaRPr lang="en-US"/>
                </a:p>
              </c:txPr>
              <c:showLegendKey val="0"/>
              <c:showVal val="1"/>
              <c:showCatName val="0"/>
              <c:showSerName val="0"/>
              <c:showPercent val="0"/>
              <c:showBubbleSize val="0"/>
              <c:extLst>
                <c:ext xmlns:c16="http://schemas.microsoft.com/office/drawing/2014/chart" uri="{C3380CC4-5D6E-409C-BE32-E72D297353CC}">
                  <c16:uniqueId val="{00000001-431B-45B1-AC66-F2AB4E14F381}"/>
                </c:ext>
              </c:extLst>
            </c:dLbl>
            <c:dLbl>
              <c:idx val="4"/>
              <c:spPr/>
              <c:txPr>
                <a:bodyPr/>
                <a:lstStyle/>
                <a:p>
                  <a:pPr>
                    <a:defRPr b="1">
                      <a:solidFill>
                        <a:schemeClr val="bg1"/>
                      </a:solidFill>
                    </a:defRPr>
                  </a:pPr>
                  <a:endParaRPr lang="en-US"/>
                </a:p>
              </c:txPr>
              <c:showLegendKey val="0"/>
              <c:showVal val="1"/>
              <c:showCatName val="0"/>
              <c:showSerName val="0"/>
              <c:showPercent val="0"/>
              <c:showBubbleSize val="0"/>
              <c:extLst>
                <c:ext xmlns:c16="http://schemas.microsoft.com/office/drawing/2014/chart" uri="{C3380CC4-5D6E-409C-BE32-E72D297353CC}">
                  <c16:uniqueId val="{00000002-431B-45B1-AC66-F2AB4E14F381}"/>
                </c:ext>
              </c:extLst>
            </c:dLbl>
            <c:dLbl>
              <c:idx val="5"/>
              <c:spPr/>
              <c:txPr>
                <a:bodyPr/>
                <a:lstStyle/>
                <a:p>
                  <a:pPr>
                    <a:defRPr b="1">
                      <a:solidFill>
                        <a:schemeClr val="bg1"/>
                      </a:solidFill>
                    </a:defRPr>
                  </a:pPr>
                  <a:endParaRPr lang="en-US"/>
                </a:p>
              </c:txPr>
              <c:showLegendKey val="0"/>
              <c:showVal val="1"/>
              <c:showCatName val="0"/>
              <c:showSerName val="0"/>
              <c:showPercent val="0"/>
              <c:showBubbleSize val="0"/>
              <c:extLst>
                <c:ext xmlns:c16="http://schemas.microsoft.com/office/drawing/2014/chart" uri="{C3380CC4-5D6E-409C-BE32-E72D297353CC}">
                  <c16:uniqueId val="{00000003-431B-45B1-AC66-F2AB4E14F381}"/>
                </c:ext>
              </c:extLst>
            </c:dLbl>
            <c:dLbl>
              <c:idx val="6"/>
              <c:layout>
                <c:manualLayout>
                  <c:x val="1.0761482309450657E-2"/>
                  <c:y val="-0.12435399567992253"/>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44E-4CA2-88C8-EBB32392A64C}"/>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 age gender '!$B$18:$I$18</c:f>
              <c:strCache>
                <c:ptCount val="8"/>
                <c:pt idx="0">
                  <c:v>Under 18</c:v>
                </c:pt>
                <c:pt idx="1">
                  <c:v>18 to 24</c:v>
                </c:pt>
                <c:pt idx="2">
                  <c:v>25 to 34</c:v>
                </c:pt>
                <c:pt idx="3">
                  <c:v>35 to 44</c:v>
                </c:pt>
                <c:pt idx="4">
                  <c:v>45 to 54</c:v>
                </c:pt>
                <c:pt idx="5">
                  <c:v>55 to 64</c:v>
                </c:pt>
                <c:pt idx="6">
                  <c:v>65 to 74</c:v>
                </c:pt>
                <c:pt idx="7">
                  <c:v>75 or older</c:v>
                </c:pt>
              </c:strCache>
            </c:strRef>
          </c:cat>
          <c:val>
            <c:numRef>
              <c:f>'Indiv age gender '!$B$19:$I$19</c:f>
              <c:numCache>
                <c:formatCode>General</c:formatCode>
                <c:ptCount val="8"/>
                <c:pt idx="1">
                  <c:v>2</c:v>
                </c:pt>
                <c:pt idx="2">
                  <c:v>35</c:v>
                </c:pt>
                <c:pt idx="3">
                  <c:v>61</c:v>
                </c:pt>
                <c:pt idx="4">
                  <c:v>46</c:v>
                </c:pt>
                <c:pt idx="5">
                  <c:v>23</c:v>
                </c:pt>
                <c:pt idx="6">
                  <c:v>6</c:v>
                </c:pt>
              </c:numCache>
            </c:numRef>
          </c:val>
          <c:extLst>
            <c:ext xmlns:c16="http://schemas.microsoft.com/office/drawing/2014/chart" uri="{C3380CC4-5D6E-409C-BE32-E72D297353CC}">
              <c16:uniqueId val="{00000006-944E-4CA2-88C8-EBB32392A64C}"/>
            </c:ext>
          </c:extLst>
        </c:ser>
        <c:ser>
          <c:idx val="1"/>
          <c:order val="1"/>
          <c:tx>
            <c:strRef>
              <c:f>'Indiv age gender '!$A$20</c:f>
              <c:strCache>
                <c:ptCount val="1"/>
                <c:pt idx="0">
                  <c:v>Male</c:v>
                </c:pt>
              </c:strCache>
            </c:strRef>
          </c:tx>
          <c:spPr>
            <a:solidFill>
              <a:srgbClr val="0070C0"/>
            </a:solidFill>
          </c:spPr>
          <c:invertIfNegative val="0"/>
          <c:dLbls>
            <c:dLbl>
              <c:idx val="1"/>
              <c:layout>
                <c:manualLayout>
                  <c:x val="-3.8443308850770054E-2"/>
                  <c:y val="-6.2176976012326815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44E-4CA2-88C8-EBB32392A64C}"/>
                </c:ext>
              </c:extLst>
            </c:dLbl>
            <c:dLbl>
              <c:idx val="2"/>
              <c:spPr/>
              <c:txPr>
                <a:bodyPr/>
                <a:lstStyle/>
                <a:p>
                  <a:pPr>
                    <a:defRPr b="1">
                      <a:solidFill>
                        <a:schemeClr val="bg1"/>
                      </a:solidFill>
                    </a:defRPr>
                  </a:pPr>
                  <a:endParaRPr lang="en-US"/>
                </a:p>
              </c:txPr>
              <c:showLegendKey val="0"/>
              <c:showVal val="1"/>
              <c:showCatName val="0"/>
              <c:showSerName val="0"/>
              <c:showPercent val="0"/>
              <c:showBubbleSize val="0"/>
              <c:extLst>
                <c:ext xmlns:c16="http://schemas.microsoft.com/office/drawing/2014/chart" uri="{C3380CC4-5D6E-409C-BE32-E72D297353CC}">
                  <c16:uniqueId val="{00000004-431B-45B1-AC66-F2AB4E14F381}"/>
                </c:ext>
              </c:extLst>
            </c:dLbl>
            <c:dLbl>
              <c:idx val="3"/>
              <c:spPr/>
              <c:txPr>
                <a:bodyPr/>
                <a:lstStyle/>
                <a:p>
                  <a:pPr>
                    <a:defRPr b="1">
                      <a:solidFill>
                        <a:schemeClr val="bg1"/>
                      </a:solidFill>
                    </a:defRPr>
                  </a:pPr>
                  <a:endParaRPr lang="en-US"/>
                </a:p>
              </c:txPr>
              <c:showLegendKey val="0"/>
              <c:showVal val="1"/>
              <c:showCatName val="0"/>
              <c:showSerName val="0"/>
              <c:showPercent val="0"/>
              <c:showBubbleSize val="0"/>
              <c:extLst>
                <c:ext xmlns:c16="http://schemas.microsoft.com/office/drawing/2014/chart" uri="{C3380CC4-5D6E-409C-BE32-E72D297353CC}">
                  <c16:uniqueId val="{00000005-431B-45B1-AC66-F2AB4E14F381}"/>
                </c:ext>
              </c:extLst>
            </c:dLbl>
            <c:dLbl>
              <c:idx val="4"/>
              <c:spPr/>
              <c:txPr>
                <a:bodyPr/>
                <a:lstStyle/>
                <a:p>
                  <a:pPr>
                    <a:defRPr b="1">
                      <a:solidFill>
                        <a:schemeClr val="bg1"/>
                      </a:solidFill>
                    </a:defRPr>
                  </a:pPr>
                  <a:endParaRPr lang="en-US"/>
                </a:p>
              </c:txPr>
              <c:showLegendKey val="0"/>
              <c:showVal val="1"/>
              <c:showCatName val="0"/>
              <c:showSerName val="0"/>
              <c:showPercent val="0"/>
              <c:showBubbleSize val="0"/>
              <c:extLst>
                <c:ext xmlns:c16="http://schemas.microsoft.com/office/drawing/2014/chart" uri="{C3380CC4-5D6E-409C-BE32-E72D297353CC}">
                  <c16:uniqueId val="{00000006-431B-45B1-AC66-F2AB4E14F381}"/>
                </c:ext>
              </c:extLst>
            </c:dLbl>
            <c:dLbl>
              <c:idx val="5"/>
              <c:spPr/>
              <c:txPr>
                <a:bodyPr/>
                <a:lstStyle/>
                <a:p>
                  <a:pPr>
                    <a:defRPr b="1">
                      <a:solidFill>
                        <a:schemeClr val="bg1"/>
                      </a:solidFill>
                    </a:defRPr>
                  </a:pPr>
                  <a:endParaRPr lang="en-US"/>
                </a:p>
              </c:txPr>
              <c:showLegendKey val="0"/>
              <c:showVal val="1"/>
              <c:showCatName val="0"/>
              <c:showSerName val="0"/>
              <c:showPercent val="0"/>
              <c:showBubbleSize val="0"/>
              <c:extLst>
                <c:ext xmlns:c16="http://schemas.microsoft.com/office/drawing/2014/chart" uri="{C3380CC4-5D6E-409C-BE32-E72D297353CC}">
                  <c16:uniqueId val="{00000007-431B-45B1-AC66-F2AB4E14F381}"/>
                </c:ext>
              </c:extLst>
            </c:dLbl>
            <c:dLbl>
              <c:idx val="6"/>
              <c:spPr/>
              <c:txPr>
                <a:bodyPr/>
                <a:lstStyle/>
                <a:p>
                  <a:pPr>
                    <a:defRPr b="1">
                      <a:solidFill>
                        <a:schemeClr val="bg1"/>
                      </a:solidFill>
                    </a:defRPr>
                  </a:pPr>
                  <a:endParaRPr lang="en-US"/>
                </a:p>
              </c:txPr>
              <c:showLegendKey val="0"/>
              <c:showVal val="1"/>
              <c:showCatName val="0"/>
              <c:showSerName val="0"/>
              <c:showPercent val="0"/>
              <c:showBubbleSize val="0"/>
              <c:extLst>
                <c:ext xmlns:c16="http://schemas.microsoft.com/office/drawing/2014/chart" uri="{C3380CC4-5D6E-409C-BE32-E72D297353CC}">
                  <c16:uniqueId val="{00000008-431B-45B1-AC66-F2AB4E14F381}"/>
                </c:ext>
              </c:extLst>
            </c:dLbl>
            <c:dLbl>
              <c:idx val="7"/>
              <c:layout>
                <c:manualLayout>
                  <c:x val="1.314895024328662E-2"/>
                  <c:y val="-6.2176997839961307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44E-4CA2-88C8-EBB32392A64C}"/>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 age gender '!$B$18:$I$18</c:f>
              <c:strCache>
                <c:ptCount val="8"/>
                <c:pt idx="0">
                  <c:v>Under 18</c:v>
                </c:pt>
                <c:pt idx="1">
                  <c:v>18 to 24</c:v>
                </c:pt>
                <c:pt idx="2">
                  <c:v>25 to 34</c:v>
                </c:pt>
                <c:pt idx="3">
                  <c:v>35 to 44</c:v>
                </c:pt>
                <c:pt idx="4">
                  <c:v>45 to 54</c:v>
                </c:pt>
                <c:pt idx="5">
                  <c:v>55 to 64</c:v>
                </c:pt>
                <c:pt idx="6">
                  <c:v>65 to 74</c:v>
                </c:pt>
                <c:pt idx="7">
                  <c:v>75 or older</c:v>
                </c:pt>
              </c:strCache>
            </c:strRef>
          </c:cat>
          <c:val>
            <c:numRef>
              <c:f>'Indiv age gender '!$B$20:$I$20</c:f>
              <c:numCache>
                <c:formatCode>General</c:formatCode>
                <c:ptCount val="8"/>
                <c:pt idx="1">
                  <c:v>1</c:v>
                </c:pt>
                <c:pt idx="2">
                  <c:v>57</c:v>
                </c:pt>
                <c:pt idx="3">
                  <c:v>79</c:v>
                </c:pt>
                <c:pt idx="4">
                  <c:v>94</c:v>
                </c:pt>
                <c:pt idx="5">
                  <c:v>56</c:v>
                </c:pt>
                <c:pt idx="6">
                  <c:v>16</c:v>
                </c:pt>
                <c:pt idx="7">
                  <c:v>4</c:v>
                </c:pt>
              </c:numCache>
            </c:numRef>
          </c:val>
          <c:extLst>
            <c:ext xmlns:c16="http://schemas.microsoft.com/office/drawing/2014/chart" uri="{C3380CC4-5D6E-409C-BE32-E72D297353CC}">
              <c16:uniqueId val="{0000000E-944E-4CA2-88C8-EBB32392A64C}"/>
            </c:ext>
          </c:extLst>
        </c:ser>
        <c:dLbls>
          <c:showLegendKey val="0"/>
          <c:showVal val="0"/>
          <c:showCatName val="0"/>
          <c:showSerName val="0"/>
          <c:showPercent val="0"/>
          <c:showBubbleSize val="0"/>
        </c:dLbls>
        <c:gapWidth val="75"/>
        <c:shape val="box"/>
        <c:axId val="118984704"/>
        <c:axId val="118986240"/>
        <c:axId val="0"/>
      </c:bar3DChart>
      <c:catAx>
        <c:axId val="118984704"/>
        <c:scaling>
          <c:orientation val="minMax"/>
        </c:scaling>
        <c:delete val="0"/>
        <c:axPos val="b"/>
        <c:numFmt formatCode="General" sourceLinked="0"/>
        <c:majorTickMark val="none"/>
        <c:minorTickMark val="none"/>
        <c:tickLblPos val="nextTo"/>
        <c:crossAx val="118986240"/>
        <c:crosses val="autoZero"/>
        <c:auto val="1"/>
        <c:lblAlgn val="ctr"/>
        <c:lblOffset val="100"/>
        <c:noMultiLvlLbl val="0"/>
      </c:catAx>
      <c:valAx>
        <c:axId val="118986240"/>
        <c:scaling>
          <c:orientation val="minMax"/>
        </c:scaling>
        <c:delete val="0"/>
        <c:axPos val="l"/>
        <c:majorGridlines/>
        <c:numFmt formatCode="General" sourceLinked="1"/>
        <c:majorTickMark val="none"/>
        <c:minorTickMark val="none"/>
        <c:tickLblPos val="nextTo"/>
        <c:spPr>
          <a:ln w="9525">
            <a:noFill/>
          </a:ln>
        </c:spPr>
        <c:crossAx val="118984704"/>
        <c:crosses val="autoZero"/>
        <c:crossBetween val="between"/>
      </c:valAx>
      <c:spPr>
        <a:ln>
          <a:noFill/>
        </a:ln>
      </c:spPr>
    </c:plotArea>
    <c:legend>
      <c:legendPos val="b"/>
      <c:overlay val="0"/>
    </c:legend>
    <c:plotVisOnly val="1"/>
    <c:dispBlanksAs val="gap"/>
    <c:showDLblsOverMax val="0"/>
  </c:chart>
  <c:spPr>
    <a:ln>
      <a:noFill/>
    </a:ln>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GB" sz="1100"/>
              <a:t>Gender and age distribution in Africa (AF)</a:t>
            </a:r>
          </a:p>
        </c:rich>
      </c:tx>
      <c:layout>
        <c:manualLayout>
          <c:xMode val="edge"/>
          <c:yMode val="edge"/>
          <c:x val="0.28747717856022714"/>
          <c:y val="1.3888888888888888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9.1786175922272159E-2"/>
          <c:y val="0.14135425780110819"/>
          <c:w val="0.90821179251307427"/>
          <c:h val="0.54688830562846313"/>
        </c:manualLayout>
      </c:layout>
      <c:bar3DChart>
        <c:barDir val="col"/>
        <c:grouping val="stacked"/>
        <c:varyColors val="0"/>
        <c:ser>
          <c:idx val="0"/>
          <c:order val="0"/>
          <c:tx>
            <c:strRef>
              <c:f>'Indiv '!$A$20</c:f>
              <c:strCache>
                <c:ptCount val="1"/>
                <c:pt idx="0">
                  <c:v>Female</c:v>
                </c:pt>
              </c:strCache>
            </c:strRef>
          </c:tx>
          <c:spPr>
            <a:solidFill>
              <a:srgbClr val="C00000"/>
            </a:solidFill>
          </c:spPr>
          <c:invertIfNegative val="0"/>
          <c:dLbls>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 '!$B$19:$I$19</c:f>
              <c:strCache>
                <c:ptCount val="8"/>
                <c:pt idx="0">
                  <c:v>Under 18</c:v>
                </c:pt>
                <c:pt idx="1">
                  <c:v>18 to 24</c:v>
                </c:pt>
                <c:pt idx="2">
                  <c:v>25 to 34</c:v>
                </c:pt>
                <c:pt idx="3">
                  <c:v>35 to 44</c:v>
                </c:pt>
                <c:pt idx="4">
                  <c:v>45 to 54</c:v>
                </c:pt>
                <c:pt idx="5">
                  <c:v>55 to 64</c:v>
                </c:pt>
                <c:pt idx="6">
                  <c:v>65 to 74</c:v>
                </c:pt>
                <c:pt idx="7">
                  <c:v>75 or older</c:v>
                </c:pt>
              </c:strCache>
            </c:strRef>
          </c:cat>
          <c:val>
            <c:numRef>
              <c:f>'Indiv '!$B$20:$I$20</c:f>
              <c:numCache>
                <c:formatCode>General</c:formatCode>
                <c:ptCount val="8"/>
                <c:pt idx="2">
                  <c:v>8</c:v>
                </c:pt>
                <c:pt idx="3">
                  <c:v>5</c:v>
                </c:pt>
                <c:pt idx="4">
                  <c:v>13</c:v>
                </c:pt>
                <c:pt idx="5">
                  <c:v>2</c:v>
                </c:pt>
              </c:numCache>
            </c:numRef>
          </c:val>
          <c:extLst>
            <c:ext xmlns:c16="http://schemas.microsoft.com/office/drawing/2014/chart" uri="{C3380CC4-5D6E-409C-BE32-E72D297353CC}">
              <c16:uniqueId val="{00000000-AF20-47C0-861B-660F1E9076C7}"/>
            </c:ext>
          </c:extLst>
        </c:ser>
        <c:ser>
          <c:idx val="1"/>
          <c:order val="1"/>
          <c:tx>
            <c:strRef>
              <c:f>'Indiv '!$A$21</c:f>
              <c:strCache>
                <c:ptCount val="1"/>
                <c:pt idx="0">
                  <c:v>Male</c:v>
                </c:pt>
              </c:strCache>
            </c:strRef>
          </c:tx>
          <c:spPr>
            <a:solidFill>
              <a:srgbClr val="0070C0"/>
            </a:solidFill>
          </c:spPr>
          <c:invertIfNegative val="0"/>
          <c:dLbls>
            <c:dLbl>
              <c:idx val="2"/>
              <c:spPr/>
              <c:txPr>
                <a:bodyPr/>
                <a:lstStyle/>
                <a:p>
                  <a:pPr>
                    <a:defRPr b="1">
                      <a:solidFill>
                        <a:schemeClr val="bg1"/>
                      </a:solidFill>
                    </a:defRPr>
                  </a:pPr>
                  <a:endParaRPr lang="en-US"/>
                </a:p>
              </c:txPr>
              <c:showLegendKey val="0"/>
              <c:showVal val="1"/>
              <c:showCatName val="0"/>
              <c:showSerName val="0"/>
              <c:showPercent val="0"/>
              <c:showBubbleSize val="0"/>
              <c:extLst>
                <c:ext xmlns:c16="http://schemas.microsoft.com/office/drawing/2014/chart" uri="{C3380CC4-5D6E-409C-BE32-E72D297353CC}">
                  <c16:uniqueId val="{00000000-2ED8-4F0A-9226-7E96E3589435}"/>
                </c:ext>
              </c:extLst>
            </c:dLbl>
            <c:dLbl>
              <c:idx val="3"/>
              <c:spPr/>
              <c:txPr>
                <a:bodyPr/>
                <a:lstStyle/>
                <a:p>
                  <a:pPr>
                    <a:defRPr b="1">
                      <a:solidFill>
                        <a:schemeClr val="bg1"/>
                      </a:solidFill>
                    </a:defRPr>
                  </a:pPr>
                  <a:endParaRPr lang="en-US"/>
                </a:p>
              </c:txPr>
              <c:showLegendKey val="0"/>
              <c:showVal val="1"/>
              <c:showCatName val="0"/>
              <c:showSerName val="0"/>
              <c:showPercent val="0"/>
              <c:showBubbleSize val="0"/>
              <c:extLst>
                <c:ext xmlns:c16="http://schemas.microsoft.com/office/drawing/2014/chart" uri="{C3380CC4-5D6E-409C-BE32-E72D297353CC}">
                  <c16:uniqueId val="{00000001-2ED8-4F0A-9226-7E96E3589435}"/>
                </c:ext>
              </c:extLst>
            </c:dLbl>
            <c:dLbl>
              <c:idx val="4"/>
              <c:spPr/>
              <c:txPr>
                <a:bodyPr/>
                <a:lstStyle/>
                <a:p>
                  <a:pPr>
                    <a:defRPr b="1">
                      <a:solidFill>
                        <a:schemeClr val="bg1"/>
                      </a:solidFill>
                    </a:defRPr>
                  </a:pPr>
                  <a:endParaRPr lang="en-US"/>
                </a:p>
              </c:txPr>
              <c:showLegendKey val="0"/>
              <c:showVal val="1"/>
              <c:showCatName val="0"/>
              <c:showSerName val="0"/>
              <c:showPercent val="0"/>
              <c:showBubbleSize val="0"/>
              <c:extLst>
                <c:ext xmlns:c16="http://schemas.microsoft.com/office/drawing/2014/chart" uri="{C3380CC4-5D6E-409C-BE32-E72D297353CC}">
                  <c16:uniqueId val="{00000002-2ED8-4F0A-9226-7E96E3589435}"/>
                </c:ext>
              </c:extLst>
            </c:dLbl>
            <c:dLbl>
              <c:idx val="5"/>
              <c:spPr/>
              <c:txPr>
                <a:bodyPr/>
                <a:lstStyle/>
                <a:p>
                  <a:pPr>
                    <a:defRPr b="1">
                      <a:solidFill>
                        <a:schemeClr val="bg1"/>
                      </a:solidFill>
                    </a:defRPr>
                  </a:pPr>
                  <a:endParaRPr lang="en-US"/>
                </a:p>
              </c:txPr>
              <c:showLegendKey val="0"/>
              <c:showVal val="1"/>
              <c:showCatName val="0"/>
              <c:showSerName val="0"/>
              <c:showPercent val="0"/>
              <c:showBubbleSize val="0"/>
              <c:extLst>
                <c:ext xmlns:c16="http://schemas.microsoft.com/office/drawing/2014/chart" uri="{C3380CC4-5D6E-409C-BE32-E72D297353CC}">
                  <c16:uniqueId val="{00000003-2ED8-4F0A-9226-7E96E3589435}"/>
                </c:ext>
              </c:extLst>
            </c:dLbl>
            <c:dLbl>
              <c:idx val="6"/>
              <c:layout>
                <c:manualLayout>
                  <c:x val="2.786825665676923E-2"/>
                  <c:y val="-5.4843304330677863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F20-47C0-861B-660F1E9076C7}"/>
                </c:ext>
              </c:extLst>
            </c:dLbl>
            <c:dLbl>
              <c:idx val="7"/>
              <c:layout>
                <c:manualLayout>
                  <c:x val="1.3934128328384615E-2"/>
                  <c:y val="-5.5555555555555552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F20-47C0-861B-660F1E9076C7}"/>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 '!$B$19:$I$19</c:f>
              <c:strCache>
                <c:ptCount val="8"/>
                <c:pt idx="0">
                  <c:v>Under 18</c:v>
                </c:pt>
                <c:pt idx="1">
                  <c:v>18 to 24</c:v>
                </c:pt>
                <c:pt idx="2">
                  <c:v>25 to 34</c:v>
                </c:pt>
                <c:pt idx="3">
                  <c:v>35 to 44</c:v>
                </c:pt>
                <c:pt idx="4">
                  <c:v>45 to 54</c:v>
                </c:pt>
                <c:pt idx="5">
                  <c:v>55 to 64</c:v>
                </c:pt>
                <c:pt idx="6">
                  <c:v>65 to 74</c:v>
                </c:pt>
                <c:pt idx="7">
                  <c:v>75 or older</c:v>
                </c:pt>
              </c:strCache>
            </c:strRef>
          </c:cat>
          <c:val>
            <c:numRef>
              <c:f>'Indiv '!$B$21:$I$21</c:f>
              <c:numCache>
                <c:formatCode>General</c:formatCode>
                <c:ptCount val="8"/>
                <c:pt idx="2">
                  <c:v>19</c:v>
                </c:pt>
                <c:pt idx="3">
                  <c:v>20</c:v>
                </c:pt>
                <c:pt idx="4">
                  <c:v>25</c:v>
                </c:pt>
                <c:pt idx="5">
                  <c:v>15</c:v>
                </c:pt>
                <c:pt idx="6">
                  <c:v>1</c:v>
                </c:pt>
                <c:pt idx="7">
                  <c:v>1</c:v>
                </c:pt>
              </c:numCache>
            </c:numRef>
          </c:val>
          <c:extLst>
            <c:ext xmlns:c16="http://schemas.microsoft.com/office/drawing/2014/chart" uri="{C3380CC4-5D6E-409C-BE32-E72D297353CC}">
              <c16:uniqueId val="{00000007-AF20-47C0-861B-660F1E9076C7}"/>
            </c:ext>
          </c:extLst>
        </c:ser>
        <c:dLbls>
          <c:showLegendKey val="0"/>
          <c:showVal val="0"/>
          <c:showCatName val="0"/>
          <c:showSerName val="0"/>
          <c:showPercent val="0"/>
          <c:showBubbleSize val="0"/>
        </c:dLbls>
        <c:gapWidth val="75"/>
        <c:shape val="box"/>
        <c:axId val="120543872"/>
        <c:axId val="120557952"/>
        <c:axId val="0"/>
      </c:bar3DChart>
      <c:catAx>
        <c:axId val="120543872"/>
        <c:scaling>
          <c:orientation val="minMax"/>
        </c:scaling>
        <c:delete val="0"/>
        <c:axPos val="b"/>
        <c:numFmt formatCode="General" sourceLinked="0"/>
        <c:majorTickMark val="none"/>
        <c:minorTickMark val="none"/>
        <c:tickLblPos val="nextTo"/>
        <c:crossAx val="120557952"/>
        <c:crosses val="autoZero"/>
        <c:auto val="1"/>
        <c:lblAlgn val="ctr"/>
        <c:lblOffset val="100"/>
        <c:noMultiLvlLbl val="0"/>
      </c:catAx>
      <c:valAx>
        <c:axId val="120557952"/>
        <c:scaling>
          <c:orientation val="minMax"/>
        </c:scaling>
        <c:delete val="0"/>
        <c:axPos val="l"/>
        <c:majorGridlines/>
        <c:numFmt formatCode="General" sourceLinked="1"/>
        <c:majorTickMark val="none"/>
        <c:minorTickMark val="none"/>
        <c:tickLblPos val="nextTo"/>
        <c:spPr>
          <a:ln w="6350">
            <a:noFill/>
          </a:ln>
        </c:spPr>
        <c:crossAx val="120543872"/>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GB" sz="1100"/>
              <a:t>Gender and age distribution in Asia-Pacific (AP)</a:t>
            </a:r>
          </a:p>
        </c:rich>
      </c:tx>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'Indiv age gender '!$A$28</c:f>
              <c:strCache>
                <c:ptCount val="1"/>
                <c:pt idx="0">
                  <c:v>Female</c:v>
                </c:pt>
              </c:strCache>
            </c:strRef>
          </c:tx>
          <c:spPr>
            <a:solidFill>
              <a:srgbClr val="C00000"/>
            </a:solidFill>
          </c:spPr>
          <c:invertIfNegative val="0"/>
          <c:dLbls>
            <c:dLbl>
              <c:idx val="1"/>
              <c:layout>
                <c:manualLayout>
                  <c:x val="2.2983082925892976E-3"/>
                  <c:y val="-7.1506439653426249E-2"/>
                </c:manualLayout>
              </c:layout>
              <c:spPr>
                <a:solidFill>
                  <a:schemeClr val="bg1"/>
                </a:solidFill>
              </c:spPr>
              <c:txPr>
                <a:bodyPr/>
                <a:lstStyle/>
                <a:p>
                  <a:pPr>
                    <a:defRPr b="1">
                      <a:solidFill>
                        <a:sysClr val="windowText" lastClr="000000"/>
                      </a:solidFill>
                    </a:defRPr>
                  </a:pPr>
                  <a:endParaRPr lang="en-US"/>
                </a:p>
              </c:txPr>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9ED-40E9-B174-9E75D268FF43}"/>
                </c:ext>
              </c:extLst>
            </c:dLbl>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 age gender '!$B$27:$I$27</c:f>
              <c:strCache>
                <c:ptCount val="8"/>
                <c:pt idx="0">
                  <c:v>Under 18</c:v>
                </c:pt>
                <c:pt idx="1">
                  <c:v>18 to 24</c:v>
                </c:pt>
                <c:pt idx="2">
                  <c:v>25 to 34</c:v>
                </c:pt>
                <c:pt idx="3">
                  <c:v>35 to 44</c:v>
                </c:pt>
                <c:pt idx="4">
                  <c:v>45 to 54</c:v>
                </c:pt>
                <c:pt idx="5">
                  <c:v>55 to 64</c:v>
                </c:pt>
                <c:pt idx="6">
                  <c:v>65 to 74</c:v>
                </c:pt>
                <c:pt idx="7">
                  <c:v>75 or older</c:v>
                </c:pt>
              </c:strCache>
            </c:strRef>
          </c:cat>
          <c:val>
            <c:numRef>
              <c:f>'Indiv age gender '!$B$28:$I$28</c:f>
              <c:numCache>
                <c:formatCode>General</c:formatCode>
                <c:ptCount val="8"/>
                <c:pt idx="1">
                  <c:v>1</c:v>
                </c:pt>
                <c:pt idx="2">
                  <c:v>6</c:v>
                </c:pt>
                <c:pt idx="3">
                  <c:v>9</c:v>
                </c:pt>
                <c:pt idx="4">
                  <c:v>4</c:v>
                </c:pt>
                <c:pt idx="5">
                  <c:v>5</c:v>
                </c:pt>
              </c:numCache>
            </c:numRef>
          </c:val>
          <c:extLst>
            <c:ext xmlns:c16="http://schemas.microsoft.com/office/drawing/2014/chart" uri="{C3380CC4-5D6E-409C-BE32-E72D297353CC}">
              <c16:uniqueId val="{00000001-89ED-40E9-B174-9E75D268FF43}"/>
            </c:ext>
          </c:extLst>
        </c:ser>
        <c:ser>
          <c:idx val="1"/>
          <c:order val="1"/>
          <c:tx>
            <c:strRef>
              <c:f>'Indiv age gender '!$A$29</c:f>
              <c:strCache>
                <c:ptCount val="1"/>
                <c:pt idx="0">
                  <c:v>Male</c:v>
                </c:pt>
              </c:strCache>
            </c:strRef>
          </c:tx>
          <c:spPr>
            <a:solidFill>
              <a:srgbClr val="0070C0"/>
            </a:solidFill>
          </c:spPr>
          <c:invertIfNegative val="0"/>
          <c:dLbls>
            <c:dLbl>
              <c:idx val="1"/>
              <c:layout>
                <c:manualLayout>
                  <c:x val="-6.9010142015648465E-2"/>
                  <c:y val="-5.4292305719862745E-2"/>
                </c:manualLayout>
              </c:layout>
              <c:spPr>
                <a:solidFill>
                  <a:schemeClr val="bg1"/>
                </a:solidFill>
              </c:spPr>
              <c:txPr>
                <a:bodyPr/>
                <a:lstStyle/>
                <a:p>
                  <a:pPr>
                    <a:defRPr b="1">
                      <a:solidFill>
                        <a:sysClr val="windowText" lastClr="000000"/>
                      </a:solidFill>
                    </a:defRPr>
                  </a:pPr>
                  <a:endParaRPr lang="en-US"/>
                </a:p>
              </c:txPr>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9ED-40E9-B174-9E75D268FF43}"/>
                </c:ext>
              </c:extLst>
            </c:dLbl>
            <c:dLbl>
              <c:idx val="3"/>
              <c:layout>
                <c:manualLayout>
                  <c:x val="0"/>
                  <c:y val="3.37212222179233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9ED-40E9-B174-9E75D268FF43}"/>
                </c:ext>
              </c:extLst>
            </c:dLbl>
            <c:dLbl>
              <c:idx val="7"/>
              <c:layout>
                <c:manualLayout>
                  <c:x val="1.6666666666666566E-2"/>
                  <c:y val="-6.8493150684931503E-2"/>
                </c:manualLayout>
              </c:layout>
              <c:spPr/>
              <c:txPr>
                <a:bodyPr/>
                <a:lstStyle/>
                <a:p>
                  <a:pPr>
                    <a:defRPr b="1">
                      <a:solidFill>
                        <a:sysClr val="windowText" lastClr="000000"/>
                      </a:solidFill>
                    </a:defRPr>
                  </a:pPr>
                  <a:endParaRPr lang="en-US"/>
                </a:p>
              </c:txPr>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9ED-40E9-B174-9E75D268FF43}"/>
                </c:ext>
              </c:extLst>
            </c:dLbl>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 age gender '!$B$27:$I$27</c:f>
              <c:strCache>
                <c:ptCount val="8"/>
                <c:pt idx="0">
                  <c:v>Under 18</c:v>
                </c:pt>
                <c:pt idx="1">
                  <c:v>18 to 24</c:v>
                </c:pt>
                <c:pt idx="2">
                  <c:v>25 to 34</c:v>
                </c:pt>
                <c:pt idx="3">
                  <c:v>35 to 44</c:v>
                </c:pt>
                <c:pt idx="4">
                  <c:v>45 to 54</c:v>
                </c:pt>
                <c:pt idx="5">
                  <c:v>55 to 64</c:v>
                </c:pt>
                <c:pt idx="6">
                  <c:v>65 to 74</c:v>
                </c:pt>
                <c:pt idx="7">
                  <c:v>75 or older</c:v>
                </c:pt>
              </c:strCache>
            </c:strRef>
          </c:cat>
          <c:val>
            <c:numRef>
              <c:f>'Indiv age gender '!$B$29:$I$29</c:f>
              <c:numCache>
                <c:formatCode>General</c:formatCode>
                <c:ptCount val="8"/>
                <c:pt idx="1">
                  <c:v>1</c:v>
                </c:pt>
                <c:pt idx="2">
                  <c:v>13</c:v>
                </c:pt>
                <c:pt idx="3">
                  <c:v>21</c:v>
                </c:pt>
                <c:pt idx="4">
                  <c:v>23</c:v>
                </c:pt>
                <c:pt idx="5">
                  <c:v>16</c:v>
                </c:pt>
                <c:pt idx="6">
                  <c:v>6</c:v>
                </c:pt>
                <c:pt idx="7">
                  <c:v>1</c:v>
                </c:pt>
              </c:numCache>
            </c:numRef>
          </c:val>
          <c:extLst>
            <c:ext xmlns:c16="http://schemas.microsoft.com/office/drawing/2014/chart" uri="{C3380CC4-5D6E-409C-BE32-E72D297353CC}">
              <c16:uniqueId val="{00000005-89ED-40E9-B174-9E75D268FF43}"/>
            </c:ext>
          </c:extLst>
        </c:ser>
        <c:dLbls>
          <c:showLegendKey val="0"/>
          <c:showVal val="0"/>
          <c:showCatName val="0"/>
          <c:showSerName val="0"/>
          <c:showPercent val="0"/>
          <c:showBubbleSize val="0"/>
        </c:dLbls>
        <c:gapWidth val="75"/>
        <c:shape val="box"/>
        <c:axId val="122030336"/>
        <c:axId val="122036224"/>
        <c:axId val="0"/>
      </c:bar3DChart>
      <c:catAx>
        <c:axId val="122030336"/>
        <c:scaling>
          <c:orientation val="minMax"/>
        </c:scaling>
        <c:delete val="0"/>
        <c:axPos val="b"/>
        <c:numFmt formatCode="General" sourceLinked="0"/>
        <c:majorTickMark val="none"/>
        <c:minorTickMark val="none"/>
        <c:tickLblPos val="nextTo"/>
        <c:crossAx val="122036224"/>
        <c:crosses val="autoZero"/>
        <c:auto val="1"/>
        <c:lblAlgn val="ctr"/>
        <c:lblOffset val="100"/>
        <c:noMultiLvlLbl val="0"/>
      </c:catAx>
      <c:valAx>
        <c:axId val="122036224"/>
        <c:scaling>
          <c:orientation val="minMax"/>
        </c:scaling>
        <c:delete val="0"/>
        <c:axPos val="l"/>
        <c:majorGridlines/>
        <c:numFmt formatCode="General" sourceLinked="1"/>
        <c:majorTickMark val="none"/>
        <c:minorTickMark val="none"/>
        <c:tickLblPos val="nextTo"/>
        <c:spPr>
          <a:ln w="6350">
            <a:noFill/>
          </a:ln>
        </c:spPr>
        <c:crossAx val="122030336"/>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GB" sz="1100"/>
              <a:t>Gender</a:t>
            </a:r>
            <a:r>
              <a:rPr lang="en-GB" sz="1100" baseline="0"/>
              <a:t> and age distribution in Eastern Europe (EE)</a:t>
            </a:r>
            <a:endParaRPr lang="en-GB" sz="1100"/>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7.2624398512685914E-2"/>
          <c:y val="0.17576386665883748"/>
          <c:w val="0.91695893482064739"/>
          <c:h val="0.52912210734542675"/>
        </c:manualLayout>
      </c:layout>
      <c:bar3DChart>
        <c:barDir val="col"/>
        <c:grouping val="stacked"/>
        <c:varyColors val="0"/>
        <c:ser>
          <c:idx val="0"/>
          <c:order val="0"/>
          <c:tx>
            <c:strRef>
              <c:f>'Indiv age gender '!$A$34</c:f>
              <c:strCache>
                <c:ptCount val="1"/>
                <c:pt idx="0">
                  <c:v>Female</c:v>
                </c:pt>
              </c:strCache>
            </c:strRef>
          </c:tx>
          <c:spPr>
            <a:solidFill>
              <a:srgbClr val="C00000"/>
            </a:solidFill>
          </c:spPr>
          <c:invertIfNegative val="0"/>
          <c:dLbls>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 age gender '!$B$33:$I$33</c:f>
              <c:strCache>
                <c:ptCount val="8"/>
                <c:pt idx="0">
                  <c:v>Under 18</c:v>
                </c:pt>
                <c:pt idx="1">
                  <c:v>18 to 24</c:v>
                </c:pt>
                <c:pt idx="2">
                  <c:v>25 to 34</c:v>
                </c:pt>
                <c:pt idx="3">
                  <c:v>35 to 44</c:v>
                </c:pt>
                <c:pt idx="4">
                  <c:v>45 to 54</c:v>
                </c:pt>
                <c:pt idx="5">
                  <c:v>55 to 64</c:v>
                </c:pt>
                <c:pt idx="6">
                  <c:v>65 to 74</c:v>
                </c:pt>
                <c:pt idx="7">
                  <c:v>75 or older</c:v>
                </c:pt>
              </c:strCache>
            </c:strRef>
          </c:cat>
          <c:val>
            <c:numRef>
              <c:f>'Indiv age gender '!$B$34:$I$34</c:f>
              <c:numCache>
                <c:formatCode>General</c:formatCode>
                <c:ptCount val="8"/>
                <c:pt idx="2">
                  <c:v>2</c:v>
                </c:pt>
                <c:pt idx="3">
                  <c:v>6</c:v>
                </c:pt>
                <c:pt idx="4">
                  <c:v>3</c:v>
                </c:pt>
                <c:pt idx="5">
                  <c:v>1</c:v>
                </c:pt>
                <c:pt idx="6">
                  <c:v>1</c:v>
                </c:pt>
              </c:numCache>
            </c:numRef>
          </c:val>
          <c:extLst>
            <c:ext xmlns:c16="http://schemas.microsoft.com/office/drawing/2014/chart" uri="{C3380CC4-5D6E-409C-BE32-E72D297353CC}">
              <c16:uniqueId val="{00000000-A2E6-4024-8806-E9F8464C21DC}"/>
            </c:ext>
          </c:extLst>
        </c:ser>
        <c:ser>
          <c:idx val="1"/>
          <c:order val="1"/>
          <c:tx>
            <c:strRef>
              <c:f>'Indiv age gender '!$A$35</c:f>
              <c:strCache>
                <c:ptCount val="1"/>
                <c:pt idx="0">
                  <c:v>Male</c:v>
                </c:pt>
              </c:strCache>
            </c:strRef>
          </c:tx>
          <c:spPr>
            <a:solidFill>
              <a:srgbClr val="0070C0"/>
            </a:solidFill>
          </c:spPr>
          <c:invertIfNegative val="0"/>
          <c:dLbls>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 age gender '!$B$33:$I$33</c:f>
              <c:strCache>
                <c:ptCount val="8"/>
                <c:pt idx="0">
                  <c:v>Under 18</c:v>
                </c:pt>
                <c:pt idx="1">
                  <c:v>18 to 24</c:v>
                </c:pt>
                <c:pt idx="2">
                  <c:v>25 to 34</c:v>
                </c:pt>
                <c:pt idx="3">
                  <c:v>35 to 44</c:v>
                </c:pt>
                <c:pt idx="4">
                  <c:v>45 to 54</c:v>
                </c:pt>
                <c:pt idx="5">
                  <c:v>55 to 64</c:v>
                </c:pt>
                <c:pt idx="6">
                  <c:v>65 to 74</c:v>
                </c:pt>
                <c:pt idx="7">
                  <c:v>75 or older</c:v>
                </c:pt>
              </c:strCache>
            </c:strRef>
          </c:cat>
          <c:val>
            <c:numRef>
              <c:f>'Indiv age gender '!$B$35:$I$35</c:f>
              <c:numCache>
                <c:formatCode>General</c:formatCode>
                <c:ptCount val="8"/>
                <c:pt idx="2">
                  <c:v>3</c:v>
                </c:pt>
                <c:pt idx="3">
                  <c:v>3</c:v>
                </c:pt>
                <c:pt idx="4">
                  <c:v>5</c:v>
                </c:pt>
                <c:pt idx="5">
                  <c:v>5</c:v>
                </c:pt>
              </c:numCache>
            </c:numRef>
          </c:val>
          <c:extLst>
            <c:ext xmlns:c16="http://schemas.microsoft.com/office/drawing/2014/chart" uri="{C3380CC4-5D6E-409C-BE32-E72D297353CC}">
              <c16:uniqueId val="{00000001-A2E6-4024-8806-E9F8464C21DC}"/>
            </c:ext>
          </c:extLst>
        </c:ser>
        <c:dLbls>
          <c:showLegendKey val="0"/>
          <c:showVal val="0"/>
          <c:showCatName val="0"/>
          <c:showSerName val="0"/>
          <c:showPercent val="0"/>
          <c:showBubbleSize val="0"/>
        </c:dLbls>
        <c:gapWidth val="75"/>
        <c:shape val="box"/>
        <c:axId val="122055296"/>
        <c:axId val="122069376"/>
        <c:axId val="0"/>
      </c:bar3DChart>
      <c:catAx>
        <c:axId val="122055296"/>
        <c:scaling>
          <c:orientation val="minMax"/>
        </c:scaling>
        <c:delete val="0"/>
        <c:axPos val="b"/>
        <c:numFmt formatCode="General" sourceLinked="0"/>
        <c:majorTickMark val="none"/>
        <c:minorTickMark val="none"/>
        <c:tickLblPos val="nextTo"/>
        <c:crossAx val="122069376"/>
        <c:crosses val="autoZero"/>
        <c:auto val="1"/>
        <c:lblAlgn val="ctr"/>
        <c:lblOffset val="100"/>
        <c:noMultiLvlLbl val="0"/>
      </c:catAx>
      <c:valAx>
        <c:axId val="122069376"/>
        <c:scaling>
          <c:orientation val="minMax"/>
        </c:scaling>
        <c:delete val="0"/>
        <c:axPos val="l"/>
        <c:majorGridlines/>
        <c:numFmt formatCode="General" sourceLinked="1"/>
        <c:majorTickMark val="none"/>
        <c:minorTickMark val="none"/>
        <c:tickLblPos val="nextTo"/>
        <c:spPr>
          <a:ln w="6350">
            <a:noFill/>
          </a:ln>
        </c:spPr>
        <c:crossAx val="122055296"/>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GB" sz="1100"/>
              <a:t>Gender and age distribution in </a:t>
            </a:r>
            <a:br>
              <a:rPr lang="en-GB" sz="1100"/>
            </a:br>
            <a:r>
              <a:rPr lang="en-GB" sz="1100" b="1" i="0" u="none" strike="noStrike" kern="1200" baseline="0">
                <a:solidFill>
                  <a:sysClr val="windowText" lastClr="000000"/>
                </a:solidFill>
                <a:latin typeface="+mn-lt"/>
                <a:ea typeface="+mn-ea"/>
                <a:cs typeface="+mn-cs"/>
              </a:rPr>
              <a:t>Latin America and the Caribbean (LAC)</a:t>
            </a:r>
            <a:r>
              <a:rPr lang="en-GB" sz="1100"/>
              <a:t> </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6.3655074365704278E-2"/>
          <c:y val="0.18964129483814521"/>
          <c:w val="0.89745603674540686"/>
          <c:h val="0.54952719451735188"/>
        </c:manualLayout>
      </c:layout>
      <c:bar3DChart>
        <c:barDir val="col"/>
        <c:grouping val="stacked"/>
        <c:varyColors val="0"/>
        <c:ser>
          <c:idx val="0"/>
          <c:order val="0"/>
          <c:tx>
            <c:strRef>
              <c:f>'Indiv age gender '!$A$41</c:f>
              <c:strCache>
                <c:ptCount val="1"/>
                <c:pt idx="0">
                  <c:v>Female</c:v>
                </c:pt>
              </c:strCache>
            </c:strRef>
          </c:tx>
          <c:spPr>
            <a:solidFill>
              <a:srgbClr val="C00000"/>
            </a:solidFill>
          </c:spPr>
          <c:invertIfNegative val="0"/>
          <c:dLbls>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 age gender '!$B$40:$I$40</c:f>
              <c:strCache>
                <c:ptCount val="8"/>
                <c:pt idx="0">
                  <c:v>Under 18</c:v>
                </c:pt>
                <c:pt idx="1">
                  <c:v>18 to 24</c:v>
                </c:pt>
                <c:pt idx="2">
                  <c:v>25 to 34</c:v>
                </c:pt>
                <c:pt idx="3">
                  <c:v>35 to 44</c:v>
                </c:pt>
                <c:pt idx="4">
                  <c:v>45 to 54</c:v>
                </c:pt>
                <c:pt idx="5">
                  <c:v>55 to 64</c:v>
                </c:pt>
                <c:pt idx="6">
                  <c:v>65 to 74</c:v>
                </c:pt>
                <c:pt idx="7">
                  <c:v>75 or older</c:v>
                </c:pt>
              </c:strCache>
            </c:strRef>
          </c:cat>
          <c:val>
            <c:numRef>
              <c:f>'Indiv age gender '!$B$41:$I$41</c:f>
              <c:numCache>
                <c:formatCode>General</c:formatCode>
                <c:ptCount val="8"/>
                <c:pt idx="2">
                  <c:v>10</c:v>
                </c:pt>
                <c:pt idx="3">
                  <c:v>15</c:v>
                </c:pt>
                <c:pt idx="4">
                  <c:v>11</c:v>
                </c:pt>
                <c:pt idx="5">
                  <c:v>3</c:v>
                </c:pt>
                <c:pt idx="6">
                  <c:v>2</c:v>
                </c:pt>
              </c:numCache>
            </c:numRef>
          </c:val>
          <c:extLst>
            <c:ext xmlns:c16="http://schemas.microsoft.com/office/drawing/2014/chart" uri="{C3380CC4-5D6E-409C-BE32-E72D297353CC}">
              <c16:uniqueId val="{00000000-1398-454F-984A-95E3E2BEDCF4}"/>
            </c:ext>
          </c:extLst>
        </c:ser>
        <c:ser>
          <c:idx val="1"/>
          <c:order val="1"/>
          <c:tx>
            <c:strRef>
              <c:f>'Indiv age gender '!$A$42</c:f>
              <c:strCache>
                <c:ptCount val="1"/>
                <c:pt idx="0">
                  <c:v>Male</c:v>
                </c:pt>
              </c:strCache>
            </c:strRef>
          </c:tx>
          <c:spPr>
            <a:solidFill>
              <a:srgbClr val="0070C0"/>
            </a:solidFill>
          </c:spPr>
          <c:invertIfNegative val="0"/>
          <c:dLbls>
            <c:dLbl>
              <c:idx val="6"/>
              <c:layout>
                <c:manualLayout>
                  <c:x val="3.472222222222222E-3"/>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398-454F-984A-95E3E2BEDCF4}"/>
                </c:ext>
              </c:extLst>
            </c:dLbl>
            <c:dLbl>
              <c:idx val="7"/>
              <c:layout>
                <c:manualLayout>
                  <c:x val="8.3333333333332309E-3"/>
                  <c:y val="-6.0185185185185182E-2"/>
                </c:manualLayout>
              </c:layout>
              <c:spPr/>
              <c:txPr>
                <a:bodyPr/>
                <a:lstStyle/>
                <a:p>
                  <a:pPr>
                    <a:defRPr b="1">
                      <a:solidFill>
                        <a:schemeClr val="tx1"/>
                      </a:solidFill>
                    </a:defRPr>
                  </a:pPr>
                  <a:endParaRPr lang="en-US"/>
                </a:p>
              </c:txPr>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398-454F-984A-95E3E2BEDCF4}"/>
                </c:ext>
              </c:extLst>
            </c:dLbl>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 age gender '!$B$40:$I$40</c:f>
              <c:strCache>
                <c:ptCount val="8"/>
                <c:pt idx="0">
                  <c:v>Under 18</c:v>
                </c:pt>
                <c:pt idx="1">
                  <c:v>18 to 24</c:v>
                </c:pt>
                <c:pt idx="2">
                  <c:v>25 to 34</c:v>
                </c:pt>
                <c:pt idx="3">
                  <c:v>35 to 44</c:v>
                </c:pt>
                <c:pt idx="4">
                  <c:v>45 to 54</c:v>
                </c:pt>
                <c:pt idx="5">
                  <c:v>55 to 64</c:v>
                </c:pt>
                <c:pt idx="6">
                  <c:v>65 to 74</c:v>
                </c:pt>
                <c:pt idx="7">
                  <c:v>75 or older</c:v>
                </c:pt>
              </c:strCache>
            </c:strRef>
          </c:cat>
          <c:val>
            <c:numRef>
              <c:f>'Indiv age gender '!$B$42:$I$42</c:f>
              <c:numCache>
                <c:formatCode>General</c:formatCode>
                <c:ptCount val="8"/>
                <c:pt idx="2">
                  <c:v>10</c:v>
                </c:pt>
                <c:pt idx="3">
                  <c:v>15</c:v>
                </c:pt>
                <c:pt idx="4">
                  <c:v>15</c:v>
                </c:pt>
                <c:pt idx="5">
                  <c:v>5</c:v>
                </c:pt>
                <c:pt idx="6">
                  <c:v>3</c:v>
                </c:pt>
                <c:pt idx="7">
                  <c:v>2</c:v>
                </c:pt>
              </c:numCache>
            </c:numRef>
          </c:val>
          <c:extLst>
            <c:ext xmlns:c16="http://schemas.microsoft.com/office/drawing/2014/chart" uri="{C3380CC4-5D6E-409C-BE32-E72D297353CC}">
              <c16:uniqueId val="{00000003-1398-454F-984A-95E3E2BEDCF4}"/>
            </c:ext>
          </c:extLst>
        </c:ser>
        <c:dLbls>
          <c:showLegendKey val="0"/>
          <c:showVal val="0"/>
          <c:showCatName val="0"/>
          <c:showSerName val="0"/>
          <c:showPercent val="0"/>
          <c:showBubbleSize val="0"/>
        </c:dLbls>
        <c:gapWidth val="75"/>
        <c:shape val="box"/>
        <c:axId val="123556224"/>
        <c:axId val="123557760"/>
        <c:axId val="0"/>
      </c:bar3DChart>
      <c:catAx>
        <c:axId val="123556224"/>
        <c:scaling>
          <c:orientation val="minMax"/>
        </c:scaling>
        <c:delete val="0"/>
        <c:axPos val="b"/>
        <c:numFmt formatCode="General" sourceLinked="0"/>
        <c:majorTickMark val="none"/>
        <c:minorTickMark val="none"/>
        <c:tickLblPos val="nextTo"/>
        <c:crossAx val="123557760"/>
        <c:crosses val="autoZero"/>
        <c:auto val="1"/>
        <c:lblAlgn val="ctr"/>
        <c:lblOffset val="100"/>
        <c:noMultiLvlLbl val="0"/>
      </c:catAx>
      <c:valAx>
        <c:axId val="123557760"/>
        <c:scaling>
          <c:orientation val="minMax"/>
        </c:scaling>
        <c:delete val="0"/>
        <c:axPos val="l"/>
        <c:majorGridlines/>
        <c:numFmt formatCode="General" sourceLinked="1"/>
        <c:majorTickMark val="none"/>
        <c:minorTickMark val="none"/>
        <c:tickLblPos val="nextTo"/>
        <c:spPr>
          <a:ln w="6350">
            <a:noFill/>
          </a:ln>
        </c:spPr>
        <c:crossAx val="123556224"/>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GB" sz="1100"/>
              <a:t>Gender and age distribution</a:t>
            </a:r>
            <a:r>
              <a:rPr lang="en-GB" sz="1100" baseline="0"/>
              <a:t> in </a:t>
            </a:r>
            <a:br>
              <a:rPr lang="en-GB" sz="1100" baseline="0"/>
            </a:br>
            <a:r>
              <a:rPr lang="en-GB" sz="1100" baseline="0"/>
              <a:t>Western Europe and Other Groups (WEOG)</a:t>
            </a:r>
            <a:endParaRPr lang="en-GB" sz="1100"/>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4.6403114513534557E-2"/>
          <c:y val="0.18774737727516999"/>
          <c:w val="0.94479000441084626"/>
          <c:h val="0.54845107856608588"/>
        </c:manualLayout>
      </c:layout>
      <c:bar3DChart>
        <c:barDir val="col"/>
        <c:grouping val="stacked"/>
        <c:varyColors val="0"/>
        <c:ser>
          <c:idx val="0"/>
          <c:order val="0"/>
          <c:tx>
            <c:strRef>
              <c:f>'Indiv age gender '!$A$47</c:f>
              <c:strCache>
                <c:ptCount val="1"/>
                <c:pt idx="0">
                  <c:v>Female</c:v>
                </c:pt>
              </c:strCache>
            </c:strRef>
          </c:tx>
          <c:spPr>
            <a:solidFill>
              <a:srgbClr val="C00000"/>
            </a:solidFill>
          </c:spPr>
          <c:invertIfNegative val="0"/>
          <c:dLbls>
            <c:dLbl>
              <c:idx val="1"/>
              <c:layout>
                <c:manualLayout>
                  <c:x val="3.1828336020049981E-17"/>
                  <c:y val="-7.9359627612501801E-2"/>
                </c:manualLayout>
              </c:layout>
              <c:spPr>
                <a:solidFill>
                  <a:schemeClr val="bg1"/>
                </a:solidFill>
              </c:spPr>
              <c:txPr>
                <a:bodyPr/>
                <a:lstStyle/>
                <a:p>
                  <a:pPr>
                    <a:defRPr b="1">
                      <a:solidFill>
                        <a:schemeClr val="tx1"/>
                      </a:solidFill>
                    </a:defRPr>
                  </a:pPr>
                  <a:endParaRPr lang="en-US"/>
                </a:p>
              </c:txPr>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E64-44A6-B844-05262DBEEA5D}"/>
                </c:ext>
              </c:extLst>
            </c:dLbl>
            <c:dLbl>
              <c:idx val="6"/>
              <c:layout>
                <c:manualLayout>
                  <c:x val="-6.9444444444444447E-4"/>
                  <c:y val="-0.12281419220528095"/>
                </c:manualLayout>
              </c:layout>
              <c:spPr>
                <a:solidFill>
                  <a:schemeClr val="bg1"/>
                </a:solidFill>
              </c:spPr>
              <c:txPr>
                <a:bodyPr/>
                <a:lstStyle/>
                <a:p>
                  <a:pPr>
                    <a:defRPr b="1">
                      <a:solidFill>
                        <a:schemeClr val="tx1"/>
                      </a:solidFill>
                    </a:defRPr>
                  </a:pPr>
                  <a:endParaRPr lang="en-US"/>
                </a:p>
              </c:txPr>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E64-44A6-B844-05262DBEEA5D}"/>
                </c:ext>
              </c:extLst>
            </c:dLbl>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 age gender '!$B$46:$I$46</c:f>
              <c:strCache>
                <c:ptCount val="8"/>
                <c:pt idx="0">
                  <c:v>Under 18</c:v>
                </c:pt>
                <c:pt idx="1">
                  <c:v>18 to 24</c:v>
                </c:pt>
                <c:pt idx="2">
                  <c:v>25 to 34</c:v>
                </c:pt>
                <c:pt idx="3">
                  <c:v>35 to 44</c:v>
                </c:pt>
                <c:pt idx="4">
                  <c:v>45 to 54</c:v>
                </c:pt>
                <c:pt idx="5">
                  <c:v>55 to 64</c:v>
                </c:pt>
                <c:pt idx="6">
                  <c:v>65 to 74</c:v>
                </c:pt>
                <c:pt idx="7">
                  <c:v>75 or older</c:v>
                </c:pt>
              </c:strCache>
            </c:strRef>
          </c:cat>
          <c:val>
            <c:numRef>
              <c:f>'Indiv age gender '!$B$47:$I$47</c:f>
              <c:numCache>
                <c:formatCode>General</c:formatCode>
                <c:ptCount val="8"/>
                <c:pt idx="1">
                  <c:v>1</c:v>
                </c:pt>
                <c:pt idx="2">
                  <c:v>9</c:v>
                </c:pt>
                <c:pt idx="3">
                  <c:v>25</c:v>
                </c:pt>
                <c:pt idx="4">
                  <c:v>14</c:v>
                </c:pt>
                <c:pt idx="5">
                  <c:v>12</c:v>
                </c:pt>
                <c:pt idx="6">
                  <c:v>2</c:v>
                </c:pt>
              </c:numCache>
            </c:numRef>
          </c:val>
          <c:extLst>
            <c:ext xmlns:c16="http://schemas.microsoft.com/office/drawing/2014/chart" uri="{C3380CC4-5D6E-409C-BE32-E72D297353CC}">
              <c16:uniqueId val="{00000002-BE64-44A6-B844-05262DBEEA5D}"/>
            </c:ext>
          </c:extLst>
        </c:ser>
        <c:ser>
          <c:idx val="1"/>
          <c:order val="1"/>
          <c:tx>
            <c:strRef>
              <c:f>'Indiv age gender '!$A$48</c:f>
              <c:strCache>
                <c:ptCount val="1"/>
                <c:pt idx="0">
                  <c:v>Male</c:v>
                </c:pt>
              </c:strCache>
            </c:strRef>
          </c:tx>
          <c:spPr>
            <a:solidFill>
              <a:srgbClr val="0070C0"/>
            </a:solidFill>
          </c:spPr>
          <c:invertIfNegative val="0"/>
          <c:dLbls>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 age gender '!$B$46:$I$46</c:f>
              <c:strCache>
                <c:ptCount val="8"/>
                <c:pt idx="0">
                  <c:v>Under 18</c:v>
                </c:pt>
                <c:pt idx="1">
                  <c:v>18 to 24</c:v>
                </c:pt>
                <c:pt idx="2">
                  <c:v>25 to 34</c:v>
                </c:pt>
                <c:pt idx="3">
                  <c:v>35 to 44</c:v>
                </c:pt>
                <c:pt idx="4">
                  <c:v>45 to 54</c:v>
                </c:pt>
                <c:pt idx="5">
                  <c:v>55 to 64</c:v>
                </c:pt>
                <c:pt idx="6">
                  <c:v>65 to 74</c:v>
                </c:pt>
                <c:pt idx="7">
                  <c:v>75 or older</c:v>
                </c:pt>
              </c:strCache>
            </c:strRef>
          </c:cat>
          <c:val>
            <c:numRef>
              <c:f>'Indiv age gender '!$B$48:$I$48</c:f>
              <c:numCache>
                <c:formatCode>General</c:formatCode>
                <c:ptCount val="8"/>
                <c:pt idx="2">
                  <c:v>11</c:v>
                </c:pt>
                <c:pt idx="3">
                  <c:v>20</c:v>
                </c:pt>
                <c:pt idx="4">
                  <c:v>25</c:v>
                </c:pt>
                <c:pt idx="5">
                  <c:v>15</c:v>
                </c:pt>
                <c:pt idx="6">
                  <c:v>6</c:v>
                </c:pt>
              </c:numCache>
            </c:numRef>
          </c:val>
          <c:extLst>
            <c:ext xmlns:c16="http://schemas.microsoft.com/office/drawing/2014/chart" uri="{C3380CC4-5D6E-409C-BE32-E72D297353CC}">
              <c16:uniqueId val="{00000003-BE64-44A6-B844-05262DBEEA5D}"/>
            </c:ext>
          </c:extLst>
        </c:ser>
        <c:dLbls>
          <c:showLegendKey val="0"/>
          <c:showVal val="0"/>
          <c:showCatName val="0"/>
          <c:showSerName val="0"/>
          <c:showPercent val="0"/>
          <c:showBubbleSize val="0"/>
        </c:dLbls>
        <c:gapWidth val="75"/>
        <c:shape val="box"/>
        <c:axId val="123595008"/>
        <c:axId val="123281408"/>
        <c:axId val="0"/>
      </c:bar3DChart>
      <c:catAx>
        <c:axId val="123595008"/>
        <c:scaling>
          <c:orientation val="minMax"/>
        </c:scaling>
        <c:delete val="0"/>
        <c:axPos val="b"/>
        <c:numFmt formatCode="General" sourceLinked="0"/>
        <c:majorTickMark val="none"/>
        <c:minorTickMark val="none"/>
        <c:tickLblPos val="nextTo"/>
        <c:crossAx val="123281408"/>
        <c:crosses val="autoZero"/>
        <c:auto val="1"/>
        <c:lblAlgn val="ctr"/>
        <c:lblOffset val="100"/>
        <c:noMultiLvlLbl val="0"/>
      </c:catAx>
      <c:valAx>
        <c:axId val="123281408"/>
        <c:scaling>
          <c:orientation val="minMax"/>
        </c:scaling>
        <c:delete val="0"/>
        <c:axPos val="l"/>
        <c:majorGridlines/>
        <c:numFmt formatCode="General" sourceLinked="1"/>
        <c:majorTickMark val="none"/>
        <c:minorTickMark val="none"/>
        <c:tickLblPos val="nextTo"/>
        <c:spPr>
          <a:ln w="6350">
            <a:noFill/>
          </a:ln>
        </c:spPr>
        <c:crossAx val="123595008"/>
        <c:crosses val="autoZero"/>
        <c:crossBetween val="between"/>
      </c:valAx>
    </c:plotArea>
    <c:legend>
      <c:legendPos val="b"/>
      <c:layout>
        <c:manualLayout>
          <c:xMode val="edge"/>
          <c:yMode val="edge"/>
          <c:x val="0.37606301318291163"/>
          <c:y val="0.91058085469286665"/>
          <c:w val="0.33838592952981972"/>
          <c:h val="8.9419301935037235E-2"/>
        </c:manualLayout>
      </c:layout>
      <c:overlay val="0"/>
    </c:legend>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6242556491790781E-2"/>
          <c:y val="0.17017064786093658"/>
          <c:w val="0.52098510641094742"/>
          <c:h val="0.78686353691416422"/>
        </c:manualLayout>
      </c:layout>
      <c:pieChart>
        <c:varyColors val="1"/>
        <c:ser>
          <c:idx val="0"/>
          <c:order val="0"/>
          <c:tx>
            <c:strRef>
              <c:f>'indiv background'!$H$13</c:f>
              <c:strCache>
                <c:ptCount val="1"/>
                <c:pt idx="0">
                  <c:v>Total</c:v>
                </c:pt>
              </c:strCache>
            </c:strRef>
          </c:tx>
          <c:dLbls>
            <c:dLbl>
              <c:idx val="0"/>
              <c:layout>
                <c:manualLayout>
                  <c:x val="-1.5808568660848194E-2"/>
                  <c:y val="0.13605651105651106"/>
                </c:manualLayout>
              </c:layout>
              <c:showLegendKey val="1"/>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0-FCE8-4B5A-8EB4-DA72E993BA7B}"/>
                </c:ext>
              </c:extLst>
            </c:dLbl>
            <c:dLbl>
              <c:idx val="1"/>
              <c:layout>
                <c:manualLayout>
                  <c:x val="-0.19836853515364714"/>
                  <c:y val="-0.14661786059648824"/>
                </c:manualLayout>
              </c:layout>
              <c:spPr/>
              <c:txPr>
                <a:bodyPr/>
                <a:lstStyle/>
                <a:p>
                  <a:pPr>
                    <a:defRPr sz="1000" b="1">
                      <a:solidFill>
                        <a:schemeClr val="bg1"/>
                      </a:solidFill>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FCE8-4B5A-8EB4-DA72E993BA7B}"/>
                </c:ext>
              </c:extLst>
            </c:dLbl>
            <c:dLbl>
              <c:idx val="2"/>
              <c:layout>
                <c:manualLayout>
                  <c:x val="0.12314428965809186"/>
                  <c:y val="-0.13319170019174981"/>
                </c:manualLayout>
              </c:layout>
              <c:spPr/>
              <c:txPr>
                <a:bodyPr/>
                <a:lstStyle/>
                <a:p>
                  <a:pPr>
                    <a:defRPr sz="1000" b="1">
                      <a:solidFill>
                        <a:schemeClr val="bg1"/>
                      </a:solidFill>
                    </a:defRPr>
                  </a:pPr>
                  <a:endParaRPr lang="en-US"/>
                </a:p>
              </c:txPr>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2-FCE8-4B5A-8EB4-DA72E993BA7B}"/>
                </c:ext>
              </c:extLst>
            </c:dLbl>
            <c:dLbl>
              <c:idx val="3"/>
              <c:layout>
                <c:manualLayout>
                  <c:x val="-3.1739659897987729E-2"/>
                  <c:y val="0.20488827565927678"/>
                </c:manualLayout>
              </c:layout>
              <c:spPr/>
              <c:txPr>
                <a:bodyPr/>
                <a:lstStyle/>
                <a:p>
                  <a:pPr>
                    <a:defRPr sz="1000" b="1">
                      <a:solidFill>
                        <a:schemeClr val="bg1"/>
                      </a:solidFill>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CE8-4B5A-8EB4-DA72E993BA7B}"/>
                </c:ext>
              </c:extLst>
            </c:dLbl>
            <c:dLbl>
              <c:idx val="4"/>
              <c:layout>
                <c:manualLayout>
                  <c:x val="-8.4647221899803393E-2"/>
                  <c:y val="2.354278421196716E-2"/>
                </c:manualLayout>
              </c:layout>
              <c:dLblPos val="bestFit"/>
              <c:showLegendKey val="1"/>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4-FCE8-4B5A-8EB4-DA72E993BA7B}"/>
                </c:ext>
              </c:extLst>
            </c:dLbl>
            <c:dLbl>
              <c:idx val="5"/>
              <c:layout>
                <c:manualLayout>
                  <c:x val="-9.3068378501218914E-3"/>
                  <c:y val="2.8682110816748332E-2"/>
                </c:manualLayout>
              </c:layout>
              <c:showLegendKey val="1"/>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FCE8-4B5A-8EB4-DA72E993BA7B}"/>
                </c:ext>
              </c:extLst>
            </c:dLbl>
            <c:dLbl>
              <c:idx val="6"/>
              <c:layout>
                <c:manualLayout>
                  <c:x val="9.7848767543396529E-3"/>
                  <c:y val="8.5008680089232444E-2"/>
                </c:manualLayout>
              </c:layout>
              <c:showLegendKey val="1"/>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6-FCE8-4B5A-8EB4-DA72E993BA7B}"/>
                </c:ext>
              </c:extLst>
            </c:dLbl>
            <c:spPr>
              <a:noFill/>
              <a:ln>
                <a:noFill/>
              </a:ln>
              <a:effectLst/>
            </c:spPr>
            <c:txPr>
              <a:bodyPr/>
              <a:lstStyle/>
              <a:p>
                <a:pPr>
                  <a:defRPr sz="1000" b="1"/>
                </a:pPr>
                <a:endParaRPr lang="en-US"/>
              </a:p>
            </c:txPr>
            <c:showLegendKey val="0"/>
            <c:showVal val="0"/>
            <c:showCatName val="1"/>
            <c:showSerName val="0"/>
            <c:showPercent val="1"/>
            <c:showBubbleSize val="0"/>
            <c:separator> </c:separator>
            <c:showLeaderLines val="0"/>
            <c:extLst>
              <c:ext xmlns:c15="http://schemas.microsoft.com/office/drawing/2012/chart" uri="{CE6537A1-D6FC-4f65-9D91-7224C49458BB}"/>
            </c:extLst>
          </c:dLbls>
          <c:cat>
            <c:strRef>
              <c:f>'indiv background'!$A$14:$A$20</c:f>
              <c:strCache>
                <c:ptCount val="7"/>
                <c:pt idx="0">
                  <c:v> Business</c:v>
                </c:pt>
                <c:pt idx="1">
                  <c:v> Indigenous and local knowledge</c:v>
                </c:pt>
                <c:pt idx="2">
                  <c:v> Natural science</c:v>
                </c:pt>
                <c:pt idx="3">
                  <c:v> Social science</c:v>
                </c:pt>
                <c:pt idx="4">
                  <c:v> Other discipline</c:v>
                </c:pt>
                <c:pt idx="5">
                  <c:v> Other knowledge system</c:v>
                </c:pt>
                <c:pt idx="6">
                  <c:v> Other</c:v>
                </c:pt>
              </c:strCache>
            </c:strRef>
          </c:cat>
          <c:val>
            <c:numRef>
              <c:f>'indiv background'!$H$14:$H$20</c:f>
              <c:numCache>
                <c:formatCode>General</c:formatCode>
                <c:ptCount val="7"/>
                <c:pt idx="0">
                  <c:v>22</c:v>
                </c:pt>
                <c:pt idx="1">
                  <c:v>116</c:v>
                </c:pt>
                <c:pt idx="2">
                  <c:v>412</c:v>
                </c:pt>
                <c:pt idx="3">
                  <c:v>138</c:v>
                </c:pt>
                <c:pt idx="4">
                  <c:v>81</c:v>
                </c:pt>
                <c:pt idx="5">
                  <c:v>20</c:v>
                </c:pt>
                <c:pt idx="6">
                  <c:v>25</c:v>
                </c:pt>
              </c:numCache>
            </c:numRef>
          </c:val>
          <c:extLst>
            <c:ext xmlns:c16="http://schemas.microsoft.com/office/drawing/2014/chart" uri="{C3380CC4-5D6E-409C-BE32-E72D297353CC}">
              <c16:uniqueId val="{00000007-FCE8-4B5A-8EB4-DA72E993BA7B}"/>
            </c:ext>
          </c:extLst>
        </c:ser>
        <c:dLbls>
          <c:showLegendKey val="0"/>
          <c:showVal val="0"/>
          <c:showCatName val="1"/>
          <c:showSerName val="0"/>
          <c:showPercent val="1"/>
          <c:showBubbleSize val="0"/>
          <c:showLeaderLines val="0"/>
        </c:dLbls>
        <c:firstSliceAng val="90"/>
      </c:pieChart>
    </c:plotArea>
    <c:plotVisOnly val="1"/>
    <c:dispBlanksAs val="gap"/>
    <c:showDLblsOverMax val="0"/>
  </c:chart>
  <c:spPr>
    <a:ln>
      <a:noFill/>
    </a:ln>
  </c:sp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en-US" sz="1100" b="1" i="0" u="none" strike="noStrike" baseline="0">
                <a:effectLst/>
              </a:rPr>
              <a:t>Profile of stakeholders engaged </a:t>
            </a:r>
            <a:br>
              <a:rPr lang="en-US" sz="1100" b="1" i="0" u="none" strike="noStrike" baseline="0">
                <a:effectLst/>
              </a:rPr>
            </a:br>
            <a:r>
              <a:rPr lang="en-US" sz="1100" b="1" i="0" u="none" strike="noStrike" baseline="0">
                <a:effectLst/>
              </a:rPr>
              <a:t>in their individual capacity </a:t>
            </a:r>
            <a:r>
              <a:rPr lang="en-GB" sz="1100" b="1" i="0" u="none" strike="noStrike" baseline="0">
                <a:effectLst/>
              </a:rPr>
              <a:t>with respect to region</a:t>
            </a:r>
            <a:endParaRPr lang="en-GB" sz="1100"/>
          </a:p>
        </c:rich>
      </c:tx>
      <c:overlay val="0"/>
    </c:title>
    <c:autoTitleDeleted val="0"/>
    <c:view3D>
      <c:rotX val="15"/>
      <c:rotY val="20"/>
      <c:rAngAx val="1"/>
    </c:view3D>
    <c:floor>
      <c:thickness val="0"/>
    </c:floor>
    <c:sideWall>
      <c:thickness val="0"/>
    </c:sideWall>
    <c:backWall>
      <c:thickness val="0"/>
    </c:backWall>
    <c:plotArea>
      <c:layout/>
      <c:bar3DChart>
        <c:barDir val="bar"/>
        <c:grouping val="percentStacked"/>
        <c:varyColors val="0"/>
        <c:ser>
          <c:idx val="0"/>
          <c:order val="0"/>
          <c:tx>
            <c:strRef>
              <c:f>'indiv background'!$B$13</c:f>
              <c:strCache>
                <c:ptCount val="1"/>
                <c:pt idx="0">
                  <c:v>AF</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 background'!$A$24:$A$30</c:f>
              <c:strCache>
                <c:ptCount val="7"/>
                <c:pt idx="0">
                  <c:v> Business</c:v>
                </c:pt>
                <c:pt idx="1">
                  <c:v> Indigenous and local knowledge</c:v>
                </c:pt>
                <c:pt idx="2">
                  <c:v> Natural science</c:v>
                </c:pt>
                <c:pt idx="3">
                  <c:v> Social science</c:v>
                </c:pt>
                <c:pt idx="4">
                  <c:v> Other discipline</c:v>
                </c:pt>
                <c:pt idx="5">
                  <c:v> Other knowledge system</c:v>
                </c:pt>
                <c:pt idx="6">
                  <c:v> Other</c:v>
                </c:pt>
              </c:strCache>
            </c:strRef>
          </c:cat>
          <c:val>
            <c:numRef>
              <c:f>'indiv background'!$B$24:$B$30</c:f>
              <c:numCache>
                <c:formatCode>0.000</c:formatCode>
                <c:ptCount val="7"/>
                <c:pt idx="0">
                  <c:v>0.22727272727272727</c:v>
                </c:pt>
                <c:pt idx="1">
                  <c:v>0.33620689655172414</c:v>
                </c:pt>
                <c:pt idx="2">
                  <c:v>0.23058252427184467</c:v>
                </c:pt>
                <c:pt idx="3">
                  <c:v>0.17391304347826086</c:v>
                </c:pt>
                <c:pt idx="4">
                  <c:v>0.14814814814814814</c:v>
                </c:pt>
                <c:pt idx="5">
                  <c:v>0.25</c:v>
                </c:pt>
                <c:pt idx="6">
                  <c:v>0.2</c:v>
                </c:pt>
              </c:numCache>
            </c:numRef>
          </c:val>
          <c:extLst>
            <c:ext xmlns:c16="http://schemas.microsoft.com/office/drawing/2014/chart" uri="{C3380CC4-5D6E-409C-BE32-E72D297353CC}">
              <c16:uniqueId val="{00000000-0518-4B31-9203-527E8E0F8C0E}"/>
            </c:ext>
          </c:extLst>
        </c:ser>
        <c:ser>
          <c:idx val="1"/>
          <c:order val="1"/>
          <c:tx>
            <c:strRef>
              <c:f>'indiv background'!$C$13</c:f>
              <c:strCache>
                <c:ptCount val="1"/>
                <c:pt idx="0">
                  <c:v>AP</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 background'!$A$24:$A$30</c:f>
              <c:strCache>
                <c:ptCount val="7"/>
                <c:pt idx="0">
                  <c:v> Business</c:v>
                </c:pt>
                <c:pt idx="1">
                  <c:v> Indigenous and local knowledge</c:v>
                </c:pt>
                <c:pt idx="2">
                  <c:v> Natural science</c:v>
                </c:pt>
                <c:pt idx="3">
                  <c:v> Social science</c:v>
                </c:pt>
                <c:pt idx="4">
                  <c:v> Other discipline</c:v>
                </c:pt>
                <c:pt idx="5">
                  <c:v> Other knowledge system</c:v>
                </c:pt>
                <c:pt idx="6">
                  <c:v> Other</c:v>
                </c:pt>
              </c:strCache>
            </c:strRef>
          </c:cat>
          <c:val>
            <c:numRef>
              <c:f>'indiv background'!$C$24:$C$30</c:f>
              <c:numCache>
                <c:formatCode>0.000</c:formatCode>
                <c:ptCount val="7"/>
                <c:pt idx="0">
                  <c:v>4.5454545454545456E-2</c:v>
                </c:pt>
                <c:pt idx="1">
                  <c:v>0.35344827586206895</c:v>
                </c:pt>
                <c:pt idx="2">
                  <c:v>0.20388349514563106</c:v>
                </c:pt>
                <c:pt idx="3">
                  <c:v>0.25362318840579712</c:v>
                </c:pt>
                <c:pt idx="4">
                  <c:v>0.27160493827160492</c:v>
                </c:pt>
                <c:pt idx="5">
                  <c:v>0.1</c:v>
                </c:pt>
                <c:pt idx="6">
                  <c:v>0.32</c:v>
                </c:pt>
              </c:numCache>
            </c:numRef>
          </c:val>
          <c:extLst>
            <c:ext xmlns:c16="http://schemas.microsoft.com/office/drawing/2014/chart" uri="{C3380CC4-5D6E-409C-BE32-E72D297353CC}">
              <c16:uniqueId val="{00000001-0518-4B31-9203-527E8E0F8C0E}"/>
            </c:ext>
          </c:extLst>
        </c:ser>
        <c:ser>
          <c:idx val="2"/>
          <c:order val="2"/>
          <c:tx>
            <c:strRef>
              <c:f>'indiv background'!$D$13</c:f>
              <c:strCache>
                <c:ptCount val="1"/>
                <c:pt idx="0">
                  <c:v>EE</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 background'!$A$24:$A$30</c:f>
              <c:strCache>
                <c:ptCount val="7"/>
                <c:pt idx="0">
                  <c:v> Business</c:v>
                </c:pt>
                <c:pt idx="1">
                  <c:v> Indigenous and local knowledge</c:v>
                </c:pt>
                <c:pt idx="2">
                  <c:v> Natural science</c:v>
                </c:pt>
                <c:pt idx="3">
                  <c:v> Social science</c:v>
                </c:pt>
                <c:pt idx="4">
                  <c:v> Other discipline</c:v>
                </c:pt>
                <c:pt idx="5">
                  <c:v> Other knowledge system</c:v>
                </c:pt>
                <c:pt idx="6">
                  <c:v> Other</c:v>
                </c:pt>
              </c:strCache>
            </c:strRef>
          </c:cat>
          <c:val>
            <c:numRef>
              <c:f>'indiv background'!$D$24:$D$30</c:f>
              <c:numCache>
                <c:formatCode>0.000</c:formatCode>
                <c:ptCount val="7"/>
                <c:pt idx="0">
                  <c:v>0.13636363636363635</c:v>
                </c:pt>
                <c:pt idx="1">
                  <c:v>5.1724137931034482E-2</c:v>
                </c:pt>
                <c:pt idx="2">
                  <c:v>7.0388349514563103E-2</c:v>
                </c:pt>
                <c:pt idx="3">
                  <c:v>7.9710144927536225E-2</c:v>
                </c:pt>
                <c:pt idx="4">
                  <c:v>6.1728395061728392E-2</c:v>
                </c:pt>
                <c:pt idx="5">
                  <c:v>0.1</c:v>
                </c:pt>
                <c:pt idx="6">
                  <c:v>0.04</c:v>
                </c:pt>
              </c:numCache>
            </c:numRef>
          </c:val>
          <c:extLst>
            <c:ext xmlns:c16="http://schemas.microsoft.com/office/drawing/2014/chart" uri="{C3380CC4-5D6E-409C-BE32-E72D297353CC}">
              <c16:uniqueId val="{00000002-0518-4B31-9203-527E8E0F8C0E}"/>
            </c:ext>
          </c:extLst>
        </c:ser>
        <c:ser>
          <c:idx val="3"/>
          <c:order val="3"/>
          <c:tx>
            <c:strRef>
              <c:f>'indiv background'!$E$13</c:f>
              <c:strCache>
                <c:ptCount val="1"/>
                <c:pt idx="0">
                  <c:v>LAC</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 background'!$A$24:$A$30</c:f>
              <c:strCache>
                <c:ptCount val="7"/>
                <c:pt idx="0">
                  <c:v> Business</c:v>
                </c:pt>
                <c:pt idx="1">
                  <c:v> Indigenous and local knowledge</c:v>
                </c:pt>
                <c:pt idx="2">
                  <c:v> Natural science</c:v>
                </c:pt>
                <c:pt idx="3">
                  <c:v> Social science</c:v>
                </c:pt>
                <c:pt idx="4">
                  <c:v> Other discipline</c:v>
                </c:pt>
                <c:pt idx="5">
                  <c:v> Other knowledge system</c:v>
                </c:pt>
                <c:pt idx="6">
                  <c:v> Other</c:v>
                </c:pt>
              </c:strCache>
            </c:strRef>
          </c:cat>
          <c:val>
            <c:numRef>
              <c:f>'indiv background'!$E$24:$E$30</c:f>
              <c:numCache>
                <c:formatCode>0.000</c:formatCode>
                <c:ptCount val="7"/>
                <c:pt idx="0">
                  <c:v>0.22727272727272727</c:v>
                </c:pt>
                <c:pt idx="1">
                  <c:v>0.14655172413793102</c:v>
                </c:pt>
                <c:pt idx="2">
                  <c:v>0.18932038834951456</c:v>
                </c:pt>
                <c:pt idx="3">
                  <c:v>0.15942028985507245</c:v>
                </c:pt>
                <c:pt idx="4">
                  <c:v>0.19753086419753085</c:v>
                </c:pt>
                <c:pt idx="5">
                  <c:v>0.25</c:v>
                </c:pt>
                <c:pt idx="6">
                  <c:v>0.2</c:v>
                </c:pt>
              </c:numCache>
            </c:numRef>
          </c:val>
          <c:extLst>
            <c:ext xmlns:c16="http://schemas.microsoft.com/office/drawing/2014/chart" uri="{C3380CC4-5D6E-409C-BE32-E72D297353CC}">
              <c16:uniqueId val="{00000003-0518-4B31-9203-527E8E0F8C0E}"/>
            </c:ext>
          </c:extLst>
        </c:ser>
        <c:ser>
          <c:idx val="4"/>
          <c:order val="4"/>
          <c:tx>
            <c:strRef>
              <c:f>'indiv background'!$F$13</c:f>
              <c:strCache>
                <c:ptCount val="1"/>
                <c:pt idx="0">
                  <c:v>WEOG</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 background'!$A$24:$A$30</c:f>
              <c:strCache>
                <c:ptCount val="7"/>
                <c:pt idx="0">
                  <c:v> Business</c:v>
                </c:pt>
                <c:pt idx="1">
                  <c:v> Indigenous and local knowledge</c:v>
                </c:pt>
                <c:pt idx="2">
                  <c:v> Natural science</c:v>
                </c:pt>
                <c:pt idx="3">
                  <c:v> Social science</c:v>
                </c:pt>
                <c:pt idx="4">
                  <c:v> Other discipline</c:v>
                </c:pt>
                <c:pt idx="5">
                  <c:v> Other knowledge system</c:v>
                </c:pt>
                <c:pt idx="6">
                  <c:v> Other</c:v>
                </c:pt>
              </c:strCache>
            </c:strRef>
          </c:cat>
          <c:val>
            <c:numRef>
              <c:f>'indiv background'!$F$24:$F$30</c:f>
              <c:numCache>
                <c:formatCode>0.000</c:formatCode>
                <c:ptCount val="7"/>
                <c:pt idx="0">
                  <c:v>0.36363636363636365</c:v>
                </c:pt>
                <c:pt idx="1">
                  <c:v>8.6206896551724144E-2</c:v>
                </c:pt>
                <c:pt idx="2">
                  <c:v>0.27669902912621358</c:v>
                </c:pt>
                <c:pt idx="3">
                  <c:v>0.30434782608695654</c:v>
                </c:pt>
                <c:pt idx="4">
                  <c:v>0.32098765432098764</c:v>
                </c:pt>
                <c:pt idx="5">
                  <c:v>0.3</c:v>
                </c:pt>
                <c:pt idx="6">
                  <c:v>0.12</c:v>
                </c:pt>
              </c:numCache>
            </c:numRef>
          </c:val>
          <c:extLst>
            <c:ext xmlns:c16="http://schemas.microsoft.com/office/drawing/2014/chart" uri="{C3380CC4-5D6E-409C-BE32-E72D297353CC}">
              <c16:uniqueId val="{00000004-0518-4B31-9203-527E8E0F8C0E}"/>
            </c:ext>
          </c:extLst>
        </c:ser>
        <c:dLbls>
          <c:showLegendKey val="0"/>
          <c:showVal val="0"/>
          <c:showCatName val="0"/>
          <c:showSerName val="0"/>
          <c:showPercent val="0"/>
          <c:showBubbleSize val="0"/>
        </c:dLbls>
        <c:gapWidth val="75"/>
        <c:shape val="box"/>
        <c:axId val="123389824"/>
        <c:axId val="123391360"/>
        <c:axId val="0"/>
      </c:bar3DChart>
      <c:catAx>
        <c:axId val="123389824"/>
        <c:scaling>
          <c:orientation val="maxMin"/>
        </c:scaling>
        <c:delete val="0"/>
        <c:axPos val="l"/>
        <c:numFmt formatCode="General" sourceLinked="0"/>
        <c:majorTickMark val="none"/>
        <c:minorTickMark val="none"/>
        <c:tickLblPos val="nextTo"/>
        <c:crossAx val="123391360"/>
        <c:crosses val="autoZero"/>
        <c:auto val="1"/>
        <c:lblAlgn val="ctr"/>
        <c:lblOffset val="100"/>
        <c:noMultiLvlLbl val="0"/>
      </c:catAx>
      <c:valAx>
        <c:axId val="123391360"/>
        <c:scaling>
          <c:orientation val="minMax"/>
        </c:scaling>
        <c:delete val="0"/>
        <c:axPos val="t"/>
        <c:majorGridlines/>
        <c:numFmt formatCode="0%" sourceLinked="1"/>
        <c:majorTickMark val="none"/>
        <c:minorTickMark val="none"/>
        <c:tickLblPos val="nextTo"/>
        <c:spPr>
          <a:ln w="6350">
            <a:noFill/>
          </a:ln>
        </c:spPr>
        <c:crossAx val="123389824"/>
        <c:crosses val="autoZero"/>
        <c:crossBetween val="between"/>
      </c:valAx>
    </c:plotArea>
    <c:legend>
      <c:legendPos val="b"/>
      <c:layout>
        <c:manualLayout>
          <c:xMode val="edge"/>
          <c:yMode val="edge"/>
          <c:x val="0.32952847234039134"/>
          <c:y val="0.91555626848784666"/>
          <c:w val="0.60497586787763469"/>
          <c:h val="6.3405479995162856E-2"/>
        </c:manualLayout>
      </c:layout>
      <c:overlay val="0"/>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4.033481108979025E-2"/>
          <c:y val="0.10969396042251303"/>
          <c:w val="0.9294141467610666"/>
          <c:h val="0.74512790378814586"/>
        </c:manualLayout>
      </c:layout>
      <c:pie3DChart>
        <c:varyColors val="1"/>
        <c:ser>
          <c:idx val="0"/>
          <c:order val="0"/>
          <c:dLbls>
            <c:dLbl>
              <c:idx val="0"/>
              <c:layout>
                <c:manualLayout>
                  <c:x val="-0.21026686110677356"/>
                  <c:y val="9.809791568654603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1CC2-4203-907C-DA5497D8D710}"/>
                </c:ext>
              </c:extLst>
            </c:dLbl>
            <c:dLbl>
              <c:idx val="1"/>
              <c:layout>
                <c:manualLayout>
                  <c:x val="-0.11928662359694783"/>
                  <c:y val="-0.224948342098224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CC2-4203-907C-DA5497D8D710}"/>
                </c:ext>
              </c:extLst>
            </c:dLbl>
            <c:dLbl>
              <c:idx val="2"/>
              <c:layout>
                <c:manualLayout>
                  <c:x val="0.15998300854601322"/>
                  <c:y val="-0.22122166596225781"/>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1CC2-4203-907C-DA5497D8D710}"/>
                </c:ext>
              </c:extLst>
            </c:dLbl>
            <c:dLbl>
              <c:idx val="3"/>
              <c:layout>
                <c:manualLayout>
                  <c:x val="2.0524458959816E-2"/>
                  <c:y val="7.8292224273552896E-2"/>
                </c:manualLayout>
              </c:layout>
              <c:spPr/>
              <c:txPr>
                <a:bodyPr/>
                <a:lstStyle/>
                <a:p>
                  <a:pPr>
                    <a:defRPr>
                      <a:solidFill>
                        <a:schemeClr val="tx1"/>
                      </a:solidFill>
                    </a:defRPr>
                  </a:pPr>
                  <a:endParaRPr lang="en-US"/>
                </a:p>
              </c:txPr>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CC2-4203-907C-DA5497D8D710}"/>
                </c:ext>
              </c:extLst>
            </c:dLbl>
            <c:dLbl>
              <c:idx val="4"/>
              <c:layout>
                <c:manualLayout>
                  <c:x val="0.19870843776549144"/>
                  <c:y val="9.345468110125941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1CC2-4203-907C-DA5497D8D710}"/>
                </c:ext>
              </c:extLst>
            </c:dLbl>
            <c:spPr>
              <a:noFill/>
              <a:ln>
                <a:noFill/>
              </a:ln>
              <a:effectLst/>
            </c:spPr>
            <c:txPr>
              <a:bodyPr/>
              <a:lstStyle/>
              <a:p>
                <a:pPr>
                  <a:defRPr>
                    <a:solidFill>
                      <a:schemeClr val="bg1"/>
                    </a:solidFill>
                  </a:defRPr>
                </a:pPr>
                <a:endParaRPr lang="en-US"/>
              </a:p>
            </c:txPr>
            <c:dLblPos val="inEnd"/>
            <c:showLegendKey val="0"/>
            <c:showVal val="0"/>
            <c:showCatName val="1"/>
            <c:showSerName val="0"/>
            <c:showPercent val="1"/>
            <c:showBubbleSize val="0"/>
            <c:showLeaderLines val="1"/>
            <c:extLst>
              <c:ext xmlns:c15="http://schemas.microsoft.com/office/drawing/2012/chart" uri="{CE6537A1-D6FC-4f65-9D91-7224C49458BB}"/>
            </c:extLst>
          </c:dLbls>
          <c:cat>
            <c:strRef>
              <c:f>'SUBREGIONS graphs'!$B$41:$G$41</c:f>
              <c:strCache>
                <c:ptCount val="6"/>
                <c:pt idx="0">
                  <c:v>Eastern Africa</c:v>
                </c:pt>
                <c:pt idx="1">
                  <c:v>Middle Africa</c:v>
                </c:pt>
                <c:pt idx="2">
                  <c:v>Northern Africa</c:v>
                </c:pt>
                <c:pt idx="3">
                  <c:v>Southern Africa</c:v>
                </c:pt>
                <c:pt idx="4">
                  <c:v>Western Africa</c:v>
                </c:pt>
                <c:pt idx="5">
                  <c:v>Blank</c:v>
                </c:pt>
              </c:strCache>
            </c:strRef>
          </c:cat>
          <c:val>
            <c:numRef>
              <c:f>'SUBREGIONS graphs'!$B$42:$G$42</c:f>
              <c:numCache>
                <c:formatCode>General</c:formatCode>
                <c:ptCount val="6"/>
                <c:pt idx="0">
                  <c:v>76</c:v>
                </c:pt>
                <c:pt idx="1">
                  <c:v>17</c:v>
                </c:pt>
                <c:pt idx="2">
                  <c:v>32</c:v>
                </c:pt>
                <c:pt idx="3">
                  <c:v>7</c:v>
                </c:pt>
                <c:pt idx="4">
                  <c:v>53</c:v>
                </c:pt>
                <c:pt idx="5">
                  <c:v>7</c:v>
                </c:pt>
              </c:numCache>
            </c:numRef>
          </c:val>
          <c:extLst>
            <c:ext xmlns:c16="http://schemas.microsoft.com/office/drawing/2014/chart" uri="{C3380CC4-5D6E-409C-BE32-E72D297353CC}">
              <c16:uniqueId val="{00000005-1CC2-4203-907C-DA5497D8D710}"/>
            </c:ext>
          </c:extLst>
        </c:ser>
        <c:dLbls>
          <c:showLegendKey val="0"/>
          <c:showVal val="0"/>
          <c:showCatName val="1"/>
          <c:showSerName val="0"/>
          <c:showPercent val="1"/>
          <c:showBubbleSize val="0"/>
          <c:showLeaderLines val="1"/>
        </c:dLbls>
      </c:pie3DChart>
    </c:plotArea>
    <c:plotVisOnly val="1"/>
    <c:dispBlanksAs val="gap"/>
    <c:showDLblsOverMax val="0"/>
  </c:chart>
  <c:spPr>
    <a:ln>
      <a:noFill/>
    </a:ln>
  </c:spPr>
  <c:txPr>
    <a:bodyPr/>
    <a:lstStyle/>
    <a:p>
      <a:pPr>
        <a:defRPr b="1"/>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en-GB" sz="1100" b="1" i="0" u="none" strike="noStrike" kern="1200" baseline="0">
                <a:solidFill>
                  <a:sysClr val="windowText" lastClr="000000"/>
                </a:solidFill>
                <a:latin typeface="+mn-lt"/>
                <a:ea typeface="+mn-ea"/>
                <a:cs typeface="+mn-cs"/>
              </a:rPr>
              <a:t>Organizational/institutional</a:t>
            </a:r>
            <a:r>
              <a:rPr lang="en-GB" sz="1100" baseline="0"/>
              <a:t> interest/expertise with respect to regions </a:t>
            </a:r>
            <a:endParaRPr lang="en-GB" sz="1100"/>
          </a:p>
        </c:rich>
      </c:tx>
      <c:overlay val="0"/>
    </c:title>
    <c:autoTitleDeleted val="0"/>
    <c:view3D>
      <c:rotX val="15"/>
      <c:rotY val="20"/>
      <c:rAngAx val="1"/>
    </c:view3D>
    <c:floor>
      <c:thickness val="0"/>
    </c:floor>
    <c:sideWall>
      <c:thickness val="0"/>
    </c:sideWall>
    <c:backWall>
      <c:thickness val="0"/>
    </c:backWall>
    <c:plotArea>
      <c:layout/>
      <c:bar3DChart>
        <c:barDir val="bar"/>
        <c:grouping val="percentStacked"/>
        <c:varyColors val="0"/>
        <c:ser>
          <c:idx val="0"/>
          <c:order val="0"/>
          <c:tx>
            <c:strRef>
              <c:f>'ORG Interest'!$J$26</c:f>
              <c:strCache>
                <c:ptCount val="1"/>
                <c:pt idx="0">
                  <c:v>AF</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 Interest'!$A$27:$A$40</c:f>
              <c:strCache>
                <c:ptCount val="14"/>
                <c:pt idx="0">
                  <c:v> All IPBES assessments</c:v>
                </c:pt>
                <c:pt idx="1">
                  <c:v> Capacity development</c:v>
                </c:pt>
                <c:pt idx="2">
                  <c:v> Communication and stakeholder engagement</c:v>
                </c:pt>
                <c:pt idx="3">
                  <c:v> Global assessment</c:v>
                </c:pt>
                <c:pt idx="4">
                  <c:v> Indigenous and local knowledge</c:v>
                </c:pt>
                <c:pt idx="5">
                  <c:v> Invasive alien species</c:v>
                </c:pt>
                <c:pt idx="6">
                  <c:v> Knowledge, information and data</c:v>
                </c:pt>
                <c:pt idx="7">
                  <c:v> Land degradation and restoration</c:v>
                </c:pt>
                <c:pt idx="8">
                  <c:v> Policy support tools</c:v>
                </c:pt>
                <c:pt idx="9">
                  <c:v> Pollination</c:v>
                </c:pt>
                <c:pt idx="10">
                  <c:v> Regional and subregional assessments</c:v>
                </c:pt>
                <c:pt idx="11">
                  <c:v> Scenarios and modelling</c:v>
                </c:pt>
                <c:pt idx="12">
                  <c:v> Sustainable use of wild species</c:v>
                </c:pt>
                <c:pt idx="13">
                  <c:v> Valuation of biodiversity</c:v>
                </c:pt>
              </c:strCache>
            </c:strRef>
          </c:cat>
          <c:val>
            <c:numRef>
              <c:f>'ORG Interest'!$J$27:$J$40</c:f>
              <c:numCache>
                <c:formatCode>General</c:formatCode>
                <c:ptCount val="14"/>
                <c:pt idx="0">
                  <c:v>0.31958762886597936</c:v>
                </c:pt>
                <c:pt idx="1">
                  <c:v>0.33333333333333331</c:v>
                </c:pt>
                <c:pt idx="2">
                  <c:v>0.22807017543859648</c:v>
                </c:pt>
                <c:pt idx="3">
                  <c:v>0.22857142857142856</c:v>
                </c:pt>
                <c:pt idx="4">
                  <c:v>0.33846153846153848</c:v>
                </c:pt>
                <c:pt idx="5">
                  <c:v>0.23308270676691728</c:v>
                </c:pt>
                <c:pt idx="6">
                  <c:v>0.22666666666666666</c:v>
                </c:pt>
                <c:pt idx="7">
                  <c:v>0.28260869565217389</c:v>
                </c:pt>
                <c:pt idx="8">
                  <c:v>0.24242424242424243</c:v>
                </c:pt>
                <c:pt idx="9">
                  <c:v>0.22727272727272727</c:v>
                </c:pt>
                <c:pt idx="10">
                  <c:v>0.20279720279720279</c:v>
                </c:pt>
                <c:pt idx="11">
                  <c:v>0.18421052631578946</c:v>
                </c:pt>
                <c:pt idx="12">
                  <c:v>0.28915662650602408</c:v>
                </c:pt>
                <c:pt idx="13">
                  <c:v>0.22972972972972974</c:v>
                </c:pt>
              </c:numCache>
            </c:numRef>
          </c:val>
          <c:extLst>
            <c:ext xmlns:c16="http://schemas.microsoft.com/office/drawing/2014/chart" uri="{C3380CC4-5D6E-409C-BE32-E72D297353CC}">
              <c16:uniqueId val="{00000000-1A8A-4CD0-814F-7902389F4A19}"/>
            </c:ext>
          </c:extLst>
        </c:ser>
        <c:ser>
          <c:idx val="1"/>
          <c:order val="1"/>
          <c:tx>
            <c:strRef>
              <c:f>'ORG Interest'!$K$26</c:f>
              <c:strCache>
                <c:ptCount val="1"/>
                <c:pt idx="0">
                  <c:v>AP</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 Interest'!$A$27:$A$40</c:f>
              <c:strCache>
                <c:ptCount val="14"/>
                <c:pt idx="0">
                  <c:v> All IPBES assessments</c:v>
                </c:pt>
                <c:pt idx="1">
                  <c:v> Capacity development</c:v>
                </c:pt>
                <c:pt idx="2">
                  <c:v> Communication and stakeholder engagement</c:v>
                </c:pt>
                <c:pt idx="3">
                  <c:v> Global assessment</c:v>
                </c:pt>
                <c:pt idx="4">
                  <c:v> Indigenous and local knowledge</c:v>
                </c:pt>
                <c:pt idx="5">
                  <c:v> Invasive alien species</c:v>
                </c:pt>
                <c:pt idx="6">
                  <c:v> Knowledge, information and data</c:v>
                </c:pt>
                <c:pt idx="7">
                  <c:v> Land degradation and restoration</c:v>
                </c:pt>
                <c:pt idx="8">
                  <c:v> Policy support tools</c:v>
                </c:pt>
                <c:pt idx="9">
                  <c:v> Pollination</c:v>
                </c:pt>
                <c:pt idx="10">
                  <c:v> Regional and subregional assessments</c:v>
                </c:pt>
                <c:pt idx="11">
                  <c:v> Scenarios and modelling</c:v>
                </c:pt>
                <c:pt idx="12">
                  <c:v> Sustainable use of wild species</c:v>
                </c:pt>
                <c:pt idx="13">
                  <c:v> Valuation of biodiversity</c:v>
                </c:pt>
              </c:strCache>
            </c:strRef>
          </c:cat>
          <c:val>
            <c:numRef>
              <c:f>'ORG Interest'!$K$27:$K$40</c:f>
              <c:numCache>
                <c:formatCode>General</c:formatCode>
                <c:ptCount val="14"/>
                <c:pt idx="0">
                  <c:v>0.17525773195876287</c:v>
                </c:pt>
                <c:pt idx="1">
                  <c:v>0.24822695035460993</c:v>
                </c:pt>
                <c:pt idx="2">
                  <c:v>0.2807017543859649</c:v>
                </c:pt>
                <c:pt idx="3">
                  <c:v>0.13333333333333333</c:v>
                </c:pt>
                <c:pt idx="4">
                  <c:v>0.23076923076923078</c:v>
                </c:pt>
                <c:pt idx="5">
                  <c:v>0.18796992481203006</c:v>
                </c:pt>
                <c:pt idx="6">
                  <c:v>0.22666666666666666</c:v>
                </c:pt>
                <c:pt idx="7">
                  <c:v>0.17391304347826086</c:v>
                </c:pt>
                <c:pt idx="8">
                  <c:v>0.19696969696969696</c:v>
                </c:pt>
                <c:pt idx="9">
                  <c:v>0.13636363636363635</c:v>
                </c:pt>
                <c:pt idx="10">
                  <c:v>0.23076923076923078</c:v>
                </c:pt>
                <c:pt idx="11">
                  <c:v>0.20175438596491227</c:v>
                </c:pt>
                <c:pt idx="12">
                  <c:v>0.18674698795180722</c:v>
                </c:pt>
                <c:pt idx="13">
                  <c:v>0.21621621621621623</c:v>
                </c:pt>
              </c:numCache>
            </c:numRef>
          </c:val>
          <c:extLst>
            <c:ext xmlns:c16="http://schemas.microsoft.com/office/drawing/2014/chart" uri="{C3380CC4-5D6E-409C-BE32-E72D297353CC}">
              <c16:uniqueId val="{00000001-1A8A-4CD0-814F-7902389F4A19}"/>
            </c:ext>
          </c:extLst>
        </c:ser>
        <c:ser>
          <c:idx val="2"/>
          <c:order val="2"/>
          <c:tx>
            <c:strRef>
              <c:f>'ORG Interest'!$L$26</c:f>
              <c:strCache>
                <c:ptCount val="1"/>
                <c:pt idx="0">
                  <c:v>EE</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 Interest'!$A$27:$A$40</c:f>
              <c:strCache>
                <c:ptCount val="14"/>
                <c:pt idx="0">
                  <c:v> All IPBES assessments</c:v>
                </c:pt>
                <c:pt idx="1">
                  <c:v> Capacity development</c:v>
                </c:pt>
                <c:pt idx="2">
                  <c:v> Communication and stakeholder engagement</c:v>
                </c:pt>
                <c:pt idx="3">
                  <c:v> Global assessment</c:v>
                </c:pt>
                <c:pt idx="4">
                  <c:v> Indigenous and local knowledge</c:v>
                </c:pt>
                <c:pt idx="5">
                  <c:v> Invasive alien species</c:v>
                </c:pt>
                <c:pt idx="6">
                  <c:v> Knowledge, information and data</c:v>
                </c:pt>
                <c:pt idx="7">
                  <c:v> Land degradation and restoration</c:v>
                </c:pt>
                <c:pt idx="8">
                  <c:v> Policy support tools</c:v>
                </c:pt>
                <c:pt idx="9">
                  <c:v> Pollination</c:v>
                </c:pt>
                <c:pt idx="10">
                  <c:v> Regional and subregional assessments</c:v>
                </c:pt>
                <c:pt idx="11">
                  <c:v> Scenarios and modelling</c:v>
                </c:pt>
                <c:pt idx="12">
                  <c:v> Sustainable use of wild species</c:v>
                </c:pt>
                <c:pt idx="13">
                  <c:v> Valuation of biodiversity</c:v>
                </c:pt>
              </c:strCache>
            </c:strRef>
          </c:cat>
          <c:val>
            <c:numRef>
              <c:f>'ORG Interest'!$L$27:$L$40</c:f>
              <c:numCache>
                <c:formatCode>General</c:formatCode>
                <c:ptCount val="14"/>
                <c:pt idx="0">
                  <c:v>4.1237113402061855E-2</c:v>
                </c:pt>
                <c:pt idx="1">
                  <c:v>4.2553191489361701E-2</c:v>
                </c:pt>
                <c:pt idx="2">
                  <c:v>5.2631578947368418E-2</c:v>
                </c:pt>
                <c:pt idx="3">
                  <c:v>8.5714285714285715E-2</c:v>
                </c:pt>
                <c:pt idx="4">
                  <c:v>4.6153846153846156E-2</c:v>
                </c:pt>
                <c:pt idx="5">
                  <c:v>9.0225563909774431E-2</c:v>
                </c:pt>
                <c:pt idx="6">
                  <c:v>5.3333333333333337E-2</c:v>
                </c:pt>
                <c:pt idx="7">
                  <c:v>5.434782608695652E-2</c:v>
                </c:pt>
                <c:pt idx="8">
                  <c:v>5.3030303030303032E-2</c:v>
                </c:pt>
                <c:pt idx="9">
                  <c:v>7.9545454545454544E-2</c:v>
                </c:pt>
                <c:pt idx="10">
                  <c:v>0.11888111888111888</c:v>
                </c:pt>
                <c:pt idx="11">
                  <c:v>7.0175438596491224E-2</c:v>
                </c:pt>
                <c:pt idx="12">
                  <c:v>7.2289156626506021E-2</c:v>
                </c:pt>
                <c:pt idx="13">
                  <c:v>6.7567567567567571E-2</c:v>
                </c:pt>
              </c:numCache>
            </c:numRef>
          </c:val>
          <c:extLst>
            <c:ext xmlns:c16="http://schemas.microsoft.com/office/drawing/2014/chart" uri="{C3380CC4-5D6E-409C-BE32-E72D297353CC}">
              <c16:uniqueId val="{00000002-1A8A-4CD0-814F-7902389F4A19}"/>
            </c:ext>
          </c:extLst>
        </c:ser>
        <c:ser>
          <c:idx val="3"/>
          <c:order val="3"/>
          <c:tx>
            <c:strRef>
              <c:f>'ORG Interest'!$M$26</c:f>
              <c:strCache>
                <c:ptCount val="1"/>
                <c:pt idx="0">
                  <c:v>LAC</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 Interest'!$A$27:$A$40</c:f>
              <c:strCache>
                <c:ptCount val="14"/>
                <c:pt idx="0">
                  <c:v> All IPBES assessments</c:v>
                </c:pt>
                <c:pt idx="1">
                  <c:v> Capacity development</c:v>
                </c:pt>
                <c:pt idx="2">
                  <c:v> Communication and stakeholder engagement</c:v>
                </c:pt>
                <c:pt idx="3">
                  <c:v> Global assessment</c:v>
                </c:pt>
                <c:pt idx="4">
                  <c:v> Indigenous and local knowledge</c:v>
                </c:pt>
                <c:pt idx="5">
                  <c:v> Invasive alien species</c:v>
                </c:pt>
                <c:pt idx="6">
                  <c:v> Knowledge, information and data</c:v>
                </c:pt>
                <c:pt idx="7">
                  <c:v> Land degradation and restoration</c:v>
                </c:pt>
                <c:pt idx="8">
                  <c:v> Policy support tools</c:v>
                </c:pt>
                <c:pt idx="9">
                  <c:v> Pollination</c:v>
                </c:pt>
                <c:pt idx="10">
                  <c:v> Regional and subregional assessments</c:v>
                </c:pt>
                <c:pt idx="11">
                  <c:v> Scenarios and modelling</c:v>
                </c:pt>
                <c:pt idx="12">
                  <c:v> Sustainable use of wild species</c:v>
                </c:pt>
                <c:pt idx="13">
                  <c:v> Valuation of biodiversity</c:v>
                </c:pt>
              </c:strCache>
            </c:strRef>
          </c:cat>
          <c:val>
            <c:numRef>
              <c:f>'ORG Interest'!$M$27:$M$40</c:f>
              <c:numCache>
                <c:formatCode>General</c:formatCode>
                <c:ptCount val="14"/>
                <c:pt idx="0">
                  <c:v>0.18556701030927836</c:v>
                </c:pt>
                <c:pt idx="1">
                  <c:v>0.19858156028368795</c:v>
                </c:pt>
                <c:pt idx="2">
                  <c:v>0.14912280701754385</c:v>
                </c:pt>
                <c:pt idx="3">
                  <c:v>0.20952380952380953</c:v>
                </c:pt>
                <c:pt idx="4">
                  <c:v>0.16923076923076924</c:v>
                </c:pt>
                <c:pt idx="5">
                  <c:v>0.21052631578947367</c:v>
                </c:pt>
                <c:pt idx="6">
                  <c:v>0.18666666666666668</c:v>
                </c:pt>
                <c:pt idx="7">
                  <c:v>0.22282608695652173</c:v>
                </c:pt>
                <c:pt idx="8">
                  <c:v>0.19696969696969696</c:v>
                </c:pt>
                <c:pt idx="9">
                  <c:v>0.27272727272727271</c:v>
                </c:pt>
                <c:pt idx="10">
                  <c:v>0.19580419580419581</c:v>
                </c:pt>
                <c:pt idx="11">
                  <c:v>0.22807017543859648</c:v>
                </c:pt>
                <c:pt idx="12">
                  <c:v>0.2289156626506024</c:v>
                </c:pt>
                <c:pt idx="13">
                  <c:v>0.22522522522522523</c:v>
                </c:pt>
              </c:numCache>
            </c:numRef>
          </c:val>
          <c:extLst>
            <c:ext xmlns:c16="http://schemas.microsoft.com/office/drawing/2014/chart" uri="{C3380CC4-5D6E-409C-BE32-E72D297353CC}">
              <c16:uniqueId val="{00000003-1A8A-4CD0-814F-7902389F4A19}"/>
            </c:ext>
          </c:extLst>
        </c:ser>
        <c:ser>
          <c:idx val="4"/>
          <c:order val="4"/>
          <c:tx>
            <c:strRef>
              <c:f>'ORG Interest'!$N$26</c:f>
              <c:strCache>
                <c:ptCount val="1"/>
                <c:pt idx="0">
                  <c:v>WEOG</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 Interest'!$A$27:$A$40</c:f>
              <c:strCache>
                <c:ptCount val="14"/>
                <c:pt idx="0">
                  <c:v> All IPBES assessments</c:v>
                </c:pt>
                <c:pt idx="1">
                  <c:v> Capacity development</c:v>
                </c:pt>
                <c:pt idx="2">
                  <c:v> Communication and stakeholder engagement</c:v>
                </c:pt>
                <c:pt idx="3">
                  <c:v> Global assessment</c:v>
                </c:pt>
                <c:pt idx="4">
                  <c:v> Indigenous and local knowledge</c:v>
                </c:pt>
                <c:pt idx="5">
                  <c:v> Invasive alien species</c:v>
                </c:pt>
                <c:pt idx="6">
                  <c:v> Knowledge, information and data</c:v>
                </c:pt>
                <c:pt idx="7">
                  <c:v> Land degradation and restoration</c:v>
                </c:pt>
                <c:pt idx="8">
                  <c:v> Policy support tools</c:v>
                </c:pt>
                <c:pt idx="9">
                  <c:v> Pollination</c:v>
                </c:pt>
                <c:pt idx="10">
                  <c:v> Regional and subregional assessments</c:v>
                </c:pt>
                <c:pt idx="11">
                  <c:v> Scenarios and modelling</c:v>
                </c:pt>
                <c:pt idx="12">
                  <c:v> Sustainable use of wild species</c:v>
                </c:pt>
                <c:pt idx="13">
                  <c:v> Valuation of biodiversity</c:v>
                </c:pt>
              </c:strCache>
            </c:strRef>
          </c:cat>
          <c:val>
            <c:numRef>
              <c:f>'ORG Interest'!$N$27:$N$40</c:f>
              <c:numCache>
                <c:formatCode>General</c:formatCode>
                <c:ptCount val="14"/>
                <c:pt idx="0">
                  <c:v>0.27835051546391754</c:v>
                </c:pt>
                <c:pt idx="1">
                  <c:v>0.1773049645390071</c:v>
                </c:pt>
                <c:pt idx="2">
                  <c:v>0.28947368421052633</c:v>
                </c:pt>
                <c:pt idx="3">
                  <c:v>0.34285714285714286</c:v>
                </c:pt>
                <c:pt idx="4">
                  <c:v>0.2153846153846154</c:v>
                </c:pt>
                <c:pt idx="5">
                  <c:v>0.2781954887218045</c:v>
                </c:pt>
                <c:pt idx="6">
                  <c:v>0.30666666666666664</c:v>
                </c:pt>
                <c:pt idx="7">
                  <c:v>0.26630434782608697</c:v>
                </c:pt>
                <c:pt idx="8">
                  <c:v>0.31060606060606061</c:v>
                </c:pt>
                <c:pt idx="9">
                  <c:v>0.28409090909090912</c:v>
                </c:pt>
                <c:pt idx="10">
                  <c:v>0.25174825174825177</c:v>
                </c:pt>
                <c:pt idx="11">
                  <c:v>0.31578947368421051</c:v>
                </c:pt>
                <c:pt idx="12">
                  <c:v>0.22289156626506024</c:v>
                </c:pt>
                <c:pt idx="13">
                  <c:v>0.26126126126126126</c:v>
                </c:pt>
              </c:numCache>
            </c:numRef>
          </c:val>
          <c:extLst>
            <c:ext xmlns:c16="http://schemas.microsoft.com/office/drawing/2014/chart" uri="{C3380CC4-5D6E-409C-BE32-E72D297353CC}">
              <c16:uniqueId val="{00000004-1A8A-4CD0-814F-7902389F4A19}"/>
            </c:ext>
          </c:extLst>
        </c:ser>
        <c:dLbls>
          <c:showLegendKey val="0"/>
          <c:showVal val="0"/>
          <c:showCatName val="0"/>
          <c:showSerName val="0"/>
          <c:showPercent val="0"/>
          <c:showBubbleSize val="0"/>
        </c:dLbls>
        <c:gapWidth val="75"/>
        <c:shape val="box"/>
        <c:axId val="125320192"/>
        <c:axId val="125326080"/>
        <c:axId val="0"/>
      </c:bar3DChart>
      <c:catAx>
        <c:axId val="125320192"/>
        <c:scaling>
          <c:orientation val="maxMin"/>
        </c:scaling>
        <c:delete val="0"/>
        <c:axPos val="l"/>
        <c:numFmt formatCode="General" sourceLinked="0"/>
        <c:majorTickMark val="none"/>
        <c:minorTickMark val="none"/>
        <c:tickLblPos val="nextTo"/>
        <c:crossAx val="125326080"/>
        <c:crosses val="autoZero"/>
        <c:auto val="1"/>
        <c:lblAlgn val="ctr"/>
        <c:lblOffset val="100"/>
        <c:noMultiLvlLbl val="0"/>
      </c:catAx>
      <c:valAx>
        <c:axId val="125326080"/>
        <c:scaling>
          <c:orientation val="minMax"/>
        </c:scaling>
        <c:delete val="0"/>
        <c:axPos val="t"/>
        <c:majorGridlines/>
        <c:numFmt formatCode="0%" sourceLinked="1"/>
        <c:majorTickMark val="none"/>
        <c:minorTickMark val="none"/>
        <c:tickLblPos val="nextTo"/>
        <c:spPr>
          <a:ln w="6350">
            <a:noFill/>
          </a:ln>
        </c:spPr>
        <c:crossAx val="125320192"/>
        <c:crosses val="autoZero"/>
        <c:crossBetween val="between"/>
        <c:majorUnit val="0.1"/>
      </c:valAx>
    </c:plotArea>
    <c:legend>
      <c:legendPos val="b"/>
      <c:layout>
        <c:manualLayout>
          <c:xMode val="edge"/>
          <c:yMode val="edge"/>
          <c:x val="0.44473808619498645"/>
          <c:y val="0.90842652548087632"/>
          <c:w val="0.50442407684542689"/>
          <c:h val="5.0125886031397844E-2"/>
        </c:manualLayout>
      </c:layout>
      <c:overlay val="0"/>
    </c:legend>
    <c:plotVisOnly val="1"/>
    <c:dispBlanksAs val="gap"/>
    <c:showDLblsOverMax val="0"/>
  </c:chart>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en-GB" sz="1100"/>
              <a:t>Individuals' interest/expertise</a:t>
            </a:r>
            <a:r>
              <a:rPr lang="en-GB" sz="1100" baseline="0"/>
              <a:t> </a:t>
            </a:r>
            <a:r>
              <a:rPr lang="en-GB" sz="1100"/>
              <a:t>with respect to regions</a:t>
            </a:r>
          </a:p>
        </c:rich>
      </c:tx>
      <c:overlay val="0"/>
    </c:title>
    <c:autoTitleDeleted val="0"/>
    <c:view3D>
      <c:rotX val="15"/>
      <c:rotY val="20"/>
      <c:rAngAx val="1"/>
    </c:view3D>
    <c:floor>
      <c:thickness val="0"/>
    </c:floor>
    <c:sideWall>
      <c:thickness val="0"/>
    </c:sideWall>
    <c:backWall>
      <c:thickness val="0"/>
    </c:backWall>
    <c:plotArea>
      <c:layout/>
      <c:bar3DChart>
        <c:barDir val="bar"/>
        <c:grouping val="percentStacked"/>
        <c:varyColors val="0"/>
        <c:ser>
          <c:idx val="0"/>
          <c:order val="0"/>
          <c:tx>
            <c:strRef>
              <c:f>'indiv interest'!$J$21</c:f>
              <c:strCache>
                <c:ptCount val="1"/>
                <c:pt idx="0">
                  <c:v>AF</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 interest'!$A$22:$A$36</c:f>
              <c:strCache>
                <c:ptCount val="15"/>
                <c:pt idx="0">
                  <c:v> All IPBES assessments</c:v>
                </c:pt>
                <c:pt idx="1">
                  <c:v> Capacity development</c:v>
                </c:pt>
                <c:pt idx="2">
                  <c:v> Communication and stakeholder engagement</c:v>
                </c:pt>
                <c:pt idx="3">
                  <c:v> Global assessment</c:v>
                </c:pt>
                <c:pt idx="4">
                  <c:v> Indigenous and local knowledge</c:v>
                </c:pt>
                <c:pt idx="5">
                  <c:v> Invasive alien species</c:v>
                </c:pt>
                <c:pt idx="6">
                  <c:v> Knowledge, information and data</c:v>
                </c:pt>
                <c:pt idx="7">
                  <c:v> Land degradation and restoration</c:v>
                </c:pt>
                <c:pt idx="8">
                  <c:v> Policy support tools</c:v>
                </c:pt>
                <c:pt idx="9">
                  <c:v> Pollination</c:v>
                </c:pt>
                <c:pt idx="10">
                  <c:v> Regional and subregional assessments</c:v>
                </c:pt>
                <c:pt idx="11">
                  <c:v> Scenarios and modelling</c:v>
                </c:pt>
                <c:pt idx="12">
                  <c:v> Sustainable use of wild species</c:v>
                </c:pt>
                <c:pt idx="13">
                  <c:v> Valuation of biodiversity</c:v>
                </c:pt>
                <c:pt idx="14">
                  <c:v> Other</c:v>
                </c:pt>
              </c:strCache>
            </c:strRef>
          </c:cat>
          <c:val>
            <c:numRef>
              <c:f>'indiv interest'!$J$22:$J$36</c:f>
              <c:numCache>
                <c:formatCode>0.000</c:formatCode>
                <c:ptCount val="15"/>
                <c:pt idx="0">
                  <c:v>0.25</c:v>
                </c:pt>
                <c:pt idx="1">
                  <c:v>0.28491620111731841</c:v>
                </c:pt>
                <c:pt idx="2">
                  <c:v>0.203125</c:v>
                </c:pt>
                <c:pt idx="3">
                  <c:v>0.2</c:v>
                </c:pt>
                <c:pt idx="4">
                  <c:v>0.26785714285714285</c:v>
                </c:pt>
                <c:pt idx="5">
                  <c:v>0.24358974358974358</c:v>
                </c:pt>
                <c:pt idx="6">
                  <c:v>0.20792079207920791</c:v>
                </c:pt>
                <c:pt idx="7">
                  <c:v>0.26808510638297872</c:v>
                </c:pt>
                <c:pt idx="8">
                  <c:v>0.23809523809523808</c:v>
                </c:pt>
                <c:pt idx="9">
                  <c:v>0.22</c:v>
                </c:pt>
                <c:pt idx="10">
                  <c:v>0.2300469483568075</c:v>
                </c:pt>
                <c:pt idx="11">
                  <c:v>0.20394736842105263</c:v>
                </c:pt>
                <c:pt idx="12">
                  <c:v>0.27979274611398963</c:v>
                </c:pt>
                <c:pt idx="13">
                  <c:v>0.25080385852090031</c:v>
                </c:pt>
                <c:pt idx="14">
                  <c:v>7.407407407407407E-2</c:v>
                </c:pt>
              </c:numCache>
            </c:numRef>
          </c:val>
          <c:extLst>
            <c:ext xmlns:c16="http://schemas.microsoft.com/office/drawing/2014/chart" uri="{C3380CC4-5D6E-409C-BE32-E72D297353CC}">
              <c16:uniqueId val="{00000000-5D4E-429D-BF00-6FAD0770F85B}"/>
            </c:ext>
          </c:extLst>
        </c:ser>
        <c:ser>
          <c:idx val="1"/>
          <c:order val="1"/>
          <c:tx>
            <c:strRef>
              <c:f>'indiv interest'!$K$21</c:f>
              <c:strCache>
                <c:ptCount val="1"/>
                <c:pt idx="0">
                  <c:v>AP</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 interest'!$A$22:$A$36</c:f>
              <c:strCache>
                <c:ptCount val="15"/>
                <c:pt idx="0">
                  <c:v> All IPBES assessments</c:v>
                </c:pt>
                <c:pt idx="1">
                  <c:v> Capacity development</c:v>
                </c:pt>
                <c:pt idx="2">
                  <c:v> Communication and stakeholder engagement</c:v>
                </c:pt>
                <c:pt idx="3">
                  <c:v> Global assessment</c:v>
                </c:pt>
                <c:pt idx="4">
                  <c:v> Indigenous and local knowledge</c:v>
                </c:pt>
                <c:pt idx="5">
                  <c:v> Invasive alien species</c:v>
                </c:pt>
                <c:pt idx="6">
                  <c:v> Knowledge, information and data</c:v>
                </c:pt>
                <c:pt idx="7">
                  <c:v> Land degradation and restoration</c:v>
                </c:pt>
                <c:pt idx="8">
                  <c:v> Policy support tools</c:v>
                </c:pt>
                <c:pt idx="9">
                  <c:v> Pollination</c:v>
                </c:pt>
                <c:pt idx="10">
                  <c:v> Regional and subregional assessments</c:v>
                </c:pt>
                <c:pt idx="11">
                  <c:v> Scenarios and modelling</c:v>
                </c:pt>
                <c:pt idx="12">
                  <c:v> Sustainable use of wild species</c:v>
                </c:pt>
                <c:pt idx="13">
                  <c:v> Valuation of biodiversity</c:v>
                </c:pt>
                <c:pt idx="14">
                  <c:v> Other</c:v>
                </c:pt>
              </c:strCache>
            </c:strRef>
          </c:cat>
          <c:val>
            <c:numRef>
              <c:f>'indiv interest'!$K$22:$K$36</c:f>
              <c:numCache>
                <c:formatCode>0.000</c:formatCode>
                <c:ptCount val="15"/>
                <c:pt idx="0">
                  <c:v>0.24074074074074073</c:v>
                </c:pt>
                <c:pt idx="1">
                  <c:v>0.22346368715083798</c:v>
                </c:pt>
                <c:pt idx="2">
                  <c:v>0.2421875</c:v>
                </c:pt>
                <c:pt idx="3">
                  <c:v>0.18947368421052632</c:v>
                </c:pt>
                <c:pt idx="4">
                  <c:v>0.29761904761904762</c:v>
                </c:pt>
                <c:pt idx="5">
                  <c:v>0.1858974358974359</c:v>
                </c:pt>
                <c:pt idx="6">
                  <c:v>0.19306930693069307</c:v>
                </c:pt>
                <c:pt idx="7">
                  <c:v>0.24255319148936169</c:v>
                </c:pt>
                <c:pt idx="8">
                  <c:v>0.18367346938775511</c:v>
                </c:pt>
                <c:pt idx="9">
                  <c:v>0.18</c:v>
                </c:pt>
                <c:pt idx="10">
                  <c:v>0.22065727699530516</c:v>
                </c:pt>
                <c:pt idx="11">
                  <c:v>0.13157894736842105</c:v>
                </c:pt>
                <c:pt idx="12">
                  <c:v>0.20207253886010362</c:v>
                </c:pt>
                <c:pt idx="13">
                  <c:v>0.17684887459807075</c:v>
                </c:pt>
                <c:pt idx="14">
                  <c:v>0.14814814814814814</c:v>
                </c:pt>
              </c:numCache>
            </c:numRef>
          </c:val>
          <c:extLst>
            <c:ext xmlns:c16="http://schemas.microsoft.com/office/drawing/2014/chart" uri="{C3380CC4-5D6E-409C-BE32-E72D297353CC}">
              <c16:uniqueId val="{00000001-5D4E-429D-BF00-6FAD0770F85B}"/>
            </c:ext>
          </c:extLst>
        </c:ser>
        <c:ser>
          <c:idx val="2"/>
          <c:order val="2"/>
          <c:tx>
            <c:strRef>
              <c:f>'indiv interest'!$L$21</c:f>
              <c:strCache>
                <c:ptCount val="1"/>
                <c:pt idx="0">
                  <c:v>EE</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 interest'!$A$22:$A$36</c:f>
              <c:strCache>
                <c:ptCount val="15"/>
                <c:pt idx="0">
                  <c:v> All IPBES assessments</c:v>
                </c:pt>
                <c:pt idx="1">
                  <c:v> Capacity development</c:v>
                </c:pt>
                <c:pt idx="2">
                  <c:v> Communication and stakeholder engagement</c:v>
                </c:pt>
                <c:pt idx="3">
                  <c:v> Global assessment</c:v>
                </c:pt>
                <c:pt idx="4">
                  <c:v> Indigenous and local knowledge</c:v>
                </c:pt>
                <c:pt idx="5">
                  <c:v> Invasive alien species</c:v>
                </c:pt>
                <c:pt idx="6">
                  <c:v> Knowledge, information and data</c:v>
                </c:pt>
                <c:pt idx="7">
                  <c:v> Land degradation and restoration</c:v>
                </c:pt>
                <c:pt idx="8">
                  <c:v> Policy support tools</c:v>
                </c:pt>
                <c:pt idx="9">
                  <c:v> Pollination</c:v>
                </c:pt>
                <c:pt idx="10">
                  <c:v> Regional and subregional assessments</c:v>
                </c:pt>
                <c:pt idx="11">
                  <c:v> Scenarios and modelling</c:v>
                </c:pt>
                <c:pt idx="12">
                  <c:v> Sustainable use of wild species</c:v>
                </c:pt>
                <c:pt idx="13">
                  <c:v> Valuation of biodiversity</c:v>
                </c:pt>
                <c:pt idx="14">
                  <c:v> Other</c:v>
                </c:pt>
              </c:strCache>
            </c:strRef>
          </c:cat>
          <c:val>
            <c:numRef>
              <c:f>'indiv interest'!$L$22:$L$36</c:f>
              <c:numCache>
                <c:formatCode>0.000</c:formatCode>
                <c:ptCount val="15"/>
                <c:pt idx="0">
                  <c:v>4.6296296296296294E-2</c:v>
                </c:pt>
                <c:pt idx="1">
                  <c:v>7.2625698324022353E-2</c:v>
                </c:pt>
                <c:pt idx="2">
                  <c:v>7.03125E-2</c:v>
                </c:pt>
                <c:pt idx="3">
                  <c:v>6.3157894736842107E-2</c:v>
                </c:pt>
                <c:pt idx="4">
                  <c:v>5.3571428571428568E-2</c:v>
                </c:pt>
                <c:pt idx="5">
                  <c:v>5.7692307692307696E-2</c:v>
                </c:pt>
                <c:pt idx="6">
                  <c:v>8.4158415841584164E-2</c:v>
                </c:pt>
                <c:pt idx="7">
                  <c:v>5.5319148936170209E-2</c:v>
                </c:pt>
                <c:pt idx="8">
                  <c:v>5.4421768707482991E-2</c:v>
                </c:pt>
                <c:pt idx="9">
                  <c:v>0.06</c:v>
                </c:pt>
                <c:pt idx="10">
                  <c:v>7.5117370892018781E-2</c:v>
                </c:pt>
                <c:pt idx="11">
                  <c:v>8.5526315789473686E-2</c:v>
                </c:pt>
                <c:pt idx="12">
                  <c:v>5.6994818652849742E-2</c:v>
                </c:pt>
                <c:pt idx="13">
                  <c:v>7.0739549839228297E-2</c:v>
                </c:pt>
                <c:pt idx="14">
                  <c:v>7.407407407407407E-2</c:v>
                </c:pt>
              </c:numCache>
            </c:numRef>
          </c:val>
          <c:extLst>
            <c:ext xmlns:c16="http://schemas.microsoft.com/office/drawing/2014/chart" uri="{C3380CC4-5D6E-409C-BE32-E72D297353CC}">
              <c16:uniqueId val="{00000002-5D4E-429D-BF00-6FAD0770F85B}"/>
            </c:ext>
          </c:extLst>
        </c:ser>
        <c:ser>
          <c:idx val="3"/>
          <c:order val="3"/>
          <c:tx>
            <c:strRef>
              <c:f>'indiv interest'!$M$21</c:f>
              <c:strCache>
                <c:ptCount val="1"/>
                <c:pt idx="0">
                  <c:v>LAC</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 interest'!$A$22:$A$36</c:f>
              <c:strCache>
                <c:ptCount val="15"/>
                <c:pt idx="0">
                  <c:v> All IPBES assessments</c:v>
                </c:pt>
                <c:pt idx="1">
                  <c:v> Capacity development</c:v>
                </c:pt>
                <c:pt idx="2">
                  <c:v> Communication and stakeholder engagement</c:v>
                </c:pt>
                <c:pt idx="3">
                  <c:v> Global assessment</c:v>
                </c:pt>
                <c:pt idx="4">
                  <c:v> Indigenous and local knowledge</c:v>
                </c:pt>
                <c:pt idx="5">
                  <c:v> Invasive alien species</c:v>
                </c:pt>
                <c:pt idx="6">
                  <c:v> Knowledge, information and data</c:v>
                </c:pt>
                <c:pt idx="7">
                  <c:v> Land degradation and restoration</c:v>
                </c:pt>
                <c:pt idx="8">
                  <c:v> Policy support tools</c:v>
                </c:pt>
                <c:pt idx="9">
                  <c:v> Pollination</c:v>
                </c:pt>
                <c:pt idx="10">
                  <c:v> Regional and subregional assessments</c:v>
                </c:pt>
                <c:pt idx="11">
                  <c:v> Scenarios and modelling</c:v>
                </c:pt>
                <c:pt idx="12">
                  <c:v> Sustainable use of wild species</c:v>
                </c:pt>
                <c:pt idx="13">
                  <c:v> Valuation of biodiversity</c:v>
                </c:pt>
                <c:pt idx="14">
                  <c:v> Other</c:v>
                </c:pt>
              </c:strCache>
            </c:strRef>
          </c:cat>
          <c:val>
            <c:numRef>
              <c:f>'indiv interest'!$M$22:$M$36</c:f>
              <c:numCache>
                <c:formatCode>0.000</c:formatCode>
                <c:ptCount val="15"/>
                <c:pt idx="0">
                  <c:v>0.20370370370370369</c:v>
                </c:pt>
                <c:pt idx="1">
                  <c:v>0.15642458100558659</c:v>
                </c:pt>
                <c:pt idx="2">
                  <c:v>0.1171875</c:v>
                </c:pt>
                <c:pt idx="3">
                  <c:v>0.18421052631578946</c:v>
                </c:pt>
                <c:pt idx="4">
                  <c:v>0.13690476190476192</c:v>
                </c:pt>
                <c:pt idx="5">
                  <c:v>0.14102564102564102</c:v>
                </c:pt>
                <c:pt idx="6">
                  <c:v>0.15841584158415842</c:v>
                </c:pt>
                <c:pt idx="7">
                  <c:v>0.14042553191489363</c:v>
                </c:pt>
                <c:pt idx="8">
                  <c:v>0.17006802721088435</c:v>
                </c:pt>
                <c:pt idx="9">
                  <c:v>0.18</c:v>
                </c:pt>
                <c:pt idx="10">
                  <c:v>0.17840375586854459</c:v>
                </c:pt>
                <c:pt idx="11">
                  <c:v>0.20394736842105263</c:v>
                </c:pt>
                <c:pt idx="12">
                  <c:v>0.18652849740932642</c:v>
                </c:pt>
                <c:pt idx="13">
                  <c:v>0.18006430868167203</c:v>
                </c:pt>
                <c:pt idx="14">
                  <c:v>0.37037037037037035</c:v>
                </c:pt>
              </c:numCache>
            </c:numRef>
          </c:val>
          <c:extLst>
            <c:ext xmlns:c16="http://schemas.microsoft.com/office/drawing/2014/chart" uri="{C3380CC4-5D6E-409C-BE32-E72D297353CC}">
              <c16:uniqueId val="{00000003-5D4E-429D-BF00-6FAD0770F85B}"/>
            </c:ext>
          </c:extLst>
        </c:ser>
        <c:ser>
          <c:idx val="4"/>
          <c:order val="4"/>
          <c:tx>
            <c:strRef>
              <c:f>'indiv interest'!$N$21</c:f>
              <c:strCache>
                <c:ptCount val="1"/>
                <c:pt idx="0">
                  <c:v>WEOG</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 interest'!$A$22:$A$36</c:f>
              <c:strCache>
                <c:ptCount val="15"/>
                <c:pt idx="0">
                  <c:v> All IPBES assessments</c:v>
                </c:pt>
                <c:pt idx="1">
                  <c:v> Capacity development</c:v>
                </c:pt>
                <c:pt idx="2">
                  <c:v> Communication and stakeholder engagement</c:v>
                </c:pt>
                <c:pt idx="3">
                  <c:v> Global assessment</c:v>
                </c:pt>
                <c:pt idx="4">
                  <c:v> Indigenous and local knowledge</c:v>
                </c:pt>
                <c:pt idx="5">
                  <c:v> Invasive alien species</c:v>
                </c:pt>
                <c:pt idx="6">
                  <c:v> Knowledge, information and data</c:v>
                </c:pt>
                <c:pt idx="7">
                  <c:v> Land degradation and restoration</c:v>
                </c:pt>
                <c:pt idx="8">
                  <c:v> Policy support tools</c:v>
                </c:pt>
                <c:pt idx="9">
                  <c:v> Pollination</c:v>
                </c:pt>
                <c:pt idx="10">
                  <c:v> Regional and subregional assessments</c:v>
                </c:pt>
                <c:pt idx="11">
                  <c:v> Scenarios and modelling</c:v>
                </c:pt>
                <c:pt idx="12">
                  <c:v> Sustainable use of wild species</c:v>
                </c:pt>
                <c:pt idx="13">
                  <c:v> Valuation of biodiversity</c:v>
                </c:pt>
                <c:pt idx="14">
                  <c:v> Other</c:v>
                </c:pt>
              </c:strCache>
            </c:strRef>
          </c:cat>
          <c:val>
            <c:numRef>
              <c:f>'indiv interest'!$N$22:$N$36</c:f>
              <c:numCache>
                <c:formatCode>0.000</c:formatCode>
                <c:ptCount val="15"/>
                <c:pt idx="0">
                  <c:v>0.22222222222222221</c:v>
                </c:pt>
                <c:pt idx="1">
                  <c:v>0.25698324022346369</c:v>
                </c:pt>
                <c:pt idx="2">
                  <c:v>0.3515625</c:v>
                </c:pt>
                <c:pt idx="3">
                  <c:v>0.3473684210526316</c:v>
                </c:pt>
                <c:pt idx="4">
                  <c:v>0.23214285714285715</c:v>
                </c:pt>
                <c:pt idx="5">
                  <c:v>0.34615384615384615</c:v>
                </c:pt>
                <c:pt idx="6">
                  <c:v>0.3316831683168317</c:v>
                </c:pt>
                <c:pt idx="7">
                  <c:v>0.2723404255319149</c:v>
                </c:pt>
                <c:pt idx="8">
                  <c:v>0.3401360544217687</c:v>
                </c:pt>
                <c:pt idx="9">
                  <c:v>0.33</c:v>
                </c:pt>
                <c:pt idx="10">
                  <c:v>0.28169014084507044</c:v>
                </c:pt>
                <c:pt idx="11">
                  <c:v>0.36184210526315791</c:v>
                </c:pt>
                <c:pt idx="12">
                  <c:v>0.24870466321243523</c:v>
                </c:pt>
                <c:pt idx="13">
                  <c:v>0.29581993569131831</c:v>
                </c:pt>
                <c:pt idx="14">
                  <c:v>0.29629629629629628</c:v>
                </c:pt>
              </c:numCache>
            </c:numRef>
          </c:val>
          <c:extLst>
            <c:ext xmlns:c16="http://schemas.microsoft.com/office/drawing/2014/chart" uri="{C3380CC4-5D6E-409C-BE32-E72D297353CC}">
              <c16:uniqueId val="{00000004-5D4E-429D-BF00-6FAD0770F85B}"/>
            </c:ext>
          </c:extLst>
        </c:ser>
        <c:dLbls>
          <c:showLegendKey val="0"/>
          <c:showVal val="0"/>
          <c:showCatName val="0"/>
          <c:showSerName val="0"/>
          <c:showPercent val="0"/>
          <c:showBubbleSize val="0"/>
        </c:dLbls>
        <c:gapWidth val="75"/>
        <c:shape val="box"/>
        <c:axId val="125067648"/>
        <c:axId val="125069184"/>
        <c:axId val="0"/>
      </c:bar3DChart>
      <c:catAx>
        <c:axId val="125067648"/>
        <c:scaling>
          <c:orientation val="maxMin"/>
        </c:scaling>
        <c:delete val="0"/>
        <c:axPos val="l"/>
        <c:numFmt formatCode="General" sourceLinked="0"/>
        <c:majorTickMark val="none"/>
        <c:minorTickMark val="none"/>
        <c:tickLblPos val="nextTo"/>
        <c:crossAx val="125069184"/>
        <c:crosses val="autoZero"/>
        <c:auto val="1"/>
        <c:lblAlgn val="ctr"/>
        <c:lblOffset val="100"/>
        <c:noMultiLvlLbl val="0"/>
      </c:catAx>
      <c:valAx>
        <c:axId val="125069184"/>
        <c:scaling>
          <c:orientation val="minMax"/>
        </c:scaling>
        <c:delete val="0"/>
        <c:axPos val="t"/>
        <c:majorGridlines/>
        <c:numFmt formatCode="0%" sourceLinked="1"/>
        <c:majorTickMark val="none"/>
        <c:minorTickMark val="none"/>
        <c:tickLblPos val="nextTo"/>
        <c:spPr>
          <a:ln w="6350">
            <a:noFill/>
          </a:ln>
        </c:spPr>
        <c:crossAx val="125067648"/>
        <c:crosses val="autoZero"/>
        <c:crossBetween val="between"/>
      </c:valAx>
    </c:plotArea>
    <c:legend>
      <c:legendPos val="b"/>
      <c:layout>
        <c:manualLayout>
          <c:xMode val="edge"/>
          <c:yMode val="edge"/>
          <c:x val="0.41807541694063233"/>
          <c:y val="0.92609630705413448"/>
          <c:w val="0.53199531867063077"/>
          <c:h val="5.3279061242860255E-2"/>
        </c:manualLayout>
      </c:layout>
      <c:overlay val="0"/>
    </c:legend>
    <c:plotVisOnly val="1"/>
    <c:dispBlanksAs val="gap"/>
    <c:showDLblsOverMax val="0"/>
  </c:chart>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US" sz="1100" b="1" i="0" u="none" strike="noStrike" kern="1200" baseline="0">
                <a:solidFill>
                  <a:sysClr val="windowText" lastClr="000000"/>
                </a:solidFill>
                <a:latin typeface="+mn-lt"/>
                <a:ea typeface="+mn-ea"/>
                <a:cs typeface="+mn-cs"/>
              </a:rPr>
              <a:t>Intended future organizational/institutional </a:t>
            </a:r>
            <a:r>
              <a:rPr lang="en-US" sz="1100"/>
              <a:t>contributions </a:t>
            </a:r>
          </a:p>
        </c:rich>
      </c:tx>
      <c:overlay val="0"/>
    </c:title>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'future contributions'!$H$26</c:f>
              <c:strCache>
                <c:ptCount val="1"/>
                <c:pt idx="0">
                  <c:v>Total</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'future contributions'!$A$27:$A$35</c:f>
              <c:strCache>
                <c:ptCount val="9"/>
                <c:pt idx="0">
                  <c:v> Access to networks</c:v>
                </c:pt>
                <c:pt idx="1">
                  <c:v> Financial support</c:v>
                </c:pt>
                <c:pt idx="2">
                  <c:v> Specialized expertise</c:v>
                </c:pt>
                <c:pt idx="3">
                  <c:v> Indigenous and local knowledge</c:v>
                </c:pt>
                <c:pt idx="4">
                  <c:v> Making data or indicators available</c:v>
                </c:pt>
                <c:pt idx="5">
                  <c:v> In-kind support</c:v>
                </c:pt>
                <c:pt idx="6">
                  <c:v> Nominating experts</c:v>
                </c:pt>
                <c:pt idx="7">
                  <c:v> Organising meetings to inform </c:v>
                </c:pt>
                <c:pt idx="8">
                  <c:v> Regional knowledge</c:v>
                </c:pt>
              </c:strCache>
            </c:strRef>
          </c:cat>
          <c:val>
            <c:numRef>
              <c:f>'future contributions'!$H$27:$H$35</c:f>
              <c:numCache>
                <c:formatCode>General</c:formatCode>
                <c:ptCount val="9"/>
                <c:pt idx="0">
                  <c:v>126</c:v>
                </c:pt>
                <c:pt idx="1">
                  <c:v>21</c:v>
                </c:pt>
                <c:pt idx="2">
                  <c:v>158</c:v>
                </c:pt>
                <c:pt idx="3">
                  <c:v>100</c:v>
                </c:pt>
                <c:pt idx="4">
                  <c:v>115</c:v>
                </c:pt>
                <c:pt idx="5">
                  <c:v>41</c:v>
                </c:pt>
                <c:pt idx="6">
                  <c:v>125</c:v>
                </c:pt>
                <c:pt idx="7">
                  <c:v>122</c:v>
                </c:pt>
                <c:pt idx="8">
                  <c:v>127</c:v>
                </c:pt>
              </c:numCache>
            </c:numRef>
          </c:val>
          <c:extLst>
            <c:ext xmlns:c16="http://schemas.microsoft.com/office/drawing/2014/chart" uri="{C3380CC4-5D6E-409C-BE32-E72D297353CC}">
              <c16:uniqueId val="{00000000-38B5-42A7-9B96-083E90CF785E}"/>
            </c:ext>
          </c:extLst>
        </c:ser>
        <c:dLbls>
          <c:showLegendKey val="0"/>
          <c:showVal val="0"/>
          <c:showCatName val="0"/>
          <c:showSerName val="0"/>
          <c:showPercent val="0"/>
          <c:showBubbleSize val="0"/>
        </c:dLbls>
        <c:gapWidth val="75"/>
        <c:shape val="box"/>
        <c:axId val="126655488"/>
        <c:axId val="126657280"/>
        <c:axId val="0"/>
      </c:bar3DChart>
      <c:catAx>
        <c:axId val="126655488"/>
        <c:scaling>
          <c:orientation val="maxMin"/>
        </c:scaling>
        <c:delete val="0"/>
        <c:axPos val="l"/>
        <c:numFmt formatCode="General" sourceLinked="0"/>
        <c:majorTickMark val="none"/>
        <c:minorTickMark val="none"/>
        <c:tickLblPos val="nextTo"/>
        <c:crossAx val="126657280"/>
        <c:crosses val="autoZero"/>
        <c:auto val="1"/>
        <c:lblAlgn val="ctr"/>
        <c:lblOffset val="100"/>
        <c:noMultiLvlLbl val="0"/>
      </c:catAx>
      <c:valAx>
        <c:axId val="126657280"/>
        <c:scaling>
          <c:orientation val="minMax"/>
        </c:scaling>
        <c:delete val="0"/>
        <c:axPos val="t"/>
        <c:majorGridlines/>
        <c:numFmt formatCode="General" sourceLinked="1"/>
        <c:majorTickMark val="none"/>
        <c:minorTickMark val="none"/>
        <c:tickLblPos val="nextTo"/>
        <c:spPr>
          <a:ln w="6350">
            <a:noFill/>
          </a:ln>
        </c:spPr>
        <c:crossAx val="126655488"/>
        <c:crosses val="autoZero"/>
        <c:crossBetween val="between"/>
      </c:valAx>
    </c:plotArea>
    <c:plotVisOnly val="1"/>
    <c:dispBlanksAs val="gap"/>
    <c:showDLblsOverMax val="0"/>
  </c:chart>
  <c:spPr>
    <a:ln>
      <a:noFill/>
    </a:ln>
  </c:sp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'future contributions'!$H$26</c:f>
              <c:strCache>
                <c:ptCount val="1"/>
                <c:pt idx="0">
                  <c:v>Total</c:v>
                </c:pt>
              </c:strCache>
            </c:strRef>
          </c:tx>
          <c:dLbls>
            <c:dLbl>
              <c:idx val="0"/>
              <c:layout>
                <c:manualLayout>
                  <c:x val="-0.13262788017952784"/>
                  <c:y val="0.1744901111419542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3CFD-42B3-A1E9-75262B2BC7BE}"/>
                </c:ext>
              </c:extLst>
            </c:dLbl>
            <c:dLbl>
              <c:idx val="1"/>
              <c:spPr/>
              <c:txPr>
                <a:bodyPr/>
                <a:lstStyle/>
                <a:p>
                  <a:pPr>
                    <a:defRPr b="1">
                      <a:solidFill>
                        <a:schemeClr val="tx1"/>
                      </a:solidFill>
                    </a:defRPr>
                  </a:pPr>
                  <a:endParaRPr lang="en-US"/>
                </a:p>
              </c:txPr>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CFD-42B3-A1E9-75262B2BC7BE}"/>
                </c:ext>
              </c:extLst>
            </c:dLbl>
            <c:dLbl>
              <c:idx val="2"/>
              <c:layout>
                <c:manualLayout>
                  <c:x val="-0.1675790135608049"/>
                  <c:y val="1.076924619349615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3CFD-42B3-A1E9-75262B2BC7BE}"/>
                </c:ext>
              </c:extLst>
            </c:dLbl>
            <c:dLbl>
              <c:idx val="3"/>
              <c:layout>
                <c:manualLayout>
                  <c:x val="-0.17132518591426071"/>
                  <c:y val="-0.1953338701743062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CFD-42B3-A1E9-75262B2BC7BE}"/>
                </c:ext>
              </c:extLst>
            </c:dLbl>
            <c:dLbl>
              <c:idx val="4"/>
              <c:layout>
                <c:manualLayout>
                  <c:x val="-2.7169871086942729E-2"/>
                  <c:y val="-0.1012922594143570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3CFD-42B3-A1E9-75262B2BC7BE}"/>
                </c:ext>
              </c:extLst>
            </c:dLbl>
            <c:dLbl>
              <c:idx val="5"/>
              <c:spPr/>
              <c:txPr>
                <a:bodyPr/>
                <a:lstStyle/>
                <a:p>
                  <a:pPr>
                    <a:defRPr b="1">
                      <a:solidFill>
                        <a:schemeClr val="tx1"/>
                      </a:solidFill>
                    </a:defRPr>
                  </a:pPr>
                  <a:endParaRPr lang="en-US"/>
                </a:p>
              </c:txPr>
              <c:showLegendKey val="1"/>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3CFD-42B3-A1E9-75262B2BC7BE}"/>
                </c:ext>
              </c:extLst>
            </c:dLbl>
            <c:dLbl>
              <c:idx val="6"/>
              <c:layout>
                <c:manualLayout>
                  <c:x val="0.18896285042734448"/>
                  <c:y val="-0.13863136926361327"/>
                </c:manualLayout>
              </c:layout>
              <c:spPr/>
              <c:txPr>
                <a:bodyPr/>
                <a:lstStyle/>
                <a:p>
                  <a:pPr>
                    <a:defRPr b="1">
                      <a:solidFill>
                        <a:schemeClr val="tx1"/>
                      </a:solidFill>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3CFD-42B3-A1E9-75262B2BC7BE}"/>
                </c:ext>
              </c:extLst>
            </c:dLbl>
            <c:dLbl>
              <c:idx val="7"/>
              <c:layout>
                <c:manualLayout>
                  <c:x val="0.16323262823079318"/>
                  <c:y val="7.8869249978850142E-2"/>
                </c:manualLayout>
              </c:layout>
              <c:spPr/>
              <c:txPr>
                <a:bodyPr/>
                <a:lstStyle/>
                <a:p>
                  <a:pPr>
                    <a:defRPr b="1">
                      <a:solidFill>
                        <a:schemeClr val="tx1"/>
                      </a:solidFill>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CFD-42B3-A1E9-75262B2BC7BE}"/>
                </c:ext>
              </c:extLst>
            </c:dLbl>
            <c:dLbl>
              <c:idx val="8"/>
              <c:layout>
                <c:manualLayout>
                  <c:x val="0.15254161900247831"/>
                  <c:y val="0.16111447740347531"/>
                </c:manualLayout>
              </c:layout>
              <c:spPr/>
              <c:txPr>
                <a:bodyPr/>
                <a:lstStyle/>
                <a:p>
                  <a:pPr>
                    <a:defRPr b="1">
                      <a:solidFill>
                        <a:schemeClr val="tx1"/>
                      </a:solidFill>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8-3CFD-42B3-A1E9-75262B2BC7BE}"/>
                </c:ext>
              </c:extLst>
            </c:dLbl>
            <c:spPr>
              <a:noFill/>
              <a:ln>
                <a:noFill/>
              </a:ln>
              <a:effectLst/>
            </c:spPr>
            <c:txPr>
              <a:bodyPr/>
              <a:lstStyle/>
              <a:p>
                <a:pPr>
                  <a:defRPr b="1">
                    <a:solidFill>
                      <a:schemeClr val="bg1"/>
                    </a:solidFill>
                  </a:defRPr>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'future contributions'!$A$27:$A$35</c:f>
              <c:strCache>
                <c:ptCount val="9"/>
                <c:pt idx="0">
                  <c:v> Access to networks</c:v>
                </c:pt>
                <c:pt idx="1">
                  <c:v> Financial support</c:v>
                </c:pt>
                <c:pt idx="2">
                  <c:v> Specialized expertise</c:v>
                </c:pt>
                <c:pt idx="3">
                  <c:v> Indigenous and local knowledge</c:v>
                </c:pt>
                <c:pt idx="4">
                  <c:v> Making data or indicators available</c:v>
                </c:pt>
                <c:pt idx="5">
                  <c:v> In-kind support</c:v>
                </c:pt>
                <c:pt idx="6">
                  <c:v> Nominating experts</c:v>
                </c:pt>
                <c:pt idx="7">
                  <c:v> Organising meetings to inform </c:v>
                </c:pt>
                <c:pt idx="8">
                  <c:v> Regional knowledge</c:v>
                </c:pt>
              </c:strCache>
            </c:strRef>
          </c:cat>
          <c:val>
            <c:numRef>
              <c:f>'future contributions'!$H$27:$H$35</c:f>
              <c:numCache>
                <c:formatCode>General</c:formatCode>
                <c:ptCount val="9"/>
                <c:pt idx="0">
                  <c:v>126</c:v>
                </c:pt>
                <c:pt idx="1">
                  <c:v>21</c:v>
                </c:pt>
                <c:pt idx="2">
                  <c:v>158</c:v>
                </c:pt>
                <c:pt idx="3">
                  <c:v>100</c:v>
                </c:pt>
                <c:pt idx="4">
                  <c:v>115</c:v>
                </c:pt>
                <c:pt idx="5">
                  <c:v>41</c:v>
                </c:pt>
                <c:pt idx="6">
                  <c:v>125</c:v>
                </c:pt>
                <c:pt idx="7">
                  <c:v>122</c:v>
                </c:pt>
                <c:pt idx="8">
                  <c:v>127</c:v>
                </c:pt>
              </c:numCache>
            </c:numRef>
          </c:val>
          <c:extLst>
            <c:ext xmlns:c16="http://schemas.microsoft.com/office/drawing/2014/chart" uri="{C3380CC4-5D6E-409C-BE32-E72D297353CC}">
              <c16:uniqueId val="{00000009-3CFD-42B3-A1E9-75262B2BC7BE}"/>
            </c:ext>
          </c:extLst>
        </c:ser>
        <c:dLbls>
          <c:showLegendKey val="0"/>
          <c:showVal val="0"/>
          <c:showCatName val="1"/>
          <c:showSerName val="0"/>
          <c:showPercent val="1"/>
          <c:showBubbleSize val="0"/>
          <c:showLeaderLines val="1"/>
        </c:dLbls>
        <c:firstSliceAng val="0"/>
      </c:pieChart>
    </c:plotArea>
    <c:plotVisOnly val="1"/>
    <c:dispBlanksAs val="gap"/>
    <c:showDLblsOverMax val="0"/>
  </c:chart>
  <c:spPr>
    <a:ln>
      <a:noFill/>
    </a:ln>
  </c:sp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en-GB" sz="1100"/>
              <a:t>Intended</a:t>
            </a:r>
            <a:r>
              <a:rPr lang="en-GB" sz="1100" baseline="0"/>
              <a:t> f</a:t>
            </a:r>
            <a:r>
              <a:rPr lang="en-GB" sz="1100"/>
              <a:t>uture contributions of </a:t>
            </a:r>
            <a:r>
              <a:rPr lang="en-GB" sz="1100" b="1" i="0" u="none" strike="noStrike" kern="1200" baseline="0">
                <a:solidFill>
                  <a:sysClr val="windowText" lastClr="000000"/>
                </a:solidFill>
                <a:latin typeface="+mn-lt"/>
                <a:ea typeface="+mn-ea"/>
                <a:cs typeface="+mn-cs"/>
              </a:rPr>
              <a:t>organizations/institutions</a:t>
            </a:r>
            <a:r>
              <a:rPr lang="en-GB" sz="1100" baseline="0"/>
              <a:t> per region</a:t>
            </a:r>
            <a:endParaRPr lang="en-GB" sz="1100"/>
          </a:p>
        </c:rich>
      </c:tx>
      <c:overlay val="0"/>
    </c:title>
    <c:autoTitleDeleted val="0"/>
    <c:view3D>
      <c:rotX val="15"/>
      <c:rotY val="20"/>
      <c:rAngAx val="1"/>
    </c:view3D>
    <c:floor>
      <c:thickness val="0"/>
    </c:floor>
    <c:sideWall>
      <c:thickness val="0"/>
    </c:sideWall>
    <c:backWall>
      <c:thickness val="0"/>
    </c:backWall>
    <c:plotArea>
      <c:layout/>
      <c:bar3DChart>
        <c:barDir val="bar"/>
        <c:grouping val="percentStacked"/>
        <c:varyColors val="0"/>
        <c:ser>
          <c:idx val="0"/>
          <c:order val="0"/>
          <c:tx>
            <c:strRef>
              <c:f>'future contributions'!$K$26</c:f>
              <c:strCache>
                <c:ptCount val="1"/>
                <c:pt idx="0">
                  <c:v>AF</c:v>
                </c:pt>
              </c:strCache>
            </c:strRef>
          </c:tx>
          <c:invertIfNegative val="0"/>
          <c:dLbls>
            <c:numFmt formatCode="0%" sourceLinked="0"/>
            <c:spPr>
              <a:noFill/>
              <a:ln>
                <a:noFill/>
              </a:ln>
              <a:effectLst/>
            </c:spPr>
            <c:txPr>
              <a:bodyPr/>
              <a:lstStyle/>
              <a:p>
                <a:pPr>
                  <a:defRPr>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'future contributions'!$A$27:$A$35</c:f>
              <c:strCache>
                <c:ptCount val="9"/>
                <c:pt idx="0">
                  <c:v> Access to expert networks and/or stakeholder networks</c:v>
                </c:pt>
                <c:pt idx="1">
                  <c:v> Financial support</c:v>
                </c:pt>
                <c:pt idx="2">
                  <c:v> Specialized expertise</c:v>
                </c:pt>
                <c:pt idx="3">
                  <c:v> Indigenous and local knowledge</c:v>
                </c:pt>
                <c:pt idx="4">
                  <c:v> Making data or indicators available</c:v>
                </c:pt>
                <c:pt idx="5">
                  <c:v> In-kind support</c:v>
                </c:pt>
                <c:pt idx="6">
                  <c:v> Nominating experts</c:v>
                </c:pt>
                <c:pt idx="7">
                  <c:v> Organising meetings to inform about IPBES and its products</c:v>
                </c:pt>
                <c:pt idx="8">
                  <c:v> Regional knowledge</c:v>
                </c:pt>
              </c:strCache>
            </c:strRef>
          </c:cat>
          <c:val>
            <c:numRef>
              <c:f>'future contributions'!$K$27:$K$35</c:f>
              <c:numCache>
                <c:formatCode>0.000</c:formatCode>
                <c:ptCount val="9"/>
                <c:pt idx="0">
                  <c:v>0.29365079365079366</c:v>
                </c:pt>
                <c:pt idx="1">
                  <c:v>0.14285714285714285</c:v>
                </c:pt>
                <c:pt idx="2">
                  <c:v>0.18354430379746836</c:v>
                </c:pt>
                <c:pt idx="3">
                  <c:v>0.41</c:v>
                </c:pt>
                <c:pt idx="4">
                  <c:v>0.24347826086956523</c:v>
                </c:pt>
                <c:pt idx="5">
                  <c:v>0.34146341463414637</c:v>
                </c:pt>
                <c:pt idx="6">
                  <c:v>0.248</c:v>
                </c:pt>
                <c:pt idx="7">
                  <c:v>0.30327868852459017</c:v>
                </c:pt>
                <c:pt idx="8">
                  <c:v>0.2125984251968504</c:v>
                </c:pt>
              </c:numCache>
            </c:numRef>
          </c:val>
          <c:extLst>
            <c:ext xmlns:c16="http://schemas.microsoft.com/office/drawing/2014/chart" uri="{C3380CC4-5D6E-409C-BE32-E72D297353CC}">
              <c16:uniqueId val="{00000000-73B9-412F-94A3-6D6DF26AC0CC}"/>
            </c:ext>
          </c:extLst>
        </c:ser>
        <c:ser>
          <c:idx val="1"/>
          <c:order val="1"/>
          <c:tx>
            <c:strRef>
              <c:f>'future contributions'!$L$26</c:f>
              <c:strCache>
                <c:ptCount val="1"/>
                <c:pt idx="0">
                  <c:v>AP</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'future contributions'!$A$27:$A$35</c:f>
              <c:strCache>
                <c:ptCount val="9"/>
                <c:pt idx="0">
                  <c:v> Access to expert networks and/or stakeholder networks</c:v>
                </c:pt>
                <c:pt idx="1">
                  <c:v> Financial support</c:v>
                </c:pt>
                <c:pt idx="2">
                  <c:v> Specialized expertise</c:v>
                </c:pt>
                <c:pt idx="3">
                  <c:v> Indigenous and local knowledge</c:v>
                </c:pt>
                <c:pt idx="4">
                  <c:v> Making data or indicators available</c:v>
                </c:pt>
                <c:pt idx="5">
                  <c:v> In-kind support</c:v>
                </c:pt>
                <c:pt idx="6">
                  <c:v> Nominating experts</c:v>
                </c:pt>
                <c:pt idx="7">
                  <c:v> Organising meetings to inform about IPBES and its products</c:v>
                </c:pt>
                <c:pt idx="8">
                  <c:v> Regional knowledge</c:v>
                </c:pt>
              </c:strCache>
            </c:strRef>
          </c:cat>
          <c:val>
            <c:numRef>
              <c:f>'future contributions'!$L$27:$L$35</c:f>
              <c:numCache>
                <c:formatCode>0.000</c:formatCode>
                <c:ptCount val="9"/>
                <c:pt idx="0">
                  <c:v>0.21428571428571427</c:v>
                </c:pt>
                <c:pt idx="1">
                  <c:v>0.19047619047619047</c:v>
                </c:pt>
                <c:pt idx="2">
                  <c:v>0.19620253164556961</c:v>
                </c:pt>
                <c:pt idx="3">
                  <c:v>0.24</c:v>
                </c:pt>
                <c:pt idx="4">
                  <c:v>0.21739130434782608</c:v>
                </c:pt>
                <c:pt idx="5">
                  <c:v>0.26829268292682928</c:v>
                </c:pt>
                <c:pt idx="6">
                  <c:v>0.216</c:v>
                </c:pt>
                <c:pt idx="7">
                  <c:v>0.28688524590163933</c:v>
                </c:pt>
                <c:pt idx="8">
                  <c:v>0.25196850393700787</c:v>
                </c:pt>
              </c:numCache>
            </c:numRef>
          </c:val>
          <c:extLst>
            <c:ext xmlns:c16="http://schemas.microsoft.com/office/drawing/2014/chart" uri="{C3380CC4-5D6E-409C-BE32-E72D297353CC}">
              <c16:uniqueId val="{00000001-73B9-412F-94A3-6D6DF26AC0CC}"/>
            </c:ext>
          </c:extLst>
        </c:ser>
        <c:ser>
          <c:idx val="2"/>
          <c:order val="2"/>
          <c:tx>
            <c:strRef>
              <c:f>'future contributions'!$M$26</c:f>
              <c:strCache>
                <c:ptCount val="1"/>
                <c:pt idx="0">
                  <c:v>EE</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'future contributions'!$A$27:$A$35</c:f>
              <c:strCache>
                <c:ptCount val="9"/>
                <c:pt idx="0">
                  <c:v> Access to expert networks and/or stakeholder networks</c:v>
                </c:pt>
                <c:pt idx="1">
                  <c:v> Financial support</c:v>
                </c:pt>
                <c:pt idx="2">
                  <c:v> Specialized expertise</c:v>
                </c:pt>
                <c:pt idx="3">
                  <c:v> Indigenous and local knowledge</c:v>
                </c:pt>
                <c:pt idx="4">
                  <c:v> Making data or indicators available</c:v>
                </c:pt>
                <c:pt idx="5">
                  <c:v> In-kind support</c:v>
                </c:pt>
                <c:pt idx="6">
                  <c:v> Nominating experts</c:v>
                </c:pt>
                <c:pt idx="7">
                  <c:v> Organising meetings to inform about IPBES and its products</c:v>
                </c:pt>
                <c:pt idx="8">
                  <c:v> Regional knowledge</c:v>
                </c:pt>
              </c:strCache>
            </c:strRef>
          </c:cat>
          <c:val>
            <c:numRef>
              <c:f>'future contributions'!$M$27:$M$35</c:f>
              <c:numCache>
                <c:formatCode>0.000</c:formatCode>
                <c:ptCount val="9"/>
                <c:pt idx="0">
                  <c:v>6.3492063492063489E-2</c:v>
                </c:pt>
                <c:pt idx="1">
                  <c:v>9.5238095238095233E-2</c:v>
                </c:pt>
                <c:pt idx="2">
                  <c:v>8.2278481012658222E-2</c:v>
                </c:pt>
                <c:pt idx="3">
                  <c:v>0.08</c:v>
                </c:pt>
                <c:pt idx="4">
                  <c:v>7.8260869565217397E-2</c:v>
                </c:pt>
                <c:pt idx="5">
                  <c:v>4.878048780487805E-2</c:v>
                </c:pt>
                <c:pt idx="6">
                  <c:v>6.4000000000000001E-2</c:v>
                </c:pt>
                <c:pt idx="7">
                  <c:v>4.9180327868852458E-2</c:v>
                </c:pt>
                <c:pt idx="8">
                  <c:v>7.874015748031496E-2</c:v>
                </c:pt>
              </c:numCache>
            </c:numRef>
          </c:val>
          <c:extLst>
            <c:ext xmlns:c16="http://schemas.microsoft.com/office/drawing/2014/chart" uri="{C3380CC4-5D6E-409C-BE32-E72D297353CC}">
              <c16:uniqueId val="{00000002-73B9-412F-94A3-6D6DF26AC0CC}"/>
            </c:ext>
          </c:extLst>
        </c:ser>
        <c:ser>
          <c:idx val="3"/>
          <c:order val="3"/>
          <c:tx>
            <c:strRef>
              <c:f>'future contributions'!$N$26</c:f>
              <c:strCache>
                <c:ptCount val="1"/>
                <c:pt idx="0">
                  <c:v>LAC</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'future contributions'!$A$27:$A$35</c:f>
              <c:strCache>
                <c:ptCount val="9"/>
                <c:pt idx="0">
                  <c:v> Access to expert networks and/or stakeholder networks</c:v>
                </c:pt>
                <c:pt idx="1">
                  <c:v> Financial support</c:v>
                </c:pt>
                <c:pt idx="2">
                  <c:v> Specialized expertise</c:v>
                </c:pt>
                <c:pt idx="3">
                  <c:v> Indigenous and local knowledge</c:v>
                </c:pt>
                <c:pt idx="4">
                  <c:v> Making data or indicators available</c:v>
                </c:pt>
                <c:pt idx="5">
                  <c:v> In-kind support</c:v>
                </c:pt>
                <c:pt idx="6">
                  <c:v> Nominating experts</c:v>
                </c:pt>
                <c:pt idx="7">
                  <c:v> Organising meetings to inform about IPBES and its products</c:v>
                </c:pt>
                <c:pt idx="8">
                  <c:v> Regional knowledge</c:v>
                </c:pt>
              </c:strCache>
            </c:strRef>
          </c:cat>
          <c:val>
            <c:numRef>
              <c:f>'future contributions'!$N$27:$N$35</c:f>
              <c:numCache>
                <c:formatCode>0.000</c:formatCode>
                <c:ptCount val="9"/>
                <c:pt idx="0">
                  <c:v>0.19047619047619047</c:v>
                </c:pt>
                <c:pt idx="1">
                  <c:v>0.33333333333333331</c:v>
                </c:pt>
                <c:pt idx="2">
                  <c:v>0.23417721518987342</c:v>
                </c:pt>
                <c:pt idx="3">
                  <c:v>0.12</c:v>
                </c:pt>
                <c:pt idx="4">
                  <c:v>0.24347826086956523</c:v>
                </c:pt>
                <c:pt idx="5">
                  <c:v>0.14634146341463414</c:v>
                </c:pt>
                <c:pt idx="6">
                  <c:v>0.20799999999999999</c:v>
                </c:pt>
                <c:pt idx="7">
                  <c:v>0.20491803278688525</c:v>
                </c:pt>
                <c:pt idx="8">
                  <c:v>0.24409448818897639</c:v>
                </c:pt>
              </c:numCache>
            </c:numRef>
          </c:val>
          <c:extLst>
            <c:ext xmlns:c16="http://schemas.microsoft.com/office/drawing/2014/chart" uri="{C3380CC4-5D6E-409C-BE32-E72D297353CC}">
              <c16:uniqueId val="{00000003-73B9-412F-94A3-6D6DF26AC0CC}"/>
            </c:ext>
          </c:extLst>
        </c:ser>
        <c:ser>
          <c:idx val="4"/>
          <c:order val="4"/>
          <c:tx>
            <c:strRef>
              <c:f>'future contributions'!$O$26</c:f>
              <c:strCache>
                <c:ptCount val="1"/>
                <c:pt idx="0">
                  <c:v>WEOG</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'future contributions'!$A$27:$A$35</c:f>
              <c:strCache>
                <c:ptCount val="9"/>
                <c:pt idx="0">
                  <c:v> Access to expert networks and/or stakeholder networks</c:v>
                </c:pt>
                <c:pt idx="1">
                  <c:v> Financial support</c:v>
                </c:pt>
                <c:pt idx="2">
                  <c:v> Specialized expertise</c:v>
                </c:pt>
                <c:pt idx="3">
                  <c:v> Indigenous and local knowledge</c:v>
                </c:pt>
                <c:pt idx="4">
                  <c:v> Making data or indicators available</c:v>
                </c:pt>
                <c:pt idx="5">
                  <c:v> In-kind support</c:v>
                </c:pt>
                <c:pt idx="6">
                  <c:v> Nominating experts</c:v>
                </c:pt>
                <c:pt idx="7">
                  <c:v> Organising meetings to inform about IPBES and its products</c:v>
                </c:pt>
                <c:pt idx="8">
                  <c:v> Regional knowledge</c:v>
                </c:pt>
              </c:strCache>
            </c:strRef>
          </c:cat>
          <c:val>
            <c:numRef>
              <c:f>'future contributions'!$O$27:$O$35</c:f>
              <c:numCache>
                <c:formatCode>0.000</c:formatCode>
                <c:ptCount val="9"/>
                <c:pt idx="0">
                  <c:v>0.23809523809523808</c:v>
                </c:pt>
                <c:pt idx="1">
                  <c:v>9.5238095238095233E-2</c:v>
                </c:pt>
                <c:pt idx="2">
                  <c:v>0.2848101265822785</c:v>
                </c:pt>
                <c:pt idx="3">
                  <c:v>0.13</c:v>
                </c:pt>
                <c:pt idx="4">
                  <c:v>0.2</c:v>
                </c:pt>
                <c:pt idx="5">
                  <c:v>0.1951219512195122</c:v>
                </c:pt>
                <c:pt idx="6">
                  <c:v>0.23200000000000001</c:v>
                </c:pt>
                <c:pt idx="7">
                  <c:v>0.14754098360655737</c:v>
                </c:pt>
                <c:pt idx="8">
                  <c:v>0.18110236220472442</c:v>
                </c:pt>
              </c:numCache>
            </c:numRef>
          </c:val>
          <c:extLst>
            <c:ext xmlns:c16="http://schemas.microsoft.com/office/drawing/2014/chart" uri="{C3380CC4-5D6E-409C-BE32-E72D297353CC}">
              <c16:uniqueId val="{00000004-73B9-412F-94A3-6D6DF26AC0CC}"/>
            </c:ext>
          </c:extLst>
        </c:ser>
        <c:dLbls>
          <c:showLegendKey val="0"/>
          <c:showVal val="0"/>
          <c:showCatName val="0"/>
          <c:showSerName val="0"/>
          <c:showPercent val="0"/>
          <c:showBubbleSize val="0"/>
        </c:dLbls>
        <c:gapWidth val="75"/>
        <c:shape val="box"/>
        <c:axId val="131367296"/>
        <c:axId val="131368832"/>
        <c:axId val="0"/>
      </c:bar3DChart>
      <c:catAx>
        <c:axId val="131367296"/>
        <c:scaling>
          <c:orientation val="maxMin"/>
        </c:scaling>
        <c:delete val="0"/>
        <c:axPos val="l"/>
        <c:numFmt formatCode="General" sourceLinked="0"/>
        <c:majorTickMark val="none"/>
        <c:minorTickMark val="none"/>
        <c:tickLblPos val="nextTo"/>
        <c:crossAx val="131368832"/>
        <c:crosses val="autoZero"/>
        <c:auto val="1"/>
        <c:lblAlgn val="ctr"/>
        <c:lblOffset val="100"/>
        <c:noMultiLvlLbl val="0"/>
      </c:catAx>
      <c:valAx>
        <c:axId val="131368832"/>
        <c:scaling>
          <c:orientation val="minMax"/>
        </c:scaling>
        <c:delete val="0"/>
        <c:axPos val="t"/>
        <c:majorGridlines/>
        <c:numFmt formatCode="0%" sourceLinked="1"/>
        <c:majorTickMark val="none"/>
        <c:minorTickMark val="none"/>
        <c:tickLblPos val="nextTo"/>
        <c:spPr>
          <a:ln w="6350">
            <a:noFill/>
          </a:ln>
        </c:spPr>
        <c:crossAx val="131367296"/>
        <c:crosses val="autoZero"/>
        <c:crossBetween val="between"/>
        <c:majorUnit val="0.1"/>
      </c:valAx>
    </c:plotArea>
    <c:legend>
      <c:legendPos val="b"/>
      <c:layout>
        <c:manualLayout>
          <c:xMode val="edge"/>
          <c:yMode val="edge"/>
          <c:x val="0.47393084889659548"/>
          <c:y val="0.89499855711753307"/>
          <c:w val="0.46369045927020858"/>
          <c:h val="6.3116626128540215E-2"/>
        </c:manualLayout>
      </c:layout>
      <c:overlay val="0"/>
    </c:legend>
    <c:plotVisOnly val="1"/>
    <c:dispBlanksAs val="gap"/>
    <c:showDLblsOverMax val="0"/>
  </c:chart>
  <c:spPr>
    <a:ln>
      <a:noFill/>
    </a:ln>
  </c:sp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US" sz="1100" baseline="0"/>
              <a:t>Intended future contributions by individuals </a:t>
            </a:r>
            <a:endParaRPr lang="en-US" sz="1100"/>
          </a:p>
        </c:rich>
      </c:tx>
      <c:overlay val="0"/>
    </c:title>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'future contributions'!$H$15</c:f>
              <c:strCache>
                <c:ptCount val="1"/>
                <c:pt idx="0">
                  <c:v>Total</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'future contributions'!$A$16:$A$24</c:f>
              <c:strCache>
                <c:ptCount val="9"/>
                <c:pt idx="0">
                  <c:v> Access to networks </c:v>
                </c:pt>
                <c:pt idx="1">
                  <c:v> Financial support</c:v>
                </c:pt>
                <c:pt idx="2">
                  <c:v> Specialized expertise</c:v>
                </c:pt>
                <c:pt idx="3">
                  <c:v> Indigenous and local knowledge</c:v>
                </c:pt>
                <c:pt idx="4">
                  <c:v> Making data or indicators available</c:v>
                </c:pt>
                <c:pt idx="5">
                  <c:v> In-kind support</c:v>
                </c:pt>
                <c:pt idx="6">
                  <c:v> Nominating experts</c:v>
                </c:pt>
                <c:pt idx="7">
                  <c:v> Organising meetings </c:v>
                </c:pt>
                <c:pt idx="8">
                  <c:v> Regional knowledge</c:v>
                </c:pt>
              </c:strCache>
            </c:strRef>
          </c:cat>
          <c:val>
            <c:numRef>
              <c:f>'future contributions'!$H$16:$H$24</c:f>
              <c:numCache>
                <c:formatCode>General</c:formatCode>
                <c:ptCount val="9"/>
                <c:pt idx="0">
                  <c:v>215</c:v>
                </c:pt>
                <c:pt idx="1">
                  <c:v>22</c:v>
                </c:pt>
                <c:pt idx="2">
                  <c:v>275</c:v>
                </c:pt>
                <c:pt idx="3">
                  <c:v>115</c:v>
                </c:pt>
                <c:pt idx="4">
                  <c:v>136</c:v>
                </c:pt>
                <c:pt idx="5">
                  <c:v>41</c:v>
                </c:pt>
                <c:pt idx="6">
                  <c:v>118</c:v>
                </c:pt>
                <c:pt idx="7">
                  <c:v>121</c:v>
                </c:pt>
                <c:pt idx="8">
                  <c:v>221</c:v>
                </c:pt>
              </c:numCache>
            </c:numRef>
          </c:val>
          <c:extLst>
            <c:ext xmlns:c16="http://schemas.microsoft.com/office/drawing/2014/chart" uri="{C3380CC4-5D6E-409C-BE32-E72D297353CC}">
              <c16:uniqueId val="{00000000-932D-4BA5-BA78-F46C0F062DC1}"/>
            </c:ext>
          </c:extLst>
        </c:ser>
        <c:dLbls>
          <c:showLegendKey val="0"/>
          <c:showVal val="0"/>
          <c:showCatName val="0"/>
          <c:showSerName val="0"/>
          <c:showPercent val="0"/>
          <c:showBubbleSize val="0"/>
        </c:dLbls>
        <c:gapWidth val="75"/>
        <c:shape val="box"/>
        <c:axId val="131391488"/>
        <c:axId val="131393024"/>
        <c:axId val="0"/>
      </c:bar3DChart>
      <c:catAx>
        <c:axId val="131391488"/>
        <c:scaling>
          <c:orientation val="maxMin"/>
        </c:scaling>
        <c:delete val="0"/>
        <c:axPos val="l"/>
        <c:numFmt formatCode="General" sourceLinked="0"/>
        <c:majorTickMark val="none"/>
        <c:minorTickMark val="none"/>
        <c:tickLblPos val="nextTo"/>
        <c:crossAx val="131393024"/>
        <c:crosses val="autoZero"/>
        <c:auto val="1"/>
        <c:lblAlgn val="ctr"/>
        <c:lblOffset val="100"/>
        <c:noMultiLvlLbl val="0"/>
      </c:catAx>
      <c:valAx>
        <c:axId val="131393024"/>
        <c:scaling>
          <c:orientation val="minMax"/>
        </c:scaling>
        <c:delete val="0"/>
        <c:axPos val="t"/>
        <c:majorGridlines/>
        <c:numFmt formatCode="General" sourceLinked="1"/>
        <c:majorTickMark val="none"/>
        <c:minorTickMark val="none"/>
        <c:tickLblPos val="nextTo"/>
        <c:spPr>
          <a:ln w="6350">
            <a:noFill/>
          </a:ln>
        </c:spPr>
        <c:crossAx val="131391488"/>
        <c:crosses val="autoZero"/>
        <c:crossBetween val="between"/>
      </c:valAx>
    </c:plotArea>
    <c:plotVisOnly val="1"/>
    <c:dispBlanksAs val="gap"/>
    <c:showDLblsOverMax val="0"/>
  </c:chart>
  <c:spPr>
    <a:ln>
      <a:noFill/>
    </a:ln>
  </c:sp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931471454793238"/>
          <c:y val="9.7679721575145415E-2"/>
          <c:w val="0.48081930624564223"/>
          <c:h val="0.86589274140243477"/>
        </c:manualLayout>
      </c:layout>
      <c:pieChart>
        <c:varyColors val="1"/>
        <c:ser>
          <c:idx val="0"/>
          <c:order val="0"/>
          <c:tx>
            <c:strRef>
              <c:f>'future contributions'!$H$15</c:f>
              <c:strCache>
                <c:ptCount val="1"/>
                <c:pt idx="0">
                  <c:v>Total</c:v>
                </c:pt>
              </c:strCache>
            </c:strRef>
          </c:tx>
          <c:dLbls>
            <c:dLbl>
              <c:idx val="1"/>
              <c:layout>
                <c:manualLayout>
                  <c:x val="-6.7805451754059859E-2"/>
                  <c:y val="0.11876288359920761"/>
                </c:manualLayout>
              </c:layout>
              <c:spPr/>
              <c:txPr>
                <a:bodyPr/>
                <a:lstStyle/>
                <a:p>
                  <a:pPr>
                    <a:defRPr b="1">
                      <a:solidFill>
                        <a:schemeClr val="tx1"/>
                      </a:solidFill>
                    </a:defRPr>
                  </a:pPr>
                  <a:endParaRPr lang="en-US"/>
                </a:p>
              </c:txPr>
              <c:dLblPos val="bestFit"/>
              <c:showLegendKey val="1"/>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0-746F-4665-B20B-DC17BF18DB55}"/>
                </c:ext>
              </c:extLst>
            </c:dLbl>
            <c:dLbl>
              <c:idx val="2"/>
              <c:layout>
                <c:manualLayout>
                  <c:x val="-4.793178406681161E-2"/>
                  <c:y val="0.17088502279319639"/>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746F-4665-B20B-DC17BF18DB55}"/>
                </c:ext>
              </c:extLst>
            </c:dLbl>
            <c:dLbl>
              <c:idx val="3"/>
              <c:layout>
                <c:manualLayout>
                  <c:x val="-3.4485428978041383E-2"/>
                  <c:y val="6.274128342570813E-2"/>
                </c:manualLayout>
              </c:layout>
              <c:spPr/>
              <c:txPr>
                <a:bodyPr/>
                <a:lstStyle/>
                <a:p>
                  <a:pPr>
                    <a:defRPr b="1">
                      <a:solidFill>
                        <a:schemeClr val="tx1"/>
                      </a:solidFill>
                    </a:defRPr>
                  </a:pPr>
                  <a:endParaRPr lang="en-US"/>
                </a:p>
              </c:txPr>
              <c:dLblPos val="bestFit"/>
              <c:showLegendKey val="1"/>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2-746F-4665-B20B-DC17BF18DB55}"/>
                </c:ext>
              </c:extLst>
            </c:dLbl>
            <c:dLbl>
              <c:idx val="4"/>
              <c:layout>
                <c:manualLayout>
                  <c:x val="-1.7854042018760997E-2"/>
                  <c:y val="-4.395962115855398E-2"/>
                </c:manualLayout>
              </c:layout>
              <c:spPr/>
              <c:txPr>
                <a:bodyPr/>
                <a:lstStyle/>
                <a:p>
                  <a:pPr>
                    <a:defRPr b="1">
                      <a:solidFill>
                        <a:schemeClr val="tx1"/>
                      </a:solidFill>
                    </a:defRPr>
                  </a:pPr>
                  <a:endParaRPr lang="en-US"/>
                </a:p>
              </c:txPr>
              <c:dLblPos val="bestFit"/>
              <c:showLegendKey val="1"/>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746F-4665-B20B-DC17BF18DB55}"/>
                </c:ext>
              </c:extLst>
            </c:dLbl>
            <c:dLbl>
              <c:idx val="5"/>
              <c:layout>
                <c:manualLayout>
                  <c:x val="5.859099872175891E-3"/>
                  <c:y val="-6.5259507074937911E-2"/>
                </c:manualLayout>
              </c:layout>
              <c:spPr/>
              <c:txPr>
                <a:bodyPr/>
                <a:lstStyle/>
                <a:p>
                  <a:pPr>
                    <a:defRPr b="1">
                      <a:solidFill>
                        <a:schemeClr val="tx1"/>
                      </a:solidFill>
                    </a:defRPr>
                  </a:pPr>
                  <a:endParaRPr lang="en-US"/>
                </a:p>
              </c:txPr>
              <c:dLblPos val="bestFit"/>
              <c:showLegendKey val="1"/>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4-746F-4665-B20B-DC17BF18DB55}"/>
                </c:ext>
              </c:extLst>
            </c:dLbl>
            <c:dLbl>
              <c:idx val="6"/>
              <c:layout>
                <c:manualLayout>
                  <c:x val="1.0703160873327868E-2"/>
                  <c:y val="-5.6464331866543984E-5"/>
                </c:manualLayout>
              </c:layout>
              <c:spPr/>
              <c:txPr>
                <a:bodyPr/>
                <a:lstStyle/>
                <a:p>
                  <a:pPr>
                    <a:defRPr b="1">
                      <a:solidFill>
                        <a:schemeClr val="tx1"/>
                      </a:solidFill>
                    </a:defRPr>
                  </a:pPr>
                  <a:endParaRPr lang="en-US"/>
                </a:p>
              </c:txPr>
              <c:dLblPos val="bestFit"/>
              <c:showLegendKey val="1"/>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746F-4665-B20B-DC17BF18DB55}"/>
                </c:ext>
              </c:extLst>
            </c:dLbl>
            <c:dLbl>
              <c:idx val="7"/>
              <c:layout>
                <c:manualLayout>
                  <c:x val="-2.8301364636976918E-3"/>
                  <c:y val="-6.6338318021660819E-2"/>
                </c:manualLayout>
              </c:layout>
              <c:spPr/>
              <c:txPr>
                <a:bodyPr/>
                <a:lstStyle/>
                <a:p>
                  <a:pPr>
                    <a:defRPr b="1">
                      <a:solidFill>
                        <a:schemeClr val="tx1"/>
                      </a:solidFill>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6-746F-4665-B20B-DC17BF18DB55}"/>
                </c:ext>
              </c:extLst>
            </c:dLbl>
            <c:dLbl>
              <c:idx val="8"/>
              <c:layout>
                <c:manualLayout>
                  <c:x val="0.1558204628320701"/>
                  <c:y val="-0.20203750686020255"/>
                </c:manualLayout>
              </c:layout>
              <c:spPr/>
              <c:txPr>
                <a:bodyPr/>
                <a:lstStyle/>
                <a:p>
                  <a:pPr>
                    <a:defRPr b="1">
                      <a:solidFill>
                        <a:schemeClr val="tx1"/>
                      </a:solidFill>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746F-4665-B20B-DC17BF18DB55}"/>
                </c:ext>
              </c:extLst>
            </c:dLbl>
            <c:spPr>
              <a:noFill/>
              <a:ln>
                <a:noFill/>
              </a:ln>
              <a:effectLst/>
            </c:spPr>
            <c:txPr>
              <a:bodyPr/>
              <a:lstStyle/>
              <a:p>
                <a:pPr>
                  <a:defRPr b="1">
                    <a:solidFill>
                      <a:schemeClr val="bg1"/>
                    </a:solidFill>
                  </a:defRPr>
                </a:pPr>
                <a:endParaRPr lang="en-US"/>
              </a:p>
            </c:txPr>
            <c:dLblPos val="inEnd"/>
            <c:showLegendKey val="0"/>
            <c:showVal val="0"/>
            <c:showCatName val="1"/>
            <c:showSerName val="0"/>
            <c:showPercent val="1"/>
            <c:showBubbleSize val="0"/>
            <c:separator> </c:separator>
            <c:showLeaderLines val="0"/>
            <c:extLst>
              <c:ext xmlns:c15="http://schemas.microsoft.com/office/drawing/2012/chart" uri="{CE6537A1-D6FC-4f65-9D91-7224C49458BB}"/>
            </c:extLst>
          </c:dLbls>
          <c:cat>
            <c:strRef>
              <c:f>'future contributions'!$A$16:$A$24</c:f>
              <c:strCache>
                <c:ptCount val="9"/>
                <c:pt idx="0">
                  <c:v> Access to networks </c:v>
                </c:pt>
                <c:pt idx="1">
                  <c:v> Financial support</c:v>
                </c:pt>
                <c:pt idx="2">
                  <c:v> Specialized expertise</c:v>
                </c:pt>
                <c:pt idx="3">
                  <c:v> Indigenous and local knowledge</c:v>
                </c:pt>
                <c:pt idx="4">
                  <c:v> Making data or indicators available</c:v>
                </c:pt>
                <c:pt idx="5">
                  <c:v> In-kind support</c:v>
                </c:pt>
                <c:pt idx="6">
                  <c:v> Nominating experts</c:v>
                </c:pt>
                <c:pt idx="7">
                  <c:v> Organising meetings </c:v>
                </c:pt>
                <c:pt idx="8">
                  <c:v> Regional knowledge</c:v>
                </c:pt>
              </c:strCache>
            </c:strRef>
          </c:cat>
          <c:val>
            <c:numRef>
              <c:f>'future contributions'!$H$16:$H$24</c:f>
              <c:numCache>
                <c:formatCode>General</c:formatCode>
                <c:ptCount val="9"/>
                <c:pt idx="0">
                  <c:v>215</c:v>
                </c:pt>
                <c:pt idx="1">
                  <c:v>22</c:v>
                </c:pt>
                <c:pt idx="2">
                  <c:v>275</c:v>
                </c:pt>
                <c:pt idx="3">
                  <c:v>115</c:v>
                </c:pt>
                <c:pt idx="4">
                  <c:v>136</c:v>
                </c:pt>
                <c:pt idx="5">
                  <c:v>41</c:v>
                </c:pt>
                <c:pt idx="6">
                  <c:v>118</c:v>
                </c:pt>
                <c:pt idx="7">
                  <c:v>121</c:v>
                </c:pt>
                <c:pt idx="8">
                  <c:v>221</c:v>
                </c:pt>
              </c:numCache>
            </c:numRef>
          </c:val>
          <c:extLst>
            <c:ext xmlns:c16="http://schemas.microsoft.com/office/drawing/2014/chart" uri="{C3380CC4-5D6E-409C-BE32-E72D297353CC}">
              <c16:uniqueId val="{00000008-746F-4665-B20B-DC17BF18DB55}"/>
            </c:ext>
          </c:extLst>
        </c:ser>
        <c:dLbls>
          <c:showLegendKey val="0"/>
          <c:showVal val="0"/>
          <c:showCatName val="1"/>
          <c:showSerName val="0"/>
          <c:showPercent val="1"/>
          <c:showBubbleSize val="0"/>
          <c:showLeaderLines val="0"/>
        </c:dLbls>
        <c:firstSliceAng val="260"/>
      </c:pieChart>
    </c:plotArea>
    <c:plotVisOnly val="1"/>
    <c:dispBlanksAs val="gap"/>
    <c:showDLblsOverMax val="0"/>
  </c:chart>
  <c:spPr>
    <a:ln>
      <a:noFill/>
    </a:ln>
  </c:sp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50"/>
            </a:pPr>
            <a:r>
              <a:rPr lang="en-GB" sz="1050" b="1" i="0" baseline="0">
                <a:effectLst/>
              </a:rPr>
              <a:t>Intended future contributions of individuals per region</a:t>
            </a:r>
            <a:endParaRPr lang="en-GB" sz="1050">
              <a:effectLst/>
            </a:endParaRPr>
          </a:p>
        </c:rich>
      </c:tx>
      <c:overlay val="0"/>
    </c:title>
    <c:autoTitleDeleted val="0"/>
    <c:view3D>
      <c:rotX val="15"/>
      <c:rotY val="20"/>
      <c:rAngAx val="1"/>
    </c:view3D>
    <c:floor>
      <c:thickness val="0"/>
    </c:floor>
    <c:sideWall>
      <c:thickness val="0"/>
    </c:sideWall>
    <c:backWall>
      <c:thickness val="0"/>
    </c:backWall>
    <c:plotArea>
      <c:layout/>
      <c:bar3DChart>
        <c:barDir val="bar"/>
        <c:grouping val="percentStacked"/>
        <c:varyColors val="0"/>
        <c:ser>
          <c:idx val="0"/>
          <c:order val="0"/>
          <c:tx>
            <c:strRef>
              <c:f>'future contributions'!$K$15</c:f>
              <c:strCache>
                <c:ptCount val="1"/>
                <c:pt idx="0">
                  <c:v>AF</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'future contributions'!$A$16:$A$24</c:f>
              <c:strCache>
                <c:ptCount val="9"/>
                <c:pt idx="0">
                  <c:v> Access to expert networks and/or stakeholder networks</c:v>
                </c:pt>
                <c:pt idx="1">
                  <c:v> Financial support</c:v>
                </c:pt>
                <c:pt idx="2">
                  <c:v> Specialized expertise</c:v>
                </c:pt>
                <c:pt idx="3">
                  <c:v> Indigenous and local knowledge</c:v>
                </c:pt>
                <c:pt idx="4">
                  <c:v> Making data or indicators available</c:v>
                </c:pt>
                <c:pt idx="5">
                  <c:v> In-kind support</c:v>
                </c:pt>
                <c:pt idx="6">
                  <c:v> Nominating experts</c:v>
                </c:pt>
                <c:pt idx="7">
                  <c:v> Organising meetings to inform about IPBES and its products</c:v>
                </c:pt>
                <c:pt idx="8">
                  <c:v> Regional knowledge</c:v>
                </c:pt>
              </c:strCache>
            </c:strRef>
          </c:cat>
          <c:val>
            <c:numRef>
              <c:f>'future contributions'!$K$16:$K$24</c:f>
              <c:numCache>
                <c:formatCode>0.000</c:formatCode>
                <c:ptCount val="9"/>
                <c:pt idx="0">
                  <c:v>0.22790697674418606</c:v>
                </c:pt>
                <c:pt idx="1">
                  <c:v>0.40909090909090912</c:v>
                </c:pt>
                <c:pt idx="2">
                  <c:v>0.17454545454545456</c:v>
                </c:pt>
                <c:pt idx="3">
                  <c:v>0.28695652173913044</c:v>
                </c:pt>
                <c:pt idx="4">
                  <c:v>0.22058823529411764</c:v>
                </c:pt>
                <c:pt idx="5">
                  <c:v>0.31707317073170732</c:v>
                </c:pt>
                <c:pt idx="6">
                  <c:v>0.2288135593220339</c:v>
                </c:pt>
                <c:pt idx="7">
                  <c:v>0.31404958677685951</c:v>
                </c:pt>
                <c:pt idx="8">
                  <c:v>0.20814479638009051</c:v>
                </c:pt>
              </c:numCache>
            </c:numRef>
          </c:val>
          <c:extLst>
            <c:ext xmlns:c16="http://schemas.microsoft.com/office/drawing/2014/chart" uri="{C3380CC4-5D6E-409C-BE32-E72D297353CC}">
              <c16:uniqueId val="{00000000-3257-4570-9A0A-5A9094BE77C9}"/>
            </c:ext>
          </c:extLst>
        </c:ser>
        <c:ser>
          <c:idx val="1"/>
          <c:order val="1"/>
          <c:tx>
            <c:strRef>
              <c:f>'future contributions'!$L$15</c:f>
              <c:strCache>
                <c:ptCount val="1"/>
                <c:pt idx="0">
                  <c:v>AP</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'future contributions'!$A$16:$A$24</c:f>
              <c:strCache>
                <c:ptCount val="9"/>
                <c:pt idx="0">
                  <c:v> Access to expert networks and/or stakeholder networks</c:v>
                </c:pt>
                <c:pt idx="1">
                  <c:v> Financial support</c:v>
                </c:pt>
                <c:pt idx="2">
                  <c:v> Specialized expertise</c:v>
                </c:pt>
                <c:pt idx="3">
                  <c:v> Indigenous and local knowledge</c:v>
                </c:pt>
                <c:pt idx="4">
                  <c:v> Making data or indicators available</c:v>
                </c:pt>
                <c:pt idx="5">
                  <c:v> In-kind support</c:v>
                </c:pt>
                <c:pt idx="6">
                  <c:v> Nominating experts</c:v>
                </c:pt>
                <c:pt idx="7">
                  <c:v> Organising meetings to inform about IPBES and its products</c:v>
                </c:pt>
                <c:pt idx="8">
                  <c:v> Regional knowledge</c:v>
                </c:pt>
              </c:strCache>
            </c:strRef>
          </c:cat>
          <c:val>
            <c:numRef>
              <c:f>'future contributions'!$L$16:$L$24</c:f>
              <c:numCache>
                <c:formatCode>0.000</c:formatCode>
                <c:ptCount val="9"/>
                <c:pt idx="0">
                  <c:v>0.21395348837209302</c:v>
                </c:pt>
                <c:pt idx="1">
                  <c:v>0.13636363636363635</c:v>
                </c:pt>
                <c:pt idx="2">
                  <c:v>0.19636363636363635</c:v>
                </c:pt>
                <c:pt idx="3">
                  <c:v>0.42608695652173911</c:v>
                </c:pt>
                <c:pt idx="4">
                  <c:v>0.17647058823529413</c:v>
                </c:pt>
                <c:pt idx="5">
                  <c:v>0.1951219512195122</c:v>
                </c:pt>
                <c:pt idx="6">
                  <c:v>0.22033898305084745</c:v>
                </c:pt>
                <c:pt idx="7">
                  <c:v>0.24793388429752067</c:v>
                </c:pt>
                <c:pt idx="8">
                  <c:v>0.24886877828054299</c:v>
                </c:pt>
              </c:numCache>
            </c:numRef>
          </c:val>
          <c:extLst>
            <c:ext xmlns:c16="http://schemas.microsoft.com/office/drawing/2014/chart" uri="{C3380CC4-5D6E-409C-BE32-E72D297353CC}">
              <c16:uniqueId val="{00000001-3257-4570-9A0A-5A9094BE77C9}"/>
            </c:ext>
          </c:extLst>
        </c:ser>
        <c:ser>
          <c:idx val="2"/>
          <c:order val="2"/>
          <c:tx>
            <c:strRef>
              <c:f>'future contributions'!$M$15</c:f>
              <c:strCache>
                <c:ptCount val="1"/>
                <c:pt idx="0">
                  <c:v>EE</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'future contributions'!$A$16:$A$24</c:f>
              <c:strCache>
                <c:ptCount val="9"/>
                <c:pt idx="0">
                  <c:v> Access to expert networks and/or stakeholder networks</c:v>
                </c:pt>
                <c:pt idx="1">
                  <c:v> Financial support</c:v>
                </c:pt>
                <c:pt idx="2">
                  <c:v> Specialized expertise</c:v>
                </c:pt>
                <c:pt idx="3">
                  <c:v> Indigenous and local knowledge</c:v>
                </c:pt>
                <c:pt idx="4">
                  <c:v> Making data or indicators available</c:v>
                </c:pt>
                <c:pt idx="5">
                  <c:v> In-kind support</c:v>
                </c:pt>
                <c:pt idx="6">
                  <c:v> Nominating experts</c:v>
                </c:pt>
                <c:pt idx="7">
                  <c:v> Organising meetings to inform about IPBES and its products</c:v>
                </c:pt>
                <c:pt idx="8">
                  <c:v> Regional knowledge</c:v>
                </c:pt>
              </c:strCache>
            </c:strRef>
          </c:cat>
          <c:val>
            <c:numRef>
              <c:f>'future contributions'!$M$16:$M$24</c:f>
              <c:numCache>
                <c:formatCode>0.000</c:formatCode>
                <c:ptCount val="9"/>
                <c:pt idx="0">
                  <c:v>7.441860465116279E-2</c:v>
                </c:pt>
                <c:pt idx="1">
                  <c:v>0.22727272727272727</c:v>
                </c:pt>
                <c:pt idx="2">
                  <c:v>7.2727272727272724E-2</c:v>
                </c:pt>
                <c:pt idx="3">
                  <c:v>6.9565217391304349E-2</c:v>
                </c:pt>
                <c:pt idx="4">
                  <c:v>0.10294117647058823</c:v>
                </c:pt>
                <c:pt idx="5">
                  <c:v>7.3170731707317069E-2</c:v>
                </c:pt>
                <c:pt idx="6">
                  <c:v>8.4745762711864403E-2</c:v>
                </c:pt>
                <c:pt idx="7">
                  <c:v>5.7851239669421489E-2</c:v>
                </c:pt>
                <c:pt idx="8">
                  <c:v>9.0497737556561084E-2</c:v>
                </c:pt>
              </c:numCache>
            </c:numRef>
          </c:val>
          <c:extLst>
            <c:ext xmlns:c16="http://schemas.microsoft.com/office/drawing/2014/chart" uri="{C3380CC4-5D6E-409C-BE32-E72D297353CC}">
              <c16:uniqueId val="{00000002-3257-4570-9A0A-5A9094BE77C9}"/>
            </c:ext>
          </c:extLst>
        </c:ser>
        <c:ser>
          <c:idx val="3"/>
          <c:order val="3"/>
          <c:tx>
            <c:strRef>
              <c:f>'future contributions'!$N$15</c:f>
              <c:strCache>
                <c:ptCount val="1"/>
                <c:pt idx="0">
                  <c:v>LAC</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'future contributions'!$A$16:$A$24</c:f>
              <c:strCache>
                <c:ptCount val="9"/>
                <c:pt idx="0">
                  <c:v> Access to expert networks and/or stakeholder networks</c:v>
                </c:pt>
                <c:pt idx="1">
                  <c:v> Financial support</c:v>
                </c:pt>
                <c:pt idx="2">
                  <c:v> Specialized expertise</c:v>
                </c:pt>
                <c:pt idx="3">
                  <c:v> Indigenous and local knowledge</c:v>
                </c:pt>
                <c:pt idx="4">
                  <c:v> Making data or indicators available</c:v>
                </c:pt>
                <c:pt idx="5">
                  <c:v> In-kind support</c:v>
                </c:pt>
                <c:pt idx="6">
                  <c:v> Nominating experts</c:v>
                </c:pt>
                <c:pt idx="7">
                  <c:v> Organising meetings to inform about IPBES and its products</c:v>
                </c:pt>
                <c:pt idx="8">
                  <c:v> Regional knowledge</c:v>
                </c:pt>
              </c:strCache>
            </c:strRef>
          </c:cat>
          <c:val>
            <c:numRef>
              <c:f>'future contributions'!$N$16:$N$24</c:f>
              <c:numCache>
                <c:formatCode>0.000</c:formatCode>
                <c:ptCount val="9"/>
                <c:pt idx="0">
                  <c:v>0.19534883720930232</c:v>
                </c:pt>
                <c:pt idx="1">
                  <c:v>0.18181818181818182</c:v>
                </c:pt>
                <c:pt idx="2">
                  <c:v>0.20363636363636364</c:v>
                </c:pt>
                <c:pt idx="3">
                  <c:v>0.1391304347826087</c:v>
                </c:pt>
                <c:pt idx="4">
                  <c:v>0.21323529411764705</c:v>
                </c:pt>
                <c:pt idx="5">
                  <c:v>0.12195121951219512</c:v>
                </c:pt>
                <c:pt idx="6">
                  <c:v>0.23728813559322035</c:v>
                </c:pt>
                <c:pt idx="7">
                  <c:v>0.19834710743801653</c:v>
                </c:pt>
                <c:pt idx="8">
                  <c:v>0.20814479638009051</c:v>
                </c:pt>
              </c:numCache>
            </c:numRef>
          </c:val>
          <c:extLst>
            <c:ext xmlns:c16="http://schemas.microsoft.com/office/drawing/2014/chart" uri="{C3380CC4-5D6E-409C-BE32-E72D297353CC}">
              <c16:uniqueId val="{00000003-3257-4570-9A0A-5A9094BE77C9}"/>
            </c:ext>
          </c:extLst>
        </c:ser>
        <c:ser>
          <c:idx val="4"/>
          <c:order val="4"/>
          <c:tx>
            <c:strRef>
              <c:f>'future contributions'!$O$15</c:f>
              <c:strCache>
                <c:ptCount val="1"/>
                <c:pt idx="0">
                  <c:v>WEOG</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'future contributions'!$A$16:$A$24</c:f>
              <c:strCache>
                <c:ptCount val="9"/>
                <c:pt idx="0">
                  <c:v> Access to expert networks and/or stakeholder networks</c:v>
                </c:pt>
                <c:pt idx="1">
                  <c:v> Financial support</c:v>
                </c:pt>
                <c:pt idx="2">
                  <c:v> Specialized expertise</c:v>
                </c:pt>
                <c:pt idx="3">
                  <c:v> Indigenous and local knowledge</c:v>
                </c:pt>
                <c:pt idx="4">
                  <c:v> Making data or indicators available</c:v>
                </c:pt>
                <c:pt idx="5">
                  <c:v> In-kind support</c:v>
                </c:pt>
                <c:pt idx="6">
                  <c:v> Nominating experts</c:v>
                </c:pt>
                <c:pt idx="7">
                  <c:v> Organising meetings to inform about IPBES and its products</c:v>
                </c:pt>
                <c:pt idx="8">
                  <c:v> Regional knowledge</c:v>
                </c:pt>
              </c:strCache>
            </c:strRef>
          </c:cat>
          <c:val>
            <c:numRef>
              <c:f>'future contributions'!$O$16:$O$24</c:f>
              <c:numCache>
                <c:formatCode>0.000</c:formatCode>
                <c:ptCount val="9"/>
                <c:pt idx="0">
                  <c:v>0.2744186046511628</c:v>
                </c:pt>
                <c:pt idx="1">
                  <c:v>4.5454545454545456E-2</c:v>
                </c:pt>
                <c:pt idx="2">
                  <c:v>0.33090909090909093</c:v>
                </c:pt>
                <c:pt idx="3">
                  <c:v>6.0869565217391307E-2</c:v>
                </c:pt>
                <c:pt idx="4">
                  <c:v>0.27205882352941174</c:v>
                </c:pt>
                <c:pt idx="5">
                  <c:v>0.29268292682926828</c:v>
                </c:pt>
                <c:pt idx="6">
                  <c:v>0.20338983050847459</c:v>
                </c:pt>
                <c:pt idx="7">
                  <c:v>0.16528925619834711</c:v>
                </c:pt>
                <c:pt idx="8">
                  <c:v>0.22624434389140272</c:v>
                </c:pt>
              </c:numCache>
            </c:numRef>
          </c:val>
          <c:extLst>
            <c:ext xmlns:c16="http://schemas.microsoft.com/office/drawing/2014/chart" uri="{C3380CC4-5D6E-409C-BE32-E72D297353CC}">
              <c16:uniqueId val="{00000004-3257-4570-9A0A-5A9094BE77C9}"/>
            </c:ext>
          </c:extLst>
        </c:ser>
        <c:dLbls>
          <c:showLegendKey val="0"/>
          <c:showVal val="0"/>
          <c:showCatName val="0"/>
          <c:showSerName val="0"/>
          <c:showPercent val="0"/>
          <c:showBubbleSize val="0"/>
        </c:dLbls>
        <c:gapWidth val="75"/>
        <c:shape val="box"/>
        <c:axId val="134873856"/>
        <c:axId val="134875392"/>
        <c:axId val="0"/>
      </c:bar3DChart>
      <c:catAx>
        <c:axId val="134873856"/>
        <c:scaling>
          <c:orientation val="maxMin"/>
        </c:scaling>
        <c:delete val="0"/>
        <c:axPos val="l"/>
        <c:numFmt formatCode="General" sourceLinked="0"/>
        <c:majorTickMark val="none"/>
        <c:minorTickMark val="none"/>
        <c:tickLblPos val="nextTo"/>
        <c:crossAx val="134875392"/>
        <c:crosses val="autoZero"/>
        <c:auto val="1"/>
        <c:lblAlgn val="ctr"/>
        <c:lblOffset val="100"/>
        <c:noMultiLvlLbl val="0"/>
      </c:catAx>
      <c:valAx>
        <c:axId val="134875392"/>
        <c:scaling>
          <c:orientation val="minMax"/>
        </c:scaling>
        <c:delete val="0"/>
        <c:axPos val="t"/>
        <c:majorGridlines/>
        <c:numFmt formatCode="0%" sourceLinked="1"/>
        <c:majorTickMark val="none"/>
        <c:minorTickMark val="none"/>
        <c:tickLblPos val="nextTo"/>
        <c:spPr>
          <a:ln w="6350">
            <a:noFill/>
          </a:ln>
        </c:spPr>
        <c:crossAx val="134873856"/>
        <c:crosses val="autoZero"/>
        <c:crossBetween val="between"/>
      </c:valAx>
    </c:plotArea>
    <c:legend>
      <c:legendPos val="b"/>
      <c:layout>
        <c:manualLayout>
          <c:xMode val="edge"/>
          <c:yMode val="edge"/>
          <c:x val="0.42497212081123137"/>
          <c:y val="0.90063652043494569"/>
          <c:w val="0.54208591454339605"/>
          <c:h val="6.8887289088863893E-2"/>
        </c:manualLayout>
      </c:layout>
      <c:overlay val="0"/>
    </c:legend>
    <c:plotVisOnly val="1"/>
    <c:dispBlanksAs val="gap"/>
    <c:showDLblsOverMax val="0"/>
  </c:chart>
  <c:spPr>
    <a:ln>
      <a:noFill/>
    </a:ln>
  </c:sp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en-GB" sz="1100" b="1" i="0" baseline="0">
                <a:effectLst/>
              </a:rPr>
              <a:t>Incentives for engagement with IPBES with respect to regions</a:t>
            </a:r>
            <a:endParaRPr lang="en-GB" sz="1100">
              <a:effectLst/>
            </a:endParaRPr>
          </a:p>
        </c:rich>
      </c:tx>
      <c:overlay val="0"/>
    </c:title>
    <c:autoTitleDeleted val="0"/>
    <c:view3D>
      <c:rotX val="15"/>
      <c:rotY val="20"/>
      <c:rAngAx val="1"/>
    </c:view3D>
    <c:floor>
      <c:thickness val="0"/>
    </c:floor>
    <c:sideWall>
      <c:thickness val="0"/>
    </c:sideWall>
    <c:backWall>
      <c:thickness val="0"/>
    </c:backWall>
    <c:plotArea>
      <c:layout/>
      <c:bar3DChart>
        <c:barDir val="bar"/>
        <c:grouping val="percentStacked"/>
        <c:varyColors val="0"/>
        <c:ser>
          <c:idx val="0"/>
          <c:order val="0"/>
          <c:tx>
            <c:strRef>
              <c:f>incentives!$B$60</c:f>
              <c:strCache>
                <c:ptCount val="1"/>
                <c:pt idx="0">
                  <c:v>AF</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incentives!$A$79:$A$94</c:f>
              <c:strCache>
                <c:ptCount val="16"/>
                <c:pt idx="0">
                  <c:v> Access to expertise</c:v>
                </c:pt>
                <c:pt idx="1">
                  <c:v> Access to new networks</c:v>
                </c:pt>
                <c:pt idx="2">
                  <c:v> Better financial support</c:v>
                </c:pt>
                <c:pt idx="3">
                  <c:v> Better international support</c:v>
                </c:pt>
                <c:pt idx="4">
                  <c:v> Better local support</c:v>
                </c:pt>
                <c:pt idx="5">
                  <c:v> Better organizational support</c:v>
                </c:pt>
                <c:pt idx="6">
                  <c:v> Better visibility</c:v>
                </c:pt>
                <c:pt idx="7">
                  <c:v> Learning from other experts</c:v>
                </c:pt>
                <c:pt idx="8">
                  <c:v> More knowledge</c:v>
                </c:pt>
                <c:pt idx="9">
                  <c:v> Overlapping research interest</c:v>
                </c:pt>
                <c:pt idx="10">
                  <c:v> Passion for environmental issues and for sustainable use of natural resources</c:v>
                </c:pt>
                <c:pt idx="11">
                  <c:v> Policy and decision making support</c:v>
                </c:pt>
                <c:pt idx="12">
                  <c:v> Recognition</c:v>
                </c:pt>
                <c:pt idx="13">
                  <c:v> To build network(s)</c:v>
                </c:pt>
                <c:pt idx="14">
                  <c:v> To help ensure sustainable development</c:v>
                </c:pt>
                <c:pt idx="15">
                  <c:v> Other</c:v>
                </c:pt>
              </c:strCache>
            </c:strRef>
          </c:cat>
          <c:val>
            <c:numRef>
              <c:f>incentives!$B$79:$B$94</c:f>
              <c:numCache>
                <c:formatCode>0.000</c:formatCode>
                <c:ptCount val="16"/>
                <c:pt idx="0">
                  <c:v>0.25980392156862747</c:v>
                </c:pt>
                <c:pt idx="1">
                  <c:v>0.22527472527472528</c:v>
                </c:pt>
                <c:pt idx="2">
                  <c:v>0.33333333333333331</c:v>
                </c:pt>
                <c:pt idx="3">
                  <c:v>0.26785714285714285</c:v>
                </c:pt>
                <c:pt idx="4">
                  <c:v>0.30769230769230771</c:v>
                </c:pt>
                <c:pt idx="5">
                  <c:v>0.51724137931034486</c:v>
                </c:pt>
                <c:pt idx="6">
                  <c:v>0.21311475409836064</c:v>
                </c:pt>
                <c:pt idx="7">
                  <c:v>0.23571428571428571</c:v>
                </c:pt>
                <c:pt idx="8">
                  <c:v>0.15384615384615385</c:v>
                </c:pt>
                <c:pt idx="9">
                  <c:v>0.17177914110429449</c:v>
                </c:pt>
                <c:pt idx="10">
                  <c:v>0.28749999999999998</c:v>
                </c:pt>
                <c:pt idx="11">
                  <c:v>0.12863070539419086</c:v>
                </c:pt>
                <c:pt idx="12">
                  <c:v>8.5714285714285715E-2</c:v>
                </c:pt>
                <c:pt idx="13">
                  <c:v>0.16528925619834711</c:v>
                </c:pt>
                <c:pt idx="14">
                  <c:v>0.2231404958677686</c:v>
                </c:pt>
                <c:pt idx="15">
                  <c:v>5.5555555555555552E-2</c:v>
                </c:pt>
              </c:numCache>
            </c:numRef>
          </c:val>
          <c:extLst>
            <c:ext xmlns:c16="http://schemas.microsoft.com/office/drawing/2014/chart" uri="{C3380CC4-5D6E-409C-BE32-E72D297353CC}">
              <c16:uniqueId val="{00000000-DF1B-44D2-93B8-E1522CB7A8CB}"/>
            </c:ext>
          </c:extLst>
        </c:ser>
        <c:ser>
          <c:idx val="1"/>
          <c:order val="1"/>
          <c:tx>
            <c:strRef>
              <c:f>incentives!$C$60</c:f>
              <c:strCache>
                <c:ptCount val="1"/>
                <c:pt idx="0">
                  <c:v>AP</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incentives!$A$79:$A$94</c:f>
              <c:strCache>
                <c:ptCount val="16"/>
                <c:pt idx="0">
                  <c:v> Access to expertise</c:v>
                </c:pt>
                <c:pt idx="1">
                  <c:v> Access to new networks</c:v>
                </c:pt>
                <c:pt idx="2">
                  <c:v> Better financial support</c:v>
                </c:pt>
                <c:pt idx="3">
                  <c:v> Better international support</c:v>
                </c:pt>
                <c:pt idx="4">
                  <c:v> Better local support</c:v>
                </c:pt>
                <c:pt idx="5">
                  <c:v> Better organizational support</c:v>
                </c:pt>
                <c:pt idx="6">
                  <c:v> Better visibility</c:v>
                </c:pt>
                <c:pt idx="7">
                  <c:v> Learning from other experts</c:v>
                </c:pt>
                <c:pt idx="8">
                  <c:v> More knowledge</c:v>
                </c:pt>
                <c:pt idx="9">
                  <c:v> Overlapping research interest</c:v>
                </c:pt>
                <c:pt idx="10">
                  <c:v> Passion for environmental issues and for sustainable use of natural resources</c:v>
                </c:pt>
                <c:pt idx="11">
                  <c:v> Policy and decision making support</c:v>
                </c:pt>
                <c:pt idx="12">
                  <c:v> Recognition</c:v>
                </c:pt>
                <c:pt idx="13">
                  <c:v> To build network(s)</c:v>
                </c:pt>
                <c:pt idx="14">
                  <c:v> To help ensure sustainable development</c:v>
                </c:pt>
                <c:pt idx="15">
                  <c:v> Other</c:v>
                </c:pt>
              </c:strCache>
            </c:strRef>
          </c:cat>
          <c:val>
            <c:numRef>
              <c:f>incentives!$C$79:$C$94</c:f>
              <c:numCache>
                <c:formatCode>0.000</c:formatCode>
                <c:ptCount val="16"/>
                <c:pt idx="0">
                  <c:v>0.19117647058823528</c:v>
                </c:pt>
                <c:pt idx="1">
                  <c:v>0.16483516483516483</c:v>
                </c:pt>
                <c:pt idx="2">
                  <c:v>0.2857142857142857</c:v>
                </c:pt>
                <c:pt idx="3">
                  <c:v>0.2767857142857143</c:v>
                </c:pt>
                <c:pt idx="4">
                  <c:v>0.11538461538461539</c:v>
                </c:pt>
                <c:pt idx="5">
                  <c:v>0.27586206896551724</c:v>
                </c:pt>
                <c:pt idx="6">
                  <c:v>0.18032786885245902</c:v>
                </c:pt>
                <c:pt idx="7">
                  <c:v>0.18571428571428572</c:v>
                </c:pt>
                <c:pt idx="8">
                  <c:v>0.26573426573426573</c:v>
                </c:pt>
                <c:pt idx="9">
                  <c:v>0.19018404907975461</c:v>
                </c:pt>
                <c:pt idx="10">
                  <c:v>0.1825</c:v>
                </c:pt>
                <c:pt idx="11">
                  <c:v>0.19917012448132779</c:v>
                </c:pt>
                <c:pt idx="12">
                  <c:v>0.45714285714285713</c:v>
                </c:pt>
                <c:pt idx="13">
                  <c:v>0.18181818181818182</c:v>
                </c:pt>
                <c:pt idx="14">
                  <c:v>0.16942148760330578</c:v>
                </c:pt>
                <c:pt idx="15">
                  <c:v>0.1111111111111111</c:v>
                </c:pt>
              </c:numCache>
            </c:numRef>
          </c:val>
          <c:extLst>
            <c:ext xmlns:c16="http://schemas.microsoft.com/office/drawing/2014/chart" uri="{C3380CC4-5D6E-409C-BE32-E72D297353CC}">
              <c16:uniqueId val="{00000001-DF1B-44D2-93B8-E1522CB7A8CB}"/>
            </c:ext>
          </c:extLst>
        </c:ser>
        <c:ser>
          <c:idx val="2"/>
          <c:order val="2"/>
          <c:tx>
            <c:strRef>
              <c:f>incentives!$D$60</c:f>
              <c:strCache>
                <c:ptCount val="1"/>
                <c:pt idx="0">
                  <c:v>EE</c:v>
                </c:pt>
              </c:strCache>
            </c:strRef>
          </c:tx>
          <c:invertIfNegative val="0"/>
          <c:dLbls>
            <c:dLbl>
              <c:idx val="12"/>
              <c:delete val="1"/>
              <c:extLst>
                <c:ext xmlns:c15="http://schemas.microsoft.com/office/drawing/2012/chart" uri="{CE6537A1-D6FC-4f65-9D91-7224C49458BB}"/>
                <c:ext xmlns:c16="http://schemas.microsoft.com/office/drawing/2014/chart" uri="{C3380CC4-5D6E-409C-BE32-E72D297353CC}">
                  <c16:uniqueId val="{00000002-DF1B-44D2-93B8-E1522CB7A8CB}"/>
                </c:ext>
              </c:extLst>
            </c:dLbl>
            <c:dLbl>
              <c:idx val="15"/>
              <c:delete val="1"/>
              <c:extLst>
                <c:ext xmlns:c15="http://schemas.microsoft.com/office/drawing/2012/chart" uri="{CE6537A1-D6FC-4f65-9D91-7224C49458BB}"/>
                <c:ext xmlns:c16="http://schemas.microsoft.com/office/drawing/2014/chart" uri="{C3380CC4-5D6E-409C-BE32-E72D297353CC}">
                  <c16:uniqueId val="{00000003-DF1B-44D2-93B8-E1522CB7A8CB}"/>
                </c:ext>
              </c:extLst>
            </c:dLbl>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incentives!$A$79:$A$94</c:f>
              <c:strCache>
                <c:ptCount val="16"/>
                <c:pt idx="0">
                  <c:v> Access to expertise</c:v>
                </c:pt>
                <c:pt idx="1">
                  <c:v> Access to new networks</c:v>
                </c:pt>
                <c:pt idx="2">
                  <c:v> Better financial support</c:v>
                </c:pt>
                <c:pt idx="3">
                  <c:v> Better international support</c:v>
                </c:pt>
                <c:pt idx="4">
                  <c:v> Better local support</c:v>
                </c:pt>
                <c:pt idx="5">
                  <c:v> Better organizational support</c:v>
                </c:pt>
                <c:pt idx="6">
                  <c:v> Better visibility</c:v>
                </c:pt>
                <c:pt idx="7">
                  <c:v> Learning from other experts</c:v>
                </c:pt>
                <c:pt idx="8">
                  <c:v> More knowledge</c:v>
                </c:pt>
                <c:pt idx="9">
                  <c:v> Overlapping research interest</c:v>
                </c:pt>
                <c:pt idx="10">
                  <c:v> Passion for environmental issues and for sustainable use of natural resources</c:v>
                </c:pt>
                <c:pt idx="11">
                  <c:v> Policy and decision making support</c:v>
                </c:pt>
                <c:pt idx="12">
                  <c:v> Recognition</c:v>
                </c:pt>
                <c:pt idx="13">
                  <c:v> To build network(s)</c:v>
                </c:pt>
                <c:pt idx="14">
                  <c:v> To help ensure sustainable development</c:v>
                </c:pt>
                <c:pt idx="15">
                  <c:v> Other</c:v>
                </c:pt>
              </c:strCache>
            </c:strRef>
          </c:cat>
          <c:val>
            <c:numRef>
              <c:f>incentives!$D$79:$D$94</c:f>
              <c:numCache>
                <c:formatCode>0.000</c:formatCode>
                <c:ptCount val="16"/>
                <c:pt idx="0">
                  <c:v>9.8039215686274508E-2</c:v>
                </c:pt>
                <c:pt idx="1">
                  <c:v>8.2417582417582416E-2</c:v>
                </c:pt>
                <c:pt idx="2">
                  <c:v>3.8095238095238099E-2</c:v>
                </c:pt>
                <c:pt idx="3">
                  <c:v>5.3571428571428568E-2</c:v>
                </c:pt>
                <c:pt idx="4">
                  <c:v>0.11538461538461539</c:v>
                </c:pt>
                <c:pt idx="5">
                  <c:v>6.8965517241379309E-2</c:v>
                </c:pt>
                <c:pt idx="6">
                  <c:v>3.2786885245901641E-2</c:v>
                </c:pt>
                <c:pt idx="7">
                  <c:v>7.857142857142857E-2</c:v>
                </c:pt>
                <c:pt idx="8">
                  <c:v>0.1048951048951049</c:v>
                </c:pt>
                <c:pt idx="9">
                  <c:v>7.3619631901840496E-2</c:v>
                </c:pt>
                <c:pt idx="10">
                  <c:v>6.7500000000000004E-2</c:v>
                </c:pt>
                <c:pt idx="11">
                  <c:v>4.1493775933609957E-2</c:v>
                </c:pt>
                <c:pt idx="12">
                  <c:v>0</c:v>
                </c:pt>
                <c:pt idx="13">
                  <c:v>5.7851239669421489E-2</c:v>
                </c:pt>
                <c:pt idx="14">
                  <c:v>4.9586776859504134E-2</c:v>
                </c:pt>
                <c:pt idx="15">
                  <c:v>0</c:v>
                </c:pt>
              </c:numCache>
            </c:numRef>
          </c:val>
          <c:extLst>
            <c:ext xmlns:c16="http://schemas.microsoft.com/office/drawing/2014/chart" uri="{C3380CC4-5D6E-409C-BE32-E72D297353CC}">
              <c16:uniqueId val="{00000004-DF1B-44D2-93B8-E1522CB7A8CB}"/>
            </c:ext>
          </c:extLst>
        </c:ser>
        <c:ser>
          <c:idx val="3"/>
          <c:order val="3"/>
          <c:tx>
            <c:strRef>
              <c:f>incentives!$E$60</c:f>
              <c:strCache>
                <c:ptCount val="1"/>
                <c:pt idx="0">
                  <c:v>LAC</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incentives!$A$79:$A$94</c:f>
              <c:strCache>
                <c:ptCount val="16"/>
                <c:pt idx="0">
                  <c:v> Access to expertise</c:v>
                </c:pt>
                <c:pt idx="1">
                  <c:v> Access to new networks</c:v>
                </c:pt>
                <c:pt idx="2">
                  <c:v> Better financial support</c:v>
                </c:pt>
                <c:pt idx="3">
                  <c:v> Better international support</c:v>
                </c:pt>
                <c:pt idx="4">
                  <c:v> Better local support</c:v>
                </c:pt>
                <c:pt idx="5">
                  <c:v> Better organizational support</c:v>
                </c:pt>
                <c:pt idx="6">
                  <c:v> Better visibility</c:v>
                </c:pt>
                <c:pt idx="7">
                  <c:v> Learning from other experts</c:v>
                </c:pt>
                <c:pt idx="8">
                  <c:v> More knowledge</c:v>
                </c:pt>
                <c:pt idx="9">
                  <c:v> Overlapping research interest</c:v>
                </c:pt>
                <c:pt idx="10">
                  <c:v> Passion for environmental issues and for sustainable use of natural resources</c:v>
                </c:pt>
                <c:pt idx="11">
                  <c:v> Policy and decision making support</c:v>
                </c:pt>
                <c:pt idx="12">
                  <c:v> Recognition</c:v>
                </c:pt>
                <c:pt idx="13">
                  <c:v> To build network(s)</c:v>
                </c:pt>
                <c:pt idx="14">
                  <c:v> To help ensure sustainable development</c:v>
                </c:pt>
                <c:pt idx="15">
                  <c:v> Other</c:v>
                </c:pt>
              </c:strCache>
            </c:strRef>
          </c:cat>
          <c:val>
            <c:numRef>
              <c:f>incentives!$E$79:$E$94</c:f>
              <c:numCache>
                <c:formatCode>0.000</c:formatCode>
                <c:ptCount val="16"/>
                <c:pt idx="0">
                  <c:v>0.23529411764705882</c:v>
                </c:pt>
                <c:pt idx="1">
                  <c:v>0.21978021978021978</c:v>
                </c:pt>
                <c:pt idx="2">
                  <c:v>0.2</c:v>
                </c:pt>
                <c:pt idx="3">
                  <c:v>0.23214285714285715</c:v>
                </c:pt>
                <c:pt idx="4">
                  <c:v>0.26923076923076922</c:v>
                </c:pt>
                <c:pt idx="5">
                  <c:v>6.8965517241379309E-2</c:v>
                </c:pt>
                <c:pt idx="6">
                  <c:v>0.11475409836065574</c:v>
                </c:pt>
                <c:pt idx="7">
                  <c:v>0.21071428571428572</c:v>
                </c:pt>
                <c:pt idx="8">
                  <c:v>0.15384615384615385</c:v>
                </c:pt>
                <c:pt idx="9">
                  <c:v>0.1165644171779141</c:v>
                </c:pt>
                <c:pt idx="10">
                  <c:v>0.1575</c:v>
                </c:pt>
                <c:pt idx="11">
                  <c:v>0.22406639004149378</c:v>
                </c:pt>
                <c:pt idx="12">
                  <c:v>0.14285714285714285</c:v>
                </c:pt>
                <c:pt idx="13">
                  <c:v>0.17355371900826447</c:v>
                </c:pt>
                <c:pt idx="14">
                  <c:v>0.256198347107438</c:v>
                </c:pt>
                <c:pt idx="15">
                  <c:v>5.5555555555555552E-2</c:v>
                </c:pt>
              </c:numCache>
            </c:numRef>
          </c:val>
          <c:extLst>
            <c:ext xmlns:c16="http://schemas.microsoft.com/office/drawing/2014/chart" uri="{C3380CC4-5D6E-409C-BE32-E72D297353CC}">
              <c16:uniqueId val="{00000005-DF1B-44D2-93B8-E1522CB7A8CB}"/>
            </c:ext>
          </c:extLst>
        </c:ser>
        <c:ser>
          <c:idx val="4"/>
          <c:order val="4"/>
          <c:tx>
            <c:strRef>
              <c:f>incentives!$F$60</c:f>
              <c:strCache>
                <c:ptCount val="1"/>
                <c:pt idx="0">
                  <c:v>WEOG</c:v>
                </c:pt>
              </c:strCache>
            </c:strRef>
          </c:tx>
          <c:invertIfNegative val="0"/>
          <c:dLbls>
            <c:dLbl>
              <c:idx val="5"/>
              <c:layout>
                <c:manualLayout>
                  <c:x val="4.4680488769365647E-3"/>
                  <c:y val="5.365890189661318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F1B-44D2-93B8-E1522CB7A8CB}"/>
                </c:ext>
              </c:extLst>
            </c:dLbl>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incentives!$A$79:$A$94</c:f>
              <c:strCache>
                <c:ptCount val="16"/>
                <c:pt idx="0">
                  <c:v> Access to expertise</c:v>
                </c:pt>
                <c:pt idx="1">
                  <c:v> Access to new networks</c:v>
                </c:pt>
                <c:pt idx="2">
                  <c:v> Better financial support</c:v>
                </c:pt>
                <c:pt idx="3">
                  <c:v> Better international support</c:v>
                </c:pt>
                <c:pt idx="4">
                  <c:v> Better local support</c:v>
                </c:pt>
                <c:pt idx="5">
                  <c:v> Better organizational support</c:v>
                </c:pt>
                <c:pt idx="6">
                  <c:v> Better visibility</c:v>
                </c:pt>
                <c:pt idx="7">
                  <c:v> Learning from other experts</c:v>
                </c:pt>
                <c:pt idx="8">
                  <c:v> More knowledge</c:v>
                </c:pt>
                <c:pt idx="9">
                  <c:v> Overlapping research interest</c:v>
                </c:pt>
                <c:pt idx="10">
                  <c:v> Passion for environmental issues and for sustainable use of natural resources</c:v>
                </c:pt>
                <c:pt idx="11">
                  <c:v> Policy and decision making support</c:v>
                </c:pt>
                <c:pt idx="12">
                  <c:v> Recognition</c:v>
                </c:pt>
                <c:pt idx="13">
                  <c:v> To build network(s)</c:v>
                </c:pt>
                <c:pt idx="14">
                  <c:v> To help ensure sustainable development</c:v>
                </c:pt>
                <c:pt idx="15">
                  <c:v> Other</c:v>
                </c:pt>
              </c:strCache>
            </c:strRef>
          </c:cat>
          <c:val>
            <c:numRef>
              <c:f>incentives!$F$79:$F$94</c:f>
              <c:numCache>
                <c:formatCode>0.000</c:formatCode>
                <c:ptCount val="16"/>
                <c:pt idx="0">
                  <c:v>0.19607843137254902</c:v>
                </c:pt>
                <c:pt idx="1">
                  <c:v>0.29120879120879123</c:v>
                </c:pt>
                <c:pt idx="2">
                  <c:v>0.11428571428571428</c:v>
                </c:pt>
                <c:pt idx="3">
                  <c:v>0.16964285714285715</c:v>
                </c:pt>
                <c:pt idx="4">
                  <c:v>0.19230769230769232</c:v>
                </c:pt>
                <c:pt idx="5">
                  <c:v>3.4482758620689655E-2</c:v>
                </c:pt>
                <c:pt idx="6">
                  <c:v>0.44262295081967212</c:v>
                </c:pt>
                <c:pt idx="7">
                  <c:v>0.27500000000000002</c:v>
                </c:pt>
                <c:pt idx="8">
                  <c:v>0.30069930069930068</c:v>
                </c:pt>
                <c:pt idx="9">
                  <c:v>0.42331288343558282</c:v>
                </c:pt>
                <c:pt idx="10">
                  <c:v>0.28499999999999998</c:v>
                </c:pt>
                <c:pt idx="11">
                  <c:v>0.39004149377593361</c:v>
                </c:pt>
                <c:pt idx="12">
                  <c:v>0.31428571428571428</c:v>
                </c:pt>
                <c:pt idx="13">
                  <c:v>0.38842975206611569</c:v>
                </c:pt>
                <c:pt idx="14">
                  <c:v>0.26859504132231404</c:v>
                </c:pt>
                <c:pt idx="15">
                  <c:v>0.66666666666666663</c:v>
                </c:pt>
              </c:numCache>
            </c:numRef>
          </c:val>
          <c:extLst>
            <c:ext xmlns:c16="http://schemas.microsoft.com/office/drawing/2014/chart" uri="{C3380CC4-5D6E-409C-BE32-E72D297353CC}">
              <c16:uniqueId val="{00000007-DF1B-44D2-93B8-E1522CB7A8CB}"/>
            </c:ext>
          </c:extLst>
        </c:ser>
        <c:dLbls>
          <c:showLegendKey val="0"/>
          <c:showVal val="0"/>
          <c:showCatName val="0"/>
          <c:showSerName val="0"/>
          <c:showPercent val="0"/>
          <c:showBubbleSize val="0"/>
        </c:dLbls>
        <c:gapWidth val="75"/>
        <c:shape val="box"/>
        <c:axId val="134933504"/>
        <c:axId val="136401664"/>
        <c:axId val="0"/>
      </c:bar3DChart>
      <c:catAx>
        <c:axId val="134933504"/>
        <c:scaling>
          <c:orientation val="maxMin"/>
        </c:scaling>
        <c:delete val="0"/>
        <c:axPos val="l"/>
        <c:numFmt formatCode="General" sourceLinked="0"/>
        <c:majorTickMark val="none"/>
        <c:minorTickMark val="none"/>
        <c:tickLblPos val="nextTo"/>
        <c:crossAx val="136401664"/>
        <c:crosses val="autoZero"/>
        <c:auto val="1"/>
        <c:lblAlgn val="ctr"/>
        <c:lblOffset val="100"/>
        <c:noMultiLvlLbl val="0"/>
      </c:catAx>
      <c:valAx>
        <c:axId val="136401664"/>
        <c:scaling>
          <c:orientation val="minMax"/>
        </c:scaling>
        <c:delete val="0"/>
        <c:axPos val="t"/>
        <c:majorGridlines/>
        <c:numFmt formatCode="0%" sourceLinked="1"/>
        <c:majorTickMark val="none"/>
        <c:minorTickMark val="none"/>
        <c:tickLblPos val="nextTo"/>
        <c:spPr>
          <a:ln w="6350">
            <a:noFill/>
          </a:ln>
        </c:spPr>
        <c:crossAx val="134933504"/>
        <c:crosses val="autoZero"/>
        <c:crossBetween val="between"/>
      </c:valAx>
    </c:plotArea>
    <c:legend>
      <c:legendPos val="b"/>
      <c:layout>
        <c:manualLayout>
          <c:xMode val="edge"/>
          <c:yMode val="edge"/>
          <c:x val="0.41548298552915069"/>
          <c:y val="0.90323244276546355"/>
          <c:w val="0.52424373875071939"/>
          <c:h val="6.9691265505838484E-2"/>
        </c:manualLayout>
      </c:layout>
      <c:overlay val="0"/>
    </c:legend>
    <c:plotVisOnly val="1"/>
    <c:dispBlanksAs val="gap"/>
    <c:showDLblsOverMax val="0"/>
  </c:chart>
  <c:spPr>
    <a:ln>
      <a:noFill/>
    </a:ln>
  </c:sp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369269466316708"/>
          <c:y val="7.0552216894972625E-2"/>
          <c:w val="0.51516929133858258"/>
          <c:h val="0.85861548556430434"/>
        </c:manualLayout>
      </c:layout>
      <c:pieChart>
        <c:varyColors val="1"/>
        <c:ser>
          <c:idx val="0"/>
          <c:order val="0"/>
          <c:tx>
            <c:strRef>
              <c:f>Disincentives!$H$15</c:f>
              <c:strCache>
                <c:ptCount val="1"/>
                <c:pt idx="0">
                  <c:v>Total</c:v>
                </c:pt>
              </c:strCache>
            </c:strRef>
          </c:tx>
          <c:dLbls>
            <c:dLbl>
              <c:idx val="0"/>
              <c:layout>
                <c:manualLayout>
                  <c:x val="-0.16507412290059109"/>
                  <c:y val="0.22538817274678155"/>
                </c:manualLayout>
              </c:layout>
              <c:spPr/>
              <c:txPr>
                <a:bodyPr/>
                <a:lstStyle/>
                <a:p>
                  <a:pPr>
                    <a:defRPr b="1">
                      <a:solidFill>
                        <a:schemeClr val="bg1"/>
                      </a:solidFill>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21B3-4700-A06C-FE91FAB866A5}"/>
                </c:ext>
              </c:extLst>
            </c:dLbl>
            <c:dLbl>
              <c:idx val="1"/>
              <c:layout>
                <c:manualLayout>
                  <c:x val="-2.1103893263342083E-2"/>
                  <c:y val="1.5820939049285506E-3"/>
                </c:manualLayout>
              </c:layou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1B3-4700-A06C-FE91FAB866A5}"/>
                </c:ext>
              </c:extLst>
            </c:dLbl>
            <c:dLbl>
              <c:idx val="2"/>
              <c:layout>
                <c:manualLayout>
                  <c:x val="-4.3797353455818019E-2"/>
                  <c:y val="9.047317002041412E-2"/>
                </c:manualLayout>
              </c:layou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21B3-4700-A06C-FE91FAB866A5}"/>
                </c:ext>
              </c:extLst>
            </c:dLbl>
            <c:dLbl>
              <c:idx val="3"/>
              <c:layout>
                <c:manualLayout>
                  <c:x val="1.4899453357803958E-3"/>
                  <c:y val="-0.13185082196119363"/>
                </c:manualLayout>
              </c:layout>
              <c:spPr/>
              <c:txPr>
                <a:bodyPr/>
                <a:lstStyle/>
                <a:p>
                  <a:pPr>
                    <a:defRPr b="1">
                      <a:solidFill>
                        <a:schemeClr val="bg1"/>
                      </a:solidFill>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1B3-4700-A06C-FE91FAB866A5}"/>
                </c:ext>
              </c:extLst>
            </c:dLbl>
            <c:dLbl>
              <c:idx val="4"/>
              <c:layout>
                <c:manualLayout>
                  <c:x val="0.19350362506058211"/>
                  <c:y val="-1.9428057429289956E-2"/>
                </c:manualLayout>
              </c:layout>
              <c:spPr/>
              <c:txPr>
                <a:bodyPr/>
                <a:lstStyle/>
                <a:p>
                  <a:pPr>
                    <a:defRPr b="1">
                      <a:solidFill>
                        <a:schemeClr val="bg1"/>
                      </a:solidFill>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21B3-4700-A06C-FE91FAB866A5}"/>
                </c:ext>
              </c:extLst>
            </c:dLbl>
            <c:dLbl>
              <c:idx val="5"/>
              <c:layout>
                <c:manualLayout>
                  <c:x val="2.0609580052493439E-2"/>
                  <c:y val="2.5346310877806942E-2"/>
                </c:manualLayout>
              </c:layou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1B3-4700-A06C-FE91FAB866A5}"/>
                </c:ext>
              </c:extLst>
            </c:dLbl>
            <c:dLbl>
              <c:idx val="6"/>
              <c:layout>
                <c:manualLayout>
                  <c:x val="0.13748493925757477"/>
                  <c:y val="0.19351372970500982"/>
                </c:manualLayout>
              </c:layout>
              <c:spPr/>
              <c:txPr>
                <a:bodyPr/>
                <a:lstStyle/>
                <a:p>
                  <a:pPr>
                    <a:defRPr b="1">
                      <a:solidFill>
                        <a:schemeClr val="bg1"/>
                      </a:solidFill>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21B3-4700-A06C-FE91FAB866A5}"/>
                </c:ext>
              </c:extLst>
            </c:dLbl>
            <c:spPr>
              <a:noFill/>
              <a:ln>
                <a:noFill/>
              </a:ln>
              <a:effectLst/>
            </c:spPr>
            <c:txPr>
              <a:bodyPr/>
              <a:lstStyle/>
              <a:p>
                <a:pPr>
                  <a:defRPr b="1"/>
                </a:pPr>
                <a:endParaRPr lang="en-US"/>
              </a:p>
            </c:txPr>
            <c:showLegendKey val="0"/>
            <c:showVal val="0"/>
            <c:showCatName val="1"/>
            <c:showSerName val="0"/>
            <c:showPercent val="1"/>
            <c:showBubbleSize val="0"/>
            <c:showLeaderLines val="0"/>
            <c:extLst>
              <c:ext xmlns:c15="http://schemas.microsoft.com/office/drawing/2012/chart" uri="{CE6537A1-D6FC-4f65-9D91-7224C49458BB}"/>
            </c:extLst>
          </c:dLbls>
          <c:cat>
            <c:strRef>
              <c:f>Disincentives!$A$16:$A$22</c:f>
              <c:strCache>
                <c:ptCount val="7"/>
                <c:pt idx="0">
                  <c:v> High work commitments</c:v>
                </c:pt>
                <c:pt idx="1">
                  <c:v> Language barriers</c:v>
                </c:pt>
                <c:pt idx="2">
                  <c:v> No research overlap</c:v>
                </c:pt>
                <c:pt idx="3">
                  <c:v> Not enough money to participate</c:v>
                </c:pt>
                <c:pt idx="4">
                  <c:v> Not enough recognition</c:v>
                </c:pt>
                <c:pt idx="5">
                  <c:v> Risks of distortion of knowledge or information</c:v>
                </c:pt>
                <c:pt idx="6">
                  <c:v> Unclear how IPBES works</c:v>
                </c:pt>
              </c:strCache>
            </c:strRef>
          </c:cat>
          <c:val>
            <c:numRef>
              <c:f>Disincentives!$H$16:$H$22</c:f>
              <c:numCache>
                <c:formatCode>General</c:formatCode>
                <c:ptCount val="7"/>
                <c:pt idx="0">
                  <c:v>337</c:v>
                </c:pt>
                <c:pt idx="1">
                  <c:v>92</c:v>
                </c:pt>
                <c:pt idx="2">
                  <c:v>37</c:v>
                </c:pt>
                <c:pt idx="3">
                  <c:v>502</c:v>
                </c:pt>
                <c:pt idx="4">
                  <c:v>159</c:v>
                </c:pt>
                <c:pt idx="5">
                  <c:v>59</c:v>
                </c:pt>
                <c:pt idx="6">
                  <c:v>250</c:v>
                </c:pt>
              </c:numCache>
            </c:numRef>
          </c:val>
          <c:extLst>
            <c:ext xmlns:c16="http://schemas.microsoft.com/office/drawing/2014/chart" uri="{C3380CC4-5D6E-409C-BE32-E72D297353CC}">
              <c16:uniqueId val="{00000007-21B3-4700-A06C-FE91FAB866A5}"/>
            </c:ext>
          </c:extLst>
        </c:ser>
        <c:dLbls>
          <c:showLegendKey val="0"/>
          <c:showVal val="0"/>
          <c:showCatName val="1"/>
          <c:showSerName val="0"/>
          <c:showPercent val="1"/>
          <c:showBubbleSize val="0"/>
          <c:showLeaderLines val="0"/>
        </c:dLbls>
        <c:firstSliceAng val="0"/>
      </c:pieChart>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[2016-11-11 ipbes_stakeholders_needs_analysis_survey.xlsx]Nationality vs region!PivotTable2</c:name>
    <c:fmtId val="-1"/>
  </c:pivotSource>
  <c:chart>
    <c:title>
      <c:tx>
        <c:rich>
          <a:bodyPr/>
          <a:lstStyle/>
          <a:p>
            <a:pPr>
              <a:defRPr sz="1100"/>
            </a:pPr>
            <a:r>
              <a:rPr lang="en-US" sz="1100"/>
              <a:t>Responses from Asia-Pacific (AP)</a:t>
            </a:r>
          </a:p>
        </c:rich>
      </c:tx>
      <c:overlay val="0"/>
    </c:title>
    <c:autoTitleDeleted val="0"/>
    <c:pivotFmts>
      <c:pivotFmt>
        <c:idx val="0"/>
        <c:marker>
          <c:symbol val="none"/>
        </c:marker>
      </c:pivotFmt>
      <c:pivotFmt>
        <c:idx val="1"/>
        <c:marker>
          <c:symbol val="none"/>
        </c:marker>
      </c:pivotFmt>
      <c:pivotFmt>
        <c:idx val="2"/>
        <c:marker>
          <c:symbol val="none"/>
        </c:marker>
      </c:pivotFmt>
    </c:pivotFmts>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'Nationality vs region'!$B$3:$B$4</c:f>
              <c:strCache>
                <c:ptCount val="1"/>
                <c:pt idx="0">
                  <c:v>AP</c:v>
                </c:pt>
              </c:strCache>
            </c:strRef>
          </c:tx>
          <c:invertIfNegative val="0"/>
          <c:dPt>
            <c:idx val="12"/>
            <c:invertIfNegative val="0"/>
            <c:bubble3D val="0"/>
            <c:spPr>
              <a:solidFill>
                <a:srgbClr val="FFC000"/>
              </a:solidFill>
            </c:spPr>
            <c:extLst>
              <c:ext xmlns:c16="http://schemas.microsoft.com/office/drawing/2014/chart" uri="{C3380CC4-5D6E-409C-BE32-E72D297353CC}">
                <c16:uniqueId val="{00000001-575E-48A3-952C-BAD537F5E0AB}"/>
              </c:ext>
            </c:extLst>
          </c:dPt>
          <c:dLbls>
            <c:spPr>
              <a:solidFill>
                <a:schemeClr val="bg1"/>
              </a:solidFill>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'Nationality vs region'!$A$5:$A$27</c:f>
              <c:strCache>
                <c:ptCount val="22"/>
                <c:pt idx="0">
                  <c:v>Afghanistan</c:v>
                </c:pt>
                <c:pt idx="1">
                  <c:v>Armenia</c:v>
                </c:pt>
                <c:pt idx="2">
                  <c:v>Bangladesh</c:v>
                </c:pt>
                <c:pt idx="3">
                  <c:v>Bhutan</c:v>
                </c:pt>
                <c:pt idx="4">
                  <c:v>Cambodia</c:v>
                </c:pt>
                <c:pt idx="5">
                  <c:v>China</c:v>
                </c:pt>
                <c:pt idx="6">
                  <c:v>India</c:v>
                </c:pt>
                <c:pt idx="7">
                  <c:v>Indonesia</c:v>
                </c:pt>
                <c:pt idx="8">
                  <c:v>Iran (Islamic Republic of)</c:v>
                </c:pt>
                <c:pt idx="9">
                  <c:v>Iraq</c:v>
                </c:pt>
                <c:pt idx="10">
                  <c:v>Japan</c:v>
                </c:pt>
                <c:pt idx="11">
                  <c:v>Kazakhstan</c:v>
                </c:pt>
                <c:pt idx="12">
                  <c:v>Lebanon</c:v>
                </c:pt>
                <c:pt idx="13">
                  <c:v>Malaysia</c:v>
                </c:pt>
                <c:pt idx="14">
                  <c:v>Myanmar</c:v>
                </c:pt>
                <c:pt idx="15">
                  <c:v>Nepal</c:v>
                </c:pt>
                <c:pt idx="16">
                  <c:v>Pakistan</c:v>
                </c:pt>
                <c:pt idx="17">
                  <c:v>Philippines</c:v>
                </c:pt>
                <c:pt idx="18">
                  <c:v>Republic of Korea</c:v>
                </c:pt>
                <c:pt idx="19">
                  <c:v>Sri Lanka</c:v>
                </c:pt>
                <c:pt idx="20">
                  <c:v>State of Palestine</c:v>
                </c:pt>
                <c:pt idx="21">
                  <c:v>Viet Nam</c:v>
                </c:pt>
              </c:strCache>
            </c:strRef>
          </c:cat>
          <c:val>
            <c:numRef>
              <c:f>'Nationality vs region'!$B$5:$B$27</c:f>
              <c:numCache>
                <c:formatCode>General</c:formatCode>
                <c:ptCount val="22"/>
                <c:pt idx="0">
                  <c:v>1</c:v>
                </c:pt>
                <c:pt idx="1">
                  <c:v>2</c:v>
                </c:pt>
                <c:pt idx="2">
                  <c:v>5</c:v>
                </c:pt>
                <c:pt idx="3">
                  <c:v>1</c:v>
                </c:pt>
                <c:pt idx="4">
                  <c:v>1</c:v>
                </c:pt>
                <c:pt idx="5">
                  <c:v>14</c:v>
                </c:pt>
                <c:pt idx="6">
                  <c:v>63</c:v>
                </c:pt>
                <c:pt idx="7">
                  <c:v>8</c:v>
                </c:pt>
                <c:pt idx="8">
                  <c:v>7</c:v>
                </c:pt>
                <c:pt idx="9">
                  <c:v>1</c:v>
                </c:pt>
                <c:pt idx="10">
                  <c:v>9</c:v>
                </c:pt>
                <c:pt idx="11">
                  <c:v>3</c:v>
                </c:pt>
                <c:pt idx="12">
                  <c:v>4</c:v>
                </c:pt>
                <c:pt idx="13">
                  <c:v>5</c:v>
                </c:pt>
                <c:pt idx="14">
                  <c:v>1</c:v>
                </c:pt>
                <c:pt idx="15">
                  <c:v>6</c:v>
                </c:pt>
                <c:pt idx="16">
                  <c:v>15</c:v>
                </c:pt>
                <c:pt idx="17">
                  <c:v>12</c:v>
                </c:pt>
                <c:pt idx="18">
                  <c:v>3</c:v>
                </c:pt>
                <c:pt idx="19">
                  <c:v>3</c:v>
                </c:pt>
                <c:pt idx="20">
                  <c:v>1</c:v>
                </c:pt>
                <c:pt idx="21">
                  <c:v>4</c:v>
                </c:pt>
              </c:numCache>
            </c:numRef>
          </c:val>
          <c:extLst>
            <c:ext xmlns:c16="http://schemas.microsoft.com/office/drawing/2014/chart" uri="{C3380CC4-5D6E-409C-BE32-E72D297353CC}">
              <c16:uniqueId val="{00000002-575E-48A3-952C-BAD537F5E0AB}"/>
            </c:ext>
          </c:extLst>
        </c:ser>
        <c:dLbls>
          <c:showLegendKey val="0"/>
          <c:showVal val="0"/>
          <c:showCatName val="0"/>
          <c:showSerName val="0"/>
          <c:showPercent val="0"/>
          <c:showBubbleSize val="0"/>
        </c:dLbls>
        <c:gapWidth val="150"/>
        <c:shape val="box"/>
        <c:axId val="98069504"/>
        <c:axId val="98083584"/>
        <c:axId val="0"/>
      </c:bar3DChart>
      <c:catAx>
        <c:axId val="98069504"/>
        <c:scaling>
          <c:orientation val="maxMin"/>
        </c:scaling>
        <c:delete val="0"/>
        <c:axPos val="l"/>
        <c:numFmt formatCode="General" sourceLinked="0"/>
        <c:majorTickMark val="out"/>
        <c:minorTickMark val="none"/>
        <c:tickLblPos val="nextTo"/>
        <c:crossAx val="98083584"/>
        <c:crosses val="autoZero"/>
        <c:auto val="1"/>
        <c:lblAlgn val="ctr"/>
        <c:lblOffset val="100"/>
        <c:noMultiLvlLbl val="0"/>
      </c:catAx>
      <c:valAx>
        <c:axId val="98083584"/>
        <c:scaling>
          <c:orientation val="minMax"/>
        </c:scaling>
        <c:delete val="0"/>
        <c:axPos val="t"/>
        <c:majorGridlines/>
        <c:numFmt formatCode="General" sourceLinked="1"/>
        <c:majorTickMark val="out"/>
        <c:minorTickMark val="none"/>
        <c:tickLblPos val="nextTo"/>
        <c:crossAx val="98069504"/>
        <c:crosses val="autoZero"/>
        <c:crossBetween val="between"/>
      </c:valAx>
    </c:plotArea>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50"/>
            </a:pPr>
            <a:r>
              <a:rPr lang="en-GB" sz="1050" b="1" i="0" baseline="0">
                <a:effectLst/>
              </a:rPr>
              <a:t>Disincentives to engagement with respect to regions</a:t>
            </a:r>
            <a:endParaRPr lang="en-GB" sz="1050">
              <a:effectLst/>
            </a:endParaRPr>
          </a:p>
        </c:rich>
      </c:tx>
      <c:overlay val="0"/>
    </c:title>
    <c:autoTitleDeleted val="0"/>
    <c:view3D>
      <c:rotX val="15"/>
      <c:rotY val="20"/>
      <c:rAngAx val="1"/>
    </c:view3D>
    <c:floor>
      <c:thickness val="0"/>
    </c:floor>
    <c:sideWall>
      <c:thickness val="0"/>
    </c:sideWall>
    <c:backWall>
      <c:thickness val="0"/>
    </c:backWall>
    <c:plotArea>
      <c:layout/>
      <c:bar3DChart>
        <c:barDir val="bar"/>
        <c:grouping val="percentStacked"/>
        <c:varyColors val="0"/>
        <c:ser>
          <c:idx val="0"/>
          <c:order val="0"/>
          <c:tx>
            <c:strRef>
              <c:f>Disincentives!$B$55</c:f>
              <c:strCache>
                <c:ptCount val="1"/>
                <c:pt idx="0">
                  <c:v>AF</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Disincentives!$A$65:$A$71</c:f>
              <c:strCache>
                <c:ptCount val="7"/>
                <c:pt idx="0">
                  <c:v> High work commitments</c:v>
                </c:pt>
                <c:pt idx="1">
                  <c:v> Language barriers</c:v>
                </c:pt>
                <c:pt idx="2">
                  <c:v> No research overlap</c:v>
                </c:pt>
                <c:pt idx="3">
                  <c:v> Not enough money to participate</c:v>
                </c:pt>
                <c:pt idx="4">
                  <c:v> Not enough recognition</c:v>
                </c:pt>
                <c:pt idx="5">
                  <c:v> Risks of distortion of knowledge or information</c:v>
                </c:pt>
                <c:pt idx="6">
                  <c:v> Unclear how IPBES works</c:v>
                </c:pt>
              </c:strCache>
            </c:strRef>
          </c:cat>
          <c:val>
            <c:numRef>
              <c:f>Disincentives!$B$65:$B$71</c:f>
              <c:numCache>
                <c:formatCode>0.000</c:formatCode>
                <c:ptCount val="7"/>
                <c:pt idx="0">
                  <c:v>0.13946587537091987</c:v>
                </c:pt>
                <c:pt idx="1">
                  <c:v>0.32608695652173914</c:v>
                </c:pt>
                <c:pt idx="2">
                  <c:v>0.45945945945945943</c:v>
                </c:pt>
                <c:pt idx="3">
                  <c:v>0.27091633466135456</c:v>
                </c:pt>
                <c:pt idx="4">
                  <c:v>0.29559748427672955</c:v>
                </c:pt>
                <c:pt idx="5">
                  <c:v>0.28813559322033899</c:v>
                </c:pt>
                <c:pt idx="6">
                  <c:v>0.20800000000000002</c:v>
                </c:pt>
              </c:numCache>
            </c:numRef>
          </c:val>
          <c:extLst>
            <c:ext xmlns:c16="http://schemas.microsoft.com/office/drawing/2014/chart" uri="{C3380CC4-5D6E-409C-BE32-E72D297353CC}">
              <c16:uniqueId val="{00000000-1A22-409B-B2C2-E22A0FB6EDC6}"/>
            </c:ext>
          </c:extLst>
        </c:ser>
        <c:ser>
          <c:idx val="1"/>
          <c:order val="1"/>
          <c:tx>
            <c:strRef>
              <c:f>Disincentives!$C$55</c:f>
              <c:strCache>
                <c:ptCount val="1"/>
                <c:pt idx="0">
                  <c:v>AP</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Disincentives!$A$65:$A$71</c:f>
              <c:strCache>
                <c:ptCount val="7"/>
                <c:pt idx="0">
                  <c:v> High work commitments</c:v>
                </c:pt>
                <c:pt idx="1">
                  <c:v> Language barriers</c:v>
                </c:pt>
                <c:pt idx="2">
                  <c:v> No research overlap</c:v>
                </c:pt>
                <c:pt idx="3">
                  <c:v> Not enough money to participate</c:v>
                </c:pt>
                <c:pt idx="4">
                  <c:v> Not enough recognition</c:v>
                </c:pt>
                <c:pt idx="5">
                  <c:v> Risks of distortion of knowledge or information</c:v>
                </c:pt>
                <c:pt idx="6">
                  <c:v> Unclear how IPBES works</c:v>
                </c:pt>
              </c:strCache>
            </c:strRef>
          </c:cat>
          <c:val>
            <c:numRef>
              <c:f>Disincentives!$C$65:$C$71</c:f>
              <c:numCache>
                <c:formatCode>0.000</c:formatCode>
                <c:ptCount val="7"/>
                <c:pt idx="0">
                  <c:v>0.17804154302670622</c:v>
                </c:pt>
                <c:pt idx="1">
                  <c:v>0.10869565217391304</c:v>
                </c:pt>
                <c:pt idx="2">
                  <c:v>0.16216216216216217</c:v>
                </c:pt>
                <c:pt idx="3">
                  <c:v>0.21713147410358566</c:v>
                </c:pt>
                <c:pt idx="4">
                  <c:v>0.25157232704402516</c:v>
                </c:pt>
                <c:pt idx="5">
                  <c:v>0.23728813559322035</c:v>
                </c:pt>
                <c:pt idx="6">
                  <c:v>0.20399999999999999</c:v>
                </c:pt>
              </c:numCache>
            </c:numRef>
          </c:val>
          <c:extLst>
            <c:ext xmlns:c16="http://schemas.microsoft.com/office/drawing/2014/chart" uri="{C3380CC4-5D6E-409C-BE32-E72D297353CC}">
              <c16:uniqueId val="{00000001-1A22-409B-B2C2-E22A0FB6EDC6}"/>
            </c:ext>
          </c:extLst>
        </c:ser>
        <c:ser>
          <c:idx val="2"/>
          <c:order val="2"/>
          <c:tx>
            <c:strRef>
              <c:f>Disincentives!$D$55</c:f>
              <c:strCache>
                <c:ptCount val="1"/>
                <c:pt idx="0">
                  <c:v>EE</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Disincentives!$A$65:$A$71</c:f>
              <c:strCache>
                <c:ptCount val="7"/>
                <c:pt idx="0">
                  <c:v> High work commitments</c:v>
                </c:pt>
                <c:pt idx="1">
                  <c:v> Language barriers</c:v>
                </c:pt>
                <c:pt idx="2">
                  <c:v> No research overlap</c:v>
                </c:pt>
                <c:pt idx="3">
                  <c:v> Not enough money to participate</c:v>
                </c:pt>
                <c:pt idx="4">
                  <c:v> Not enough recognition</c:v>
                </c:pt>
                <c:pt idx="5">
                  <c:v> Risks of distortion of knowledge or information</c:v>
                </c:pt>
                <c:pt idx="6">
                  <c:v> Unclear how IPBES works</c:v>
                </c:pt>
              </c:strCache>
            </c:strRef>
          </c:cat>
          <c:val>
            <c:numRef>
              <c:f>Disincentives!$D$65:$D$71</c:f>
              <c:numCache>
                <c:formatCode>0.000</c:formatCode>
                <c:ptCount val="7"/>
                <c:pt idx="0">
                  <c:v>5.3412462908011868E-2</c:v>
                </c:pt>
                <c:pt idx="1">
                  <c:v>8.6956521739130432E-2</c:v>
                </c:pt>
                <c:pt idx="2">
                  <c:v>0.1081081081081081</c:v>
                </c:pt>
                <c:pt idx="3">
                  <c:v>7.1713147410358558E-2</c:v>
                </c:pt>
                <c:pt idx="4">
                  <c:v>6.9182389937106917E-2</c:v>
                </c:pt>
                <c:pt idx="5">
                  <c:v>8.4745762711864417E-2</c:v>
                </c:pt>
                <c:pt idx="6">
                  <c:v>0.08</c:v>
                </c:pt>
              </c:numCache>
            </c:numRef>
          </c:val>
          <c:extLst>
            <c:ext xmlns:c16="http://schemas.microsoft.com/office/drawing/2014/chart" uri="{C3380CC4-5D6E-409C-BE32-E72D297353CC}">
              <c16:uniqueId val="{00000002-1A22-409B-B2C2-E22A0FB6EDC6}"/>
            </c:ext>
          </c:extLst>
        </c:ser>
        <c:ser>
          <c:idx val="3"/>
          <c:order val="3"/>
          <c:tx>
            <c:strRef>
              <c:f>Disincentives!$E$55</c:f>
              <c:strCache>
                <c:ptCount val="1"/>
                <c:pt idx="0">
                  <c:v>LAC</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Disincentives!$A$65:$A$71</c:f>
              <c:strCache>
                <c:ptCount val="7"/>
                <c:pt idx="0">
                  <c:v> High work commitments</c:v>
                </c:pt>
                <c:pt idx="1">
                  <c:v> Language barriers</c:v>
                </c:pt>
                <c:pt idx="2">
                  <c:v> No research overlap</c:v>
                </c:pt>
                <c:pt idx="3">
                  <c:v> Not enough money to participate</c:v>
                </c:pt>
                <c:pt idx="4">
                  <c:v> Not enough recognition</c:v>
                </c:pt>
                <c:pt idx="5">
                  <c:v> Risks of distortion of knowledge or information</c:v>
                </c:pt>
                <c:pt idx="6">
                  <c:v> Unclear how IPBES works</c:v>
                </c:pt>
              </c:strCache>
            </c:strRef>
          </c:cat>
          <c:val>
            <c:numRef>
              <c:f>Disincentives!$E$65:$E$71</c:f>
              <c:numCache>
                <c:formatCode>0.000</c:formatCode>
                <c:ptCount val="7"/>
                <c:pt idx="0">
                  <c:v>0.16320474777448074</c:v>
                </c:pt>
                <c:pt idx="1">
                  <c:v>0.35869565217391303</c:v>
                </c:pt>
                <c:pt idx="2">
                  <c:v>0.1891891891891892</c:v>
                </c:pt>
                <c:pt idx="3">
                  <c:v>0.19123505976095617</c:v>
                </c:pt>
                <c:pt idx="4">
                  <c:v>0.18867924528301888</c:v>
                </c:pt>
                <c:pt idx="5">
                  <c:v>0.20338983050847456</c:v>
                </c:pt>
                <c:pt idx="6">
                  <c:v>0.188</c:v>
                </c:pt>
              </c:numCache>
            </c:numRef>
          </c:val>
          <c:extLst>
            <c:ext xmlns:c16="http://schemas.microsoft.com/office/drawing/2014/chart" uri="{C3380CC4-5D6E-409C-BE32-E72D297353CC}">
              <c16:uniqueId val="{00000003-1A22-409B-B2C2-E22A0FB6EDC6}"/>
            </c:ext>
          </c:extLst>
        </c:ser>
        <c:ser>
          <c:idx val="4"/>
          <c:order val="4"/>
          <c:tx>
            <c:strRef>
              <c:f>Disincentives!$F$55</c:f>
              <c:strCache>
                <c:ptCount val="1"/>
                <c:pt idx="0">
                  <c:v>WEOG</c:v>
                </c:pt>
              </c:strCache>
            </c:strRef>
          </c:tx>
          <c:invertIfNegative val="0"/>
          <c:dLbls>
            <c:numFmt formatCode="0%" sourceLinked="0"/>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Disincentives!$A$65:$A$71</c:f>
              <c:strCache>
                <c:ptCount val="7"/>
                <c:pt idx="0">
                  <c:v> High work commitments</c:v>
                </c:pt>
                <c:pt idx="1">
                  <c:v> Language barriers</c:v>
                </c:pt>
                <c:pt idx="2">
                  <c:v> No research overlap</c:v>
                </c:pt>
                <c:pt idx="3">
                  <c:v> Not enough money to participate</c:v>
                </c:pt>
                <c:pt idx="4">
                  <c:v> Not enough recognition</c:v>
                </c:pt>
                <c:pt idx="5">
                  <c:v> Risks of distortion of knowledge or information</c:v>
                </c:pt>
                <c:pt idx="6">
                  <c:v> Unclear how IPBES works</c:v>
                </c:pt>
              </c:strCache>
            </c:strRef>
          </c:cat>
          <c:val>
            <c:numRef>
              <c:f>Disincentives!$F$65:$F$71</c:f>
              <c:numCache>
                <c:formatCode>0.000</c:formatCode>
                <c:ptCount val="7"/>
                <c:pt idx="0">
                  <c:v>0.43620178041543028</c:v>
                </c:pt>
                <c:pt idx="1">
                  <c:v>0.10869565217391304</c:v>
                </c:pt>
                <c:pt idx="2">
                  <c:v>8.1081081081081086E-2</c:v>
                </c:pt>
                <c:pt idx="3">
                  <c:v>0.2310756972111554</c:v>
                </c:pt>
                <c:pt idx="4">
                  <c:v>0.1761006289308176</c:v>
                </c:pt>
                <c:pt idx="5">
                  <c:v>0.1864406779661017</c:v>
                </c:pt>
                <c:pt idx="6">
                  <c:v>0.3</c:v>
                </c:pt>
              </c:numCache>
            </c:numRef>
          </c:val>
          <c:extLst>
            <c:ext xmlns:c16="http://schemas.microsoft.com/office/drawing/2014/chart" uri="{C3380CC4-5D6E-409C-BE32-E72D297353CC}">
              <c16:uniqueId val="{00000004-1A22-409B-B2C2-E22A0FB6EDC6}"/>
            </c:ext>
          </c:extLst>
        </c:ser>
        <c:dLbls>
          <c:showLegendKey val="0"/>
          <c:showVal val="0"/>
          <c:showCatName val="0"/>
          <c:showSerName val="0"/>
          <c:showPercent val="0"/>
          <c:showBubbleSize val="0"/>
        </c:dLbls>
        <c:gapWidth val="75"/>
        <c:shape val="box"/>
        <c:axId val="136502272"/>
        <c:axId val="136512256"/>
        <c:axId val="0"/>
      </c:bar3DChart>
      <c:catAx>
        <c:axId val="136502272"/>
        <c:scaling>
          <c:orientation val="maxMin"/>
        </c:scaling>
        <c:delete val="0"/>
        <c:axPos val="l"/>
        <c:numFmt formatCode="General" sourceLinked="0"/>
        <c:majorTickMark val="none"/>
        <c:minorTickMark val="none"/>
        <c:tickLblPos val="nextTo"/>
        <c:crossAx val="136512256"/>
        <c:crosses val="autoZero"/>
        <c:auto val="1"/>
        <c:lblAlgn val="ctr"/>
        <c:lblOffset val="100"/>
        <c:noMultiLvlLbl val="0"/>
      </c:catAx>
      <c:valAx>
        <c:axId val="136512256"/>
        <c:scaling>
          <c:orientation val="minMax"/>
        </c:scaling>
        <c:delete val="0"/>
        <c:axPos val="t"/>
        <c:majorGridlines/>
        <c:numFmt formatCode="0%" sourceLinked="1"/>
        <c:majorTickMark val="none"/>
        <c:minorTickMark val="none"/>
        <c:tickLblPos val="nextTo"/>
        <c:spPr>
          <a:ln w="6350">
            <a:noFill/>
          </a:ln>
        </c:spPr>
        <c:crossAx val="136502272"/>
        <c:crosses val="autoZero"/>
        <c:crossBetween val="between"/>
        <c:majorUnit val="0.1"/>
      </c:valAx>
    </c:plotArea>
    <c:legend>
      <c:legendPos val="b"/>
      <c:layout>
        <c:manualLayout>
          <c:xMode val="edge"/>
          <c:yMode val="edge"/>
          <c:x val="0.35585037737616027"/>
          <c:y val="0.88237049965386405"/>
          <c:w val="0.64317908912386823"/>
          <c:h val="7.0803371139856186E-2"/>
        </c:manualLayout>
      </c:layout>
      <c:overlay val="0"/>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70"/>
      <c:rAngAx val="0"/>
    </c:view3D>
    <c:floor>
      <c:thickness val="0"/>
    </c:floor>
    <c:sideWall>
      <c:thickness val="0"/>
    </c:sideWall>
    <c:backWall>
      <c:thickness val="0"/>
    </c:backWall>
    <c:plotArea>
      <c:layout>
        <c:manualLayout>
          <c:layoutTarget val="inner"/>
          <c:xMode val="edge"/>
          <c:yMode val="edge"/>
          <c:x val="5.4166666666666662E-2"/>
          <c:y val="0.25712525517643625"/>
          <c:w val="0.81388888888888888"/>
          <c:h val="0.64767096821230674"/>
        </c:manualLayout>
      </c:layout>
      <c:pie3DChart>
        <c:varyColors val="1"/>
        <c:ser>
          <c:idx val="0"/>
          <c:order val="0"/>
          <c:dLbls>
            <c:dLbl>
              <c:idx val="0"/>
              <c:layout>
                <c:manualLayout>
                  <c:x val="3.0202646544181977E-2"/>
                  <c:y val="0.10682341790609508"/>
                </c:manualLayout>
              </c:layout>
              <c:showLegendKey val="1"/>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0-73AF-4A52-88ED-9BAC33D767BE}"/>
                </c:ext>
              </c:extLst>
            </c:dLbl>
            <c:dLbl>
              <c:idx val="1"/>
              <c:spPr/>
              <c:txPr>
                <a:bodyPr/>
                <a:lstStyle/>
                <a:p>
                  <a:pPr>
                    <a:defRPr b="1">
                      <a:solidFill>
                        <a:schemeClr val="bg1"/>
                      </a:solidFill>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3AF-4A52-88ED-9BAC33D767BE}"/>
                </c:ext>
              </c:extLst>
            </c:dLbl>
            <c:dLbl>
              <c:idx val="2"/>
              <c:layout>
                <c:manualLayout>
                  <c:x val="-0.14584601924759405"/>
                  <c:y val="-0.23656443454772236"/>
                </c:manualLayout>
              </c:layout>
              <c:spPr/>
              <c:txPr>
                <a:bodyPr/>
                <a:lstStyle/>
                <a:p>
                  <a:pPr>
                    <a:defRPr b="1">
                      <a:solidFill>
                        <a:schemeClr val="bg1"/>
                      </a:solidFill>
                    </a:defRPr>
                  </a:pPr>
                  <a:endParaRPr lang="en-US"/>
                </a:p>
              </c:txPr>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2-73AF-4A52-88ED-9BAC33D767BE}"/>
                </c:ext>
              </c:extLst>
            </c:dLbl>
            <c:dLbl>
              <c:idx val="3"/>
              <c:layout>
                <c:manualLayout>
                  <c:x val="0.22229166666666667"/>
                  <c:y val="7.773075240594926E-2"/>
                </c:manualLayout>
              </c:layout>
              <c:spPr/>
              <c:txPr>
                <a:bodyPr/>
                <a:lstStyle/>
                <a:p>
                  <a:pPr>
                    <a:defRPr b="1">
                      <a:solidFill>
                        <a:schemeClr val="bg1"/>
                      </a:solidFill>
                    </a:defRPr>
                  </a:pPr>
                  <a:endParaRPr lang="en-US"/>
                </a:p>
              </c:txPr>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73AF-4A52-88ED-9BAC33D767BE}"/>
                </c:ext>
              </c:extLst>
            </c:dLbl>
            <c:dLbl>
              <c:idx val="4"/>
              <c:layout>
                <c:manualLayout>
                  <c:x val="-3.3386264216972876E-2"/>
                  <c:y val="-4.6161052785068511E-2"/>
                </c:manualLayout>
              </c:layout>
              <c:showLegendKey val="1"/>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4-73AF-4A52-88ED-9BAC33D767BE}"/>
                </c:ext>
              </c:extLst>
            </c:dLbl>
            <c:dLbl>
              <c:idx val="5"/>
              <c:layout>
                <c:manualLayout>
                  <c:x val="2.8769247594050744E-2"/>
                  <c:y val="5.3430300379119274E-3"/>
                </c:manualLayout>
              </c:layout>
              <c:showLegendKey val="1"/>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73AF-4A52-88ED-9BAC33D767BE}"/>
                </c:ext>
              </c:extLst>
            </c:dLbl>
            <c:spPr>
              <a:noFill/>
              <a:ln>
                <a:noFill/>
              </a:ln>
              <a:effectLst/>
            </c:spPr>
            <c:txPr>
              <a:bodyPr/>
              <a:lstStyle/>
              <a:p>
                <a:pPr>
                  <a:defRPr b="1"/>
                </a:pPr>
                <a:endParaRPr lang="en-US"/>
              </a:p>
            </c:txPr>
            <c:showLegendKey val="0"/>
            <c:showVal val="0"/>
            <c:showCatName val="1"/>
            <c:showSerName val="0"/>
            <c:showPercent val="1"/>
            <c:showBubbleSize val="0"/>
            <c:separator> </c:separator>
            <c:showLeaderLines val="0"/>
            <c:extLst>
              <c:ext xmlns:c15="http://schemas.microsoft.com/office/drawing/2012/chart" uri="{CE6537A1-D6FC-4f65-9D91-7224C49458BB}"/>
            </c:extLst>
          </c:dLbls>
          <c:cat>
            <c:strRef>
              <c:f>'SUBREGIONS graphs'!$B$78:$G$78</c:f>
              <c:strCache>
                <c:ptCount val="6"/>
                <c:pt idx="0">
                  <c:v>Central Asia</c:v>
                </c:pt>
                <c:pt idx="1">
                  <c:v>Eastern Asia</c:v>
                </c:pt>
                <c:pt idx="2">
                  <c:v>South-Eastern Asia</c:v>
                </c:pt>
                <c:pt idx="3">
                  <c:v>Southern Asia</c:v>
                </c:pt>
                <c:pt idx="4">
                  <c:v>Western Asia</c:v>
                </c:pt>
                <c:pt idx="5">
                  <c:v>Blank</c:v>
                </c:pt>
              </c:strCache>
            </c:strRef>
          </c:cat>
          <c:val>
            <c:numRef>
              <c:f>'SUBREGIONS graphs'!$B$79:$G$79</c:f>
              <c:numCache>
                <c:formatCode>General</c:formatCode>
                <c:ptCount val="6"/>
                <c:pt idx="0">
                  <c:v>3</c:v>
                </c:pt>
                <c:pt idx="1">
                  <c:v>26</c:v>
                </c:pt>
                <c:pt idx="2">
                  <c:v>27</c:v>
                </c:pt>
                <c:pt idx="3">
                  <c:v>96</c:v>
                </c:pt>
                <c:pt idx="4">
                  <c:v>13</c:v>
                </c:pt>
                <c:pt idx="5">
                  <c:v>4</c:v>
                </c:pt>
              </c:numCache>
            </c:numRef>
          </c:val>
          <c:extLst>
            <c:ext xmlns:c16="http://schemas.microsoft.com/office/drawing/2014/chart" uri="{C3380CC4-5D6E-409C-BE32-E72D297353CC}">
              <c16:uniqueId val="{00000006-73AF-4A52-88ED-9BAC33D767BE}"/>
            </c:ext>
          </c:extLst>
        </c:ser>
        <c:dLbls>
          <c:showLegendKey val="0"/>
          <c:showVal val="0"/>
          <c:showCatName val="1"/>
          <c:showSerName val="0"/>
          <c:showPercent val="1"/>
          <c:showBubbleSize val="0"/>
          <c:showLeaderLines val="0"/>
        </c:dLbls>
      </c:pie3DChart>
    </c:plotArea>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[2016-11-11 ipbes_stakeholders_needs_analysis_survey.xlsx]Nationality vs region!PivotTable2</c:name>
    <c:fmtId val="-1"/>
  </c:pivotSource>
  <c:chart>
    <c:title>
      <c:tx>
        <c:rich>
          <a:bodyPr/>
          <a:lstStyle/>
          <a:p>
            <a:pPr>
              <a:defRPr sz="1100"/>
            </a:pPr>
            <a:r>
              <a:rPr lang="en-US" sz="1100"/>
              <a:t>Responses from Eastern Europe (EE) </a:t>
            </a:r>
          </a:p>
        </c:rich>
      </c:tx>
      <c:overlay val="0"/>
    </c:title>
    <c:autoTitleDeleted val="0"/>
    <c:pivotFmts>
      <c:pivotFmt>
        <c:idx val="0"/>
        <c:marker>
          <c:symbol val="none"/>
        </c:marker>
      </c:pivotFmt>
      <c:pivotFmt>
        <c:idx val="1"/>
        <c:marker>
          <c:symbol val="none"/>
        </c:marker>
      </c:pivotFmt>
      <c:pivotFmt>
        <c:idx val="2"/>
        <c:marker>
          <c:symbol val="none"/>
        </c:marker>
      </c:pivotFmt>
    </c:pivotFmts>
    <c:view3D>
      <c:rotX val="15"/>
      <c:rotY val="20"/>
      <c:rAngAx val="1"/>
    </c:view3D>
    <c:floor>
      <c:thickness val="0"/>
    </c:floor>
    <c:sideWall>
      <c:thickness val="0"/>
    </c:sideWall>
    <c:backWall>
      <c:thickness val="0"/>
    </c:backWall>
    <c:plotArea>
      <c:layout>
        <c:manualLayout>
          <c:layoutTarget val="inner"/>
          <c:xMode val="edge"/>
          <c:yMode val="edge"/>
          <c:x val="0.22559455558126604"/>
          <c:y val="0.13258220194580334"/>
          <c:w val="0.73799448471790152"/>
          <c:h val="0.82560149508052538"/>
        </c:manualLayout>
      </c:layout>
      <c:bar3DChart>
        <c:barDir val="bar"/>
        <c:grouping val="clustered"/>
        <c:varyColors val="0"/>
        <c:ser>
          <c:idx val="0"/>
          <c:order val="0"/>
          <c:tx>
            <c:strRef>
              <c:f>'Nationality vs region'!$B$3:$B$4</c:f>
              <c:strCache>
                <c:ptCount val="1"/>
                <c:pt idx="0">
                  <c:v>EE</c:v>
                </c:pt>
              </c:strCache>
            </c:strRef>
          </c:tx>
          <c:invertIfNegative val="0"/>
          <c:dPt>
            <c:idx val="11"/>
            <c:invertIfNegative val="0"/>
            <c:bubble3D val="0"/>
            <c:spPr>
              <a:solidFill>
                <a:srgbClr val="FFC000"/>
              </a:solidFill>
            </c:spPr>
            <c:extLst>
              <c:ext xmlns:c16="http://schemas.microsoft.com/office/drawing/2014/chart" uri="{C3380CC4-5D6E-409C-BE32-E72D297353CC}">
                <c16:uniqueId val="{00000001-C2A3-4DE7-90B6-5D65F81E3541}"/>
              </c:ext>
            </c:extLst>
          </c:dPt>
          <c:dPt>
            <c:idx val="13"/>
            <c:invertIfNegative val="0"/>
            <c:bubble3D val="0"/>
            <c:spPr>
              <a:solidFill>
                <a:srgbClr val="FFC000"/>
              </a:solidFill>
            </c:spPr>
            <c:extLst>
              <c:ext xmlns:c16="http://schemas.microsoft.com/office/drawing/2014/chart" uri="{C3380CC4-5D6E-409C-BE32-E72D297353CC}">
                <c16:uniqueId val="{00000003-C2A3-4DE7-90B6-5D65F81E3541}"/>
              </c:ext>
            </c:extLst>
          </c:dPt>
          <c:dPt>
            <c:idx val="19"/>
            <c:invertIfNegative val="0"/>
            <c:bubble3D val="0"/>
            <c:spPr>
              <a:solidFill>
                <a:srgbClr val="FFC000"/>
              </a:solidFill>
            </c:spPr>
            <c:extLst>
              <c:ext xmlns:c16="http://schemas.microsoft.com/office/drawing/2014/chart" uri="{C3380CC4-5D6E-409C-BE32-E72D297353CC}">
                <c16:uniqueId val="{00000005-C2A3-4DE7-90B6-5D65F81E3541}"/>
              </c:ext>
            </c:extLst>
          </c:dPt>
          <c:dLbls>
            <c:dLbl>
              <c:idx val="18"/>
              <c:layout>
                <c:manualLayout>
                  <c:x val="-4.7433138756428116E-3"/>
                  <c:y val="-1.2145330621667675E-3"/>
                </c:manualLayout>
              </c:layout>
              <c:spPr>
                <a:solidFill>
                  <a:schemeClr val="bg1"/>
                </a:solidFill>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2A3-4DE7-90B6-5D65F81E3541}"/>
                </c:ext>
              </c:extLst>
            </c:dLbl>
            <c:spPr>
              <a:solidFill>
                <a:schemeClr val="bg1"/>
              </a:solidFill>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'Nationality vs region'!$A$5:$A$26</c:f>
              <c:strCache>
                <c:ptCount val="21"/>
                <c:pt idx="0">
                  <c:v>Azerbaijan</c:v>
                </c:pt>
                <c:pt idx="1">
                  <c:v>Belarus</c:v>
                </c:pt>
                <c:pt idx="2">
                  <c:v>Bulgaria</c:v>
                </c:pt>
                <c:pt idx="3">
                  <c:v>Croatia</c:v>
                </c:pt>
                <c:pt idx="4">
                  <c:v>Czech Republic</c:v>
                </c:pt>
                <c:pt idx="5">
                  <c:v>Estonia</c:v>
                </c:pt>
                <c:pt idx="6">
                  <c:v>Georgia</c:v>
                </c:pt>
                <c:pt idx="7">
                  <c:v>Hungary</c:v>
                </c:pt>
                <c:pt idx="8">
                  <c:v>Kyrgyzstan</c:v>
                </c:pt>
                <c:pt idx="9">
                  <c:v>Latvia</c:v>
                </c:pt>
                <c:pt idx="10">
                  <c:v>Lithuania</c:v>
                </c:pt>
                <c:pt idx="11">
                  <c:v>Poland</c:v>
                </c:pt>
                <c:pt idx="12">
                  <c:v>Republic of Moldova</c:v>
                </c:pt>
                <c:pt idx="13">
                  <c:v>Romania</c:v>
                </c:pt>
                <c:pt idx="14">
                  <c:v>Russian Federation</c:v>
                </c:pt>
                <c:pt idx="15">
                  <c:v>Serbia</c:v>
                </c:pt>
                <c:pt idx="16">
                  <c:v>Slovakia</c:v>
                </c:pt>
                <c:pt idx="17">
                  <c:v>Slovenia</c:v>
                </c:pt>
                <c:pt idx="18">
                  <c:v>Turkey</c:v>
                </c:pt>
                <c:pt idx="19">
                  <c:v>Ukraine</c:v>
                </c:pt>
                <c:pt idx="20">
                  <c:v>Uzbekistan</c:v>
                </c:pt>
              </c:strCache>
            </c:strRef>
          </c:cat>
          <c:val>
            <c:numRef>
              <c:f>'Nationality vs region'!$B$5:$B$26</c:f>
              <c:numCache>
                <c:formatCode>General</c:formatCode>
                <c:ptCount val="21"/>
                <c:pt idx="0">
                  <c:v>2</c:v>
                </c:pt>
                <c:pt idx="1">
                  <c:v>3</c:v>
                </c:pt>
                <c:pt idx="2">
                  <c:v>1</c:v>
                </c:pt>
                <c:pt idx="3">
                  <c:v>3</c:v>
                </c:pt>
                <c:pt idx="4">
                  <c:v>1</c:v>
                </c:pt>
                <c:pt idx="5">
                  <c:v>1</c:v>
                </c:pt>
                <c:pt idx="6">
                  <c:v>2</c:v>
                </c:pt>
                <c:pt idx="7">
                  <c:v>2</c:v>
                </c:pt>
                <c:pt idx="8">
                  <c:v>1</c:v>
                </c:pt>
                <c:pt idx="9">
                  <c:v>2</c:v>
                </c:pt>
                <c:pt idx="10">
                  <c:v>1</c:v>
                </c:pt>
                <c:pt idx="11">
                  <c:v>3</c:v>
                </c:pt>
                <c:pt idx="12">
                  <c:v>1</c:v>
                </c:pt>
                <c:pt idx="13">
                  <c:v>5</c:v>
                </c:pt>
                <c:pt idx="14">
                  <c:v>3</c:v>
                </c:pt>
                <c:pt idx="15">
                  <c:v>1</c:v>
                </c:pt>
                <c:pt idx="16">
                  <c:v>2</c:v>
                </c:pt>
                <c:pt idx="17">
                  <c:v>1</c:v>
                </c:pt>
                <c:pt idx="18">
                  <c:v>14</c:v>
                </c:pt>
                <c:pt idx="19">
                  <c:v>3</c:v>
                </c:pt>
                <c:pt idx="20">
                  <c:v>2</c:v>
                </c:pt>
              </c:numCache>
            </c:numRef>
          </c:val>
          <c:extLst>
            <c:ext xmlns:c16="http://schemas.microsoft.com/office/drawing/2014/chart" uri="{C3380CC4-5D6E-409C-BE32-E72D297353CC}">
              <c16:uniqueId val="{00000007-C2A3-4DE7-90B6-5D65F81E3541}"/>
            </c:ext>
          </c:extLst>
        </c:ser>
        <c:dLbls>
          <c:showLegendKey val="0"/>
          <c:showVal val="0"/>
          <c:showCatName val="0"/>
          <c:showSerName val="0"/>
          <c:showPercent val="0"/>
          <c:showBubbleSize val="0"/>
        </c:dLbls>
        <c:gapWidth val="150"/>
        <c:shape val="box"/>
        <c:axId val="103926784"/>
        <c:axId val="103936768"/>
        <c:axId val="0"/>
      </c:bar3DChart>
      <c:catAx>
        <c:axId val="103926784"/>
        <c:scaling>
          <c:orientation val="maxMin"/>
        </c:scaling>
        <c:delete val="0"/>
        <c:axPos val="l"/>
        <c:numFmt formatCode="General" sourceLinked="0"/>
        <c:majorTickMark val="out"/>
        <c:minorTickMark val="none"/>
        <c:tickLblPos val="nextTo"/>
        <c:crossAx val="103936768"/>
        <c:crosses val="autoZero"/>
        <c:auto val="1"/>
        <c:lblAlgn val="ctr"/>
        <c:lblOffset val="100"/>
        <c:noMultiLvlLbl val="0"/>
      </c:catAx>
      <c:valAx>
        <c:axId val="103936768"/>
        <c:scaling>
          <c:orientation val="minMax"/>
        </c:scaling>
        <c:delete val="0"/>
        <c:axPos val="t"/>
        <c:majorGridlines/>
        <c:numFmt formatCode="General" sourceLinked="1"/>
        <c:majorTickMark val="out"/>
        <c:minorTickMark val="none"/>
        <c:tickLblPos val="nextTo"/>
        <c:crossAx val="103926784"/>
        <c:crosses val="autoZero"/>
        <c:crossBetween val="between"/>
      </c:valAx>
    </c:plotArea>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40"/>
      <c:rAngAx val="0"/>
    </c:view3D>
    <c:floor>
      <c:thickness val="0"/>
    </c:floor>
    <c:sideWall>
      <c:thickness val="0"/>
    </c:sideWall>
    <c:backWall>
      <c:thickness val="0"/>
    </c:backWall>
    <c:plotArea>
      <c:layout>
        <c:manualLayout>
          <c:layoutTarget val="inner"/>
          <c:xMode val="edge"/>
          <c:yMode val="edge"/>
          <c:x val="2.4909117669661132E-3"/>
          <c:y val="4.6364057433997213E-2"/>
          <c:w val="0.99750921404901294"/>
          <c:h val="0.88292499533814939"/>
        </c:manualLayout>
      </c:layout>
      <c:pie3DChart>
        <c:varyColors val="1"/>
        <c:ser>
          <c:idx val="0"/>
          <c:order val="0"/>
          <c:dPt>
            <c:idx val="0"/>
            <c:bubble3D val="0"/>
            <c:spPr>
              <a:solidFill>
                <a:srgbClr val="FFC000"/>
              </a:solidFill>
            </c:spPr>
            <c:extLst>
              <c:ext xmlns:c16="http://schemas.microsoft.com/office/drawing/2014/chart" uri="{C3380CC4-5D6E-409C-BE32-E72D297353CC}">
                <c16:uniqueId val="{00000001-CABC-4B0C-9546-35C12008B06C}"/>
              </c:ext>
            </c:extLst>
          </c:dPt>
          <c:dLbls>
            <c:dLbl>
              <c:idx val="0"/>
              <c:layout>
                <c:manualLayout>
                  <c:x val="-1.8614738946523237E-2"/>
                  <c:y val="1.2449853978883386E-2"/>
                </c:manualLayout>
              </c:layout>
              <c:spPr/>
              <c:txPr>
                <a:bodyPr/>
                <a:lstStyle/>
                <a:p>
                  <a:pPr>
                    <a:defRPr b="1">
                      <a:solidFill>
                        <a:schemeClr val="tx1"/>
                      </a:solidFill>
                    </a:defRPr>
                  </a:pPr>
                  <a:endParaRPr lang="en-US"/>
                </a:p>
              </c:txPr>
              <c:dLblPos val="bestFit"/>
              <c:showLegendKey val="1"/>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CABC-4B0C-9546-35C12008B06C}"/>
                </c:ext>
              </c:extLst>
            </c:dLbl>
            <c:dLbl>
              <c:idx val="1"/>
              <c:layout>
                <c:manualLayout>
                  <c:x val="-0.2583799174638976"/>
                  <c:y val="-0.26760482072200958"/>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2-CABC-4B0C-9546-35C12008B06C}"/>
                </c:ext>
              </c:extLst>
            </c:dLbl>
            <c:dLbl>
              <c:idx val="2"/>
              <c:layout>
                <c:manualLayout>
                  <c:x val="0.19961602175557536"/>
                  <c:y val="-0.21381724174849906"/>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CABC-4B0C-9546-35C12008B06C}"/>
                </c:ext>
              </c:extLst>
            </c:dLbl>
            <c:dLbl>
              <c:idx val="3"/>
              <c:layout>
                <c:manualLayout>
                  <c:x val="0.16483999592195611"/>
                  <c:y val="-0.17935082698463681"/>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4-CABC-4B0C-9546-35C12008B06C}"/>
                </c:ext>
              </c:extLst>
            </c:dLbl>
            <c:dLbl>
              <c:idx val="4"/>
              <c:layout>
                <c:manualLayout>
                  <c:x val="0.13284847419764198"/>
                  <c:y val="0.11113136117737495"/>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CABC-4B0C-9546-35C12008B06C}"/>
                </c:ext>
              </c:extLst>
            </c:dLbl>
            <c:spPr>
              <a:noFill/>
              <a:ln>
                <a:noFill/>
              </a:ln>
              <a:effectLst/>
            </c:spPr>
            <c:txPr>
              <a:bodyPr/>
              <a:lstStyle/>
              <a:p>
                <a:pPr>
                  <a:defRPr b="1">
                    <a:solidFill>
                      <a:schemeClr val="bg1"/>
                    </a:solidFill>
                  </a:defRPr>
                </a:pPr>
                <a:endParaRPr lang="en-US"/>
              </a:p>
            </c:txPr>
            <c:dLblPos val="inEnd"/>
            <c:showLegendKey val="0"/>
            <c:showVal val="0"/>
            <c:showCatName val="1"/>
            <c:showSerName val="0"/>
            <c:showPercent val="1"/>
            <c:showBubbleSize val="0"/>
            <c:separator> </c:separator>
            <c:showLeaderLines val="1"/>
            <c:extLst>
              <c:ext xmlns:c15="http://schemas.microsoft.com/office/drawing/2012/chart" uri="{CE6537A1-D6FC-4f65-9D91-7224C49458BB}"/>
            </c:extLst>
          </c:dLbls>
          <c:cat>
            <c:strRef>
              <c:f>'SUBREGIONS graphs'!$B$106:$F$106</c:f>
              <c:strCache>
                <c:ptCount val="5"/>
                <c:pt idx="0">
                  <c:v>Central Asia</c:v>
                </c:pt>
                <c:pt idx="1">
                  <c:v>Eastern Europe</c:v>
                </c:pt>
                <c:pt idx="2">
                  <c:v>Northern Europe</c:v>
                </c:pt>
                <c:pt idx="3">
                  <c:v>Southern Europe</c:v>
                </c:pt>
                <c:pt idx="4">
                  <c:v>Western Asia</c:v>
                </c:pt>
              </c:strCache>
            </c:strRef>
          </c:cat>
          <c:val>
            <c:numRef>
              <c:f>'SUBREGIONS graphs'!$B$107:$F$107</c:f>
              <c:numCache>
                <c:formatCode>General</c:formatCode>
                <c:ptCount val="5"/>
                <c:pt idx="0">
                  <c:v>3</c:v>
                </c:pt>
                <c:pt idx="1">
                  <c:v>24</c:v>
                </c:pt>
                <c:pt idx="2">
                  <c:v>4</c:v>
                </c:pt>
                <c:pt idx="3">
                  <c:v>5</c:v>
                </c:pt>
                <c:pt idx="4">
                  <c:v>18</c:v>
                </c:pt>
              </c:numCache>
            </c:numRef>
          </c:val>
          <c:extLst>
            <c:ext xmlns:c16="http://schemas.microsoft.com/office/drawing/2014/chart" uri="{C3380CC4-5D6E-409C-BE32-E72D297353CC}">
              <c16:uniqueId val="{00000006-CABC-4B0C-9546-35C12008B06C}"/>
            </c:ext>
          </c:extLst>
        </c:ser>
        <c:dLbls>
          <c:showLegendKey val="0"/>
          <c:showVal val="0"/>
          <c:showCatName val="1"/>
          <c:showSerName val="0"/>
          <c:showPercent val="1"/>
          <c:showBubbleSize val="0"/>
          <c:showLeaderLines val="1"/>
        </c:dLbls>
      </c:pie3DChart>
      <c:spPr>
        <a:ln>
          <a:noFill/>
        </a:ln>
      </c:spPr>
    </c:plotArea>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[2016-11-11 ipbes_stakeholders_needs_analysis_survey.xlsx]Nationality vs region!PivotTable2</c:name>
    <c:fmtId val="-1"/>
  </c:pivotSource>
  <c:chart>
    <c:title>
      <c:tx>
        <c:rich>
          <a:bodyPr/>
          <a:lstStyle/>
          <a:p>
            <a:pPr>
              <a:defRPr sz="1100"/>
            </a:pPr>
            <a:r>
              <a:rPr lang="en-US" sz="1100"/>
              <a:t>Responses from </a:t>
            </a:r>
            <a:r>
              <a:rPr lang="en-US" sz="1100" b="1" i="0" u="none" strike="noStrike" kern="1200" baseline="0">
                <a:solidFill>
                  <a:sysClr val="windowText" lastClr="000000"/>
                </a:solidFill>
                <a:latin typeface="+mn-lt"/>
                <a:ea typeface="+mn-ea"/>
                <a:cs typeface="+mn-cs"/>
              </a:rPr>
              <a:t>Latin America and the Caribbean (LAC)</a:t>
            </a:r>
            <a:endParaRPr lang="en-US" sz="1100"/>
          </a:p>
        </c:rich>
      </c:tx>
      <c:overlay val="0"/>
    </c:title>
    <c:autoTitleDeleted val="0"/>
    <c:pivotFmts>
      <c:pivotFmt>
        <c:idx val="0"/>
        <c:marker>
          <c:symbol val="none"/>
        </c:marker>
      </c:pivotFmt>
      <c:pivotFmt>
        <c:idx val="1"/>
        <c:marker>
          <c:symbol val="none"/>
        </c:marker>
      </c:pivotFmt>
      <c:pivotFmt>
        <c:idx val="2"/>
        <c:marker>
          <c:symbol val="none"/>
        </c:marker>
      </c:pivotFmt>
    </c:pivotFmts>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'Nationality vs region'!$B$3:$B$4</c:f>
              <c:strCache>
                <c:ptCount val="1"/>
                <c:pt idx="0">
                  <c:v>LAC</c:v>
                </c:pt>
              </c:strCache>
            </c:strRef>
          </c:tx>
          <c:invertIfNegative val="0"/>
          <c:dLbls>
            <c:spPr>
              <a:solidFill>
                <a:schemeClr val="bg1"/>
              </a:solidFill>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'Nationality vs region'!$A$5:$A$21</c:f>
              <c:strCache>
                <c:ptCount val="16"/>
                <c:pt idx="0">
                  <c:v>Antigua and Barbuda</c:v>
                </c:pt>
                <c:pt idx="1">
                  <c:v>Argentina</c:v>
                </c:pt>
                <c:pt idx="2">
                  <c:v>Bolivia (Plurinational State of)</c:v>
                </c:pt>
                <c:pt idx="3">
                  <c:v>Brazil</c:v>
                </c:pt>
                <c:pt idx="4">
                  <c:v>Chile</c:v>
                </c:pt>
                <c:pt idx="5">
                  <c:v>Colombia</c:v>
                </c:pt>
                <c:pt idx="6">
                  <c:v>Costa Rica</c:v>
                </c:pt>
                <c:pt idx="7">
                  <c:v>Cuba</c:v>
                </c:pt>
                <c:pt idx="8">
                  <c:v>Guatemala</c:v>
                </c:pt>
                <c:pt idx="9">
                  <c:v>Guyana</c:v>
                </c:pt>
                <c:pt idx="10">
                  <c:v>Mexico</c:v>
                </c:pt>
                <c:pt idx="11">
                  <c:v>Panama</c:v>
                </c:pt>
                <c:pt idx="12">
                  <c:v>Peru</c:v>
                </c:pt>
                <c:pt idx="13">
                  <c:v>Trinidad and Tobago</c:v>
                </c:pt>
                <c:pt idx="14">
                  <c:v>Uruguay</c:v>
                </c:pt>
                <c:pt idx="15">
                  <c:v>Venezuela (Bolivarian Republic of)</c:v>
                </c:pt>
              </c:strCache>
            </c:strRef>
          </c:cat>
          <c:val>
            <c:numRef>
              <c:f>'Nationality vs region'!$B$5:$B$21</c:f>
              <c:numCache>
                <c:formatCode>General</c:formatCode>
                <c:ptCount val="16"/>
                <c:pt idx="0">
                  <c:v>2</c:v>
                </c:pt>
                <c:pt idx="1">
                  <c:v>22</c:v>
                </c:pt>
                <c:pt idx="2">
                  <c:v>2</c:v>
                </c:pt>
                <c:pt idx="3">
                  <c:v>42</c:v>
                </c:pt>
                <c:pt idx="4">
                  <c:v>9</c:v>
                </c:pt>
                <c:pt idx="5">
                  <c:v>35</c:v>
                </c:pt>
                <c:pt idx="6">
                  <c:v>2</c:v>
                </c:pt>
                <c:pt idx="7">
                  <c:v>3</c:v>
                </c:pt>
                <c:pt idx="8">
                  <c:v>4</c:v>
                </c:pt>
                <c:pt idx="9">
                  <c:v>1</c:v>
                </c:pt>
                <c:pt idx="10">
                  <c:v>11</c:v>
                </c:pt>
                <c:pt idx="11">
                  <c:v>2</c:v>
                </c:pt>
                <c:pt idx="12">
                  <c:v>13</c:v>
                </c:pt>
                <c:pt idx="13">
                  <c:v>3</c:v>
                </c:pt>
                <c:pt idx="14">
                  <c:v>6</c:v>
                </c:pt>
                <c:pt idx="15">
                  <c:v>2</c:v>
                </c:pt>
              </c:numCache>
            </c:numRef>
          </c:val>
          <c:extLst>
            <c:ext xmlns:c16="http://schemas.microsoft.com/office/drawing/2014/chart" uri="{C3380CC4-5D6E-409C-BE32-E72D297353CC}">
              <c16:uniqueId val="{00000000-9C16-4B1C-A2CF-02F884A70936}"/>
            </c:ext>
          </c:extLst>
        </c:ser>
        <c:dLbls>
          <c:showLegendKey val="0"/>
          <c:showVal val="0"/>
          <c:showCatName val="0"/>
          <c:showSerName val="0"/>
          <c:showPercent val="0"/>
          <c:showBubbleSize val="0"/>
        </c:dLbls>
        <c:gapWidth val="150"/>
        <c:shape val="box"/>
        <c:axId val="106167296"/>
        <c:axId val="106050304"/>
        <c:axId val="0"/>
      </c:bar3DChart>
      <c:catAx>
        <c:axId val="106167296"/>
        <c:scaling>
          <c:orientation val="maxMin"/>
        </c:scaling>
        <c:delete val="0"/>
        <c:axPos val="l"/>
        <c:numFmt formatCode="General" sourceLinked="0"/>
        <c:majorTickMark val="out"/>
        <c:minorTickMark val="none"/>
        <c:tickLblPos val="nextTo"/>
        <c:crossAx val="106050304"/>
        <c:crosses val="autoZero"/>
        <c:auto val="1"/>
        <c:lblAlgn val="ctr"/>
        <c:lblOffset val="100"/>
        <c:noMultiLvlLbl val="0"/>
      </c:catAx>
      <c:valAx>
        <c:axId val="106050304"/>
        <c:scaling>
          <c:orientation val="minMax"/>
        </c:scaling>
        <c:delete val="0"/>
        <c:axPos val="t"/>
        <c:majorGridlines/>
        <c:numFmt formatCode="General" sourceLinked="1"/>
        <c:majorTickMark val="out"/>
        <c:minorTickMark val="none"/>
        <c:tickLblPos val="nextTo"/>
        <c:crossAx val="106167296"/>
        <c:crosses val="autoZero"/>
        <c:crossBetween val="between"/>
      </c:valAx>
    </c:plotArea>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60"/>
      <c:rAngAx val="0"/>
    </c:view3D>
    <c:floor>
      <c:thickness val="0"/>
    </c:floor>
    <c:sideWall>
      <c:thickness val="0"/>
    </c:sideWall>
    <c:backWall>
      <c:thickness val="0"/>
    </c:backWall>
    <c:plotArea>
      <c:layout>
        <c:manualLayout>
          <c:layoutTarget val="inner"/>
          <c:xMode val="edge"/>
          <c:yMode val="edge"/>
          <c:x val="1.0319917440660475E-2"/>
          <c:y val="0.1114557213838282"/>
          <c:w val="0.9607310841021357"/>
          <c:h val="0.79550752395668534"/>
        </c:manualLayout>
      </c:layout>
      <c:pie3DChart>
        <c:varyColors val="1"/>
        <c:ser>
          <c:idx val="0"/>
          <c:order val="0"/>
          <c:dLbls>
            <c:dLbl>
              <c:idx val="0"/>
              <c:layout>
                <c:manualLayout>
                  <c:x val="5.9833509480623102E-3"/>
                  <c:y val="-2.5039371140111833E-2"/>
                </c:manualLayout>
              </c:layout>
              <c:dLblPos val="bestFit"/>
              <c:showLegendKey val="1"/>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0-B5A4-4207-A64B-FD97A7658466}"/>
                </c:ext>
              </c:extLst>
            </c:dLbl>
            <c:dLbl>
              <c:idx val="1"/>
              <c:layout>
                <c:manualLayout>
                  <c:x val="-5.3316755993533379E-3"/>
                  <c:y val="-8.7246895801834451E-2"/>
                </c:manualLayout>
              </c:layout>
              <c:dLblPos val="bestFit"/>
              <c:showLegendKey val="1"/>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B5A4-4207-A64B-FD97A7658466}"/>
                </c:ext>
              </c:extLst>
            </c:dLbl>
            <c:dLbl>
              <c:idx val="2"/>
              <c:layout>
                <c:manualLayout>
                  <c:x val="0.24269554437867349"/>
                  <c:y val="-0.11726414291580903"/>
                </c:manualLayout>
              </c:layout>
              <c:spPr/>
              <c:txPr>
                <a:bodyPr/>
                <a:lstStyle/>
                <a:p>
                  <a:pPr>
                    <a:defRPr b="1">
                      <a:solidFill>
                        <a:schemeClr val="bg1"/>
                      </a:solidFill>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2-B5A4-4207-A64B-FD97A7658466}"/>
                </c:ext>
              </c:extLst>
            </c:dLbl>
            <c:spPr>
              <a:noFill/>
              <a:ln>
                <a:noFill/>
              </a:ln>
              <a:effectLst/>
            </c:spPr>
            <c:txPr>
              <a:bodyPr/>
              <a:lstStyle/>
              <a:p>
                <a:pPr>
                  <a:defRPr b="1"/>
                </a:pPr>
                <a:endParaRPr lang="en-US"/>
              </a:p>
            </c:txPr>
            <c:dLblPos val="inEnd"/>
            <c:showLegendKey val="0"/>
            <c:showVal val="0"/>
            <c:showCatName val="1"/>
            <c:showSerName val="0"/>
            <c:showPercent val="1"/>
            <c:showBubbleSize val="0"/>
            <c:separator> </c:separator>
            <c:showLeaderLines val="0"/>
            <c:extLst>
              <c:ext xmlns:c15="http://schemas.microsoft.com/office/drawing/2012/chart" uri="{CE6537A1-D6FC-4f65-9D91-7224C49458BB}"/>
            </c:extLst>
          </c:dLbls>
          <c:cat>
            <c:strRef>
              <c:f>'SUBREGIONS graphs'!$B$132:$D$132</c:f>
              <c:strCache>
                <c:ptCount val="3"/>
                <c:pt idx="0">
                  <c:v>Caribbean</c:v>
                </c:pt>
                <c:pt idx="1">
                  <c:v>Central America</c:v>
                </c:pt>
                <c:pt idx="2">
                  <c:v>South America</c:v>
                </c:pt>
              </c:strCache>
            </c:strRef>
          </c:cat>
          <c:val>
            <c:numRef>
              <c:f>'SUBREGIONS graphs'!$B$133:$D$133</c:f>
              <c:numCache>
                <c:formatCode>General</c:formatCode>
                <c:ptCount val="3"/>
                <c:pt idx="0">
                  <c:v>8</c:v>
                </c:pt>
                <c:pt idx="1">
                  <c:v>19</c:v>
                </c:pt>
                <c:pt idx="2">
                  <c:v>132</c:v>
                </c:pt>
              </c:numCache>
            </c:numRef>
          </c:val>
          <c:extLst>
            <c:ext xmlns:c16="http://schemas.microsoft.com/office/drawing/2014/chart" uri="{C3380CC4-5D6E-409C-BE32-E72D297353CC}">
              <c16:uniqueId val="{00000003-B5A4-4207-A64B-FD97A7658466}"/>
            </c:ext>
          </c:extLst>
        </c:ser>
        <c:dLbls>
          <c:showLegendKey val="0"/>
          <c:showVal val="0"/>
          <c:showCatName val="1"/>
          <c:showSerName val="0"/>
          <c:showPercent val="1"/>
          <c:showBubbleSize val="0"/>
          <c:showLeaderLines val="0"/>
        </c:dLbls>
      </c:pie3DChart>
    </c:plotArea>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07E0CD-C02F-45F2-B12C-41564EBFAF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Pages>
  <Words>3538</Words>
  <Characters>20171</Characters>
  <Application>Microsoft Office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NATIONS UNIES</vt:lpstr>
    </vt:vector>
  </TitlesOfParts>
  <Company/>
  <LinksUpToDate>false</LinksUpToDate>
  <CharactersWithSpaces>23662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NATIONS UNIES</dc:title>
  <dc:creator>Cynthia Mwanza</dc:creator>
  <cp:lastModifiedBy>Sarah Banda-Genchev</cp:lastModifiedBy>
  <cp:revision>2</cp:revision>
  <cp:lastPrinted>2010-07-07T11:56:00Z</cp:lastPrinted>
  <dcterms:created xsi:type="dcterms:W3CDTF">2017-02-09T08:34:00Z</dcterms:created>
  <dcterms:modified xsi:type="dcterms:W3CDTF">2017-02-09T08:34:00Z</dcterms:modified>
</cp:coreProperties>
</file>