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26"/>
        <w:gridCol w:w="483"/>
        <w:gridCol w:w="509"/>
        <w:gridCol w:w="851"/>
        <w:gridCol w:w="992"/>
        <w:gridCol w:w="2410"/>
        <w:gridCol w:w="708"/>
        <w:gridCol w:w="567"/>
        <w:gridCol w:w="1666"/>
      </w:tblGrid>
      <w:tr w:rsidR="008925F1" w:rsidRPr="00C24EC5" w14:paraId="62ABC001" w14:textId="77777777" w:rsidTr="00B72B4E">
        <w:trPr>
          <w:cantSplit/>
          <w:trHeight w:val="1079"/>
          <w:jc w:val="right"/>
        </w:trPr>
        <w:tc>
          <w:tcPr>
            <w:tcW w:w="1526" w:type="dxa"/>
          </w:tcPr>
          <w:p w14:paraId="4354BB86" w14:textId="77777777" w:rsidR="008925F1" w:rsidRPr="00702E20" w:rsidRDefault="008925F1" w:rsidP="00B72B4E">
            <w:pPr>
              <w:keepNext/>
              <w:spacing w:before="40" w:after="0" w:line="240" w:lineRule="auto"/>
              <w:outlineLvl w:val="1"/>
              <w:rPr>
                <w:rFonts w:ascii="Times New Roman" w:hAnsi="Times New Roman"/>
                <w:sz w:val="27"/>
                <w:szCs w:val="27"/>
                <w:lang w:val="en-GB"/>
              </w:rPr>
            </w:pPr>
            <w:bookmarkStart w:id="0" w:name="_GoBack"/>
            <w:bookmarkEnd w:id="0"/>
            <w:r w:rsidRPr="00702E20">
              <w:rPr>
                <w:rFonts w:ascii="Arial" w:hAnsi="Arial" w:cs="Arial"/>
                <w:b/>
                <w:noProof/>
                <w:sz w:val="27"/>
                <w:szCs w:val="27"/>
                <w:lang w:val="en-GB"/>
              </w:rPr>
              <w:t xml:space="preserve">UNITED </w:t>
            </w:r>
            <w:r w:rsidRPr="00702E20">
              <w:rPr>
                <w:rFonts w:ascii="Arial" w:hAnsi="Arial" w:cs="Arial"/>
                <w:b/>
                <w:noProof/>
                <w:sz w:val="27"/>
                <w:szCs w:val="27"/>
                <w:lang w:val="en-GB"/>
              </w:rPr>
              <w:br/>
              <w:t>NATIONS</w:t>
            </w:r>
          </w:p>
        </w:tc>
        <w:tc>
          <w:tcPr>
            <w:tcW w:w="992" w:type="dxa"/>
            <w:gridSpan w:val="2"/>
            <w:tcBorders>
              <w:left w:val="nil"/>
            </w:tcBorders>
            <w:vAlign w:val="center"/>
          </w:tcPr>
          <w:p w14:paraId="24AADAE6" w14:textId="77777777" w:rsidR="008925F1" w:rsidRPr="00C24EC5" w:rsidRDefault="000E63B3" w:rsidP="00B72B4E">
            <w:pPr>
              <w:spacing w:after="0" w:line="240" w:lineRule="auto"/>
              <w:ind w:left="-108"/>
              <w:jc w:val="center"/>
              <w:rPr>
                <w:rFonts w:ascii="Times New Roman" w:hAnsi="Times New Roman"/>
                <w:sz w:val="20"/>
                <w:szCs w:val="20"/>
                <w:lang w:val="en-GB"/>
              </w:rPr>
            </w:pPr>
            <w:r>
              <w:rPr>
                <w:noProof/>
              </w:rPr>
              <w:drawing>
                <wp:inline distT="0" distB="0" distL="0" distR="0" wp14:anchorId="5A860AAC" wp14:editId="635452A8">
                  <wp:extent cx="542925" cy="466725"/>
                  <wp:effectExtent l="0" t="0" r="9525" b="9525"/>
                  <wp:docPr id="26"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851" w:type="dxa"/>
            <w:tcBorders>
              <w:left w:val="nil"/>
            </w:tcBorders>
            <w:vAlign w:val="center"/>
          </w:tcPr>
          <w:p w14:paraId="499C6D84" w14:textId="77777777" w:rsidR="008925F1" w:rsidRPr="00C24EC5" w:rsidRDefault="000E63B3" w:rsidP="00B72B4E">
            <w:pPr>
              <w:spacing w:after="0" w:line="240" w:lineRule="auto"/>
              <w:ind w:left="-108"/>
              <w:jc w:val="center"/>
              <w:rPr>
                <w:rFonts w:ascii="Times New Roman" w:hAnsi="Times New Roman"/>
                <w:sz w:val="20"/>
                <w:szCs w:val="20"/>
                <w:lang w:val="en-GB"/>
              </w:rPr>
            </w:pPr>
            <w:r>
              <w:rPr>
                <w:noProof/>
              </w:rPr>
              <w:drawing>
                <wp:inline distT="0" distB="0" distL="0" distR="0" wp14:anchorId="34F3DFA2" wp14:editId="0AD71336">
                  <wp:extent cx="466725" cy="495300"/>
                  <wp:effectExtent l="0" t="0" r="9525" b="0"/>
                  <wp:docPr id="25"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p>
        </w:tc>
        <w:tc>
          <w:tcPr>
            <w:tcW w:w="992" w:type="dxa"/>
            <w:tcBorders>
              <w:left w:val="nil"/>
            </w:tcBorders>
            <w:vAlign w:val="center"/>
          </w:tcPr>
          <w:p w14:paraId="11223121" w14:textId="77777777" w:rsidR="008925F1" w:rsidRPr="00C24EC5" w:rsidRDefault="000E63B3" w:rsidP="00B72B4E">
            <w:pPr>
              <w:spacing w:after="0" w:line="240" w:lineRule="auto"/>
              <w:ind w:left="-108"/>
              <w:jc w:val="center"/>
              <w:rPr>
                <w:rFonts w:ascii="Times New Roman" w:hAnsi="Times New Roman"/>
                <w:sz w:val="20"/>
                <w:szCs w:val="20"/>
                <w:lang w:val="en-GB"/>
              </w:rPr>
            </w:pPr>
            <w:r>
              <w:rPr>
                <w:rFonts w:ascii="Times New Roman" w:hAnsi="Times New Roman"/>
                <w:noProof/>
                <w:sz w:val="20"/>
              </w:rPr>
              <w:drawing>
                <wp:inline distT="0" distB="0" distL="0" distR="0" wp14:anchorId="7808AB6C" wp14:editId="7FA53FE6">
                  <wp:extent cx="571500" cy="476250"/>
                  <wp:effectExtent l="0" t="0" r="0" b="0"/>
                  <wp:docPr id="24"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p>
        </w:tc>
        <w:tc>
          <w:tcPr>
            <w:tcW w:w="2410" w:type="dxa"/>
            <w:tcBorders>
              <w:left w:val="nil"/>
            </w:tcBorders>
            <w:vAlign w:val="center"/>
          </w:tcPr>
          <w:p w14:paraId="67C38019" w14:textId="77777777" w:rsidR="008925F1" w:rsidRPr="00C24EC5" w:rsidRDefault="000E63B3" w:rsidP="00B72B4E">
            <w:pPr>
              <w:spacing w:after="0" w:line="240" w:lineRule="auto"/>
              <w:ind w:left="-108"/>
              <w:rPr>
                <w:rFonts w:ascii="Times New Roman" w:hAnsi="Times New Roman"/>
                <w:sz w:val="20"/>
                <w:szCs w:val="20"/>
                <w:lang w:val="en-GB"/>
              </w:rPr>
            </w:pPr>
            <w:r>
              <w:rPr>
                <w:rFonts w:ascii="Times New Roman" w:hAnsi="Times New Roman"/>
                <w:noProof/>
                <w:sz w:val="20"/>
              </w:rPr>
              <w:drawing>
                <wp:inline distT="0" distB="0" distL="0" distR="0" wp14:anchorId="01914987" wp14:editId="3DBE73F8">
                  <wp:extent cx="1514475" cy="523875"/>
                  <wp:effectExtent l="0" t="0" r="9525"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c>
          <w:tcPr>
            <w:tcW w:w="708" w:type="dxa"/>
            <w:tcBorders>
              <w:left w:val="nil"/>
              <w:right w:val="nil"/>
            </w:tcBorders>
          </w:tcPr>
          <w:p w14:paraId="5216395D" w14:textId="77777777" w:rsidR="008925F1" w:rsidRPr="00C24EC5" w:rsidRDefault="000E63B3" w:rsidP="00B72B4E">
            <w:pPr>
              <w:spacing w:after="0" w:line="240" w:lineRule="auto"/>
              <w:jc w:val="center"/>
              <w:rPr>
                <w:rFonts w:ascii="Times New Roman" w:hAnsi="Times New Roman"/>
                <w:sz w:val="20"/>
                <w:szCs w:val="20"/>
                <w:lang w:val="en-GB"/>
              </w:rPr>
            </w:pPr>
            <w:r>
              <w:rPr>
                <w:noProof/>
              </w:rPr>
              <w:drawing>
                <wp:inline distT="0" distB="0" distL="0" distR="0" wp14:anchorId="4E73C637" wp14:editId="4A87F81B">
                  <wp:extent cx="285750" cy="561975"/>
                  <wp:effectExtent l="0" t="0" r="0" b="9525"/>
                  <wp:docPr id="22"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561975"/>
                          </a:xfrm>
                          <a:prstGeom prst="rect">
                            <a:avLst/>
                          </a:prstGeom>
                          <a:noFill/>
                          <a:ln>
                            <a:noFill/>
                          </a:ln>
                        </pic:spPr>
                      </pic:pic>
                    </a:graphicData>
                  </a:graphic>
                </wp:inline>
              </w:drawing>
            </w:r>
          </w:p>
        </w:tc>
        <w:tc>
          <w:tcPr>
            <w:tcW w:w="567" w:type="dxa"/>
            <w:tcBorders>
              <w:left w:val="nil"/>
            </w:tcBorders>
            <w:vAlign w:val="center"/>
          </w:tcPr>
          <w:p w14:paraId="39A38F69" w14:textId="77777777" w:rsidR="008925F1" w:rsidRPr="00C24EC5" w:rsidRDefault="008925F1" w:rsidP="00B72B4E">
            <w:pPr>
              <w:spacing w:after="0" w:line="240" w:lineRule="auto"/>
              <w:jc w:val="center"/>
              <w:rPr>
                <w:rFonts w:ascii="Times New Roman" w:hAnsi="Times New Roman"/>
                <w:sz w:val="20"/>
                <w:szCs w:val="20"/>
                <w:lang w:val="en-GB"/>
              </w:rPr>
            </w:pPr>
          </w:p>
        </w:tc>
        <w:tc>
          <w:tcPr>
            <w:tcW w:w="1666" w:type="dxa"/>
          </w:tcPr>
          <w:p w14:paraId="52C174D4" w14:textId="77777777" w:rsidR="008925F1" w:rsidRPr="00C24EC5" w:rsidRDefault="008925F1" w:rsidP="00B72B4E">
            <w:pPr>
              <w:keepNext/>
              <w:spacing w:before="40" w:after="0" w:line="240" w:lineRule="auto"/>
              <w:jc w:val="right"/>
              <w:outlineLvl w:val="1"/>
              <w:rPr>
                <w:rFonts w:ascii="Arial" w:hAnsi="Arial" w:cs="Arial"/>
                <w:b/>
                <w:sz w:val="64"/>
                <w:szCs w:val="64"/>
                <w:lang w:val="en-GB"/>
              </w:rPr>
            </w:pPr>
            <w:r w:rsidRPr="00C24EC5">
              <w:rPr>
                <w:rFonts w:ascii="Arial" w:hAnsi="Arial" w:cs="Arial"/>
                <w:b/>
                <w:sz w:val="64"/>
                <w:szCs w:val="64"/>
                <w:lang w:val="en-GB"/>
              </w:rPr>
              <w:t>BES</w:t>
            </w:r>
          </w:p>
        </w:tc>
      </w:tr>
      <w:tr w:rsidR="008925F1" w:rsidRPr="00C24EC5" w14:paraId="1EF76858" w14:textId="77777777" w:rsidTr="00B72B4E">
        <w:trPr>
          <w:cantSplit/>
          <w:trHeight w:val="282"/>
          <w:jc w:val="right"/>
        </w:trPr>
        <w:tc>
          <w:tcPr>
            <w:tcW w:w="1526" w:type="dxa"/>
            <w:tcBorders>
              <w:bottom w:val="single" w:sz="2" w:space="0" w:color="auto"/>
            </w:tcBorders>
          </w:tcPr>
          <w:p w14:paraId="71F1E224" w14:textId="77777777" w:rsidR="008925F1" w:rsidRPr="00C24EC5" w:rsidRDefault="008925F1" w:rsidP="00B72B4E">
            <w:pPr>
              <w:spacing w:after="0" w:line="240" w:lineRule="auto"/>
              <w:rPr>
                <w:rFonts w:ascii="Times New Roman" w:hAnsi="Times New Roman"/>
                <w:noProof/>
                <w:sz w:val="20"/>
                <w:szCs w:val="20"/>
                <w:lang w:val="en-GB"/>
              </w:rPr>
            </w:pPr>
          </w:p>
        </w:tc>
        <w:tc>
          <w:tcPr>
            <w:tcW w:w="5953" w:type="dxa"/>
            <w:gridSpan w:val="6"/>
            <w:tcBorders>
              <w:bottom w:val="single" w:sz="2" w:space="0" w:color="auto"/>
            </w:tcBorders>
          </w:tcPr>
          <w:p w14:paraId="677D81FA" w14:textId="77777777" w:rsidR="008925F1" w:rsidRPr="00C24EC5" w:rsidRDefault="008925F1" w:rsidP="00B72B4E">
            <w:pPr>
              <w:spacing w:after="0" w:line="240" w:lineRule="auto"/>
              <w:rPr>
                <w:rFonts w:ascii="Times New Roman" w:eastAsia="Times New Roman" w:hAnsi="Times New Roman"/>
                <w:b/>
                <w:sz w:val="24"/>
                <w:szCs w:val="24"/>
                <w:lang w:val="en-GB"/>
              </w:rPr>
            </w:pPr>
          </w:p>
        </w:tc>
        <w:tc>
          <w:tcPr>
            <w:tcW w:w="2233" w:type="dxa"/>
            <w:gridSpan w:val="2"/>
            <w:tcBorders>
              <w:bottom w:val="single" w:sz="2" w:space="0" w:color="auto"/>
            </w:tcBorders>
          </w:tcPr>
          <w:p w14:paraId="54F03A3F" w14:textId="77777777" w:rsidR="008925F1" w:rsidRPr="00C24EC5" w:rsidRDefault="008925F1" w:rsidP="00B72B4E">
            <w:pPr>
              <w:spacing w:after="0" w:line="240" w:lineRule="auto"/>
              <w:rPr>
                <w:rFonts w:ascii="Times New Roman" w:hAnsi="Times New Roman"/>
                <w:b/>
                <w:sz w:val="24"/>
                <w:szCs w:val="24"/>
                <w:lang w:val="en-GB"/>
              </w:rPr>
            </w:pPr>
            <w:r w:rsidRPr="00C24EC5">
              <w:rPr>
                <w:rFonts w:ascii="Times New Roman" w:eastAsia="Times New Roman" w:hAnsi="Times New Roman"/>
                <w:b/>
                <w:sz w:val="24"/>
                <w:szCs w:val="24"/>
                <w:lang w:val="en-GB"/>
              </w:rPr>
              <w:t>IPBES</w:t>
            </w:r>
            <w:r>
              <w:rPr>
                <w:rFonts w:ascii="Times New Roman" w:eastAsia="Times New Roman" w:hAnsi="Times New Roman"/>
                <w:sz w:val="20"/>
                <w:szCs w:val="20"/>
                <w:lang w:val="en-GB"/>
              </w:rPr>
              <w:t>/5/INF/1</w:t>
            </w:r>
          </w:p>
        </w:tc>
      </w:tr>
      <w:tr w:rsidR="008925F1" w:rsidRPr="00C24EC5" w14:paraId="46CBE7B3" w14:textId="77777777" w:rsidTr="00B72B4E">
        <w:trPr>
          <w:cantSplit/>
          <w:trHeight w:val="1433"/>
          <w:jc w:val="right"/>
        </w:trPr>
        <w:tc>
          <w:tcPr>
            <w:tcW w:w="2009" w:type="dxa"/>
            <w:gridSpan w:val="2"/>
            <w:tcBorders>
              <w:top w:val="single" w:sz="2" w:space="0" w:color="auto"/>
              <w:bottom w:val="single" w:sz="24" w:space="0" w:color="auto"/>
            </w:tcBorders>
          </w:tcPr>
          <w:p w14:paraId="146AA933" w14:textId="77777777" w:rsidR="008925F1" w:rsidRPr="00C24EC5" w:rsidRDefault="000E63B3" w:rsidP="00B72B4E">
            <w:pPr>
              <w:spacing w:before="240" w:after="240" w:line="240" w:lineRule="auto"/>
              <w:rPr>
                <w:rFonts w:ascii="Arial" w:hAnsi="Arial" w:cs="Arial"/>
                <w:b/>
                <w:sz w:val="28"/>
                <w:szCs w:val="28"/>
                <w:lang w:val="en-GB"/>
              </w:rPr>
            </w:pPr>
            <w:r>
              <w:rPr>
                <w:rFonts w:ascii="Arial" w:hAnsi="Arial"/>
                <w:b/>
                <w:noProof/>
                <w:sz w:val="28"/>
              </w:rPr>
              <w:drawing>
                <wp:inline distT="0" distB="0" distL="0" distR="0" wp14:anchorId="5D4612A0" wp14:editId="644576C3">
                  <wp:extent cx="1114425" cy="514350"/>
                  <wp:effectExtent l="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514350"/>
                          </a:xfrm>
                          <a:prstGeom prst="rect">
                            <a:avLst/>
                          </a:prstGeom>
                          <a:noFill/>
                          <a:ln>
                            <a:noFill/>
                          </a:ln>
                        </pic:spPr>
                      </pic:pic>
                    </a:graphicData>
                  </a:graphic>
                </wp:inline>
              </w:drawing>
            </w:r>
          </w:p>
        </w:tc>
        <w:tc>
          <w:tcPr>
            <w:tcW w:w="5470" w:type="dxa"/>
            <w:gridSpan w:val="5"/>
            <w:tcBorders>
              <w:top w:val="single" w:sz="2" w:space="0" w:color="auto"/>
              <w:bottom w:val="single" w:sz="24" w:space="0" w:color="auto"/>
            </w:tcBorders>
          </w:tcPr>
          <w:p w14:paraId="5AE9C9F7" w14:textId="77777777" w:rsidR="008925F1" w:rsidRPr="00C24EC5" w:rsidRDefault="008925F1" w:rsidP="00B72B4E">
            <w:pPr>
              <w:tabs>
                <w:tab w:val="left" w:pos="1247"/>
                <w:tab w:val="left" w:pos="1814"/>
                <w:tab w:val="left" w:pos="2381"/>
                <w:tab w:val="left" w:pos="2948"/>
                <w:tab w:val="left" w:pos="3515"/>
              </w:tabs>
              <w:spacing w:before="120" w:after="120" w:line="240" w:lineRule="auto"/>
              <w:rPr>
                <w:rFonts w:ascii="Times New Roman" w:eastAsia="Times New Roman" w:hAnsi="Times New Roman"/>
                <w:sz w:val="20"/>
                <w:szCs w:val="20"/>
                <w:lang w:val="en-GB"/>
              </w:rPr>
            </w:pPr>
            <w:r w:rsidRPr="005F5814">
              <w:rPr>
                <w:rFonts w:ascii="Arial" w:hAnsi="Arial" w:cs="Arial"/>
                <w:b/>
                <w:sz w:val="28"/>
                <w:szCs w:val="28"/>
                <w:lang w:val="en-GB"/>
              </w:rPr>
              <w:t>Intergovernmental Science-Policy Platform on Biodiversity and Ecosystem Services</w:t>
            </w:r>
            <w:r>
              <w:rPr>
                <w:rFonts w:ascii="Arial" w:hAnsi="Arial" w:cs="Arial"/>
                <w:b/>
                <w:sz w:val="28"/>
                <w:szCs w:val="28"/>
                <w:lang w:val="en-GB"/>
              </w:rPr>
              <w:t xml:space="preserve"> </w:t>
            </w:r>
          </w:p>
        </w:tc>
        <w:tc>
          <w:tcPr>
            <w:tcW w:w="2233" w:type="dxa"/>
            <w:gridSpan w:val="2"/>
            <w:tcBorders>
              <w:top w:val="single" w:sz="2" w:space="0" w:color="auto"/>
              <w:bottom w:val="single" w:sz="24" w:space="0" w:color="auto"/>
            </w:tcBorders>
          </w:tcPr>
          <w:p w14:paraId="55F5EAA9" w14:textId="5042F6F5" w:rsidR="008925F1" w:rsidRPr="00C24EC5" w:rsidRDefault="008925F1" w:rsidP="00B72B4E">
            <w:pPr>
              <w:tabs>
                <w:tab w:val="left" w:pos="1247"/>
                <w:tab w:val="left" w:pos="1814"/>
                <w:tab w:val="left" w:pos="2381"/>
                <w:tab w:val="left" w:pos="2948"/>
                <w:tab w:val="left" w:pos="3515"/>
              </w:tabs>
              <w:spacing w:before="120" w:after="120" w:line="240" w:lineRule="auto"/>
              <w:rPr>
                <w:rFonts w:ascii="Times New Roman" w:eastAsia="Times New Roman" w:hAnsi="Times New Roman"/>
                <w:sz w:val="20"/>
                <w:szCs w:val="20"/>
                <w:lang w:val="en-GB"/>
              </w:rPr>
            </w:pPr>
            <w:r w:rsidRPr="00C24EC5">
              <w:rPr>
                <w:rFonts w:ascii="Times New Roman" w:eastAsia="Times New Roman" w:hAnsi="Times New Roman"/>
                <w:sz w:val="20"/>
                <w:szCs w:val="20"/>
                <w:lang w:val="en-GB"/>
              </w:rPr>
              <w:t>Distr.: General</w:t>
            </w:r>
            <w:r w:rsidRPr="00C24EC5">
              <w:rPr>
                <w:rFonts w:ascii="Times New Roman" w:eastAsia="Times New Roman" w:hAnsi="Times New Roman"/>
                <w:sz w:val="20"/>
                <w:szCs w:val="20"/>
                <w:lang w:val="en-GB"/>
              </w:rPr>
              <w:br/>
            </w:r>
            <w:r w:rsidR="00B72B4E">
              <w:rPr>
                <w:rFonts w:ascii="Times New Roman" w:hAnsi="Times New Roman"/>
                <w:sz w:val="20"/>
                <w:lang w:val="en-GB"/>
              </w:rPr>
              <w:t xml:space="preserve">1 February </w:t>
            </w:r>
            <w:r>
              <w:rPr>
                <w:rFonts w:ascii="Times New Roman" w:hAnsi="Times New Roman"/>
                <w:sz w:val="20"/>
                <w:lang w:val="en-GB"/>
              </w:rPr>
              <w:t>2017</w:t>
            </w:r>
          </w:p>
          <w:p w14:paraId="56383EBE" w14:textId="77777777" w:rsidR="008925F1" w:rsidRPr="00C24EC5" w:rsidRDefault="008925F1" w:rsidP="00B72B4E">
            <w:pPr>
              <w:tabs>
                <w:tab w:val="left" w:pos="1247"/>
                <w:tab w:val="left" w:pos="1814"/>
                <w:tab w:val="left" w:pos="2381"/>
                <w:tab w:val="left" w:pos="2948"/>
                <w:tab w:val="left" w:pos="3515"/>
              </w:tabs>
              <w:spacing w:before="120" w:after="120" w:line="240" w:lineRule="auto"/>
              <w:rPr>
                <w:rFonts w:ascii="Times New Roman" w:hAnsi="Times New Roman"/>
                <w:sz w:val="20"/>
                <w:szCs w:val="20"/>
                <w:lang w:val="en-GB"/>
              </w:rPr>
            </w:pPr>
            <w:r w:rsidRPr="00C24EC5">
              <w:rPr>
                <w:rFonts w:ascii="Times New Roman" w:eastAsia="Times New Roman" w:hAnsi="Times New Roman"/>
                <w:sz w:val="20"/>
                <w:szCs w:val="20"/>
                <w:lang w:val="en-GB"/>
              </w:rPr>
              <w:t>English</w:t>
            </w:r>
            <w:r>
              <w:rPr>
                <w:rFonts w:ascii="Times New Roman" w:eastAsia="Times New Roman" w:hAnsi="Times New Roman"/>
                <w:sz w:val="20"/>
                <w:szCs w:val="20"/>
                <w:lang w:val="en-GB"/>
              </w:rPr>
              <w:t xml:space="preserve"> only</w:t>
            </w:r>
          </w:p>
        </w:tc>
      </w:tr>
    </w:tbl>
    <w:p w14:paraId="17848E5A" w14:textId="77777777" w:rsidR="008925F1" w:rsidRPr="006720D1" w:rsidRDefault="008925F1" w:rsidP="008925F1">
      <w:pPr>
        <w:pStyle w:val="AATitle"/>
        <w:keepNext w:val="0"/>
        <w:keepLines w:val="0"/>
        <w:tabs>
          <w:tab w:val="clear" w:pos="4082"/>
        </w:tabs>
        <w:ind w:right="3402"/>
      </w:pPr>
      <w:r w:rsidRPr="006720D1">
        <w:t>Plenary of the Intergovernmental Science-Policy</w:t>
      </w:r>
    </w:p>
    <w:p w14:paraId="5355E1BE" w14:textId="77777777" w:rsidR="008925F1" w:rsidRPr="006720D1" w:rsidRDefault="008925F1" w:rsidP="008925F1">
      <w:pPr>
        <w:pStyle w:val="AATitle"/>
        <w:keepNext w:val="0"/>
        <w:keepLines w:val="0"/>
        <w:tabs>
          <w:tab w:val="clear" w:pos="4082"/>
        </w:tabs>
        <w:ind w:right="3402"/>
      </w:pPr>
      <w:r w:rsidRPr="006720D1">
        <w:t>Platform on Biodiversity and Ecosystem Services</w:t>
      </w:r>
    </w:p>
    <w:p w14:paraId="20C22811" w14:textId="77777777" w:rsidR="008925F1" w:rsidRPr="006720D1" w:rsidRDefault="008925F1" w:rsidP="008925F1">
      <w:pPr>
        <w:pStyle w:val="AATitle"/>
        <w:keepNext w:val="0"/>
        <w:keepLines w:val="0"/>
        <w:tabs>
          <w:tab w:val="clear" w:pos="4082"/>
        </w:tabs>
        <w:ind w:right="3402"/>
      </w:pPr>
      <w:r w:rsidRPr="006720D1">
        <w:t>Fifth session</w:t>
      </w:r>
    </w:p>
    <w:p w14:paraId="5387D92F" w14:textId="77777777" w:rsidR="008925F1" w:rsidRPr="006720D1" w:rsidRDefault="008925F1" w:rsidP="008925F1">
      <w:pPr>
        <w:pStyle w:val="AATitle"/>
        <w:keepNext w:val="0"/>
        <w:keepLines w:val="0"/>
        <w:tabs>
          <w:tab w:val="clear" w:pos="4082"/>
        </w:tabs>
        <w:ind w:right="3402"/>
        <w:rPr>
          <w:b w:val="0"/>
          <w:lang w:eastAsia="ja-JP"/>
        </w:rPr>
      </w:pPr>
      <w:r w:rsidRPr="006720D1">
        <w:rPr>
          <w:b w:val="0"/>
          <w:lang w:eastAsia="ja-JP"/>
        </w:rPr>
        <w:t>Bonn, Germany, 7–10 March 2017</w:t>
      </w:r>
    </w:p>
    <w:p w14:paraId="1DA3C514" w14:textId="77777777" w:rsidR="008925F1" w:rsidRPr="006720D1" w:rsidRDefault="008925F1" w:rsidP="008925F1">
      <w:pPr>
        <w:pStyle w:val="AATitle"/>
        <w:rPr>
          <w:b w:val="0"/>
          <w:bCs/>
        </w:rPr>
      </w:pPr>
      <w:r w:rsidRPr="006720D1">
        <w:rPr>
          <w:b w:val="0"/>
          <w:bCs/>
        </w:rPr>
        <w:t>Item 5 of the provisional agenda</w:t>
      </w:r>
      <w:r w:rsidRPr="006720D1">
        <w:rPr>
          <w:rStyle w:val="FootnoteReference"/>
          <w:b w:val="0"/>
          <w:bCs/>
          <w:spacing w:val="4"/>
          <w:w w:val="103"/>
          <w:szCs w:val="20"/>
          <w:vertAlign w:val="baseline"/>
        </w:rPr>
        <w:footnoteReference w:customMarkFollows="1" w:id="1"/>
        <w:t>*</w:t>
      </w:r>
    </w:p>
    <w:p w14:paraId="2ECC6469" w14:textId="77777777" w:rsidR="008925F1" w:rsidRPr="006720D1" w:rsidRDefault="008925F1" w:rsidP="008925F1">
      <w:pPr>
        <w:pStyle w:val="AATitle2"/>
      </w:pPr>
      <w:r w:rsidRPr="006720D1">
        <w:t xml:space="preserve">Report of the Executive Secretary on the implementation </w:t>
      </w:r>
      <w:r w:rsidRPr="006720D1">
        <w:br/>
        <w:t>of the work programme for the period 2014–2018</w:t>
      </w:r>
    </w:p>
    <w:p w14:paraId="7234E94E" w14:textId="4D9FBF82" w:rsidR="008925F1" w:rsidRPr="006720D1" w:rsidRDefault="008925F1" w:rsidP="008925F1">
      <w:pPr>
        <w:pStyle w:val="BBTitle"/>
      </w:pPr>
      <w:r>
        <w:t>Update on activities of</w:t>
      </w:r>
      <w:r w:rsidRPr="006720D1">
        <w:t xml:space="preserve"> </w:t>
      </w:r>
      <w:r>
        <w:t xml:space="preserve">the thematic assessment </w:t>
      </w:r>
      <w:r w:rsidR="00B72B4E">
        <w:t xml:space="preserve">of </w:t>
      </w:r>
      <w:r>
        <w:t>p</w:t>
      </w:r>
      <w:r w:rsidRPr="00324623">
        <w:t xml:space="preserve">ollinators, pollination and food production </w:t>
      </w:r>
      <w:r>
        <w:t>(deliverable 3 (a</w:t>
      </w:r>
      <w:r w:rsidRPr="006720D1">
        <w:t>))</w:t>
      </w:r>
    </w:p>
    <w:p w14:paraId="72E75B61" w14:textId="77777777" w:rsidR="008925F1" w:rsidRPr="008925F1" w:rsidRDefault="008925F1" w:rsidP="008925F1">
      <w:pPr>
        <w:pStyle w:val="CH2"/>
      </w:pPr>
      <w:r w:rsidRPr="008925F1">
        <w:tab/>
      </w:r>
      <w:r w:rsidRPr="008925F1">
        <w:tab/>
        <w:t>Note by the secretariat</w:t>
      </w:r>
    </w:p>
    <w:p w14:paraId="30A996CB" w14:textId="5E63AF11" w:rsidR="008925F1" w:rsidRPr="008925F1" w:rsidRDefault="002871F4" w:rsidP="008925F1">
      <w:pPr>
        <w:pStyle w:val="Normalnumber"/>
      </w:pPr>
      <w:r>
        <w:t>T</w:t>
      </w:r>
      <w:r w:rsidRPr="008925F1">
        <w:t xml:space="preserve">he Plenary of </w:t>
      </w:r>
      <w:r w:rsidRPr="008925F1">
        <w:rPr>
          <w:rFonts w:eastAsia="MS Mincho"/>
        </w:rPr>
        <w:t>the Intergovernmental Science-Policy Platform on Biodiversity and Ecosystem Service</w:t>
      </w:r>
      <w:r w:rsidRPr="008925F1">
        <w:t>s (IPBES)</w:t>
      </w:r>
      <w:r>
        <w:t xml:space="preserve"> i</w:t>
      </w:r>
      <w:r w:rsidR="008925F1" w:rsidRPr="008925F1">
        <w:t xml:space="preserve">n section IV of </w:t>
      </w:r>
      <w:r>
        <w:t xml:space="preserve">its </w:t>
      </w:r>
      <w:r w:rsidR="008925F1" w:rsidRPr="008925F1">
        <w:t>decision IPBES-4/1,</w:t>
      </w:r>
      <w:r w:rsidR="00B72B4E">
        <w:t xml:space="preserve"> </w:t>
      </w:r>
      <w:r>
        <w:t xml:space="preserve">on the work programme of the Platform, </w:t>
      </w:r>
      <w:r w:rsidR="008925F1" w:rsidRPr="008925F1">
        <w:t xml:space="preserve">approved </w:t>
      </w:r>
      <w:r w:rsidR="008925F1" w:rsidRPr="008925F1">
        <w:rPr>
          <w:rFonts w:eastAsia="MS Mincho"/>
        </w:rPr>
        <w:t>the summary for policymakers of the report o</w:t>
      </w:r>
      <w:r w:rsidR="00FF2D50">
        <w:rPr>
          <w:rFonts w:eastAsia="MS Mincho"/>
        </w:rPr>
        <w:t>n</w:t>
      </w:r>
      <w:r w:rsidR="008925F1" w:rsidRPr="008925F1">
        <w:rPr>
          <w:rFonts w:eastAsia="MS Mincho"/>
        </w:rPr>
        <w:t xml:space="preserve"> the thematic assessment </w:t>
      </w:r>
      <w:r w:rsidR="00B72B4E">
        <w:rPr>
          <w:rFonts w:eastAsia="MS Mincho"/>
        </w:rPr>
        <w:t>of</w:t>
      </w:r>
      <w:r w:rsidR="00B72B4E" w:rsidRPr="008925F1">
        <w:rPr>
          <w:rFonts w:eastAsia="MS Mincho"/>
        </w:rPr>
        <w:t xml:space="preserve"> </w:t>
      </w:r>
      <w:r w:rsidR="008925F1" w:rsidRPr="008925F1">
        <w:rPr>
          <w:rFonts w:eastAsia="MS Mincho"/>
        </w:rPr>
        <w:t>pollinators, pollination and food production</w:t>
      </w:r>
      <w:r>
        <w:rPr>
          <w:rFonts w:eastAsia="MS Mincho"/>
        </w:rPr>
        <w:t xml:space="preserve"> (decision </w:t>
      </w:r>
      <w:r w:rsidRPr="008925F1">
        <w:t>IPBES-4/1</w:t>
      </w:r>
      <w:r w:rsidR="008925F1" w:rsidRPr="008925F1">
        <w:rPr>
          <w:rFonts w:eastAsia="MS Mincho"/>
        </w:rPr>
        <w:t>, annex II</w:t>
      </w:r>
      <w:r>
        <w:rPr>
          <w:rFonts w:eastAsia="MS Mincho"/>
        </w:rPr>
        <w:t>)</w:t>
      </w:r>
      <w:r w:rsidR="008925F1" w:rsidRPr="008925F1">
        <w:rPr>
          <w:rFonts w:eastAsia="MS Mincho"/>
        </w:rPr>
        <w:t>,</w:t>
      </w:r>
      <w:r w:rsidR="008925F1" w:rsidRPr="008925F1">
        <w:t xml:space="preserve"> and accepted the individual chapters of the report and their executive summaries</w:t>
      </w:r>
      <w:r w:rsidR="00B72B4E">
        <w:t xml:space="preserve"> (</w:t>
      </w:r>
      <w:r w:rsidR="008925F1" w:rsidRPr="008925F1">
        <w:t>IPBES/4/INF/1/Rev.1</w:t>
      </w:r>
      <w:r w:rsidR="00B72B4E">
        <w:t>)</w:t>
      </w:r>
      <w:r w:rsidR="008925F1" w:rsidRPr="008925F1">
        <w:t xml:space="preserve">. </w:t>
      </w:r>
    </w:p>
    <w:p w14:paraId="750ABBA4" w14:textId="023E47AA" w:rsidR="008925F1" w:rsidRPr="006720D1" w:rsidRDefault="008925F1" w:rsidP="000E63B3">
      <w:pPr>
        <w:pStyle w:val="Normalnumber"/>
      </w:pPr>
      <w:r w:rsidRPr="006720D1">
        <w:t xml:space="preserve">The annex to the present note </w:t>
      </w:r>
      <w:r>
        <w:t>sets out</w:t>
      </w:r>
      <w:r w:rsidRPr="006720D1">
        <w:t xml:space="preserve"> information on </w:t>
      </w:r>
      <w:r w:rsidR="002871F4">
        <w:t xml:space="preserve">the </w:t>
      </w:r>
      <w:r w:rsidR="00B72B4E">
        <w:t xml:space="preserve">finalization </w:t>
      </w:r>
      <w:r>
        <w:t xml:space="preserve">of the </w:t>
      </w:r>
      <w:r w:rsidRPr="008925F1">
        <w:t xml:space="preserve">thematic assessment </w:t>
      </w:r>
      <w:r w:rsidR="00B72B4E">
        <w:t>of</w:t>
      </w:r>
      <w:r w:rsidR="00B72B4E" w:rsidRPr="008925F1">
        <w:t xml:space="preserve"> </w:t>
      </w:r>
      <w:r w:rsidRPr="008925F1">
        <w:t xml:space="preserve">pollinators, pollination and food production (section I), and on </w:t>
      </w:r>
      <w:r w:rsidRPr="006720D1">
        <w:t xml:space="preserve">the </w:t>
      </w:r>
      <w:r>
        <w:t>dissemination and communication activities and outputs involving the assessment</w:t>
      </w:r>
      <w:r w:rsidR="00FF2D50">
        <w:t>’s</w:t>
      </w:r>
      <w:r>
        <w:t xml:space="preserve"> key findings </w:t>
      </w:r>
      <w:r w:rsidRPr="006720D1">
        <w:t>(section I</w:t>
      </w:r>
      <w:r>
        <w:t>I</w:t>
      </w:r>
      <w:r w:rsidRPr="006720D1">
        <w:t>)</w:t>
      </w:r>
      <w:r>
        <w:t xml:space="preserve">. </w:t>
      </w:r>
      <w:r w:rsidRPr="008925F1">
        <w:t>The annex is presented without formal editing.</w:t>
      </w:r>
    </w:p>
    <w:p w14:paraId="37CD70E0" w14:textId="77777777" w:rsidR="008925F1" w:rsidRPr="006720D1" w:rsidRDefault="008925F1" w:rsidP="008925F1">
      <w:pPr>
        <w:pStyle w:val="Normal-pool"/>
        <w:sectPr w:rsidR="008925F1" w:rsidRPr="006720D1" w:rsidSect="008925F1">
          <w:headerReference w:type="even" r:id="rId14"/>
          <w:footerReference w:type="even" r:id="rId15"/>
          <w:footerReference w:type="default" r:id="rId16"/>
          <w:headerReference w:type="first" r:id="rId17"/>
          <w:footerReference w:type="first" r:id="rId18"/>
          <w:type w:val="continuous"/>
          <w:pgSz w:w="11906" w:h="16838" w:code="9"/>
          <w:pgMar w:top="907" w:right="992" w:bottom="1418" w:left="1418" w:header="539" w:footer="975" w:gutter="0"/>
          <w:cols w:space="539"/>
          <w:titlePg/>
          <w:docGrid w:linePitch="360"/>
        </w:sectPr>
      </w:pPr>
    </w:p>
    <w:p w14:paraId="5F70033C" w14:textId="77777777" w:rsidR="008925F1" w:rsidRPr="008925F1" w:rsidRDefault="008925F1" w:rsidP="008925F1">
      <w:pPr>
        <w:pStyle w:val="ZZAnxheader"/>
        <w:rPr>
          <w:rFonts w:eastAsia="Calibri"/>
        </w:rPr>
      </w:pPr>
      <w:r w:rsidRPr="008925F1">
        <w:rPr>
          <w:rFonts w:eastAsia="Calibri"/>
        </w:rPr>
        <w:lastRenderedPageBreak/>
        <w:t>Annex</w:t>
      </w:r>
    </w:p>
    <w:p w14:paraId="67390809" w14:textId="2A4FF623" w:rsidR="008925F1" w:rsidRPr="008925F1" w:rsidRDefault="008925F1" w:rsidP="008925F1">
      <w:pPr>
        <w:pStyle w:val="ZZAnxtitle"/>
      </w:pPr>
      <w:r w:rsidRPr="008925F1">
        <w:t xml:space="preserve">Update of activities on the thematic assessment </w:t>
      </w:r>
      <w:r w:rsidR="00B72B4E">
        <w:t>of</w:t>
      </w:r>
      <w:r w:rsidR="00B72B4E" w:rsidRPr="008925F1">
        <w:t xml:space="preserve"> </w:t>
      </w:r>
      <w:r w:rsidRPr="008925F1">
        <w:t>pollinators, pollination and food production (deliverable 3 (a))</w:t>
      </w:r>
    </w:p>
    <w:p w14:paraId="11F6290C" w14:textId="77777777" w:rsidR="008925F1" w:rsidRPr="000A0581" w:rsidRDefault="008925F1" w:rsidP="008925F1">
      <w:pPr>
        <w:pStyle w:val="CH1"/>
      </w:pPr>
      <w:r>
        <w:tab/>
        <w:t>I.</w:t>
      </w:r>
      <w:r>
        <w:tab/>
      </w:r>
      <w:r w:rsidRPr="000A0581">
        <w:t>Finalisation of the assessment</w:t>
      </w:r>
      <w:r>
        <w:t xml:space="preserve"> report</w:t>
      </w:r>
    </w:p>
    <w:p w14:paraId="2B917ACA" w14:textId="77777777" w:rsidR="008925F1" w:rsidRPr="008925F1" w:rsidRDefault="008925F1" w:rsidP="000E63B3">
      <w:pPr>
        <w:pStyle w:val="Normalnumber"/>
        <w:numPr>
          <w:ilvl w:val="0"/>
          <w:numId w:val="5"/>
        </w:numPr>
        <w:rPr>
          <w:rFonts w:eastAsia="Calibri"/>
          <w:w w:val="103"/>
        </w:rPr>
      </w:pPr>
      <w:r w:rsidRPr="008925F1">
        <w:rPr>
          <w:rFonts w:eastAsia="Calibri"/>
          <w:w w:val="103"/>
        </w:rPr>
        <w:t xml:space="preserve">The IPBES Plenary at its fourth session approved the summary for policymakers (SPM) of the thematic assessment on pollinators, pollination and food production, which is included in annex II to decision IPBES-4/1. A laid out version was placed online on the IPBES website on 25 August 2016. </w:t>
      </w:r>
    </w:p>
    <w:p w14:paraId="07207186" w14:textId="77777777" w:rsidR="008925F1" w:rsidRPr="008925F1" w:rsidRDefault="008925F1" w:rsidP="000E63B3">
      <w:pPr>
        <w:pStyle w:val="Normalnumber"/>
        <w:numPr>
          <w:ilvl w:val="0"/>
          <w:numId w:val="5"/>
        </w:numPr>
        <w:rPr>
          <w:rFonts w:eastAsia="Calibri"/>
          <w:w w:val="103"/>
        </w:rPr>
      </w:pPr>
      <w:r w:rsidRPr="000E3F97">
        <w:rPr>
          <w:rFonts w:eastAsia="Calibri"/>
          <w:w w:val="103"/>
        </w:rPr>
        <w:t xml:space="preserve">The IPBES Plenary </w:t>
      </w:r>
      <w:r>
        <w:rPr>
          <w:rFonts w:eastAsia="Calibri"/>
          <w:w w:val="103"/>
        </w:rPr>
        <w:t xml:space="preserve">at its </w:t>
      </w:r>
      <w:r w:rsidRPr="000E3F97">
        <w:rPr>
          <w:rFonts w:eastAsia="Calibri"/>
          <w:w w:val="103"/>
        </w:rPr>
        <w:t xml:space="preserve">fourth session </w:t>
      </w:r>
      <w:r>
        <w:rPr>
          <w:rFonts w:eastAsia="Calibri"/>
          <w:w w:val="103"/>
        </w:rPr>
        <w:t>also</w:t>
      </w:r>
      <w:r w:rsidRPr="000E3F97">
        <w:rPr>
          <w:rFonts w:eastAsia="Calibri"/>
          <w:w w:val="103"/>
        </w:rPr>
        <w:t xml:space="preserve"> accepted the individual chapters and their executive summaries,</w:t>
      </w:r>
      <w:r>
        <w:rPr>
          <w:rFonts w:eastAsia="Calibri"/>
          <w:w w:val="103"/>
        </w:rPr>
        <w:t xml:space="preserve"> based on document IPBES/4/INF</w:t>
      </w:r>
      <w:r w:rsidRPr="00785BF6">
        <w:rPr>
          <w:rFonts w:eastAsia="Calibri"/>
          <w:w w:val="103"/>
        </w:rPr>
        <w:t>/1,</w:t>
      </w:r>
      <w:r w:rsidRPr="000E3F97">
        <w:rPr>
          <w:rFonts w:eastAsia="Calibri"/>
          <w:w w:val="103"/>
        </w:rPr>
        <w:t xml:space="preserve"> with the understanding that they would be edited to reflect the changes </w:t>
      </w:r>
      <w:r>
        <w:rPr>
          <w:rFonts w:eastAsia="Calibri"/>
          <w:w w:val="103"/>
        </w:rPr>
        <w:t>made to the summary for policymakers</w:t>
      </w:r>
      <w:r w:rsidRPr="000E3F97">
        <w:rPr>
          <w:rFonts w:eastAsia="Calibri"/>
          <w:w w:val="103"/>
        </w:rPr>
        <w:t>, and subsequently made available, as IPBES/4/INF</w:t>
      </w:r>
      <w:r>
        <w:rPr>
          <w:rFonts w:eastAsia="Calibri"/>
          <w:w w:val="103"/>
        </w:rPr>
        <w:t>/1/</w:t>
      </w:r>
      <w:r w:rsidRPr="000E3F97">
        <w:rPr>
          <w:rFonts w:eastAsia="Calibri"/>
          <w:w w:val="103"/>
        </w:rPr>
        <w:t xml:space="preserve">Rev.1. The revised </w:t>
      </w:r>
      <w:r>
        <w:rPr>
          <w:rFonts w:eastAsia="Calibri"/>
          <w:w w:val="103"/>
        </w:rPr>
        <w:t>chapters and their executive summaries</w:t>
      </w:r>
      <w:r w:rsidRPr="000E3F97">
        <w:rPr>
          <w:rFonts w:eastAsia="Calibri"/>
          <w:w w:val="103"/>
        </w:rPr>
        <w:t xml:space="preserve"> w</w:t>
      </w:r>
      <w:r>
        <w:rPr>
          <w:rFonts w:eastAsia="Calibri"/>
          <w:w w:val="103"/>
        </w:rPr>
        <w:t>ere</w:t>
      </w:r>
      <w:r w:rsidRPr="000E3F97">
        <w:rPr>
          <w:rFonts w:eastAsia="Calibri"/>
          <w:w w:val="103"/>
        </w:rPr>
        <w:t xml:space="preserve"> p</w:t>
      </w:r>
      <w:r>
        <w:rPr>
          <w:rFonts w:eastAsia="Calibri"/>
          <w:w w:val="103"/>
        </w:rPr>
        <w:t>laced on the IPBES website on 24</w:t>
      </w:r>
      <w:r w:rsidRPr="000E3F97">
        <w:rPr>
          <w:rFonts w:eastAsia="Calibri"/>
          <w:w w:val="103"/>
        </w:rPr>
        <w:t xml:space="preserve"> </w:t>
      </w:r>
      <w:r>
        <w:rPr>
          <w:rFonts w:eastAsia="Calibri"/>
          <w:w w:val="103"/>
        </w:rPr>
        <w:t>November</w:t>
      </w:r>
      <w:r w:rsidRPr="000E3F97">
        <w:rPr>
          <w:rFonts w:eastAsia="Calibri"/>
          <w:w w:val="103"/>
        </w:rPr>
        <w:t xml:space="preserve"> 2016, and the inf</w:t>
      </w:r>
      <w:r>
        <w:rPr>
          <w:rFonts w:eastAsia="Calibri"/>
          <w:w w:val="103"/>
        </w:rPr>
        <w:t>ormation document (IPBES/4/INF</w:t>
      </w:r>
      <w:r w:rsidRPr="00785BF6">
        <w:rPr>
          <w:rFonts w:eastAsia="Calibri"/>
          <w:w w:val="103"/>
        </w:rPr>
        <w:t>/1/Rev.1)</w:t>
      </w:r>
      <w:r w:rsidRPr="000E3F97">
        <w:rPr>
          <w:rFonts w:eastAsia="Calibri"/>
          <w:w w:val="103"/>
        </w:rPr>
        <w:t xml:space="preserve"> is being made available to t</w:t>
      </w:r>
      <w:r>
        <w:rPr>
          <w:rFonts w:eastAsia="Calibri"/>
          <w:w w:val="103"/>
        </w:rPr>
        <w:t xml:space="preserve">he fifth session of the Plenary. </w:t>
      </w:r>
      <w:r w:rsidRPr="000E3F97">
        <w:rPr>
          <w:rFonts w:eastAsia="Calibri"/>
          <w:w w:val="103"/>
        </w:rPr>
        <w:t xml:space="preserve">In addition, </w:t>
      </w:r>
      <w:r>
        <w:rPr>
          <w:rFonts w:eastAsia="Calibri"/>
          <w:w w:val="103"/>
        </w:rPr>
        <w:t>the</w:t>
      </w:r>
      <w:r w:rsidRPr="000E3F97">
        <w:rPr>
          <w:rFonts w:eastAsia="Calibri"/>
          <w:w w:val="103"/>
        </w:rPr>
        <w:t xml:space="preserve"> laid out version of the full assessment (includin</w:t>
      </w:r>
      <w:r>
        <w:rPr>
          <w:rFonts w:eastAsia="Calibri"/>
          <w:w w:val="103"/>
        </w:rPr>
        <w:t>g the summary for policymakers and the individual chapters and their executive summaries) will be</w:t>
      </w:r>
      <w:r w:rsidRPr="000E3F97">
        <w:rPr>
          <w:rFonts w:eastAsia="Calibri"/>
          <w:w w:val="103"/>
        </w:rPr>
        <w:t xml:space="preserve"> made avail</w:t>
      </w:r>
      <w:r>
        <w:rPr>
          <w:rFonts w:eastAsia="Calibri"/>
          <w:w w:val="103"/>
        </w:rPr>
        <w:t>able on the IPBES website, prior to the fifth session of the IPBES Plenary</w:t>
      </w:r>
      <w:r w:rsidRPr="000E3F97">
        <w:rPr>
          <w:rFonts w:eastAsia="Calibri"/>
          <w:w w:val="103"/>
        </w:rPr>
        <w:t xml:space="preserve">. This version includes, in addition to the material presented to the </w:t>
      </w:r>
      <w:r>
        <w:rPr>
          <w:rFonts w:eastAsia="Calibri"/>
          <w:w w:val="103"/>
        </w:rPr>
        <w:t xml:space="preserve">fourth </w:t>
      </w:r>
      <w:r w:rsidRPr="000E3F97">
        <w:rPr>
          <w:rFonts w:eastAsia="Calibri"/>
          <w:w w:val="103"/>
        </w:rPr>
        <w:t>Plenary, the following sections: for</w:t>
      </w:r>
      <w:r>
        <w:rPr>
          <w:rFonts w:eastAsia="Calibri"/>
          <w:w w:val="103"/>
        </w:rPr>
        <w:t>e</w:t>
      </w:r>
      <w:r w:rsidRPr="000E3F97">
        <w:rPr>
          <w:rFonts w:eastAsia="Calibri"/>
          <w:w w:val="103"/>
        </w:rPr>
        <w:t>w</w:t>
      </w:r>
      <w:r>
        <w:rPr>
          <w:rFonts w:eastAsia="Calibri"/>
          <w:w w:val="103"/>
        </w:rPr>
        <w:t>o</w:t>
      </w:r>
      <w:r w:rsidRPr="000E3F97">
        <w:rPr>
          <w:rFonts w:eastAsia="Calibri"/>
          <w:w w:val="103"/>
        </w:rPr>
        <w:t>rd, preface, acknowledgement, glossary, acronyms, list of experts</w:t>
      </w:r>
      <w:r>
        <w:rPr>
          <w:rFonts w:eastAsia="Calibri"/>
          <w:w w:val="103"/>
        </w:rPr>
        <w:t xml:space="preserve"> and list of expert reviewers. </w:t>
      </w:r>
    </w:p>
    <w:p w14:paraId="02AFE8DE" w14:textId="77777777" w:rsidR="008925F1" w:rsidRPr="00255E88" w:rsidRDefault="008925F1" w:rsidP="000E63B3">
      <w:pPr>
        <w:pStyle w:val="Normalnumber"/>
        <w:numPr>
          <w:ilvl w:val="0"/>
          <w:numId w:val="5"/>
        </w:numPr>
        <w:rPr>
          <w:rFonts w:eastAsia="Calibri"/>
          <w:b/>
          <w:w w:val="103"/>
        </w:rPr>
      </w:pPr>
      <w:r w:rsidRPr="00255E88">
        <w:rPr>
          <w:rFonts w:eastAsia="Calibri"/>
          <w:w w:val="103"/>
        </w:rPr>
        <w:t xml:space="preserve">The expert review comments from the </w:t>
      </w:r>
      <w:r w:rsidRPr="008925F1">
        <w:rPr>
          <w:rFonts w:eastAsia="Calibri"/>
          <w:i/>
          <w:w w:val="103"/>
        </w:rPr>
        <w:t>First Review</w:t>
      </w:r>
      <w:r w:rsidRPr="008925F1">
        <w:rPr>
          <w:rFonts w:eastAsia="Calibri"/>
          <w:w w:val="103"/>
        </w:rPr>
        <w:t xml:space="preserve"> by Experts</w:t>
      </w:r>
      <w:r w:rsidRPr="00255E88">
        <w:rPr>
          <w:rFonts w:eastAsia="Calibri"/>
          <w:w w:val="103"/>
        </w:rPr>
        <w:t xml:space="preserve"> and the </w:t>
      </w:r>
      <w:r w:rsidRPr="008925F1">
        <w:rPr>
          <w:rFonts w:eastAsia="Calibri"/>
          <w:i/>
          <w:w w:val="103"/>
        </w:rPr>
        <w:t>Second Review by Governments and Experts</w:t>
      </w:r>
      <w:r w:rsidRPr="00255E88">
        <w:rPr>
          <w:rFonts w:eastAsia="Calibri"/>
          <w:w w:val="103"/>
        </w:rPr>
        <w:t xml:space="preserve"> together with author responses, which were completed under the guidance of the review editors, will be made available online </w:t>
      </w:r>
      <w:r>
        <w:rPr>
          <w:rFonts w:eastAsia="Calibri"/>
          <w:w w:val="103"/>
        </w:rPr>
        <w:t xml:space="preserve">in time </w:t>
      </w:r>
      <w:r w:rsidRPr="00255E88">
        <w:rPr>
          <w:rFonts w:eastAsia="Calibri"/>
          <w:w w:val="103"/>
        </w:rPr>
        <w:t>for the fifth session of the Plenary.</w:t>
      </w:r>
    </w:p>
    <w:p w14:paraId="31852F31" w14:textId="77777777" w:rsidR="008925F1" w:rsidRDefault="008925F1" w:rsidP="008925F1">
      <w:pPr>
        <w:pStyle w:val="CH1"/>
      </w:pPr>
      <w:r>
        <w:tab/>
        <w:t>II.</w:t>
      </w:r>
      <w:r>
        <w:tab/>
      </w:r>
      <w:r w:rsidRPr="006107D3">
        <w:t>Summary of dissemination a</w:t>
      </w:r>
      <w:r>
        <w:t xml:space="preserve">nd communication activities and </w:t>
      </w:r>
      <w:r w:rsidRPr="006107D3">
        <w:t xml:space="preserve">outputs </w:t>
      </w:r>
      <w:r>
        <w:t>on</w:t>
      </w:r>
      <w:r w:rsidRPr="006107D3">
        <w:t xml:space="preserve"> the assessment key findings</w:t>
      </w:r>
    </w:p>
    <w:p w14:paraId="5D703A86" w14:textId="77777777" w:rsidR="008925F1" w:rsidRPr="00785BF6" w:rsidRDefault="008925F1" w:rsidP="0020594D">
      <w:pPr>
        <w:pStyle w:val="CH2"/>
      </w:pPr>
      <w:r>
        <w:tab/>
      </w:r>
      <w:r>
        <w:tab/>
      </w:r>
      <w:r w:rsidRPr="00785BF6">
        <w:t>Media campaign</w:t>
      </w:r>
    </w:p>
    <w:p w14:paraId="358221B7" w14:textId="77777777" w:rsidR="008925F1" w:rsidRPr="008925F1" w:rsidRDefault="008925F1" w:rsidP="000E63B3">
      <w:pPr>
        <w:pStyle w:val="Normalnumber"/>
        <w:numPr>
          <w:ilvl w:val="0"/>
          <w:numId w:val="5"/>
        </w:numPr>
        <w:rPr>
          <w:rFonts w:eastAsia="Calibri"/>
          <w:w w:val="103"/>
        </w:rPr>
      </w:pPr>
      <w:r>
        <w:rPr>
          <w:rFonts w:eastAsia="Calibri"/>
          <w:w w:val="103"/>
        </w:rPr>
        <w:t xml:space="preserve">After the approval of the summary for policymakers at the fourth session of the IPBES Plenary, the media campaign linked to the pollination assessment report and its key findings generated over 1346 online news sites and stories through 18 top international newswires with </w:t>
      </w:r>
      <w:r w:rsidRPr="00E419C1">
        <w:rPr>
          <w:rFonts w:eastAsia="Calibri"/>
          <w:w w:val="103"/>
        </w:rPr>
        <w:t>covera</w:t>
      </w:r>
      <w:r>
        <w:rPr>
          <w:rFonts w:eastAsia="Calibri"/>
          <w:w w:val="103"/>
        </w:rPr>
        <w:t xml:space="preserve">ge in 28 languages in 81 countries (updated as of April 2016). </w:t>
      </w:r>
    </w:p>
    <w:p w14:paraId="5C5426B2" w14:textId="77777777" w:rsidR="008925F1" w:rsidRPr="00785BF6" w:rsidRDefault="0020594D" w:rsidP="0020594D">
      <w:pPr>
        <w:pStyle w:val="CH2"/>
        <w:rPr>
          <w:rFonts w:eastAsia="Calibri"/>
          <w:w w:val="103"/>
        </w:rPr>
      </w:pPr>
      <w:r>
        <w:rPr>
          <w:rFonts w:eastAsia="Calibri"/>
          <w:w w:val="103"/>
        </w:rPr>
        <w:tab/>
      </w:r>
      <w:r>
        <w:rPr>
          <w:rFonts w:eastAsia="Calibri"/>
          <w:w w:val="103"/>
        </w:rPr>
        <w:tab/>
      </w:r>
      <w:r w:rsidR="008925F1" w:rsidRPr="00785BF6">
        <w:rPr>
          <w:rFonts w:eastAsia="Calibri"/>
          <w:w w:val="103"/>
        </w:rPr>
        <w:t>Convention on Biological Diversity</w:t>
      </w:r>
    </w:p>
    <w:p w14:paraId="235D63DE" w14:textId="77777777" w:rsidR="008925F1" w:rsidRPr="008925F1" w:rsidRDefault="008925F1" w:rsidP="000E63B3">
      <w:pPr>
        <w:pStyle w:val="Normalnumber"/>
        <w:numPr>
          <w:ilvl w:val="0"/>
          <w:numId w:val="5"/>
        </w:numPr>
        <w:rPr>
          <w:rFonts w:eastAsia="Calibri"/>
          <w:w w:val="103"/>
        </w:rPr>
      </w:pPr>
      <w:r w:rsidRPr="00255E88">
        <w:rPr>
          <w:rFonts w:eastAsia="Calibri"/>
          <w:w w:val="103"/>
        </w:rPr>
        <w:t>Parties to the Convention on Biological Diversity (CBD) were notified, on 8 March 2016, about the outcomes of the fourth session of the IPBES Plenary, and, in particular, of the approval/acceptance of thematic assessment on pollinators, pollination and food production.</w:t>
      </w:r>
    </w:p>
    <w:p w14:paraId="50CCF006" w14:textId="77777777" w:rsidR="008925F1" w:rsidRDefault="008925F1" w:rsidP="000E63B3">
      <w:pPr>
        <w:pStyle w:val="Normalnumber"/>
        <w:numPr>
          <w:ilvl w:val="0"/>
          <w:numId w:val="5"/>
        </w:numPr>
        <w:rPr>
          <w:rFonts w:eastAsia="Calibri"/>
          <w:b/>
          <w:w w:val="103"/>
        </w:rPr>
      </w:pPr>
      <w:r w:rsidRPr="00255E88">
        <w:rPr>
          <w:rFonts w:eastAsia="Calibri"/>
          <w:w w:val="103"/>
        </w:rPr>
        <w:t xml:space="preserve">The key findings of the summary for policymakers of the pollination assessment report were presented to the plenary of the </w:t>
      </w:r>
      <w:r>
        <w:rPr>
          <w:rFonts w:eastAsia="Calibri"/>
          <w:w w:val="103"/>
        </w:rPr>
        <w:t>20th</w:t>
      </w:r>
      <w:r w:rsidRPr="00255E88">
        <w:rPr>
          <w:rFonts w:eastAsia="Calibri"/>
          <w:w w:val="103"/>
        </w:rPr>
        <w:t xml:space="preserve"> meeting of the </w:t>
      </w:r>
      <w:r>
        <w:rPr>
          <w:rFonts w:eastAsia="Calibri"/>
          <w:w w:val="103"/>
        </w:rPr>
        <w:t>Subsidiary Body on Scientific, Technical and Technological Advice (</w:t>
      </w:r>
      <w:r w:rsidRPr="00255E88">
        <w:rPr>
          <w:rFonts w:eastAsia="Calibri"/>
          <w:w w:val="103"/>
        </w:rPr>
        <w:t>SBSTTA</w:t>
      </w:r>
      <w:r>
        <w:rPr>
          <w:rFonts w:eastAsia="Calibri"/>
          <w:w w:val="103"/>
        </w:rPr>
        <w:t>,</w:t>
      </w:r>
      <w:r w:rsidR="005A1C6C">
        <w:rPr>
          <w:rFonts w:eastAsia="Calibri"/>
          <w:w w:val="103"/>
        </w:rPr>
        <w:t xml:space="preserve"> </w:t>
      </w:r>
      <w:r w:rsidRPr="00255E88">
        <w:rPr>
          <w:rFonts w:eastAsia="Calibri"/>
          <w:w w:val="103"/>
        </w:rPr>
        <w:t xml:space="preserve">Montreal, Canada, 25-30 April 2016) </w:t>
      </w:r>
      <w:r>
        <w:rPr>
          <w:rFonts w:eastAsia="Calibri"/>
          <w:w w:val="103"/>
        </w:rPr>
        <w:t>in</w:t>
      </w:r>
      <w:r w:rsidRPr="00255E88">
        <w:rPr>
          <w:rFonts w:eastAsia="Calibri"/>
          <w:w w:val="103"/>
        </w:rPr>
        <w:t xml:space="preserve"> document UNEP/CBD/SBSTTA/20/9 </w:t>
      </w:r>
      <w:r>
        <w:rPr>
          <w:rFonts w:eastAsia="Calibri"/>
          <w:w w:val="103"/>
        </w:rPr>
        <w:t>(</w:t>
      </w:r>
      <w:r w:rsidRPr="00255E88">
        <w:rPr>
          <w:rFonts w:eastAsia="Calibri"/>
          <w:i/>
          <w:w w:val="103"/>
        </w:rPr>
        <w:t>Implications of the IPBES Assessment on Pollinators, Pollination and Food Production for the Work of the Convention</w:t>
      </w:r>
      <w:r>
        <w:rPr>
          <w:rFonts w:eastAsia="Calibri"/>
          <w:i/>
          <w:w w:val="103"/>
        </w:rPr>
        <w:t>)</w:t>
      </w:r>
      <w:r w:rsidRPr="00255E88">
        <w:rPr>
          <w:rFonts w:eastAsia="Calibri"/>
          <w:w w:val="103"/>
        </w:rPr>
        <w:t>.  SBSTTA adopted 15 recommendations, one of which included the key findings from the pollination assessment</w:t>
      </w:r>
      <w:r>
        <w:rPr>
          <w:rFonts w:eastAsia="Calibri"/>
          <w:w w:val="103"/>
        </w:rPr>
        <w:t>:</w:t>
      </w:r>
      <w:r w:rsidRPr="00255E88">
        <w:rPr>
          <w:rFonts w:eastAsia="Calibri"/>
          <w:w w:val="103"/>
        </w:rPr>
        <w:t xml:space="preserve"> Recommendation XX/9</w:t>
      </w:r>
      <w:r>
        <w:rPr>
          <w:rFonts w:eastAsia="Calibri"/>
          <w:w w:val="103"/>
        </w:rPr>
        <w:t xml:space="preserve">: </w:t>
      </w:r>
      <w:r w:rsidRPr="00255E88">
        <w:rPr>
          <w:rFonts w:eastAsia="Calibri"/>
          <w:i/>
          <w:w w:val="103"/>
        </w:rPr>
        <w:t>Implications of the IPBES assessment on pollinators, pollination and food production for the work of the Convention</w:t>
      </w:r>
      <w:r w:rsidRPr="00255E88">
        <w:rPr>
          <w:rFonts w:eastAsia="Calibri"/>
          <w:w w:val="103"/>
        </w:rPr>
        <w:t xml:space="preserve">. The draft decisions contained within the recommendations were submitted to the Conference of the Parties to </w:t>
      </w:r>
      <w:r w:rsidRPr="001349A5">
        <w:rPr>
          <w:rFonts w:eastAsia="Calibri"/>
          <w:w w:val="103"/>
        </w:rPr>
        <w:t xml:space="preserve">the Convention on Biological Diversity for consideration at its thirteenth meeting (COP-13) (see </w:t>
      </w:r>
      <w:r>
        <w:rPr>
          <w:rFonts w:eastAsia="Calibri"/>
          <w:w w:val="103"/>
        </w:rPr>
        <w:t>below</w:t>
      </w:r>
      <w:r w:rsidRPr="00255E88">
        <w:rPr>
          <w:rFonts w:eastAsia="Calibri"/>
          <w:w w:val="103"/>
        </w:rPr>
        <w:t>).</w:t>
      </w:r>
    </w:p>
    <w:p w14:paraId="6120EEBE" w14:textId="77777777" w:rsidR="008925F1" w:rsidRDefault="008925F1" w:rsidP="000E63B3">
      <w:pPr>
        <w:pStyle w:val="Normalnumber"/>
        <w:numPr>
          <w:ilvl w:val="0"/>
          <w:numId w:val="5"/>
        </w:numPr>
        <w:rPr>
          <w:rFonts w:eastAsia="Calibri"/>
          <w:b/>
          <w:w w:val="103"/>
        </w:rPr>
      </w:pPr>
      <w:r w:rsidRPr="001B39BB">
        <w:rPr>
          <w:rFonts w:eastAsia="Calibri"/>
          <w:w w:val="103"/>
        </w:rPr>
        <w:t xml:space="preserve">The </w:t>
      </w:r>
      <w:r>
        <w:rPr>
          <w:rFonts w:eastAsia="Calibri"/>
          <w:w w:val="103"/>
        </w:rPr>
        <w:t>P</w:t>
      </w:r>
      <w:r w:rsidRPr="001B39BB">
        <w:rPr>
          <w:rFonts w:eastAsia="Calibri"/>
          <w:w w:val="103"/>
        </w:rPr>
        <w:t xml:space="preserve">lenary of SBSTTA 20 heard a presentation by Dr Adam Vanbergen, lead author of the pollination assessment, on key messages for policymakers on the values of pollinators, status and trends, drivers, and options for policy responses. A side event was held (Tuesday 24 April 2016) where Dr Vera Imperatriz-Fonseca, co-chair of the pollination assessment, highlighted key findings from the summary for policymakers from the IPBES thematic assessment on pollinators, pollination and food production. </w:t>
      </w:r>
      <w:r>
        <w:rPr>
          <w:rFonts w:eastAsia="Calibri"/>
          <w:w w:val="103"/>
        </w:rPr>
        <w:t xml:space="preserve">Ms </w:t>
      </w:r>
      <w:r w:rsidRPr="001B39BB">
        <w:rPr>
          <w:rFonts w:eastAsia="Calibri"/>
          <w:w w:val="103"/>
        </w:rPr>
        <w:t xml:space="preserve">Irene Hoffmann, Secretary of the Commission on Genetic Resources for Food and Agriculture (FAO), </w:t>
      </w:r>
      <w:r>
        <w:rPr>
          <w:rFonts w:eastAsia="Calibri"/>
          <w:w w:val="103"/>
        </w:rPr>
        <w:t xml:space="preserve">Ms </w:t>
      </w:r>
      <w:r w:rsidRPr="001B39BB">
        <w:rPr>
          <w:rFonts w:eastAsia="Calibri"/>
          <w:w w:val="103"/>
        </w:rPr>
        <w:t xml:space="preserve">Sarah Webster, </w:t>
      </w:r>
      <w:r w:rsidRPr="001B39BB">
        <w:rPr>
          <w:rFonts w:eastAsia="Calibri" w:hint="cs"/>
          <w:w w:val="103"/>
          <w:cs/>
        </w:rPr>
        <w:t>‎</w:t>
      </w:r>
      <w:r w:rsidRPr="001B39BB">
        <w:rPr>
          <w:rFonts w:eastAsia="Calibri"/>
          <w:w w:val="103"/>
        </w:rPr>
        <w:t xml:space="preserve">Head of Protected and Invasive </w:t>
      </w:r>
      <w:r w:rsidRPr="001B39BB">
        <w:rPr>
          <w:rFonts w:eastAsia="Calibri"/>
          <w:w w:val="103"/>
        </w:rPr>
        <w:lastRenderedPageBreak/>
        <w:t xml:space="preserve">Non-Native Species team at Department for Environment Food and Rural Affair (Defra – UK), and </w:t>
      </w:r>
      <w:r>
        <w:rPr>
          <w:rFonts w:eastAsia="Calibri"/>
          <w:w w:val="103"/>
        </w:rPr>
        <w:t xml:space="preserve">Mr </w:t>
      </w:r>
      <w:r w:rsidRPr="001B39BB">
        <w:rPr>
          <w:rFonts w:eastAsia="Calibri"/>
          <w:w w:val="103"/>
        </w:rPr>
        <w:t>Carlos Alberto de Mattos Scaramuzza (</w:t>
      </w:r>
      <w:r w:rsidRPr="001B39BB">
        <w:rPr>
          <w:rFonts w:eastAsia="Calibri" w:hint="cs"/>
          <w:w w:val="103"/>
          <w:cs/>
        </w:rPr>
        <w:t>‎</w:t>
      </w:r>
      <w:r w:rsidRPr="001B39BB">
        <w:rPr>
          <w:rFonts w:eastAsia="Calibri"/>
          <w:w w:val="103"/>
        </w:rPr>
        <w:t>Ecosystem Conservation Director at Brazilian Minis</w:t>
      </w:r>
      <w:r>
        <w:rPr>
          <w:rFonts w:eastAsia="Calibri"/>
          <w:w w:val="103"/>
        </w:rPr>
        <w:t xml:space="preserve">try of the Environment, </w:t>
      </w:r>
      <w:r w:rsidRPr="001B39BB">
        <w:rPr>
          <w:rFonts w:eastAsia="Calibri"/>
          <w:w w:val="103"/>
        </w:rPr>
        <w:t>Brazilian Ministry of the Environment (MMA)</w:t>
      </w:r>
      <w:r>
        <w:rPr>
          <w:rFonts w:eastAsia="Calibri"/>
          <w:w w:val="103"/>
        </w:rPr>
        <w:t xml:space="preserve"> also spoke at the side event on the implications of the pollination assessment report on international initiatives and national biodiversity strategies. </w:t>
      </w:r>
    </w:p>
    <w:p w14:paraId="4773E3B0" w14:textId="7AD48219" w:rsidR="008925F1" w:rsidRPr="00785BF6" w:rsidRDefault="008925F1" w:rsidP="000E63B3">
      <w:pPr>
        <w:pStyle w:val="Normalnumber"/>
        <w:numPr>
          <w:ilvl w:val="0"/>
          <w:numId w:val="5"/>
        </w:numPr>
        <w:rPr>
          <w:rFonts w:eastAsia="Calibri"/>
          <w:b/>
          <w:w w:val="103"/>
        </w:rPr>
      </w:pPr>
      <w:r w:rsidRPr="0037005F">
        <w:rPr>
          <w:rFonts w:eastAsia="Calibri"/>
          <w:w w:val="103"/>
        </w:rPr>
        <w:t xml:space="preserve">At </w:t>
      </w:r>
      <w:r>
        <w:rPr>
          <w:rFonts w:eastAsia="Calibri"/>
          <w:w w:val="103"/>
        </w:rPr>
        <w:t xml:space="preserve">COP-13, which was held from </w:t>
      </w:r>
      <w:r w:rsidRPr="0037005F">
        <w:rPr>
          <w:rFonts w:eastAsia="Calibri"/>
          <w:w w:val="103"/>
        </w:rPr>
        <w:t xml:space="preserve">4 to 17 December, 2016, </w:t>
      </w:r>
      <w:r>
        <w:rPr>
          <w:rFonts w:eastAsia="Calibri"/>
          <w:w w:val="103"/>
        </w:rPr>
        <w:t xml:space="preserve">in </w:t>
      </w:r>
      <w:r w:rsidRPr="0037005F">
        <w:rPr>
          <w:rFonts w:eastAsia="Calibri"/>
          <w:w w:val="103"/>
        </w:rPr>
        <w:t>Cancun, Mexico</w:t>
      </w:r>
      <w:r>
        <w:rPr>
          <w:rFonts w:eastAsia="Calibri"/>
          <w:w w:val="103"/>
        </w:rPr>
        <w:t>,</w:t>
      </w:r>
      <w:r w:rsidRPr="0037005F">
        <w:rPr>
          <w:rFonts w:eastAsia="Calibri"/>
          <w:w w:val="103"/>
        </w:rPr>
        <w:t xml:space="preserve"> </w:t>
      </w:r>
      <w:r>
        <w:rPr>
          <w:rFonts w:eastAsia="Calibri"/>
          <w:w w:val="103"/>
        </w:rPr>
        <w:t xml:space="preserve">Dr </w:t>
      </w:r>
      <w:r w:rsidRPr="0037005F">
        <w:rPr>
          <w:rFonts w:eastAsia="Calibri"/>
          <w:w w:val="103"/>
        </w:rPr>
        <w:t>Anne Larigauderie (IPBES Executive Secretary) delivered a statement during the high-level segmen</w:t>
      </w:r>
      <w:r>
        <w:rPr>
          <w:rFonts w:eastAsia="Calibri"/>
          <w:w w:val="103"/>
        </w:rPr>
        <w:t>t on the implications of the pollination a</w:t>
      </w:r>
      <w:r w:rsidRPr="0037005F">
        <w:rPr>
          <w:rFonts w:eastAsia="Calibri"/>
          <w:w w:val="103"/>
        </w:rPr>
        <w:t xml:space="preserve">ssessment </w:t>
      </w:r>
      <w:r>
        <w:rPr>
          <w:rFonts w:eastAsia="Calibri"/>
          <w:w w:val="103"/>
        </w:rPr>
        <w:t xml:space="preserve">and its key findings at the round table on agriculture, as well as in Plenary. Representatives of the governments of </w:t>
      </w:r>
      <w:r w:rsidRPr="00785BF6">
        <w:rPr>
          <w:rFonts w:eastAsia="Calibri"/>
          <w:w w:val="103"/>
        </w:rPr>
        <w:t>France (</w:t>
      </w:r>
      <w:r w:rsidRPr="008925F1">
        <w:rPr>
          <w:rFonts w:eastAsia="Calibri"/>
          <w:w w:val="103"/>
        </w:rPr>
        <w:t>Ms Barbara Pompili, State Secretary for Biodiversity, represented by Mr Jean-Patrick Leduc)</w:t>
      </w:r>
      <w:r w:rsidRPr="00785BF6">
        <w:rPr>
          <w:rFonts w:eastAsia="Calibri"/>
          <w:w w:val="103"/>
        </w:rPr>
        <w:t xml:space="preserve">, </w:t>
      </w:r>
      <w:r>
        <w:rPr>
          <w:rFonts w:eastAsia="Calibri"/>
          <w:w w:val="103"/>
        </w:rPr>
        <w:t>t</w:t>
      </w:r>
      <w:r w:rsidRPr="00785BF6">
        <w:rPr>
          <w:rFonts w:eastAsia="Calibri"/>
          <w:w w:val="103"/>
        </w:rPr>
        <w:t xml:space="preserve">he Netherlands </w:t>
      </w:r>
      <w:r>
        <w:rPr>
          <w:rFonts w:eastAsia="Calibri"/>
          <w:w w:val="103"/>
        </w:rPr>
        <w:t>(</w:t>
      </w:r>
      <w:r w:rsidRPr="008925F1">
        <w:rPr>
          <w:rFonts w:eastAsia="Calibri"/>
          <w:w w:val="103"/>
        </w:rPr>
        <w:t>Mr Lejo van der Heiden, Head of delegation, Department of Agriculture and Nature)</w:t>
      </w:r>
      <w:r w:rsidRPr="00785BF6">
        <w:rPr>
          <w:rFonts w:eastAsia="Calibri"/>
          <w:w w:val="103"/>
        </w:rPr>
        <w:t xml:space="preserve">, China </w:t>
      </w:r>
      <w:r>
        <w:rPr>
          <w:rFonts w:eastAsia="Calibri"/>
          <w:w w:val="103"/>
        </w:rPr>
        <w:t>(</w:t>
      </w:r>
      <w:r w:rsidRPr="008925F1">
        <w:rPr>
          <w:rFonts w:eastAsia="Calibri"/>
          <w:w w:val="103"/>
        </w:rPr>
        <w:t>Mr Bai Chengshou, acting head of Chinese delegation)</w:t>
      </w:r>
      <w:r w:rsidRPr="00785BF6">
        <w:rPr>
          <w:rFonts w:eastAsia="Calibri"/>
          <w:w w:val="103"/>
        </w:rPr>
        <w:t xml:space="preserve">, South Africa </w:t>
      </w:r>
      <w:r>
        <w:rPr>
          <w:rFonts w:eastAsia="Calibri"/>
          <w:w w:val="103"/>
        </w:rPr>
        <w:t>(</w:t>
      </w:r>
      <w:r w:rsidRPr="008925F1">
        <w:rPr>
          <w:rFonts w:eastAsia="Calibri"/>
          <w:w w:val="103"/>
        </w:rPr>
        <w:t>Mr Shonisani Munzhedzi, Deputy Director General, Biodiversity and Conservation, Department of Environmental Affairs)</w:t>
      </w:r>
      <w:r w:rsidRPr="00785BF6">
        <w:rPr>
          <w:rFonts w:eastAsia="Calibri"/>
          <w:w w:val="103"/>
        </w:rPr>
        <w:t xml:space="preserve"> and Brazil </w:t>
      </w:r>
      <w:r>
        <w:rPr>
          <w:rFonts w:eastAsia="Calibri"/>
          <w:w w:val="103"/>
        </w:rPr>
        <w:t>(</w:t>
      </w:r>
      <w:r w:rsidR="00A64479">
        <w:rPr>
          <w:rFonts w:eastAsia="Calibri"/>
          <w:w w:val="103"/>
        </w:rPr>
        <w:t>Mr </w:t>
      </w:r>
      <w:r w:rsidRPr="008925F1">
        <w:rPr>
          <w:rFonts w:eastAsia="Calibri"/>
          <w:w w:val="103"/>
        </w:rPr>
        <w:t xml:space="preserve">Carlos Scaramuzza, Director of Ecosystems, Ministry of Environment), </w:t>
      </w:r>
      <w:r w:rsidRPr="00785BF6">
        <w:rPr>
          <w:rFonts w:eastAsia="Calibri"/>
          <w:w w:val="103"/>
        </w:rPr>
        <w:t xml:space="preserve">were invited at a side event </w:t>
      </w:r>
      <w:r>
        <w:rPr>
          <w:rFonts w:eastAsia="Calibri"/>
          <w:w w:val="103"/>
        </w:rPr>
        <w:t xml:space="preserve">on 6 December 2016, </w:t>
      </w:r>
      <w:r w:rsidRPr="00785BF6">
        <w:rPr>
          <w:rFonts w:eastAsia="Calibri"/>
          <w:w w:val="103"/>
        </w:rPr>
        <w:t xml:space="preserve">to explain how their countries </w:t>
      </w:r>
      <w:r>
        <w:rPr>
          <w:rFonts w:eastAsia="Calibri"/>
          <w:w w:val="103"/>
        </w:rPr>
        <w:t>were</w:t>
      </w:r>
      <w:r w:rsidRPr="00785BF6">
        <w:rPr>
          <w:rFonts w:eastAsia="Calibri"/>
          <w:w w:val="103"/>
        </w:rPr>
        <w:t xml:space="preserve"> using or plan</w:t>
      </w:r>
      <w:r>
        <w:rPr>
          <w:rFonts w:eastAsia="Calibri"/>
          <w:w w:val="103"/>
        </w:rPr>
        <w:t>ning</w:t>
      </w:r>
      <w:r w:rsidRPr="00785BF6">
        <w:rPr>
          <w:rFonts w:eastAsia="Calibri"/>
          <w:w w:val="103"/>
        </w:rPr>
        <w:t xml:space="preserve"> to use the findings of the pollination</w:t>
      </w:r>
      <w:r>
        <w:rPr>
          <w:rFonts w:eastAsia="Calibri"/>
          <w:w w:val="103"/>
        </w:rPr>
        <w:t xml:space="preserve"> assessment</w:t>
      </w:r>
      <w:r w:rsidRPr="00785BF6">
        <w:rPr>
          <w:rFonts w:eastAsia="Calibri"/>
          <w:w w:val="103"/>
        </w:rPr>
        <w:t>.</w:t>
      </w:r>
    </w:p>
    <w:p w14:paraId="43F2A9A9" w14:textId="77777777" w:rsidR="008925F1" w:rsidRDefault="008925F1" w:rsidP="000E63B3">
      <w:pPr>
        <w:pStyle w:val="Normalnumber"/>
        <w:numPr>
          <w:ilvl w:val="0"/>
          <w:numId w:val="5"/>
        </w:numPr>
        <w:rPr>
          <w:rFonts w:eastAsia="Calibri"/>
          <w:b/>
          <w:w w:val="103"/>
        </w:rPr>
      </w:pPr>
      <w:r>
        <w:rPr>
          <w:rFonts w:eastAsia="Calibri"/>
          <w:w w:val="103"/>
        </w:rPr>
        <w:t>COP-13 adopted decision</w:t>
      </w:r>
      <w:r w:rsidRPr="006177D9">
        <w:rPr>
          <w:rFonts w:eastAsia="Calibri"/>
          <w:w w:val="103"/>
        </w:rPr>
        <w:t xml:space="preserve"> XIII/15 on the </w:t>
      </w:r>
      <w:r w:rsidRPr="006177D9">
        <w:rPr>
          <w:rFonts w:eastAsia="Calibri"/>
          <w:i/>
          <w:w w:val="103"/>
        </w:rPr>
        <w:t>Implications of the IPBES assessment on pollinators, pollination and food production for the work of the Convention</w:t>
      </w:r>
      <w:r>
        <w:rPr>
          <w:rFonts w:eastAsia="Calibri"/>
          <w:w w:val="103"/>
        </w:rPr>
        <w:t xml:space="preserve">, in which the Conference of the Parties </w:t>
      </w:r>
      <w:r w:rsidRPr="006177D9">
        <w:rPr>
          <w:rFonts w:eastAsia="Calibri"/>
          <w:w w:val="103"/>
        </w:rPr>
        <w:t>welcom</w:t>
      </w:r>
      <w:r>
        <w:rPr>
          <w:rFonts w:eastAsia="Calibri"/>
          <w:w w:val="103"/>
        </w:rPr>
        <w:t>ed</w:t>
      </w:r>
      <w:r w:rsidRPr="006177D9">
        <w:rPr>
          <w:rFonts w:eastAsia="Calibri"/>
          <w:i/>
          <w:w w:val="103"/>
        </w:rPr>
        <w:t xml:space="preserve"> </w:t>
      </w:r>
      <w:r w:rsidRPr="006177D9">
        <w:rPr>
          <w:rFonts w:eastAsia="Calibri"/>
          <w:w w:val="103"/>
        </w:rPr>
        <w:t>the IPBES summary for policymakers of the thematic assessment on pollinators, pollination and food production and endors</w:t>
      </w:r>
      <w:r>
        <w:rPr>
          <w:rFonts w:eastAsia="Calibri"/>
          <w:w w:val="103"/>
        </w:rPr>
        <w:t>ed</w:t>
      </w:r>
      <w:r w:rsidRPr="006177D9">
        <w:rPr>
          <w:rFonts w:eastAsia="Calibri"/>
          <w:w w:val="103"/>
        </w:rPr>
        <w:t xml:space="preserve"> </w:t>
      </w:r>
      <w:r>
        <w:rPr>
          <w:rFonts w:eastAsia="Calibri"/>
          <w:w w:val="103"/>
        </w:rPr>
        <w:t>its</w:t>
      </w:r>
      <w:r w:rsidRPr="006177D9">
        <w:rPr>
          <w:rFonts w:eastAsia="Calibri"/>
          <w:w w:val="103"/>
        </w:rPr>
        <w:t xml:space="preserve"> key messages. The full decision is presented </w:t>
      </w:r>
      <w:r w:rsidRPr="00591F35">
        <w:rPr>
          <w:rFonts w:eastAsia="Calibri"/>
          <w:w w:val="103"/>
        </w:rPr>
        <w:t>as appendix II to this</w:t>
      </w:r>
      <w:r w:rsidRPr="006177D9">
        <w:rPr>
          <w:rFonts w:eastAsia="Calibri"/>
          <w:w w:val="103"/>
        </w:rPr>
        <w:t xml:space="preserve"> </w:t>
      </w:r>
      <w:r>
        <w:rPr>
          <w:rFonts w:eastAsia="Calibri"/>
          <w:w w:val="103"/>
        </w:rPr>
        <w:t>annex</w:t>
      </w:r>
      <w:r w:rsidRPr="006177D9">
        <w:rPr>
          <w:rFonts w:eastAsia="Calibri"/>
          <w:w w:val="103"/>
        </w:rPr>
        <w:t xml:space="preserve">. </w:t>
      </w:r>
    </w:p>
    <w:p w14:paraId="4F638040" w14:textId="77777777" w:rsidR="008925F1" w:rsidRPr="00785BF6" w:rsidRDefault="0020594D" w:rsidP="0020594D">
      <w:pPr>
        <w:pStyle w:val="CH2"/>
        <w:rPr>
          <w:rFonts w:eastAsia="Calibri"/>
          <w:w w:val="103"/>
        </w:rPr>
      </w:pPr>
      <w:r>
        <w:rPr>
          <w:rFonts w:eastAsia="Calibri"/>
          <w:w w:val="103"/>
        </w:rPr>
        <w:tab/>
      </w:r>
      <w:r>
        <w:rPr>
          <w:rFonts w:eastAsia="Calibri"/>
          <w:w w:val="103"/>
        </w:rPr>
        <w:tab/>
      </w:r>
      <w:r w:rsidR="008925F1" w:rsidRPr="00785BF6">
        <w:rPr>
          <w:rFonts w:eastAsia="Calibri"/>
          <w:w w:val="103"/>
        </w:rPr>
        <w:t>United Nations Environment Assembly</w:t>
      </w:r>
    </w:p>
    <w:p w14:paraId="373BF882" w14:textId="77777777" w:rsidR="008925F1" w:rsidRDefault="008925F1" w:rsidP="000E63B3">
      <w:pPr>
        <w:pStyle w:val="Normalnumber"/>
        <w:numPr>
          <w:ilvl w:val="0"/>
          <w:numId w:val="5"/>
        </w:numPr>
        <w:rPr>
          <w:rFonts w:eastAsia="Calibri"/>
          <w:b/>
          <w:w w:val="103"/>
        </w:rPr>
      </w:pPr>
      <w:r w:rsidRPr="00255E88">
        <w:rPr>
          <w:rFonts w:eastAsia="Calibri"/>
          <w:w w:val="103"/>
        </w:rPr>
        <w:t xml:space="preserve">At the second session of the United Nations Environment Assembly (23 to 27 May 2016, Nairobi) both co-chairs of the pollination assessment, Drs. Simon Potts and Vera Imperatriz-Fonseca along with </w:t>
      </w:r>
      <w:r>
        <w:rPr>
          <w:rFonts w:eastAsia="Calibri"/>
          <w:w w:val="103"/>
        </w:rPr>
        <w:t xml:space="preserve">Dr </w:t>
      </w:r>
      <w:r w:rsidRPr="00255E88">
        <w:rPr>
          <w:rFonts w:eastAsia="Calibri"/>
          <w:w w:val="103"/>
        </w:rPr>
        <w:t>Anne Larig</w:t>
      </w:r>
      <w:r>
        <w:rPr>
          <w:rFonts w:eastAsia="Calibri"/>
          <w:w w:val="103"/>
        </w:rPr>
        <w:t>au</w:t>
      </w:r>
      <w:r w:rsidRPr="00255E88">
        <w:rPr>
          <w:rFonts w:eastAsia="Calibri"/>
          <w:w w:val="103"/>
        </w:rPr>
        <w:t>derie</w:t>
      </w:r>
      <w:r>
        <w:rPr>
          <w:rFonts w:eastAsia="Calibri"/>
          <w:w w:val="103"/>
        </w:rPr>
        <w:t xml:space="preserve"> </w:t>
      </w:r>
      <w:r w:rsidRPr="00255E88">
        <w:rPr>
          <w:rFonts w:eastAsia="Calibri"/>
          <w:w w:val="103"/>
        </w:rPr>
        <w:t>participated in a media roundtable event disseminating the key messages of the pollination assessment. Mr Vidar Helgesen, Minister of Climate and the Environment in Norway and Ms Barbara Pompili, State Secretary for Biodiversity in France also participated in the media roundtable event highlighting how th</w:t>
      </w:r>
      <w:r>
        <w:rPr>
          <w:rFonts w:eastAsia="Calibri"/>
          <w:w w:val="103"/>
        </w:rPr>
        <w:t>e</w:t>
      </w:r>
      <w:r w:rsidRPr="00255E88">
        <w:rPr>
          <w:rFonts w:eastAsia="Calibri"/>
          <w:w w:val="103"/>
        </w:rPr>
        <w:t xml:space="preserve"> key findings from the pollination assessment would </w:t>
      </w:r>
      <w:r>
        <w:rPr>
          <w:rFonts w:eastAsia="Calibri"/>
          <w:w w:val="103"/>
        </w:rPr>
        <w:t>be taken into account in</w:t>
      </w:r>
      <w:r w:rsidRPr="00255E88">
        <w:rPr>
          <w:rFonts w:eastAsia="Calibri"/>
          <w:w w:val="103"/>
        </w:rPr>
        <w:t xml:space="preserve"> national policies </w:t>
      </w:r>
      <w:r>
        <w:rPr>
          <w:rFonts w:eastAsia="Calibri"/>
          <w:w w:val="103"/>
        </w:rPr>
        <w:t>regarding</w:t>
      </w:r>
      <w:r w:rsidRPr="00255E88">
        <w:rPr>
          <w:rFonts w:eastAsia="Calibri"/>
          <w:w w:val="103"/>
        </w:rPr>
        <w:t xml:space="preserve"> pollinator</w:t>
      </w:r>
      <w:r>
        <w:rPr>
          <w:rFonts w:eastAsia="Calibri"/>
          <w:w w:val="103"/>
        </w:rPr>
        <w:t>s</w:t>
      </w:r>
      <w:r w:rsidRPr="00255E88">
        <w:rPr>
          <w:rFonts w:eastAsia="Calibri"/>
          <w:w w:val="103"/>
        </w:rPr>
        <w:t xml:space="preserve">. </w:t>
      </w:r>
    </w:p>
    <w:p w14:paraId="12B9643A" w14:textId="77777777" w:rsidR="008925F1" w:rsidRPr="00785BF6" w:rsidRDefault="0020594D" w:rsidP="0020594D">
      <w:pPr>
        <w:pStyle w:val="CH2"/>
        <w:rPr>
          <w:rFonts w:eastAsia="Calibri"/>
          <w:w w:val="103"/>
          <w:sz w:val="20"/>
          <w:szCs w:val="20"/>
        </w:rPr>
      </w:pPr>
      <w:r>
        <w:rPr>
          <w:rFonts w:eastAsia="Calibri"/>
          <w:w w:val="103"/>
        </w:rPr>
        <w:tab/>
      </w:r>
      <w:r>
        <w:rPr>
          <w:rFonts w:eastAsia="Calibri"/>
          <w:w w:val="103"/>
        </w:rPr>
        <w:tab/>
      </w:r>
      <w:r w:rsidR="008925F1" w:rsidRPr="0020594D">
        <w:rPr>
          <w:rFonts w:eastAsia="Calibri"/>
          <w:w w:val="103"/>
        </w:rPr>
        <w:t>Initiatives at the national level</w:t>
      </w:r>
    </w:p>
    <w:p w14:paraId="6D46C61B" w14:textId="77777777" w:rsidR="008925F1" w:rsidRDefault="008925F1" w:rsidP="000E63B3">
      <w:pPr>
        <w:pStyle w:val="Normalnumber"/>
        <w:numPr>
          <w:ilvl w:val="0"/>
          <w:numId w:val="5"/>
        </w:numPr>
        <w:rPr>
          <w:rFonts w:eastAsia="Calibri"/>
          <w:b/>
          <w:w w:val="103"/>
        </w:rPr>
      </w:pPr>
      <w:r>
        <w:rPr>
          <w:rFonts w:eastAsia="Calibri"/>
          <w:w w:val="103"/>
        </w:rPr>
        <w:t>Various events hosted by governments and non-governmental stakeholders, and involving pollination experts, and/or members of the secretariat, MEP or Bureau, have taken place after the fourth session of the Plenary of IPBES to present the findings of the pollination assessment to various audiences. The secretariat has not received updated information on all these events, which include the following:</w:t>
      </w:r>
    </w:p>
    <w:p w14:paraId="4F2AED1F" w14:textId="77777777" w:rsidR="008925F1" w:rsidRPr="001B39BB" w:rsidRDefault="008925F1" w:rsidP="000E63B3">
      <w:pPr>
        <w:pStyle w:val="Normalnumber"/>
        <w:numPr>
          <w:ilvl w:val="1"/>
          <w:numId w:val="5"/>
        </w:numPr>
        <w:rPr>
          <w:rFonts w:eastAsia="Calibri"/>
          <w:b/>
          <w:w w:val="103"/>
        </w:rPr>
      </w:pPr>
      <w:r w:rsidRPr="001B39BB">
        <w:rPr>
          <w:rFonts w:eastAsia="Calibri"/>
          <w:w w:val="103"/>
        </w:rPr>
        <w:t xml:space="preserve">At a national event </w:t>
      </w:r>
      <w:r w:rsidRPr="00785BF6">
        <w:rPr>
          <w:rFonts w:eastAsia="Calibri"/>
          <w:w w:val="103"/>
        </w:rPr>
        <w:t>(22 November 2016)</w:t>
      </w:r>
      <w:r>
        <w:rPr>
          <w:rFonts w:eastAsia="Calibri"/>
          <w:w w:val="103"/>
        </w:rPr>
        <w:t xml:space="preserve"> hosted by </w:t>
      </w:r>
      <w:r w:rsidRPr="001B39BB">
        <w:rPr>
          <w:rFonts w:eastAsia="Calibri"/>
          <w:w w:val="103"/>
        </w:rPr>
        <w:t xml:space="preserve">the French Minister of Environment, Energy and the Sea, </w:t>
      </w:r>
      <w:r>
        <w:rPr>
          <w:rFonts w:eastAsia="Calibri"/>
          <w:w w:val="103"/>
        </w:rPr>
        <w:t xml:space="preserve">Ms </w:t>
      </w:r>
      <w:r w:rsidRPr="001B39BB">
        <w:rPr>
          <w:rFonts w:eastAsia="Calibri"/>
          <w:w w:val="103"/>
        </w:rPr>
        <w:t>Ségolène Royal</w:t>
      </w:r>
      <w:r>
        <w:rPr>
          <w:rFonts w:eastAsia="Calibri"/>
          <w:w w:val="103"/>
        </w:rPr>
        <w:t>,</w:t>
      </w:r>
      <w:r w:rsidRPr="001B39BB">
        <w:rPr>
          <w:rFonts w:eastAsia="Calibri"/>
          <w:w w:val="103"/>
        </w:rPr>
        <w:t xml:space="preserve"> </w:t>
      </w:r>
      <w:r>
        <w:rPr>
          <w:rFonts w:eastAsia="Calibri"/>
          <w:w w:val="103"/>
        </w:rPr>
        <w:t xml:space="preserve">participants were invited to </w:t>
      </w:r>
      <w:r w:rsidRPr="001B39BB">
        <w:rPr>
          <w:rFonts w:eastAsia="Calibri"/>
          <w:w w:val="103"/>
        </w:rPr>
        <w:t xml:space="preserve">highlight actions being undertaken in </w:t>
      </w:r>
      <w:r>
        <w:rPr>
          <w:rFonts w:eastAsia="Calibri"/>
          <w:w w:val="103"/>
        </w:rPr>
        <w:t xml:space="preserve">various </w:t>
      </w:r>
      <w:r w:rsidRPr="001B39BB">
        <w:rPr>
          <w:rFonts w:eastAsia="Calibri"/>
          <w:w w:val="103"/>
        </w:rPr>
        <w:t>sectors across France to protect pollinators and pollination services essential to food security and wider human wellbeing, in reference to the French National Pollinator Action Plan</w:t>
      </w:r>
      <w:r>
        <w:rPr>
          <w:rFonts w:eastAsia="Calibri"/>
          <w:w w:val="103"/>
        </w:rPr>
        <w:t xml:space="preserve">, which made use of </w:t>
      </w:r>
      <w:r w:rsidRPr="001B39BB">
        <w:rPr>
          <w:rFonts w:eastAsia="Calibri"/>
          <w:w w:val="103"/>
        </w:rPr>
        <w:t>the IPBES pollination assessment report. Ivar Baste (IPBES Bureau member), Anne Larigauderie, and pollination assessment authors Jean Michel Salles (</w:t>
      </w:r>
      <w:r>
        <w:rPr>
          <w:rFonts w:eastAsia="Calibri"/>
          <w:w w:val="103"/>
        </w:rPr>
        <w:t>l</w:t>
      </w:r>
      <w:r w:rsidRPr="001B39BB">
        <w:rPr>
          <w:rFonts w:eastAsia="Calibri"/>
          <w:w w:val="103"/>
        </w:rPr>
        <w:t xml:space="preserve">ead </w:t>
      </w:r>
      <w:r>
        <w:rPr>
          <w:rFonts w:eastAsia="Calibri"/>
          <w:w w:val="103"/>
        </w:rPr>
        <w:t>a</w:t>
      </w:r>
      <w:r w:rsidRPr="001B39BB">
        <w:rPr>
          <w:rFonts w:eastAsia="Calibri"/>
          <w:w w:val="103"/>
        </w:rPr>
        <w:t>uthor) and Nicola Gallai (</w:t>
      </w:r>
      <w:r>
        <w:rPr>
          <w:rFonts w:eastAsia="Calibri"/>
          <w:w w:val="103"/>
        </w:rPr>
        <w:t>c</w:t>
      </w:r>
      <w:r w:rsidRPr="001B39BB">
        <w:rPr>
          <w:rFonts w:eastAsia="Calibri"/>
          <w:w w:val="103"/>
        </w:rPr>
        <w:t xml:space="preserve">oordinating </w:t>
      </w:r>
      <w:r>
        <w:rPr>
          <w:rFonts w:eastAsia="Calibri"/>
          <w:w w:val="103"/>
        </w:rPr>
        <w:t>l</w:t>
      </w:r>
      <w:r w:rsidRPr="001B39BB">
        <w:rPr>
          <w:rFonts w:eastAsia="Calibri"/>
          <w:w w:val="103"/>
        </w:rPr>
        <w:t xml:space="preserve">ead </w:t>
      </w:r>
      <w:r>
        <w:rPr>
          <w:rFonts w:eastAsia="Calibri"/>
          <w:w w:val="103"/>
        </w:rPr>
        <w:t>a</w:t>
      </w:r>
      <w:r w:rsidRPr="001B39BB">
        <w:rPr>
          <w:rFonts w:eastAsia="Calibri"/>
          <w:w w:val="103"/>
        </w:rPr>
        <w:t xml:space="preserve">uthor) </w:t>
      </w:r>
      <w:r>
        <w:rPr>
          <w:rFonts w:eastAsia="Calibri"/>
          <w:w w:val="103"/>
        </w:rPr>
        <w:t>spoke at this</w:t>
      </w:r>
      <w:r w:rsidRPr="001B39BB">
        <w:rPr>
          <w:rFonts w:eastAsia="Calibri"/>
          <w:w w:val="103"/>
        </w:rPr>
        <w:t xml:space="preserve"> event. </w:t>
      </w:r>
    </w:p>
    <w:p w14:paraId="3CD7AD15" w14:textId="58A26B17" w:rsidR="008925F1" w:rsidRDefault="008925F1" w:rsidP="000E63B3">
      <w:pPr>
        <w:pStyle w:val="Normalnumber"/>
        <w:numPr>
          <w:ilvl w:val="1"/>
          <w:numId w:val="5"/>
        </w:numPr>
        <w:rPr>
          <w:rFonts w:eastAsia="Calibri"/>
          <w:b/>
          <w:w w:val="103"/>
        </w:rPr>
      </w:pPr>
      <w:r w:rsidRPr="006177D9">
        <w:rPr>
          <w:rFonts w:eastAsia="Calibri"/>
          <w:w w:val="103"/>
        </w:rPr>
        <w:t xml:space="preserve">The Government of the Netherlands </w:t>
      </w:r>
      <w:r>
        <w:rPr>
          <w:rFonts w:eastAsia="Calibri"/>
          <w:w w:val="103"/>
        </w:rPr>
        <w:t xml:space="preserve">announced at the high level segment of COP-13, the launch of a new initiative, called </w:t>
      </w:r>
      <w:r w:rsidRPr="006177D9">
        <w:rPr>
          <w:rFonts w:eastAsia="Calibri"/>
          <w:w w:val="103"/>
        </w:rPr>
        <w:t xml:space="preserve">the </w:t>
      </w:r>
      <w:r w:rsidRPr="006177D9">
        <w:rPr>
          <w:rFonts w:eastAsia="Calibri"/>
          <w:i/>
          <w:w w:val="103"/>
        </w:rPr>
        <w:t>Coalition of the Willing on Pollinators</w:t>
      </w:r>
      <w:r>
        <w:rPr>
          <w:rFonts w:eastAsia="Calibri"/>
          <w:i/>
          <w:w w:val="103"/>
        </w:rPr>
        <w:t xml:space="preserve">. </w:t>
      </w:r>
      <w:r>
        <w:rPr>
          <w:rFonts w:eastAsia="Calibri"/>
          <w:w w:val="103"/>
        </w:rPr>
        <w:t>Signatories</w:t>
      </w:r>
      <w:r w:rsidRPr="00785BF6">
        <w:rPr>
          <w:rFonts w:eastAsia="Calibri"/>
          <w:w w:val="103"/>
        </w:rPr>
        <w:t xml:space="preserve"> include</w:t>
      </w:r>
      <w:r>
        <w:rPr>
          <w:rFonts w:eastAsia="Calibri"/>
          <w:w w:val="103"/>
        </w:rPr>
        <w:t xml:space="preserve"> </w:t>
      </w:r>
      <w:r w:rsidRPr="006177D9">
        <w:rPr>
          <w:rFonts w:eastAsia="Calibri"/>
          <w:w w:val="103"/>
        </w:rPr>
        <w:t>France, Germany, the United Kingdom, Belgium, Austria, Denmark,</w:t>
      </w:r>
      <w:r>
        <w:rPr>
          <w:rFonts w:eastAsia="Calibri"/>
          <w:w w:val="103"/>
        </w:rPr>
        <w:t xml:space="preserve"> Luxembourg, Finland, Spain, </w:t>
      </w:r>
      <w:r w:rsidRPr="006177D9">
        <w:rPr>
          <w:rFonts w:eastAsia="Calibri"/>
          <w:w w:val="103"/>
        </w:rPr>
        <w:t>the Netherlands</w:t>
      </w:r>
      <w:r>
        <w:rPr>
          <w:rFonts w:eastAsia="Calibri"/>
          <w:w w:val="103"/>
        </w:rPr>
        <w:t xml:space="preserve"> and Uruguay</w:t>
      </w:r>
      <w:r w:rsidRPr="006177D9">
        <w:rPr>
          <w:rFonts w:eastAsia="Calibri"/>
          <w:w w:val="103"/>
        </w:rPr>
        <w:t xml:space="preserve">. </w:t>
      </w:r>
      <w:r>
        <w:rPr>
          <w:rFonts w:eastAsia="Calibri"/>
          <w:w w:val="103"/>
        </w:rPr>
        <w:t>T</w:t>
      </w:r>
      <w:r w:rsidRPr="006177D9">
        <w:rPr>
          <w:rFonts w:eastAsia="Calibri"/>
          <w:w w:val="103"/>
        </w:rPr>
        <w:t xml:space="preserve">he </w:t>
      </w:r>
      <w:r w:rsidRPr="00E37F0C">
        <w:rPr>
          <w:rFonts w:eastAsia="Calibri"/>
          <w:i/>
          <w:w w:val="103"/>
        </w:rPr>
        <w:t xml:space="preserve">Coalition of the Willing on Pollinators </w:t>
      </w:r>
      <w:r w:rsidRPr="006177D9">
        <w:rPr>
          <w:rFonts w:eastAsia="Calibri"/>
          <w:w w:val="103"/>
        </w:rPr>
        <w:t>was inspired by the IPBES thematic assessment report on pollinators, pollination and food production</w:t>
      </w:r>
      <w:r>
        <w:rPr>
          <w:rFonts w:eastAsia="Calibri"/>
          <w:w w:val="103"/>
        </w:rPr>
        <w:t>, and calls for the use of its findings</w:t>
      </w:r>
      <w:r w:rsidRPr="006177D9">
        <w:rPr>
          <w:rFonts w:eastAsia="Calibri"/>
          <w:w w:val="103"/>
        </w:rPr>
        <w:t xml:space="preserve">. The </w:t>
      </w:r>
      <w:r w:rsidRPr="006177D9">
        <w:rPr>
          <w:rFonts w:eastAsia="Calibri"/>
          <w:i/>
          <w:w w:val="103"/>
        </w:rPr>
        <w:t>Declaration on the Coalition of the Willing on Pollinator</w:t>
      </w:r>
      <w:r w:rsidRPr="006177D9">
        <w:rPr>
          <w:rFonts w:eastAsia="Calibri"/>
          <w:w w:val="103"/>
        </w:rPr>
        <w:t xml:space="preserve"> </w:t>
      </w:r>
      <w:r>
        <w:rPr>
          <w:rFonts w:eastAsia="Calibri"/>
          <w:w w:val="103"/>
        </w:rPr>
        <w:t xml:space="preserve">was signed at a small ceremony in the margins of the high level segment at COP-13. It </w:t>
      </w:r>
      <w:r w:rsidRPr="006177D9">
        <w:rPr>
          <w:rFonts w:eastAsia="Calibri"/>
          <w:w w:val="103"/>
        </w:rPr>
        <w:t xml:space="preserve">is presented in </w:t>
      </w:r>
      <w:r>
        <w:rPr>
          <w:rFonts w:eastAsia="Calibri"/>
          <w:w w:val="103"/>
        </w:rPr>
        <w:t>appendix I</w:t>
      </w:r>
      <w:r w:rsidRPr="006177D9">
        <w:rPr>
          <w:rFonts w:eastAsia="Calibri"/>
          <w:w w:val="103"/>
        </w:rPr>
        <w:t xml:space="preserve">. </w:t>
      </w:r>
      <w:r>
        <w:rPr>
          <w:rFonts w:eastAsia="Calibri"/>
          <w:w w:val="103"/>
        </w:rPr>
        <w:t xml:space="preserve">Peru and </w:t>
      </w:r>
      <w:r w:rsidRPr="006177D9">
        <w:rPr>
          <w:rFonts w:eastAsia="Calibri"/>
          <w:w w:val="103"/>
        </w:rPr>
        <w:t xml:space="preserve">Slovenia have joined </w:t>
      </w:r>
      <w:r>
        <w:rPr>
          <w:rFonts w:eastAsia="Calibri"/>
          <w:w w:val="103"/>
        </w:rPr>
        <w:t xml:space="preserve">also </w:t>
      </w:r>
      <w:r w:rsidRPr="006177D9">
        <w:rPr>
          <w:rFonts w:eastAsia="Calibri"/>
          <w:w w:val="103"/>
        </w:rPr>
        <w:t xml:space="preserve">the </w:t>
      </w:r>
      <w:r w:rsidRPr="00E37F0C">
        <w:rPr>
          <w:rFonts w:eastAsia="Calibri"/>
          <w:i/>
          <w:w w:val="103"/>
        </w:rPr>
        <w:t>Coalition of the Willling on Pollinators</w:t>
      </w:r>
      <w:r>
        <w:rPr>
          <w:rFonts w:eastAsia="Calibri"/>
          <w:w w:val="103"/>
        </w:rPr>
        <w:t xml:space="preserve">. Additional information can be found on the dedicated web site: </w:t>
      </w:r>
      <w:hyperlink r:id="rId19" w:history="1">
        <w:r w:rsidRPr="008925F1">
          <w:rPr>
            <w:rStyle w:val="Hyperlink"/>
            <w:rFonts w:eastAsia="Calibri"/>
            <w:w w:val="103"/>
            <w:lang w:val="en-US"/>
          </w:rPr>
          <w:t>www.promotepollinators.org</w:t>
        </w:r>
      </w:hyperlink>
      <w:r w:rsidRPr="006177D9">
        <w:rPr>
          <w:rFonts w:eastAsia="Calibri"/>
          <w:w w:val="103"/>
        </w:rPr>
        <w:t xml:space="preserve">. </w:t>
      </w:r>
    </w:p>
    <w:p w14:paraId="3917CAE8" w14:textId="77777777" w:rsidR="008925F1" w:rsidRPr="00785BF6" w:rsidRDefault="0020594D" w:rsidP="0020594D">
      <w:pPr>
        <w:pStyle w:val="CH2"/>
        <w:rPr>
          <w:rFonts w:eastAsia="Calibri"/>
          <w:w w:val="103"/>
        </w:rPr>
      </w:pPr>
      <w:r>
        <w:rPr>
          <w:rFonts w:eastAsia="Calibri"/>
          <w:w w:val="103"/>
        </w:rPr>
        <w:tab/>
      </w:r>
      <w:r>
        <w:rPr>
          <w:rFonts w:eastAsia="Calibri"/>
          <w:w w:val="103"/>
        </w:rPr>
        <w:tab/>
      </w:r>
      <w:r w:rsidR="008925F1" w:rsidRPr="00785BF6">
        <w:rPr>
          <w:rFonts w:eastAsia="Calibri"/>
          <w:w w:val="103"/>
        </w:rPr>
        <w:t>Scientific publications</w:t>
      </w:r>
    </w:p>
    <w:p w14:paraId="60CFFCAC" w14:textId="77777777" w:rsidR="008925F1" w:rsidRPr="00E37F0C" w:rsidRDefault="008925F1" w:rsidP="0020594D">
      <w:pPr>
        <w:pStyle w:val="Normalnumber"/>
        <w:rPr>
          <w:rFonts w:eastAsia="Calibri"/>
          <w:b/>
          <w:w w:val="103"/>
        </w:rPr>
      </w:pPr>
      <w:r>
        <w:rPr>
          <w:rFonts w:eastAsia="Calibri"/>
          <w:w w:val="103"/>
        </w:rPr>
        <w:t>Abstracts (or the first page) of the s</w:t>
      </w:r>
      <w:r w:rsidRPr="00E37F0C">
        <w:rPr>
          <w:rFonts w:eastAsia="Calibri"/>
          <w:w w:val="103"/>
        </w:rPr>
        <w:t xml:space="preserve">cientific publications in high impact journals resulting directly </w:t>
      </w:r>
      <w:r>
        <w:rPr>
          <w:rFonts w:eastAsia="Calibri"/>
          <w:w w:val="103"/>
        </w:rPr>
        <w:t xml:space="preserve">from the </w:t>
      </w:r>
      <w:r w:rsidRPr="00E37F0C">
        <w:rPr>
          <w:rFonts w:eastAsia="Calibri"/>
          <w:w w:val="103"/>
        </w:rPr>
        <w:t xml:space="preserve">pollination assessment report </w:t>
      </w:r>
      <w:r>
        <w:rPr>
          <w:rFonts w:eastAsia="Calibri"/>
          <w:w w:val="103"/>
        </w:rPr>
        <w:t>are presented in appendix III. Others are in preparation</w:t>
      </w:r>
      <w:r w:rsidRPr="00E37F0C">
        <w:rPr>
          <w:rFonts w:eastAsia="Calibri"/>
          <w:w w:val="103"/>
        </w:rPr>
        <w:t xml:space="preserve">: </w:t>
      </w:r>
    </w:p>
    <w:p w14:paraId="261D3CE2" w14:textId="77777777" w:rsidR="008925F1" w:rsidRPr="00A64479" w:rsidRDefault="008925F1" w:rsidP="000E63B3">
      <w:pPr>
        <w:pStyle w:val="Normalnumber"/>
        <w:numPr>
          <w:ilvl w:val="1"/>
          <w:numId w:val="4"/>
        </w:numPr>
        <w:rPr>
          <w:rFonts w:eastAsia="Calibri"/>
          <w:w w:val="103"/>
          <w:lang w:val="fr-FR"/>
        </w:rPr>
      </w:pPr>
      <w:r w:rsidRPr="00A64479">
        <w:rPr>
          <w:rFonts w:eastAsia="Calibri"/>
          <w:w w:val="103"/>
          <w:lang w:val="fr-CH"/>
        </w:rPr>
        <w:t xml:space="preserve">Settele, J. et al. 2016. Climate change impacts on pollination. </w:t>
      </w:r>
      <w:r w:rsidRPr="00A64479">
        <w:rPr>
          <w:rFonts w:eastAsia="Calibri"/>
          <w:w w:val="103"/>
          <w:lang w:val="fr-FR"/>
        </w:rPr>
        <w:t>Nature Plants 2: 16092</w:t>
      </w:r>
    </w:p>
    <w:p w14:paraId="4AB5813E" w14:textId="77777777" w:rsidR="008925F1" w:rsidRPr="0020594D" w:rsidRDefault="008925F1" w:rsidP="000E63B3">
      <w:pPr>
        <w:pStyle w:val="Normalnumber"/>
        <w:numPr>
          <w:ilvl w:val="1"/>
          <w:numId w:val="4"/>
        </w:numPr>
        <w:rPr>
          <w:rFonts w:eastAsia="Calibri"/>
          <w:w w:val="103"/>
        </w:rPr>
      </w:pPr>
      <w:r w:rsidRPr="00A64479">
        <w:rPr>
          <w:rFonts w:eastAsia="Calibri"/>
          <w:w w:val="103"/>
          <w:lang w:val="fr-CH"/>
        </w:rPr>
        <w:lastRenderedPageBreak/>
        <w:t xml:space="preserve">Potts, S. G. et al. 2016. </w:t>
      </w:r>
      <w:r w:rsidRPr="00E37F0C">
        <w:rPr>
          <w:rFonts w:eastAsia="Calibri"/>
          <w:w w:val="103"/>
        </w:rPr>
        <w:t>Safeguarding Pollinators and Their Values to Human Well-Being. Nature 540 (7632): 220-229</w:t>
      </w:r>
    </w:p>
    <w:p w14:paraId="302C0AE1" w14:textId="77777777" w:rsidR="008925F1" w:rsidRPr="0020594D" w:rsidRDefault="008925F1" w:rsidP="000E63B3">
      <w:pPr>
        <w:pStyle w:val="Normalnumber"/>
        <w:numPr>
          <w:ilvl w:val="1"/>
          <w:numId w:val="4"/>
        </w:numPr>
        <w:rPr>
          <w:rFonts w:eastAsia="Calibri"/>
          <w:w w:val="103"/>
        </w:rPr>
      </w:pPr>
      <w:r w:rsidRPr="00A64479">
        <w:rPr>
          <w:rFonts w:eastAsia="Calibri"/>
          <w:w w:val="103"/>
          <w:lang w:val="fr-CH"/>
        </w:rPr>
        <w:t xml:space="preserve">Dicks, L. V. et al. 2016. </w:t>
      </w:r>
      <w:r w:rsidRPr="00E37F0C">
        <w:rPr>
          <w:rFonts w:eastAsia="Calibri"/>
          <w:w w:val="103"/>
        </w:rPr>
        <w:t>Ten policies for pollinators. Science 354 (6315): 975-976. DOI: 10.1126/science.aai9226</w:t>
      </w:r>
    </w:p>
    <w:p w14:paraId="24AA2E09" w14:textId="77777777" w:rsidR="008925F1" w:rsidRPr="0020594D" w:rsidRDefault="008925F1" w:rsidP="000E63B3">
      <w:pPr>
        <w:pStyle w:val="Normalnumber"/>
        <w:numPr>
          <w:ilvl w:val="1"/>
          <w:numId w:val="4"/>
        </w:numPr>
        <w:rPr>
          <w:rFonts w:eastAsia="Calibri"/>
          <w:w w:val="103"/>
        </w:rPr>
      </w:pPr>
      <w:r w:rsidRPr="00A64479">
        <w:rPr>
          <w:rFonts w:eastAsia="Calibri"/>
          <w:w w:val="103"/>
          <w:lang w:val="fr-CH"/>
        </w:rPr>
        <w:t xml:space="preserve">Breeze, T. D. et al. 2016. </w:t>
      </w:r>
      <w:r w:rsidRPr="00715A3D">
        <w:rPr>
          <w:rFonts w:eastAsia="Calibri"/>
          <w:w w:val="103"/>
        </w:rPr>
        <w:t>Economic Measures of Pollination Services: Shortcomings and Future Directions</w:t>
      </w:r>
      <w:r>
        <w:rPr>
          <w:rFonts w:eastAsia="Calibri"/>
          <w:w w:val="103"/>
        </w:rPr>
        <w:t xml:space="preserve">. </w:t>
      </w:r>
      <w:r w:rsidRPr="00D741D2">
        <w:rPr>
          <w:rFonts w:eastAsia="Calibri"/>
          <w:w w:val="103"/>
        </w:rPr>
        <w:t>Trends in Ecology and Evolution</w:t>
      </w:r>
      <w:r>
        <w:rPr>
          <w:rFonts w:eastAsia="Calibri"/>
          <w:w w:val="103"/>
        </w:rPr>
        <w:t xml:space="preserve"> </w:t>
      </w:r>
      <w:r w:rsidRPr="00715A3D">
        <w:rPr>
          <w:rFonts w:eastAsia="Calibri"/>
          <w:w w:val="103"/>
        </w:rPr>
        <w:t>31</w:t>
      </w:r>
      <w:r>
        <w:rPr>
          <w:rFonts w:eastAsia="Calibri"/>
          <w:w w:val="103"/>
        </w:rPr>
        <w:t>(</w:t>
      </w:r>
      <w:r w:rsidRPr="00715A3D">
        <w:rPr>
          <w:rFonts w:eastAsia="Calibri"/>
          <w:w w:val="103"/>
        </w:rPr>
        <w:t>12</w:t>
      </w:r>
      <w:r>
        <w:rPr>
          <w:rFonts w:eastAsia="Calibri"/>
          <w:w w:val="103"/>
        </w:rPr>
        <w:t xml:space="preserve">): </w:t>
      </w:r>
      <w:r w:rsidRPr="00715A3D">
        <w:rPr>
          <w:rFonts w:eastAsia="Calibri"/>
          <w:w w:val="103"/>
        </w:rPr>
        <w:t>927–939</w:t>
      </w:r>
    </w:p>
    <w:p w14:paraId="2FB4D002" w14:textId="77777777" w:rsidR="008925F1" w:rsidRDefault="008925F1" w:rsidP="008925F1">
      <w:pPr>
        <w:pStyle w:val="Normalnumber"/>
        <w:numPr>
          <w:ilvl w:val="0"/>
          <w:numId w:val="0"/>
        </w:numPr>
        <w:ind w:left="1247"/>
        <w:sectPr w:rsidR="008925F1" w:rsidSect="00B72B4E">
          <w:headerReference w:type="even" r:id="rId20"/>
          <w:headerReference w:type="default" r:id="rId21"/>
          <w:headerReference w:type="first" r:id="rId22"/>
          <w:footerReference w:type="first" r:id="rId23"/>
          <w:pgSz w:w="11906" w:h="16838" w:code="9"/>
          <w:pgMar w:top="907" w:right="992" w:bottom="1418" w:left="1418" w:header="539" w:footer="975" w:gutter="0"/>
          <w:cols w:space="539"/>
          <w:titlePg/>
          <w:docGrid w:linePitch="360"/>
        </w:sectPr>
      </w:pPr>
    </w:p>
    <w:p w14:paraId="469CB42B" w14:textId="77777777" w:rsidR="002D328A" w:rsidRDefault="0020594D" w:rsidP="0020594D">
      <w:pPr>
        <w:pStyle w:val="CH2"/>
        <w:rPr>
          <w:rFonts w:eastAsia="Calibri"/>
        </w:rPr>
        <w:sectPr w:rsidR="002D328A" w:rsidSect="006E6722">
          <w:headerReference w:type="even" r:id="rId24"/>
          <w:headerReference w:type="default" r:id="rId25"/>
          <w:footerReference w:type="even" r:id="rId26"/>
          <w:footerReference w:type="default" r:id="rId27"/>
          <w:type w:val="continuous"/>
          <w:pgSz w:w="11906" w:h="16838" w:code="9"/>
          <w:pgMar w:top="907" w:right="992" w:bottom="1418" w:left="1418" w:header="539" w:footer="975" w:gutter="0"/>
          <w:cols w:space="539"/>
          <w:titlePg/>
          <w:docGrid w:linePitch="360"/>
        </w:sectPr>
      </w:pPr>
      <w:r>
        <w:rPr>
          <w:rFonts w:eastAsia="Calibri"/>
        </w:rPr>
        <w:tab/>
      </w:r>
    </w:p>
    <w:p w14:paraId="04B8AE7D" w14:textId="77777777" w:rsidR="008925F1" w:rsidRPr="0020594D" w:rsidRDefault="002D328A" w:rsidP="0020594D">
      <w:pPr>
        <w:pStyle w:val="CH2"/>
        <w:rPr>
          <w:rFonts w:eastAsia="Calibri"/>
        </w:rPr>
      </w:pPr>
      <w:r>
        <w:rPr>
          <w:rFonts w:eastAsia="Calibri"/>
        </w:rPr>
        <w:lastRenderedPageBreak/>
        <w:tab/>
      </w:r>
      <w:r w:rsidR="0020594D">
        <w:rPr>
          <w:rFonts w:eastAsia="Calibri"/>
        </w:rPr>
        <w:tab/>
      </w:r>
      <w:r w:rsidR="008925F1" w:rsidRPr="0020594D">
        <w:rPr>
          <w:rFonts w:eastAsia="Calibri"/>
        </w:rPr>
        <w:t>Appendix I</w:t>
      </w:r>
      <w:bookmarkStart w:id="1" w:name="_Toc451966451"/>
      <w:r w:rsidR="008925F1" w:rsidRPr="0020594D">
        <w:rPr>
          <w:rFonts w:eastAsia="Calibri"/>
        </w:rPr>
        <w:t xml:space="preserve"> </w:t>
      </w:r>
      <w:bookmarkEnd w:id="1"/>
    </w:p>
    <w:p w14:paraId="3C0AB539" w14:textId="77777777" w:rsidR="008925F1" w:rsidRPr="00D666F1" w:rsidRDefault="008925F1" w:rsidP="0020594D">
      <w:pPr>
        <w:pStyle w:val="CH3"/>
      </w:pPr>
      <w:r>
        <w:tab/>
      </w:r>
      <w:r>
        <w:tab/>
      </w:r>
      <w:r w:rsidRPr="00D666F1">
        <w:t>Declaration on the Coalition of the Willing on Pollinators</w:t>
      </w:r>
    </w:p>
    <w:p w14:paraId="01D70DF3"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rPr>
          <w:b/>
        </w:rPr>
      </w:pPr>
      <w:r w:rsidRPr="0020594D">
        <w:rPr>
          <w:b/>
        </w:rPr>
        <w:t>We, founding partners of the Coalition of the Willing on Pollinators, being France, Germany, The United Kingdom, Belgium, Austria, Denmark, Luxemburg, Finland, Spain, and the Netherlands:</w:t>
      </w:r>
    </w:p>
    <w:p w14:paraId="323EC645" w14:textId="77777777" w:rsidR="008925F1" w:rsidRPr="00D666F1"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rPr>
          <w:b/>
        </w:rPr>
        <w:t>Recalling that pollinators are fundamental</w:t>
      </w:r>
      <w:r w:rsidRPr="00D666F1">
        <w:t xml:space="preserve"> for the conservation of biological diversity and the</w:t>
      </w:r>
      <w:r w:rsidR="0020594D">
        <w:t xml:space="preserve"> </w:t>
      </w:r>
      <w:r w:rsidRPr="00D666F1">
        <w:t>maintenance of natural terrestrial ecosystems and key ecosystem services, including food production, and for the adaptation of our food production systems to climate change, thereby providing a compelling example of how biodiversity underpins sustainable development, including the improvement of food security for the world’s population;</w:t>
      </w:r>
    </w:p>
    <w:p w14:paraId="2D49183E" w14:textId="77777777" w:rsidR="008925F1" w:rsidRPr="00D666F1"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rPr>
          <w:b/>
        </w:rPr>
        <w:t>Deeply concerned</w:t>
      </w:r>
      <w:r w:rsidRPr="00D666F1">
        <w:t xml:space="preserve"> about the current and future state of pollinators and animal pollination, as outlined in the key message of the IPBES thematic assessment on pollinators, pollination and food production, stating that pollinators are threatened for example by land use change, inappropriate intensive agricultural management including pesticide use, environmental pollution, invasive alien species, pathogens and climate change</w:t>
      </w:r>
    </w:p>
    <w:p w14:paraId="6833BE77" w14:textId="77777777" w:rsidR="008925F1" w:rsidRPr="00D666F1"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rPr>
          <w:b/>
        </w:rPr>
        <w:t xml:space="preserve">Welcoming the tools and guidance </w:t>
      </w:r>
      <w:r w:rsidRPr="00D666F1">
        <w:t>developed by the Food and Agriculture Organization of the</w:t>
      </w:r>
      <w:r w:rsidR="0020594D">
        <w:t xml:space="preserve"> </w:t>
      </w:r>
      <w:r w:rsidRPr="00D666F1">
        <w:t>United Nations and partners under the International Initiative for the Conservation and Sustainable Use of Pollinators, and convinced that further developments should be built on them.</w:t>
      </w:r>
    </w:p>
    <w:p w14:paraId="241EC10F" w14:textId="77777777" w:rsidR="008925F1" w:rsidRPr="00D666F1"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rPr>
          <w:b/>
        </w:rPr>
        <w:t>Convinced that political impetus</w:t>
      </w:r>
      <w:r w:rsidRPr="00D666F1">
        <w:t xml:space="preserve"> has the potential to foster policy measures and innovative action with a view to protect pollinators;</w:t>
      </w:r>
    </w:p>
    <w:p w14:paraId="4AE13085" w14:textId="77777777" w:rsidR="008925F1" w:rsidRPr="0020594D" w:rsidRDefault="0020594D" w:rsidP="0020594D">
      <w:pPr>
        <w:pStyle w:val="CH3"/>
      </w:pPr>
      <w:r>
        <w:tab/>
      </w:r>
      <w:r>
        <w:tab/>
      </w:r>
      <w:r w:rsidR="008925F1" w:rsidRPr="0020594D">
        <w:t>COMMIT TO:</w:t>
      </w:r>
    </w:p>
    <w:p w14:paraId="3C0F3083" w14:textId="77777777" w:rsidR="008925F1" w:rsidRPr="00D666F1" w:rsidRDefault="0020594D" w:rsidP="0020594D">
      <w:pPr>
        <w:pStyle w:val="Normal-pool"/>
        <w:tabs>
          <w:tab w:val="clear" w:pos="1247"/>
          <w:tab w:val="clear" w:pos="1814"/>
          <w:tab w:val="clear" w:pos="2381"/>
          <w:tab w:val="clear" w:pos="2948"/>
          <w:tab w:val="clear" w:pos="3515"/>
          <w:tab w:val="clear" w:pos="4082"/>
          <w:tab w:val="left" w:pos="624"/>
        </w:tabs>
        <w:spacing w:after="120"/>
        <w:ind w:left="1247"/>
      </w:pPr>
      <w:r>
        <w:t>1.</w:t>
      </w:r>
      <w:r>
        <w:tab/>
      </w:r>
      <w:r w:rsidR="008925F1" w:rsidRPr="0020594D">
        <w:rPr>
          <w:b/>
        </w:rPr>
        <w:t>take action</w:t>
      </w:r>
      <w:r w:rsidR="008925F1" w:rsidRPr="0020594D">
        <w:t xml:space="preserve"> </w:t>
      </w:r>
      <w:r w:rsidR="008925F1" w:rsidRPr="00D666F1">
        <w:t>to protect pollinators and their habitats in order to stop and reverse their decline, taking</w:t>
      </w:r>
      <w:r>
        <w:t xml:space="preserve"> </w:t>
      </w:r>
      <w:r w:rsidR="008925F1" w:rsidRPr="00D666F1">
        <w:t>into account our national, regional and international capabilities and priorities, including through</w:t>
      </w:r>
      <w:r>
        <w:t xml:space="preserve"> </w:t>
      </w:r>
      <w:r w:rsidR="008925F1" w:rsidRPr="00D666F1">
        <w:t>strategies to:</w:t>
      </w:r>
    </w:p>
    <w:p w14:paraId="2DC4F565" w14:textId="77777777" w:rsidR="008925F1" w:rsidRPr="0020594D" w:rsidRDefault="008925F1" w:rsidP="000E63B3">
      <w:pPr>
        <w:pStyle w:val="Normal-pool"/>
        <w:numPr>
          <w:ilvl w:val="0"/>
          <w:numId w:val="6"/>
        </w:numPr>
        <w:tabs>
          <w:tab w:val="clear" w:pos="1247"/>
          <w:tab w:val="clear" w:pos="1814"/>
          <w:tab w:val="clear" w:pos="2381"/>
          <w:tab w:val="clear" w:pos="2948"/>
          <w:tab w:val="clear" w:pos="3515"/>
          <w:tab w:val="clear" w:pos="4082"/>
          <w:tab w:val="left" w:pos="624"/>
        </w:tabs>
        <w:spacing w:after="120"/>
        <w:ind w:left="2495" w:hanging="624"/>
      </w:pPr>
      <w:r w:rsidRPr="0020594D">
        <w:t>promote pollinator-friendly habitats including through sustainable agricultural practices such as</w:t>
      </w:r>
    </w:p>
    <w:p w14:paraId="7806FB6E" w14:textId="77777777" w:rsidR="008925F1" w:rsidRPr="0020594D" w:rsidRDefault="008925F1" w:rsidP="000E63B3">
      <w:pPr>
        <w:pStyle w:val="Normal-pool"/>
        <w:numPr>
          <w:ilvl w:val="0"/>
          <w:numId w:val="6"/>
        </w:numPr>
        <w:tabs>
          <w:tab w:val="clear" w:pos="1247"/>
          <w:tab w:val="clear" w:pos="1814"/>
          <w:tab w:val="clear" w:pos="2381"/>
          <w:tab w:val="clear" w:pos="2948"/>
          <w:tab w:val="clear" w:pos="3515"/>
          <w:tab w:val="clear" w:pos="4082"/>
          <w:tab w:val="left" w:pos="624"/>
        </w:tabs>
        <w:spacing w:after="120"/>
        <w:ind w:left="2495" w:hanging="624"/>
      </w:pPr>
      <w:r w:rsidRPr="0020594D">
        <w:t>agro-ecology;</w:t>
      </w:r>
    </w:p>
    <w:p w14:paraId="3EE89FB3" w14:textId="77777777" w:rsidR="008925F1" w:rsidRPr="0020594D" w:rsidRDefault="008925F1" w:rsidP="000E63B3">
      <w:pPr>
        <w:pStyle w:val="Normal-pool"/>
        <w:numPr>
          <w:ilvl w:val="0"/>
          <w:numId w:val="6"/>
        </w:numPr>
        <w:tabs>
          <w:tab w:val="clear" w:pos="1247"/>
          <w:tab w:val="clear" w:pos="1814"/>
          <w:tab w:val="clear" w:pos="2381"/>
          <w:tab w:val="clear" w:pos="2948"/>
          <w:tab w:val="clear" w:pos="3515"/>
          <w:tab w:val="clear" w:pos="4082"/>
          <w:tab w:val="left" w:pos="624"/>
        </w:tabs>
        <w:spacing w:after="120"/>
        <w:ind w:left="2495" w:hanging="624"/>
      </w:pPr>
      <w:r w:rsidRPr="0020594D">
        <w:t>improve the management of pollinators, and reduce risks from pests, pathogens and invasive</w:t>
      </w:r>
    </w:p>
    <w:p w14:paraId="7D436FDD" w14:textId="77777777" w:rsidR="008925F1" w:rsidRPr="0020594D" w:rsidRDefault="008925F1" w:rsidP="000E63B3">
      <w:pPr>
        <w:pStyle w:val="Normal-pool"/>
        <w:numPr>
          <w:ilvl w:val="0"/>
          <w:numId w:val="6"/>
        </w:numPr>
        <w:tabs>
          <w:tab w:val="clear" w:pos="1247"/>
          <w:tab w:val="clear" w:pos="1814"/>
          <w:tab w:val="clear" w:pos="2381"/>
          <w:tab w:val="clear" w:pos="2948"/>
          <w:tab w:val="clear" w:pos="3515"/>
          <w:tab w:val="clear" w:pos="4082"/>
          <w:tab w:val="left" w:pos="624"/>
        </w:tabs>
        <w:spacing w:after="120"/>
        <w:ind w:left="2495" w:hanging="624"/>
      </w:pPr>
      <w:r w:rsidRPr="0020594D">
        <w:t>species</w:t>
      </w:r>
    </w:p>
    <w:p w14:paraId="1F276953" w14:textId="77777777" w:rsidR="008925F1" w:rsidRPr="0020594D" w:rsidRDefault="008925F1" w:rsidP="000E63B3">
      <w:pPr>
        <w:pStyle w:val="Normal-pool"/>
        <w:numPr>
          <w:ilvl w:val="0"/>
          <w:numId w:val="6"/>
        </w:numPr>
        <w:tabs>
          <w:tab w:val="clear" w:pos="1247"/>
          <w:tab w:val="clear" w:pos="1814"/>
          <w:tab w:val="clear" w:pos="2381"/>
          <w:tab w:val="clear" w:pos="2948"/>
          <w:tab w:val="clear" w:pos="3515"/>
          <w:tab w:val="clear" w:pos="4082"/>
          <w:tab w:val="left" w:pos="624"/>
        </w:tabs>
        <w:spacing w:after="120"/>
        <w:ind w:left="2495" w:hanging="624"/>
      </w:pPr>
      <w:r w:rsidRPr="0020594D">
        <w:t>avoid or reduce the use of pesticides harmful to wild and domestic pollinators, apply</w:t>
      </w:r>
    </w:p>
    <w:p w14:paraId="46004854" w14:textId="77777777" w:rsidR="008925F1" w:rsidRPr="0020594D" w:rsidRDefault="008925F1" w:rsidP="000E63B3">
      <w:pPr>
        <w:pStyle w:val="Normal-pool"/>
        <w:numPr>
          <w:ilvl w:val="0"/>
          <w:numId w:val="6"/>
        </w:numPr>
        <w:tabs>
          <w:tab w:val="clear" w:pos="1247"/>
          <w:tab w:val="clear" w:pos="1814"/>
          <w:tab w:val="clear" w:pos="2381"/>
          <w:tab w:val="clear" w:pos="2948"/>
          <w:tab w:val="clear" w:pos="3515"/>
          <w:tab w:val="clear" w:pos="4082"/>
          <w:tab w:val="left" w:pos="624"/>
        </w:tabs>
        <w:spacing w:after="120"/>
        <w:ind w:left="2495" w:hanging="624"/>
      </w:pPr>
      <w:r w:rsidRPr="0020594D">
        <w:t>appropriate risk management measures, and develop alternatives to their use.</w:t>
      </w:r>
    </w:p>
    <w:p w14:paraId="13E39AAE" w14:textId="77777777" w:rsidR="008925F1" w:rsidRPr="0020594D" w:rsidRDefault="008925F1" w:rsidP="000E63B3">
      <w:pPr>
        <w:pStyle w:val="Normal-pool"/>
        <w:numPr>
          <w:ilvl w:val="0"/>
          <w:numId w:val="6"/>
        </w:numPr>
        <w:tabs>
          <w:tab w:val="clear" w:pos="1247"/>
          <w:tab w:val="clear" w:pos="1814"/>
          <w:tab w:val="clear" w:pos="2381"/>
          <w:tab w:val="clear" w:pos="2948"/>
          <w:tab w:val="clear" w:pos="3515"/>
          <w:tab w:val="clear" w:pos="4082"/>
          <w:tab w:val="left" w:pos="624"/>
        </w:tabs>
        <w:spacing w:after="120"/>
        <w:ind w:left="2495" w:hanging="624"/>
      </w:pPr>
      <w:r w:rsidRPr="0020594D">
        <w:t>We will do so by developing, facilitating (if not already done) and implementing pollinator strategies,</w:t>
      </w:r>
    </w:p>
    <w:p w14:paraId="1DB1C8B9" w14:textId="77777777" w:rsidR="008925F1" w:rsidRPr="0020594D" w:rsidRDefault="008925F1" w:rsidP="000E63B3">
      <w:pPr>
        <w:pStyle w:val="Normal-pool"/>
        <w:numPr>
          <w:ilvl w:val="0"/>
          <w:numId w:val="6"/>
        </w:numPr>
        <w:tabs>
          <w:tab w:val="clear" w:pos="1247"/>
          <w:tab w:val="clear" w:pos="1814"/>
          <w:tab w:val="clear" w:pos="2381"/>
          <w:tab w:val="clear" w:pos="2948"/>
          <w:tab w:val="clear" w:pos="3515"/>
          <w:tab w:val="clear" w:pos="4082"/>
          <w:tab w:val="left" w:pos="624"/>
        </w:tabs>
        <w:spacing w:after="120"/>
        <w:ind w:left="2495" w:hanging="624"/>
      </w:pPr>
      <w:r w:rsidRPr="0020594D">
        <w:t>consistent with the IPBES thematic assessment on pollinators, pollination and food production;</w:t>
      </w:r>
    </w:p>
    <w:p w14:paraId="486E2DEF" w14:textId="77777777" w:rsidR="008925F1" w:rsidRPr="00D666F1"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2.</w:t>
      </w:r>
      <w:r w:rsidR="0020594D">
        <w:tab/>
      </w:r>
      <w:r w:rsidRPr="0020594D">
        <w:t xml:space="preserve">share, </w:t>
      </w:r>
      <w:r w:rsidRPr="00D666F1">
        <w:t>in an open and transparent manner, experience and lessons learnt in developing, facilitating and implementing these pollinator strategies, especially knowledge on new approaches, innovations and best practices;</w:t>
      </w:r>
    </w:p>
    <w:p w14:paraId="45E503AA" w14:textId="77777777" w:rsidR="008925F1" w:rsidRPr="00D666F1" w:rsidRDefault="0020594D" w:rsidP="0020594D">
      <w:pPr>
        <w:pStyle w:val="Normal-pool"/>
        <w:tabs>
          <w:tab w:val="clear" w:pos="1247"/>
          <w:tab w:val="clear" w:pos="1814"/>
          <w:tab w:val="clear" w:pos="2381"/>
          <w:tab w:val="clear" w:pos="2948"/>
          <w:tab w:val="clear" w:pos="3515"/>
          <w:tab w:val="clear" w:pos="4082"/>
          <w:tab w:val="left" w:pos="624"/>
        </w:tabs>
        <w:spacing w:after="120"/>
        <w:ind w:left="1247"/>
      </w:pPr>
      <w:r>
        <w:t>3.</w:t>
      </w:r>
      <w:r>
        <w:tab/>
      </w:r>
      <w:r w:rsidR="008925F1" w:rsidRPr="0020594D">
        <w:t xml:space="preserve">reach out </w:t>
      </w:r>
      <w:r w:rsidR="008925F1" w:rsidRPr="00D666F1">
        <w:t>to, and seek collaboration with, a broad spectrum of stakeholders (among which,</w:t>
      </w:r>
      <w:r>
        <w:t xml:space="preserve"> </w:t>
      </w:r>
      <w:r w:rsidR="008925F1" w:rsidRPr="00D666F1">
        <w:t>businesses, NGOs, farmers and smallholders, and local communities) on the need to protect</w:t>
      </w:r>
      <w:r>
        <w:t xml:space="preserve"> </w:t>
      </w:r>
      <w:r w:rsidR="008925F1" w:rsidRPr="00D666F1">
        <w:t>pollinators;</w:t>
      </w:r>
    </w:p>
    <w:p w14:paraId="7DCA626D" w14:textId="77777777" w:rsidR="008925F1" w:rsidRPr="00D666F1" w:rsidRDefault="0020594D" w:rsidP="0020594D">
      <w:pPr>
        <w:pStyle w:val="Normal-pool"/>
        <w:tabs>
          <w:tab w:val="clear" w:pos="1247"/>
          <w:tab w:val="clear" w:pos="1814"/>
          <w:tab w:val="clear" w:pos="2381"/>
          <w:tab w:val="clear" w:pos="2948"/>
          <w:tab w:val="clear" w:pos="3515"/>
          <w:tab w:val="clear" w:pos="4082"/>
          <w:tab w:val="left" w:pos="624"/>
        </w:tabs>
        <w:spacing w:after="120"/>
        <w:ind w:left="1247"/>
      </w:pPr>
      <w:r>
        <w:t>4.</w:t>
      </w:r>
      <w:r>
        <w:tab/>
      </w:r>
      <w:r w:rsidR="008925F1" w:rsidRPr="0020594D">
        <w:t xml:space="preserve">develop research </w:t>
      </w:r>
      <w:r w:rsidR="008925F1" w:rsidRPr="00D666F1">
        <w:t>that will help to fill knowledge gaps on the subject of pollinator conservation;</w:t>
      </w:r>
    </w:p>
    <w:p w14:paraId="582EEF59" w14:textId="77777777" w:rsidR="008925F1" w:rsidRPr="00D666F1"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 xml:space="preserve">5. </w:t>
      </w:r>
      <w:r w:rsidR="0020594D">
        <w:tab/>
      </w:r>
      <w:r w:rsidRPr="0020594D">
        <w:t xml:space="preserve">mutually support and collaborate </w:t>
      </w:r>
      <w:r w:rsidRPr="00D666F1">
        <w:t>with each other and with all countries and partner</w:t>
      </w:r>
      <w:r w:rsidR="0020594D">
        <w:t xml:space="preserve"> </w:t>
      </w:r>
      <w:r w:rsidRPr="00D666F1">
        <w:t>organizations willing to join us.</w:t>
      </w:r>
    </w:p>
    <w:p w14:paraId="1BA11DFF" w14:textId="77777777" w:rsidR="008925F1" w:rsidRPr="00D666F1"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D666F1">
        <w:t xml:space="preserve">In order to do so, </w:t>
      </w:r>
      <w:r w:rsidRPr="0020594D">
        <w:t>we hereby establish a Coalition of the Willing on Pollinators</w:t>
      </w:r>
      <w:r w:rsidRPr="00D666F1">
        <w:t xml:space="preserve">. We will reach out to potential new partners with the aim of continuously expanding the Coalition of the Willing. </w:t>
      </w:r>
    </w:p>
    <w:p w14:paraId="0F08925C" w14:textId="77777777" w:rsidR="008925F1" w:rsidRPr="00D666F1"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D666F1">
        <w:t>We will report in this respect our results to the meetings of the Conference of the Parties to the Convention on Biological Diversity.</w:t>
      </w:r>
    </w:p>
    <w:p w14:paraId="56E39B47" w14:textId="77777777" w:rsidR="008925F1" w:rsidRPr="002D328A" w:rsidRDefault="008925F1" w:rsidP="002D328A">
      <w:pPr>
        <w:pStyle w:val="Normal-pool"/>
        <w:keepNext/>
        <w:keepLines/>
        <w:tabs>
          <w:tab w:val="clear" w:pos="1247"/>
          <w:tab w:val="clear" w:pos="1814"/>
          <w:tab w:val="clear" w:pos="2381"/>
          <w:tab w:val="clear" w:pos="2948"/>
          <w:tab w:val="clear" w:pos="3515"/>
          <w:tab w:val="clear" w:pos="4082"/>
          <w:tab w:val="left" w:pos="624"/>
        </w:tabs>
        <w:spacing w:after="120"/>
        <w:ind w:left="1247"/>
        <w:rPr>
          <w:b/>
        </w:rPr>
      </w:pPr>
      <w:r w:rsidRPr="002D328A">
        <w:rPr>
          <w:b/>
        </w:rPr>
        <w:lastRenderedPageBreak/>
        <w:t>Declaration on the Coalition of the Willing on Pollinators</w:t>
      </w:r>
    </w:p>
    <w:p w14:paraId="74C8D40C" w14:textId="77777777" w:rsidR="008925F1" w:rsidRPr="002D328A" w:rsidRDefault="008925F1" w:rsidP="002D328A">
      <w:pPr>
        <w:pStyle w:val="Normal-pool"/>
        <w:keepNext/>
        <w:keepLines/>
        <w:tabs>
          <w:tab w:val="clear" w:pos="1247"/>
          <w:tab w:val="clear" w:pos="1814"/>
          <w:tab w:val="clear" w:pos="2381"/>
          <w:tab w:val="clear" w:pos="2948"/>
          <w:tab w:val="clear" w:pos="3515"/>
          <w:tab w:val="clear" w:pos="4082"/>
          <w:tab w:val="left" w:pos="624"/>
        </w:tabs>
        <w:spacing w:after="120"/>
        <w:ind w:left="1247"/>
        <w:rPr>
          <w:b/>
        </w:rPr>
      </w:pPr>
      <w:r w:rsidRPr="002D328A">
        <w:rPr>
          <w:b/>
        </w:rPr>
        <w:t>Signed in Cancun, Mexico, December 2016</w:t>
      </w:r>
    </w:p>
    <w:p w14:paraId="577BC7B8"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 xml:space="preserve">Gunter Liebel </w:t>
      </w:r>
      <w:r w:rsidR="0020594D">
        <w:br/>
      </w:r>
      <w:r w:rsidRPr="0020594D">
        <w:t>Director General for Environment and Climate Change</w:t>
      </w:r>
      <w:r w:rsidR="0020594D">
        <w:t xml:space="preserve"> </w:t>
      </w:r>
      <w:r w:rsidR="0020594D">
        <w:br/>
      </w:r>
      <w:r w:rsidRPr="0020594D">
        <w:t xml:space="preserve">On behalf of the Austrian Government </w:t>
      </w:r>
    </w:p>
    <w:p w14:paraId="42A9C552"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 xml:space="preserve">Ines Verleye </w:t>
      </w:r>
      <w:r w:rsidR="0020594D">
        <w:br/>
      </w:r>
      <w:r w:rsidRPr="0020594D">
        <w:t xml:space="preserve">Senior biodiversity expert </w:t>
      </w:r>
      <w:r w:rsidR="0020594D">
        <w:br/>
      </w:r>
      <w:r w:rsidRPr="0020594D">
        <w:t>On behalf of the Kingdom of Belgium</w:t>
      </w:r>
    </w:p>
    <w:p w14:paraId="0603AEB6"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 xml:space="preserve">Hendrik Hedeman Olsen </w:t>
      </w:r>
      <w:r w:rsidR="0020594D">
        <w:br/>
      </w:r>
      <w:r w:rsidRPr="0020594D">
        <w:t xml:space="preserve">Head of EU and International Affairs </w:t>
      </w:r>
      <w:r w:rsidR="0020594D">
        <w:br/>
      </w:r>
      <w:r w:rsidRPr="0020594D">
        <w:t xml:space="preserve">On behalf of His Excellency Mr. Esben Lunde Larsen, </w:t>
      </w:r>
      <w:r w:rsidR="0020594D">
        <w:br/>
      </w:r>
      <w:r w:rsidRPr="0020594D">
        <w:t xml:space="preserve">Minister of Environment and Food </w:t>
      </w:r>
      <w:r w:rsidR="0020594D">
        <w:br/>
      </w:r>
      <w:r w:rsidRPr="0020594D">
        <w:t>Denmark</w:t>
      </w:r>
    </w:p>
    <w:p w14:paraId="56524060"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(Ministerial adviser Marina von Weisenberg)</w:t>
      </w:r>
      <w:r w:rsidR="002D328A">
        <w:t xml:space="preserve"> </w:t>
      </w:r>
      <w:r w:rsidR="002D328A">
        <w:br/>
      </w:r>
      <w:r w:rsidRPr="0020594D">
        <w:t xml:space="preserve">(on behalf of the) </w:t>
      </w:r>
      <w:r w:rsidR="002D328A">
        <w:br/>
      </w:r>
      <w:r w:rsidRPr="0020594D">
        <w:t>H.E. Kimmo Tiilikainen</w:t>
      </w:r>
      <w:r w:rsidR="002D328A">
        <w:t xml:space="preserve"> </w:t>
      </w:r>
      <w:r w:rsidR="002D328A">
        <w:br/>
      </w:r>
      <w:r w:rsidRPr="0020594D">
        <w:t>Minister of Agriculture and the Environment</w:t>
      </w:r>
      <w:r w:rsidR="002D328A">
        <w:t xml:space="preserve"> </w:t>
      </w:r>
      <w:r w:rsidR="002D328A">
        <w:br/>
      </w:r>
      <w:r w:rsidRPr="0020594D">
        <w:t>Finland</w:t>
      </w:r>
    </w:p>
    <w:p w14:paraId="2C7C8EEC"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 xml:space="preserve">Barbara Pompili </w:t>
      </w:r>
      <w:r w:rsidR="002D328A">
        <w:br/>
      </w:r>
      <w:r w:rsidRPr="0020594D">
        <w:t xml:space="preserve">Minister of State for Biodiversity </w:t>
      </w:r>
      <w:r w:rsidR="002D328A">
        <w:br/>
      </w:r>
      <w:r w:rsidRPr="0020594D">
        <w:t xml:space="preserve">On behalf of the French government </w:t>
      </w:r>
    </w:p>
    <w:p w14:paraId="4183CABA"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Carole Dieschbourg</w:t>
      </w:r>
      <w:r w:rsidR="002D328A">
        <w:t xml:space="preserve"> </w:t>
      </w:r>
      <w:r w:rsidR="002D328A">
        <w:br/>
      </w:r>
      <w:r w:rsidRPr="0020594D">
        <w:t>Minister for the Environment</w:t>
      </w:r>
      <w:r w:rsidR="002D328A">
        <w:t xml:space="preserve"> </w:t>
      </w:r>
      <w:r w:rsidR="002D328A">
        <w:br/>
      </w:r>
      <w:r w:rsidRPr="0020594D">
        <w:t>Luxembourg</w:t>
      </w:r>
    </w:p>
    <w:p w14:paraId="780516FC"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Margriet Leemhuis</w:t>
      </w:r>
      <w:r w:rsidR="002D328A">
        <w:t xml:space="preserve"> </w:t>
      </w:r>
      <w:r w:rsidR="002D328A">
        <w:br/>
      </w:r>
      <w:r w:rsidRPr="0020594D">
        <w:t xml:space="preserve">Embassador for the </w:t>
      </w:r>
      <w:r w:rsidR="002D328A" w:rsidRPr="0020594D">
        <w:t>Kingdom</w:t>
      </w:r>
      <w:r w:rsidRPr="0020594D">
        <w:t xml:space="preserve"> of the Netherlands</w:t>
      </w:r>
      <w:r w:rsidR="002D328A">
        <w:t xml:space="preserve"> </w:t>
      </w:r>
      <w:r w:rsidR="002D328A">
        <w:br/>
      </w:r>
      <w:r w:rsidRPr="0020594D">
        <w:t>On behalf of the Ministry of Economic Affairs,</w:t>
      </w:r>
      <w:r w:rsidR="002D328A">
        <w:t xml:space="preserve"> </w:t>
      </w:r>
      <w:r w:rsidR="002D328A">
        <w:br/>
      </w:r>
      <w:r w:rsidRPr="0020594D">
        <w:t>The Netherlands</w:t>
      </w:r>
    </w:p>
    <w:p w14:paraId="764FC472" w14:textId="77777777" w:rsidR="008925F1" w:rsidRPr="00A64479" w:rsidRDefault="008925F1" w:rsidP="0020594D">
      <w:pPr>
        <w:pStyle w:val="Normal-pool"/>
        <w:tabs>
          <w:tab w:val="clear" w:pos="1247"/>
          <w:tab w:val="clear" w:pos="1814"/>
          <w:tab w:val="clear" w:pos="2381"/>
          <w:tab w:val="clear" w:pos="2948"/>
          <w:tab w:val="clear" w:pos="3515"/>
          <w:tab w:val="clear" w:pos="4082"/>
          <w:tab w:val="left" w:pos="624"/>
        </w:tabs>
        <w:spacing w:after="120"/>
        <w:ind w:left="1247"/>
        <w:rPr>
          <w:lang w:val="es-ES_tradnl"/>
        </w:rPr>
      </w:pPr>
      <w:r w:rsidRPr="00A64479">
        <w:rPr>
          <w:lang w:val="es-ES_tradnl"/>
        </w:rPr>
        <w:t xml:space="preserve">Luis Fernandez- Cid de las Alas </w:t>
      </w:r>
      <w:r w:rsidR="002D328A" w:rsidRPr="00A64479">
        <w:rPr>
          <w:lang w:val="es-ES_tradnl"/>
        </w:rPr>
        <w:br/>
      </w:r>
      <w:r w:rsidRPr="00A64479">
        <w:rPr>
          <w:lang w:val="es-ES_tradnl"/>
        </w:rPr>
        <w:t xml:space="preserve">Pumarino </w:t>
      </w:r>
      <w:r w:rsidR="002D328A" w:rsidRPr="00A64479">
        <w:rPr>
          <w:lang w:val="es-ES_tradnl"/>
        </w:rPr>
        <w:br/>
      </w:r>
      <w:r w:rsidRPr="00A64479">
        <w:rPr>
          <w:lang w:val="es-ES_tradnl"/>
        </w:rPr>
        <w:t xml:space="preserve">Agriculture </w:t>
      </w:r>
      <w:r w:rsidR="002D328A" w:rsidRPr="00A64479">
        <w:rPr>
          <w:lang w:val="es-ES_tradnl"/>
        </w:rPr>
        <w:br/>
      </w:r>
      <w:r w:rsidRPr="00A64479">
        <w:rPr>
          <w:lang w:val="es-ES_tradnl"/>
        </w:rPr>
        <w:t>Ambassador of Spain in Mexico</w:t>
      </w:r>
    </w:p>
    <w:p w14:paraId="6D302FD7"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 xml:space="preserve">Barbara Kosack </w:t>
      </w:r>
      <w:r w:rsidR="002D328A">
        <w:br/>
      </w:r>
      <w:r w:rsidRPr="0020594D">
        <w:t>Head of Division of the Ministry of Agriculture</w:t>
      </w:r>
      <w:r w:rsidR="002D328A">
        <w:t xml:space="preserve"> </w:t>
      </w:r>
      <w:r w:rsidR="002D328A">
        <w:br/>
      </w:r>
      <w:r w:rsidRPr="0020594D">
        <w:t>Germany</w:t>
      </w:r>
    </w:p>
    <w:p w14:paraId="6CA830A2"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Dr. Elsa Nickel</w:t>
      </w:r>
      <w:r w:rsidR="002D328A">
        <w:t xml:space="preserve"> </w:t>
      </w:r>
      <w:r w:rsidR="002D328A">
        <w:br/>
      </w:r>
      <w:r w:rsidRPr="0020594D">
        <w:t>Director General of the Ministry Of Environment</w:t>
      </w:r>
      <w:r w:rsidR="002D328A">
        <w:t xml:space="preserve"> </w:t>
      </w:r>
      <w:r w:rsidR="002D328A">
        <w:br/>
      </w:r>
      <w:r w:rsidRPr="0020594D">
        <w:t>Germany</w:t>
      </w:r>
    </w:p>
    <w:p w14:paraId="0B5E957D"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Clare Hamilton</w:t>
      </w:r>
      <w:r w:rsidR="002D328A">
        <w:t xml:space="preserve"> </w:t>
      </w:r>
      <w:r w:rsidR="002D328A">
        <w:br/>
      </w:r>
      <w:r w:rsidRPr="0020594D">
        <w:t>Deputy Head, UK Department for</w:t>
      </w:r>
      <w:r w:rsidR="002D328A">
        <w:t xml:space="preserve"> </w:t>
      </w:r>
      <w:r w:rsidR="002D328A">
        <w:br/>
      </w:r>
      <w:r w:rsidRPr="0020594D">
        <w:t>Environment, Food and Affairs</w:t>
      </w:r>
      <w:r w:rsidR="002D328A">
        <w:t xml:space="preserve"> </w:t>
      </w:r>
      <w:r w:rsidR="002D328A">
        <w:br/>
      </w:r>
      <w:r w:rsidRPr="0020594D">
        <w:t>On behalf of the government of the Unite Kingdom Of Great Britain and Northern Ireland</w:t>
      </w:r>
    </w:p>
    <w:p w14:paraId="46999FC5" w14:textId="77777777" w:rsidR="008925F1" w:rsidRPr="0020594D" w:rsidRDefault="008925F1" w:rsidP="0020594D">
      <w:pPr>
        <w:pStyle w:val="Normal-pool"/>
        <w:tabs>
          <w:tab w:val="clear" w:pos="1247"/>
          <w:tab w:val="clear" w:pos="1814"/>
          <w:tab w:val="clear" w:pos="2381"/>
          <w:tab w:val="clear" w:pos="2948"/>
          <w:tab w:val="clear" w:pos="3515"/>
          <w:tab w:val="clear" w:pos="4082"/>
          <w:tab w:val="left" w:pos="624"/>
        </w:tabs>
        <w:spacing w:after="120"/>
        <w:ind w:left="1247"/>
      </w:pPr>
      <w:r w:rsidRPr="0020594D">
        <w:t>Ing. Quim. Alejandro Nario,</w:t>
      </w:r>
      <w:r w:rsidR="002D328A">
        <w:t xml:space="preserve"> </w:t>
      </w:r>
      <w:r w:rsidR="002D328A">
        <w:br/>
      </w:r>
      <w:r w:rsidRPr="0020594D">
        <w:t>National Director of Environment,</w:t>
      </w:r>
      <w:r w:rsidR="002D328A">
        <w:t xml:space="preserve"> </w:t>
      </w:r>
      <w:r w:rsidR="002D328A">
        <w:br/>
      </w:r>
      <w:r w:rsidRPr="0020594D">
        <w:t>On behalf of the Government of Uruguay</w:t>
      </w:r>
      <w:r w:rsidR="002D328A">
        <w:t xml:space="preserve"> </w:t>
      </w:r>
      <w:r w:rsidR="002D328A">
        <w:br/>
      </w:r>
      <w:r w:rsidRPr="0020594D">
        <w:t>The Minister of External Affairs Dir. de Medio Ambiente</w:t>
      </w:r>
    </w:p>
    <w:p w14:paraId="0E932DB9" w14:textId="77777777" w:rsidR="002D328A" w:rsidRDefault="002D328A" w:rsidP="008925F1">
      <w:pPr>
        <w:pStyle w:val="Normalnumber"/>
        <w:numPr>
          <w:ilvl w:val="0"/>
          <w:numId w:val="0"/>
        </w:numPr>
        <w:rPr>
          <w:b/>
          <w:sz w:val="24"/>
          <w:szCs w:val="24"/>
        </w:rPr>
        <w:sectPr w:rsidR="002D328A" w:rsidSect="002D328A">
          <w:headerReference w:type="even" r:id="rId28"/>
          <w:footerReference w:type="even" r:id="rId29"/>
          <w:headerReference w:type="first" r:id="rId30"/>
          <w:footerReference w:type="first" r:id="rId31"/>
          <w:pgSz w:w="11906" w:h="16838" w:code="9"/>
          <w:pgMar w:top="907" w:right="992" w:bottom="1418" w:left="1418" w:header="539" w:footer="975" w:gutter="0"/>
          <w:cols w:space="539"/>
          <w:titlePg/>
          <w:docGrid w:linePitch="360"/>
        </w:sectPr>
      </w:pPr>
    </w:p>
    <w:p w14:paraId="3F4DCDED" w14:textId="77777777" w:rsidR="008925F1" w:rsidRPr="00591F35" w:rsidRDefault="002D328A" w:rsidP="002D328A">
      <w:pPr>
        <w:pStyle w:val="CH2"/>
      </w:pPr>
      <w:r>
        <w:lastRenderedPageBreak/>
        <w:tab/>
      </w:r>
      <w:r>
        <w:tab/>
      </w:r>
      <w:r w:rsidR="008925F1" w:rsidRPr="00591F35">
        <w:t>Appendix II</w:t>
      </w:r>
      <w:r w:rsidR="008925F1">
        <w:t xml:space="preserve"> - CBD Decision XIII/15 </w:t>
      </w:r>
    </w:p>
    <w:tbl>
      <w:tblPr>
        <w:tblW w:w="10773" w:type="dxa"/>
        <w:tblInd w:w="-459" w:type="dxa"/>
        <w:tblBorders>
          <w:bottom w:val="single" w:sz="36" w:space="0" w:color="000000"/>
        </w:tblBorders>
        <w:tblLayout w:type="fixed"/>
        <w:tblLook w:val="0000" w:firstRow="0" w:lastRow="0" w:firstColumn="0" w:lastColumn="0" w:noHBand="0" w:noVBand="0"/>
      </w:tblPr>
      <w:tblGrid>
        <w:gridCol w:w="1843"/>
        <w:gridCol w:w="1764"/>
        <w:gridCol w:w="2620"/>
        <w:gridCol w:w="861"/>
        <w:gridCol w:w="3685"/>
      </w:tblGrid>
      <w:tr w:rsidR="008925F1" w:rsidRPr="00426CEC" w14:paraId="7D6B3BB9" w14:textId="77777777" w:rsidTr="00B72B4E">
        <w:tc>
          <w:tcPr>
            <w:tcW w:w="1843" w:type="dxa"/>
            <w:tcBorders>
              <w:top w:val="nil"/>
              <w:bottom w:val="single" w:sz="12" w:space="0" w:color="000000"/>
            </w:tcBorders>
          </w:tcPr>
          <w:p w14:paraId="26E1CE06" w14:textId="77777777" w:rsidR="008925F1" w:rsidRPr="00426CEC" w:rsidRDefault="000E63B3" w:rsidP="00B72B4E">
            <w:pPr>
              <w:spacing w:before="120" w:after="120" w:line="240" w:lineRule="auto"/>
              <w:ind w:left="720" w:right="720"/>
              <w:jc w:val="both"/>
              <w:rPr>
                <w:rFonts w:ascii="Times New Roman" w:eastAsia="Times New Roman" w:hAnsi="Times New Roman"/>
                <w:bCs/>
                <w:snapToGrid w:val="0"/>
                <w:kern w:val="22"/>
                <w:szCs w:val="24"/>
                <w:lang w:val="en-GB"/>
              </w:rPr>
            </w:pPr>
            <w:r>
              <w:rPr>
                <w:rFonts w:ascii="Times New Roman" w:eastAsia="Times New Roman" w:hAnsi="Times New Roman"/>
                <w:noProof/>
                <w:kern w:val="22"/>
                <w:szCs w:val="24"/>
              </w:rPr>
              <w:drawing>
                <wp:inline distT="0" distB="0" distL="0" distR="0" wp14:anchorId="57EA1398" wp14:editId="49FE989E">
                  <wp:extent cx="495300" cy="581025"/>
                  <wp:effectExtent l="0" t="0" r="0" b="952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tc>
        <w:tc>
          <w:tcPr>
            <w:tcW w:w="1764" w:type="dxa"/>
            <w:tcBorders>
              <w:top w:val="nil"/>
              <w:bottom w:val="single" w:sz="12" w:space="0" w:color="000000"/>
            </w:tcBorders>
          </w:tcPr>
          <w:p w14:paraId="3FA97640" w14:textId="77777777" w:rsidR="008925F1" w:rsidRPr="00426CEC" w:rsidRDefault="000E63B3" w:rsidP="00B72B4E">
            <w:pPr>
              <w:spacing w:after="0" w:line="240" w:lineRule="auto"/>
              <w:jc w:val="both"/>
              <w:rPr>
                <w:rFonts w:ascii="Times New Roman" w:eastAsia="Times New Roman" w:hAnsi="Times New Roman"/>
                <w:snapToGrid w:val="0"/>
                <w:kern w:val="22"/>
                <w:szCs w:val="24"/>
                <w:lang w:val="en-GB"/>
              </w:rPr>
            </w:pPr>
            <w:r>
              <w:rPr>
                <w:rFonts w:ascii="Times New Roman" w:eastAsia="Times New Roman" w:hAnsi="Times New Roman"/>
                <w:b/>
                <w:noProof/>
                <w:kern w:val="22"/>
                <w:szCs w:val="24"/>
              </w:rPr>
              <w:drawing>
                <wp:inline distT="0" distB="0" distL="0" distR="0" wp14:anchorId="4731BC8A" wp14:editId="5A1ADD7D">
                  <wp:extent cx="685800" cy="561975"/>
                  <wp:effectExtent l="0" t="0" r="0" b="9525"/>
                  <wp:docPr id="1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3" cstate="print">
                            <a:extLst>
                              <a:ext uri="{28A0092B-C50C-407E-A947-70E740481C1C}">
                                <a14:useLocalDpi xmlns:a14="http://schemas.microsoft.com/office/drawing/2010/main" val="0"/>
                              </a:ext>
                            </a:extLst>
                          </a:blip>
                          <a:srcRect l="4395" r="4395"/>
                          <a:stretch>
                            <a:fillRect/>
                          </a:stretch>
                        </pic:blipFill>
                        <pic:spPr bwMode="auto">
                          <a:xfrm>
                            <a:off x="0" y="0"/>
                            <a:ext cx="685800" cy="561975"/>
                          </a:xfrm>
                          <a:prstGeom prst="rect">
                            <a:avLst/>
                          </a:prstGeom>
                          <a:noFill/>
                          <a:ln>
                            <a:noFill/>
                          </a:ln>
                        </pic:spPr>
                      </pic:pic>
                    </a:graphicData>
                  </a:graphic>
                </wp:inline>
              </w:drawing>
            </w:r>
          </w:p>
        </w:tc>
        <w:tc>
          <w:tcPr>
            <w:tcW w:w="7166" w:type="dxa"/>
            <w:gridSpan w:val="3"/>
            <w:tcBorders>
              <w:top w:val="nil"/>
              <w:bottom w:val="single" w:sz="12" w:space="0" w:color="000000"/>
            </w:tcBorders>
          </w:tcPr>
          <w:p w14:paraId="632A4652" w14:textId="77777777" w:rsidR="008925F1" w:rsidRPr="00426CEC" w:rsidRDefault="008925F1" w:rsidP="00B72B4E">
            <w:pPr>
              <w:tabs>
                <w:tab w:val="right" w:pos="7611"/>
              </w:tabs>
              <w:spacing w:after="0" w:line="240" w:lineRule="auto"/>
              <w:ind w:right="459"/>
              <w:jc w:val="right"/>
              <w:rPr>
                <w:rFonts w:ascii="Univers" w:eastAsia="Times New Roman" w:hAnsi="Univers"/>
                <w:b/>
                <w:snapToGrid w:val="0"/>
                <w:kern w:val="22"/>
                <w:sz w:val="32"/>
                <w:szCs w:val="24"/>
                <w:lang w:val="en-GB"/>
              </w:rPr>
            </w:pPr>
            <w:r w:rsidRPr="00426CEC">
              <w:rPr>
                <w:rFonts w:ascii="Univers" w:eastAsia="Times New Roman" w:hAnsi="Univers"/>
                <w:b/>
                <w:snapToGrid w:val="0"/>
                <w:kern w:val="22"/>
                <w:sz w:val="32"/>
                <w:szCs w:val="24"/>
                <w:lang w:val="en-GB"/>
              </w:rPr>
              <w:t>CBD</w:t>
            </w:r>
          </w:p>
          <w:p w14:paraId="67D8A628" w14:textId="77777777" w:rsidR="008925F1" w:rsidRPr="00426CEC" w:rsidRDefault="008925F1" w:rsidP="00B72B4E">
            <w:pPr>
              <w:spacing w:after="0" w:line="240" w:lineRule="auto"/>
              <w:rPr>
                <w:rFonts w:ascii="Times New Roman" w:eastAsia="Times New Roman" w:hAnsi="Times New Roman"/>
                <w:b/>
                <w:snapToGrid w:val="0"/>
                <w:kern w:val="22"/>
                <w:sz w:val="28"/>
                <w:szCs w:val="24"/>
                <w:lang w:val="en-GB"/>
              </w:rPr>
            </w:pPr>
          </w:p>
        </w:tc>
      </w:tr>
      <w:tr w:rsidR="008925F1" w:rsidRPr="00426CEC" w14:paraId="7613B594" w14:textId="77777777" w:rsidTr="00B72B4E">
        <w:trPr>
          <w:trHeight w:val="1693"/>
        </w:trPr>
        <w:tc>
          <w:tcPr>
            <w:tcW w:w="6227" w:type="dxa"/>
            <w:gridSpan w:val="3"/>
            <w:tcBorders>
              <w:top w:val="nil"/>
              <w:bottom w:val="single" w:sz="36" w:space="0" w:color="000000"/>
            </w:tcBorders>
          </w:tcPr>
          <w:p w14:paraId="15DF1754" w14:textId="77777777" w:rsidR="008925F1" w:rsidRPr="00426CEC" w:rsidRDefault="008925F1" w:rsidP="00B72B4E">
            <w:pPr>
              <w:spacing w:after="0" w:line="240" w:lineRule="auto"/>
              <w:jc w:val="both"/>
              <w:rPr>
                <w:rFonts w:ascii="Times New Roman" w:eastAsia="Times New Roman" w:hAnsi="Times New Roman"/>
                <w:snapToGrid w:val="0"/>
                <w:kern w:val="22"/>
                <w:szCs w:val="24"/>
                <w:lang w:val="en-GB"/>
              </w:rPr>
            </w:pPr>
          </w:p>
          <w:p w14:paraId="2A8EB361" w14:textId="77777777" w:rsidR="008925F1" w:rsidRPr="00426CEC" w:rsidRDefault="000E63B3" w:rsidP="00B72B4E">
            <w:pPr>
              <w:spacing w:after="0" w:line="240" w:lineRule="auto"/>
              <w:jc w:val="both"/>
              <w:rPr>
                <w:rFonts w:ascii="Times New Roman" w:eastAsia="Times New Roman" w:hAnsi="Times New Roman"/>
                <w:snapToGrid w:val="0"/>
                <w:kern w:val="22"/>
                <w:szCs w:val="24"/>
                <w:lang w:val="en-GB"/>
              </w:rPr>
            </w:pPr>
            <w:r>
              <w:rPr>
                <w:rFonts w:ascii="Times New Roman" w:eastAsia="Times New Roman" w:hAnsi="Times New Roman"/>
                <w:noProof/>
                <w:kern w:val="22"/>
                <w:szCs w:val="24"/>
              </w:rPr>
              <w:drawing>
                <wp:inline distT="0" distB="0" distL="0" distR="0" wp14:anchorId="53AFD8B4" wp14:editId="1C19587F">
                  <wp:extent cx="2838450" cy="1076325"/>
                  <wp:effectExtent l="0" t="0" r="0" b="9525"/>
                  <wp:docPr id="11" name="Picture 7" descr="CBD_logo_CMYK_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D_logo_CMYK_black [Conver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8450" cy="1076325"/>
                          </a:xfrm>
                          <a:prstGeom prst="rect">
                            <a:avLst/>
                          </a:prstGeom>
                          <a:noFill/>
                          <a:ln>
                            <a:noFill/>
                          </a:ln>
                        </pic:spPr>
                      </pic:pic>
                    </a:graphicData>
                  </a:graphic>
                </wp:inline>
              </w:drawing>
            </w:r>
          </w:p>
          <w:p w14:paraId="3F845D1D" w14:textId="77777777" w:rsidR="008925F1" w:rsidRPr="00426CEC" w:rsidRDefault="008925F1" w:rsidP="00B72B4E">
            <w:pPr>
              <w:spacing w:after="0" w:line="240" w:lineRule="auto"/>
              <w:jc w:val="both"/>
              <w:rPr>
                <w:rFonts w:ascii="Univers" w:eastAsia="Times New Roman" w:hAnsi="Univers"/>
                <w:snapToGrid w:val="0"/>
                <w:kern w:val="22"/>
                <w:sz w:val="32"/>
                <w:szCs w:val="24"/>
                <w:lang w:val="en-GB"/>
              </w:rPr>
            </w:pPr>
          </w:p>
        </w:tc>
        <w:tc>
          <w:tcPr>
            <w:tcW w:w="861" w:type="dxa"/>
            <w:tcBorders>
              <w:top w:val="nil"/>
              <w:bottom w:val="single" w:sz="36" w:space="0" w:color="000000"/>
            </w:tcBorders>
          </w:tcPr>
          <w:p w14:paraId="53F5094F" w14:textId="77777777" w:rsidR="008925F1" w:rsidRPr="00426CEC" w:rsidRDefault="008925F1" w:rsidP="00B72B4E">
            <w:pPr>
              <w:spacing w:after="0" w:line="240" w:lineRule="auto"/>
              <w:jc w:val="both"/>
              <w:rPr>
                <w:rFonts w:ascii="Times New Roman" w:eastAsia="Times New Roman" w:hAnsi="Times New Roman"/>
                <w:b/>
                <w:snapToGrid w:val="0"/>
                <w:kern w:val="22"/>
                <w:sz w:val="32"/>
                <w:szCs w:val="32"/>
                <w:lang w:val="en-GB"/>
              </w:rPr>
            </w:pPr>
          </w:p>
        </w:tc>
        <w:tc>
          <w:tcPr>
            <w:tcW w:w="3685" w:type="dxa"/>
            <w:tcBorders>
              <w:top w:val="nil"/>
              <w:bottom w:val="single" w:sz="36" w:space="0" w:color="000000"/>
            </w:tcBorders>
          </w:tcPr>
          <w:p w14:paraId="7A730B7D" w14:textId="77777777" w:rsidR="008925F1" w:rsidRPr="00426CEC" w:rsidRDefault="008925F1" w:rsidP="00B72B4E">
            <w:pPr>
              <w:spacing w:after="0" w:line="240" w:lineRule="auto"/>
              <w:ind w:left="63"/>
              <w:jc w:val="both"/>
              <w:rPr>
                <w:rFonts w:ascii="Times New Roman" w:eastAsia="Times New Roman" w:hAnsi="Times New Roman"/>
                <w:snapToGrid w:val="0"/>
                <w:kern w:val="22"/>
                <w:lang w:val="en-GB"/>
              </w:rPr>
            </w:pPr>
            <w:r w:rsidRPr="00426CEC">
              <w:rPr>
                <w:rFonts w:ascii="Times New Roman" w:eastAsia="Times New Roman" w:hAnsi="Times New Roman"/>
                <w:snapToGrid w:val="0"/>
                <w:kern w:val="22"/>
                <w:lang w:val="en-GB"/>
              </w:rPr>
              <w:t>Distr.</w:t>
            </w:r>
          </w:p>
          <w:p w14:paraId="2A8CBAEA" w14:textId="77777777" w:rsidR="008925F1" w:rsidRPr="00426CEC" w:rsidRDefault="008925F1" w:rsidP="00B72B4E">
            <w:pPr>
              <w:spacing w:after="0" w:line="240" w:lineRule="auto"/>
              <w:ind w:left="63"/>
              <w:jc w:val="both"/>
              <w:rPr>
                <w:rFonts w:ascii="Times New Roman" w:eastAsia="Times New Roman" w:hAnsi="Times New Roman"/>
                <w:snapToGrid w:val="0"/>
                <w:kern w:val="22"/>
                <w:lang w:val="en-GB"/>
              </w:rPr>
            </w:pPr>
            <w:r w:rsidRPr="00426CEC">
              <w:rPr>
                <w:rFonts w:ascii="Times New Roman" w:eastAsia="Times New Roman" w:hAnsi="Times New Roman"/>
                <w:snapToGrid w:val="0"/>
                <w:kern w:val="22"/>
                <w:lang w:val="en-GB"/>
              </w:rPr>
              <w:t>GENERAL</w:t>
            </w:r>
          </w:p>
          <w:p w14:paraId="73EB6A43" w14:textId="77777777" w:rsidR="008925F1" w:rsidRPr="00426CEC" w:rsidRDefault="008925F1" w:rsidP="00B72B4E">
            <w:pPr>
              <w:spacing w:after="0" w:line="240" w:lineRule="auto"/>
              <w:ind w:left="63"/>
              <w:jc w:val="both"/>
              <w:rPr>
                <w:rFonts w:ascii="Times New Roman" w:eastAsia="Times New Roman" w:hAnsi="Times New Roman"/>
                <w:snapToGrid w:val="0"/>
                <w:kern w:val="22"/>
                <w:lang w:val="en-GB"/>
              </w:rPr>
            </w:pPr>
          </w:p>
          <w:p w14:paraId="29588294" w14:textId="77777777" w:rsidR="008925F1" w:rsidRPr="00426CEC" w:rsidRDefault="008925F1" w:rsidP="00B72B4E">
            <w:pPr>
              <w:spacing w:after="0" w:line="240" w:lineRule="auto"/>
              <w:ind w:left="63"/>
              <w:jc w:val="both"/>
              <w:rPr>
                <w:rFonts w:ascii="Times New Roman" w:eastAsia="Times New Roman" w:hAnsi="Times New Roman"/>
                <w:snapToGrid w:val="0"/>
                <w:kern w:val="22"/>
                <w:lang w:val="en-GB"/>
              </w:rPr>
            </w:pPr>
            <w:r w:rsidRPr="00426CEC">
              <w:rPr>
                <w:rFonts w:ascii="Times New Roman" w:eastAsia="Times New Roman" w:hAnsi="Times New Roman"/>
                <w:snapToGrid w:val="0"/>
                <w:kern w:val="22"/>
                <w:lang w:val="en-GB"/>
              </w:rPr>
              <w:t>CBD/COP/DEC/XIII/15</w:t>
            </w:r>
          </w:p>
          <w:p w14:paraId="43963385" w14:textId="77777777" w:rsidR="008925F1" w:rsidRPr="00426CEC" w:rsidRDefault="008925F1" w:rsidP="00B72B4E">
            <w:pPr>
              <w:spacing w:after="0" w:line="240" w:lineRule="auto"/>
              <w:ind w:left="63"/>
              <w:jc w:val="both"/>
              <w:rPr>
                <w:rFonts w:ascii="Times New Roman" w:eastAsia="Times New Roman" w:hAnsi="Times New Roman"/>
                <w:snapToGrid w:val="0"/>
                <w:kern w:val="22"/>
                <w:lang w:val="en-GB"/>
              </w:rPr>
            </w:pPr>
            <w:r w:rsidRPr="00426CEC">
              <w:rPr>
                <w:rFonts w:ascii="Times New Roman" w:eastAsia="Times New Roman" w:hAnsi="Times New Roman"/>
                <w:snapToGrid w:val="0"/>
                <w:kern w:val="22"/>
                <w:lang w:val="en-GB"/>
              </w:rPr>
              <w:t>9 December 2016</w:t>
            </w:r>
          </w:p>
          <w:p w14:paraId="7443414A" w14:textId="77777777" w:rsidR="008925F1" w:rsidRPr="00426CEC" w:rsidRDefault="008925F1" w:rsidP="00B72B4E">
            <w:pPr>
              <w:spacing w:after="0" w:line="240" w:lineRule="auto"/>
              <w:ind w:left="63"/>
              <w:jc w:val="both"/>
              <w:rPr>
                <w:rFonts w:ascii="Times New Roman" w:eastAsia="Times New Roman" w:hAnsi="Times New Roman"/>
                <w:snapToGrid w:val="0"/>
                <w:kern w:val="22"/>
                <w:lang w:val="en-GB"/>
              </w:rPr>
            </w:pPr>
          </w:p>
          <w:p w14:paraId="532CBB21" w14:textId="77777777" w:rsidR="008925F1" w:rsidRPr="00426CEC" w:rsidRDefault="008925F1" w:rsidP="00B72B4E">
            <w:pPr>
              <w:spacing w:after="0" w:line="240" w:lineRule="auto"/>
              <w:ind w:left="63"/>
              <w:jc w:val="both"/>
              <w:rPr>
                <w:rFonts w:ascii="Times New Roman" w:eastAsia="Times New Roman" w:hAnsi="Times New Roman"/>
                <w:snapToGrid w:val="0"/>
                <w:kern w:val="22"/>
                <w:u w:val="single"/>
                <w:lang w:val="en-GB"/>
              </w:rPr>
            </w:pPr>
            <w:r w:rsidRPr="00426CEC">
              <w:rPr>
                <w:rFonts w:ascii="Times New Roman" w:eastAsia="Times New Roman" w:hAnsi="Times New Roman"/>
                <w:snapToGrid w:val="0"/>
                <w:kern w:val="22"/>
                <w:lang w:val="en-GB"/>
              </w:rPr>
              <w:t>ORIGINAL:  ENGLISH</w:t>
            </w:r>
          </w:p>
        </w:tc>
      </w:tr>
    </w:tbl>
    <w:p w14:paraId="6D29F1BD" w14:textId="77777777" w:rsidR="008925F1" w:rsidRPr="00426CEC" w:rsidRDefault="008925F1" w:rsidP="008925F1">
      <w:pPr>
        <w:spacing w:before="60" w:after="0" w:line="240" w:lineRule="auto"/>
        <w:ind w:left="180" w:right="4540" w:hanging="180"/>
        <w:rPr>
          <w:rFonts w:ascii="Times New Roman" w:eastAsia="Times New Roman" w:hAnsi="Times New Roman"/>
          <w:snapToGrid w:val="0"/>
          <w:kern w:val="22"/>
          <w:lang w:val="en-GB"/>
        </w:rPr>
      </w:pPr>
      <w:r w:rsidRPr="00426CEC">
        <w:rPr>
          <w:rFonts w:ascii="Times New Roman" w:eastAsia="Times New Roman" w:hAnsi="Times New Roman"/>
          <w:snapToGrid w:val="0"/>
          <w:kern w:val="22"/>
          <w:lang w:val="en-GB"/>
        </w:rPr>
        <w:t>CONFERENCE OF THE PARTIES TO THE CONVENTION ON BIOLOGICAL DIVERSITY</w:t>
      </w:r>
    </w:p>
    <w:p w14:paraId="7D2BCCFA" w14:textId="77777777" w:rsidR="008925F1" w:rsidRPr="00426CEC" w:rsidRDefault="008925F1" w:rsidP="008925F1">
      <w:pPr>
        <w:spacing w:after="0" w:line="240" w:lineRule="auto"/>
        <w:ind w:left="170" w:right="3119" w:hanging="170"/>
        <w:jc w:val="both"/>
        <w:rPr>
          <w:rFonts w:ascii="Times New Roman" w:eastAsia="Times New Roman" w:hAnsi="Times New Roman"/>
          <w:snapToGrid w:val="0"/>
          <w:kern w:val="22"/>
          <w:lang w:val="en-GB"/>
        </w:rPr>
      </w:pPr>
      <w:r w:rsidRPr="00426CEC">
        <w:rPr>
          <w:rFonts w:ascii="Times New Roman" w:eastAsia="Times New Roman" w:hAnsi="Times New Roman"/>
          <w:snapToGrid w:val="0"/>
          <w:kern w:val="22"/>
          <w:lang w:val="en-GB"/>
        </w:rPr>
        <w:t>Thirteenth meeting</w:t>
      </w:r>
    </w:p>
    <w:p w14:paraId="146393A0" w14:textId="77777777" w:rsidR="008925F1" w:rsidRPr="00426CEC" w:rsidRDefault="008925F1" w:rsidP="008925F1">
      <w:pPr>
        <w:spacing w:after="0" w:line="240" w:lineRule="auto"/>
        <w:ind w:left="170" w:right="4115" w:hanging="170"/>
        <w:jc w:val="both"/>
        <w:rPr>
          <w:rFonts w:ascii="Times New Roman" w:eastAsia="Times New Roman" w:hAnsi="Times New Roman"/>
          <w:snapToGrid w:val="0"/>
          <w:kern w:val="22"/>
          <w:lang w:val="en-GB"/>
        </w:rPr>
      </w:pPr>
      <w:r w:rsidRPr="00426CEC">
        <w:rPr>
          <w:rFonts w:ascii="Times New Roman" w:eastAsia="Times New Roman" w:hAnsi="Times New Roman"/>
          <w:snapToGrid w:val="0"/>
          <w:kern w:val="22"/>
          <w:lang w:val="en-GB"/>
        </w:rPr>
        <w:t>Cancun, Mexico, 4-17 December 2016</w:t>
      </w:r>
    </w:p>
    <w:p w14:paraId="4B231DE4" w14:textId="77777777" w:rsidR="008925F1" w:rsidRPr="00426CEC" w:rsidRDefault="008925F1" w:rsidP="008925F1">
      <w:pPr>
        <w:spacing w:after="0" w:line="240" w:lineRule="auto"/>
        <w:jc w:val="both"/>
        <w:rPr>
          <w:rFonts w:ascii="Times New Roman" w:eastAsia="Times New Roman" w:hAnsi="Times New Roman"/>
          <w:snapToGrid w:val="0"/>
          <w:kern w:val="22"/>
          <w:lang w:val="en-GB"/>
        </w:rPr>
      </w:pPr>
      <w:r w:rsidRPr="00426CEC">
        <w:rPr>
          <w:rFonts w:ascii="Times New Roman" w:eastAsia="Times New Roman" w:hAnsi="Times New Roman"/>
          <w:snapToGrid w:val="0"/>
          <w:kern w:val="22"/>
          <w:lang w:val="en-GB"/>
        </w:rPr>
        <w:t>Agenda item 17</w:t>
      </w:r>
    </w:p>
    <w:p w14:paraId="1D3E9995" w14:textId="77777777" w:rsidR="008925F1" w:rsidRPr="00426CEC" w:rsidRDefault="002D328A" w:rsidP="002D328A">
      <w:pPr>
        <w:pStyle w:val="CH2"/>
        <w:rPr>
          <w:kern w:val="22"/>
          <w:lang w:eastAsia="ko-KR"/>
        </w:rPr>
      </w:pPr>
      <w:r>
        <w:tab/>
      </w:r>
      <w:r>
        <w:tab/>
      </w:r>
      <w:r w:rsidR="008925F1" w:rsidRPr="00426CEC">
        <w:t>DECISION ADOPTED BY THE CONFERENCE OF THE PARTIES TO THE CONVENTION ON BIOLOGICAL DIVERSITY</w:t>
      </w:r>
    </w:p>
    <w:p w14:paraId="0596B63C" w14:textId="77777777" w:rsidR="008925F1" w:rsidRPr="00426CEC" w:rsidRDefault="008925F1" w:rsidP="008925F1">
      <w:pPr>
        <w:keepNext/>
        <w:tabs>
          <w:tab w:val="left" w:pos="720"/>
        </w:tabs>
        <w:spacing w:before="120" w:after="120" w:line="240" w:lineRule="auto"/>
        <w:ind w:left="2127" w:right="998" w:hanging="1276"/>
        <w:outlineLvl w:val="0"/>
        <w:rPr>
          <w:rFonts w:ascii="Times New Roman" w:eastAsia="Times New Roman" w:hAnsi="Times New Roman"/>
          <w:b/>
          <w:iCs/>
          <w:snapToGrid w:val="0"/>
          <w:szCs w:val="24"/>
          <w:lang w:val="en-CA"/>
        </w:rPr>
      </w:pPr>
      <w:r w:rsidRPr="00426CEC">
        <w:rPr>
          <w:rFonts w:ascii="Times New Roman" w:eastAsia="Times New Roman" w:hAnsi="Times New Roman"/>
          <w:b/>
          <w:iCs/>
          <w:snapToGrid w:val="0"/>
          <w:szCs w:val="24"/>
          <w:lang w:val="en-CA"/>
        </w:rPr>
        <w:t>XIII/15.</w:t>
      </w:r>
      <w:r w:rsidRPr="00426CEC">
        <w:rPr>
          <w:rFonts w:ascii="Times New Roman" w:eastAsia="Times New Roman" w:hAnsi="Times New Roman"/>
          <w:b/>
          <w:iCs/>
          <w:snapToGrid w:val="0"/>
          <w:szCs w:val="24"/>
          <w:lang w:val="en-CA"/>
        </w:rPr>
        <w:tab/>
        <w:t>Implications of the IPBES assessment on pollinators, pollination and food production for the work of the Convention</w:t>
      </w:r>
    </w:p>
    <w:p w14:paraId="01D9CBC1" w14:textId="77777777" w:rsidR="008925F1" w:rsidRPr="002D328A" w:rsidRDefault="008925F1" w:rsidP="002D328A">
      <w:pPr>
        <w:pStyle w:val="Normal-pool"/>
        <w:tabs>
          <w:tab w:val="clear" w:pos="1247"/>
          <w:tab w:val="clear" w:pos="1814"/>
          <w:tab w:val="clear" w:pos="2381"/>
          <w:tab w:val="clear" w:pos="2948"/>
          <w:tab w:val="clear" w:pos="3515"/>
          <w:tab w:val="clear" w:pos="4082"/>
          <w:tab w:val="left" w:pos="624"/>
        </w:tabs>
        <w:spacing w:after="120"/>
        <w:ind w:left="1871" w:firstLine="624"/>
        <w:rPr>
          <w:i/>
          <w:snapToGrid w:val="0"/>
        </w:rPr>
      </w:pPr>
      <w:r w:rsidRPr="002D328A">
        <w:rPr>
          <w:i/>
          <w:snapToGrid w:val="0"/>
        </w:rPr>
        <w:t>The Conference of the Parties,</w:t>
      </w:r>
    </w:p>
    <w:p w14:paraId="1B6A682F"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426CEC">
        <w:rPr>
          <w:i/>
          <w:snapToGrid w:val="0"/>
        </w:rPr>
        <w:t>Recalling</w:t>
      </w:r>
      <w:r w:rsidRPr="00426CEC">
        <w:rPr>
          <w:snapToGrid w:val="0"/>
        </w:rPr>
        <w:t xml:space="preserve"> decision III/11, annex III, decision V/5, annex I, and decision VI/5, annex II,</w:t>
      </w:r>
    </w:p>
    <w:p w14:paraId="5C2B87F9"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i/>
          <w:snapToGrid w:val="0"/>
          <w:kern w:val="22"/>
        </w:rPr>
        <w:t>Highlighting</w:t>
      </w:r>
      <w:r w:rsidRPr="00426CEC">
        <w:rPr>
          <w:snapToGrid w:val="0"/>
          <w:kern w:val="22"/>
        </w:rPr>
        <w:t xml:space="preserve"> the essential role of the abundance and diversity of pollinators, especially wild pollinators as well as managed pollinators, for food production, nutrition and human well</w:t>
      </w:r>
      <w:r w:rsidRPr="00426CEC">
        <w:rPr>
          <w:snapToGrid w:val="0"/>
          <w:kern w:val="22"/>
        </w:rPr>
        <w:noBreakHyphen/>
        <w:t xml:space="preserve">being, the need to address threats to pollinators and pollination, and </w:t>
      </w:r>
      <w:r w:rsidRPr="00426CEC">
        <w:rPr>
          <w:i/>
          <w:snapToGrid w:val="0"/>
          <w:kern w:val="22"/>
        </w:rPr>
        <w:t>recognizing</w:t>
      </w:r>
      <w:r w:rsidRPr="00426CEC">
        <w:rPr>
          <w:snapToGrid w:val="0"/>
          <w:kern w:val="22"/>
        </w:rPr>
        <w:t xml:space="preserve"> the contribution of pollinators to the Sustainable Development Goals, especially Goals 2, 3, 8 and 15,</w:t>
      </w:r>
    </w:p>
    <w:p w14:paraId="0D0C5572"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i/>
          <w:snapToGrid w:val="0"/>
          <w:kern w:val="22"/>
        </w:rPr>
        <w:t>Recognizing</w:t>
      </w:r>
      <w:r w:rsidRPr="00426CEC">
        <w:rPr>
          <w:snapToGrid w:val="0"/>
          <w:kern w:val="22"/>
        </w:rPr>
        <w:t xml:space="preserve"> the potential to enhance and secure crop production by increasing the abundance and diversity of pollinators through protection of the plants and habitats on which they depend for foraging and nesting,</w:t>
      </w:r>
    </w:p>
    <w:p w14:paraId="2D369ECD"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i/>
          <w:snapToGrid w:val="0"/>
          <w:kern w:val="22"/>
        </w:rPr>
        <w:t>Noting</w:t>
      </w:r>
      <w:r w:rsidRPr="00426CEC">
        <w:rPr>
          <w:snapToGrid w:val="0"/>
          <w:kern w:val="22"/>
        </w:rPr>
        <w:t xml:space="preserve"> the relevance of the conservation and sustainable use of pollinators for the mainstreaming of biodiversity in the food and agriculture sectors,</w:t>
      </w:r>
    </w:p>
    <w:p w14:paraId="2376F4A4"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i/>
          <w:snapToGrid w:val="0"/>
          <w:kern w:val="22"/>
        </w:rPr>
        <w:t>Noting</w:t>
      </w:r>
      <w:r w:rsidRPr="00426CEC">
        <w:rPr>
          <w:snapToGrid w:val="0"/>
          <w:kern w:val="22"/>
        </w:rPr>
        <w:t xml:space="preserve"> </w:t>
      </w:r>
      <w:r w:rsidRPr="00426CEC">
        <w:rPr>
          <w:i/>
          <w:snapToGrid w:val="0"/>
          <w:kern w:val="22"/>
        </w:rPr>
        <w:t>also</w:t>
      </w:r>
      <w:r w:rsidRPr="00426CEC">
        <w:rPr>
          <w:snapToGrid w:val="0"/>
          <w:kern w:val="22"/>
        </w:rPr>
        <w:t xml:space="preserve"> the importance of pollinators and pollination for all terrestrial ecosystems, including those beyond agricultural and food production systems, and </w:t>
      </w:r>
      <w:r w:rsidRPr="00426CEC">
        <w:rPr>
          <w:i/>
          <w:snapToGrid w:val="0"/>
          <w:kern w:val="22"/>
        </w:rPr>
        <w:t>recognizing</w:t>
      </w:r>
      <w:r w:rsidRPr="00426CEC">
        <w:rPr>
          <w:snapToGrid w:val="0"/>
          <w:kern w:val="22"/>
        </w:rPr>
        <w:t xml:space="preserve"> pollination as a key ecosystem function that is central to the conservation and sustainable use of biodiversity,</w:t>
      </w:r>
    </w:p>
    <w:p w14:paraId="25940D13"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i/>
          <w:snapToGrid w:val="0"/>
          <w:kern w:val="22"/>
        </w:rPr>
        <w:t>Aware</w:t>
      </w:r>
      <w:r w:rsidRPr="00426CEC">
        <w:rPr>
          <w:snapToGrid w:val="0"/>
          <w:kern w:val="22"/>
        </w:rPr>
        <w:t xml:space="preserve"> of the trade-offs and synergies that exist between pollinator management options and other elements of agricultural systems,</w:t>
      </w:r>
    </w:p>
    <w:p w14:paraId="3BC64F0B"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1.</w:t>
      </w:r>
      <w:r w:rsidRPr="00426CEC">
        <w:rPr>
          <w:i/>
          <w:snapToGrid w:val="0"/>
          <w:kern w:val="22"/>
        </w:rPr>
        <w:tab/>
        <w:t>Welcomes</w:t>
      </w:r>
      <w:r w:rsidRPr="00426CEC">
        <w:rPr>
          <w:snapToGrid w:val="0"/>
          <w:kern w:val="22"/>
        </w:rPr>
        <w:t xml:space="preserve"> the Summary for Policymakers of the thematic assessment on pollinators, pollination and food production approved by the Intergovernmental Science-Policy Platform on Biodiversity and Ecosystem Services at its fourth session, in Kuala Lumpur, on 26 February 2016,</w:t>
      </w:r>
      <w:r w:rsidRPr="00426CEC">
        <w:rPr>
          <w:snapToGrid w:val="0"/>
          <w:kern w:val="22"/>
          <w:vertAlign w:val="superscript"/>
        </w:rPr>
        <w:footnoteReference w:id="2"/>
      </w:r>
      <w:r w:rsidRPr="00426CEC">
        <w:rPr>
          <w:snapToGrid w:val="0"/>
          <w:kern w:val="22"/>
        </w:rPr>
        <w:t xml:space="preserve"> as well as the full assessment report that was accepted by the Plenary;</w:t>
      </w:r>
    </w:p>
    <w:p w14:paraId="41D33B3A"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2.</w:t>
      </w:r>
      <w:r w:rsidRPr="00426CEC">
        <w:rPr>
          <w:i/>
          <w:snapToGrid w:val="0"/>
          <w:kern w:val="22"/>
        </w:rPr>
        <w:tab/>
        <w:t>Endorses</w:t>
      </w:r>
      <w:r w:rsidRPr="00426CEC">
        <w:rPr>
          <w:snapToGrid w:val="0"/>
          <w:kern w:val="22"/>
        </w:rPr>
        <w:t xml:space="preserve"> the key messages of the Assessment;</w:t>
      </w:r>
    </w:p>
    <w:p w14:paraId="5F93FEEE"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3.</w:t>
      </w:r>
      <w:r w:rsidRPr="00426CEC">
        <w:rPr>
          <w:i/>
          <w:snapToGrid w:val="0"/>
          <w:kern w:val="22"/>
        </w:rPr>
        <w:tab/>
        <w:t xml:space="preserve">Encourages </w:t>
      </w:r>
      <w:r w:rsidRPr="00426CEC">
        <w:rPr>
          <w:snapToGrid w:val="0"/>
          <w:kern w:val="22"/>
        </w:rPr>
        <w:t xml:space="preserve">Parties, other Governments, relevant United Nations and other organizations, as well as multilateral environment agreements, and stakeholders to use, as appropriate, the Assessment, in particular </w:t>
      </w:r>
      <w:r w:rsidRPr="00426CEC">
        <w:rPr>
          <w:rFonts w:eastAsia="Malgun Gothic"/>
          <w:snapToGrid w:val="0"/>
          <w:kern w:val="22"/>
          <w:lang w:eastAsia="x-none"/>
        </w:rPr>
        <w:t>the examples of responses outlined in table SPM.1,</w:t>
      </w:r>
      <w:r w:rsidRPr="00426CEC">
        <w:rPr>
          <w:snapToGrid w:val="0"/>
          <w:kern w:val="22"/>
        </w:rPr>
        <w:t xml:space="preserve"> </w:t>
      </w:r>
      <w:r w:rsidRPr="00426CEC">
        <w:rPr>
          <w:snapToGrid w:val="0"/>
          <w:kern w:val="22"/>
        </w:rPr>
        <w:lastRenderedPageBreak/>
        <w:t>to help guide their efforts to improve conservation and</w:t>
      </w:r>
      <w:r w:rsidRPr="00426CEC">
        <w:rPr>
          <w:snapToGrid w:val="0"/>
          <w:color w:val="00B050"/>
          <w:kern w:val="22"/>
        </w:rPr>
        <w:t xml:space="preserve"> </w:t>
      </w:r>
      <w:r w:rsidRPr="00426CEC">
        <w:rPr>
          <w:snapToGrid w:val="0"/>
          <w:kern w:val="22"/>
        </w:rPr>
        <w:t>management of pollinators, address drivers of pollinator declines, and work towards sustainable food production systems and agriculture;</w:t>
      </w:r>
    </w:p>
    <w:p w14:paraId="4BA7C8A7"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4.</w:t>
      </w:r>
      <w:r w:rsidRPr="00426CEC">
        <w:rPr>
          <w:i/>
          <w:snapToGrid w:val="0"/>
          <w:kern w:val="22"/>
        </w:rPr>
        <w:tab/>
        <w:t xml:space="preserve">Welcomes </w:t>
      </w:r>
      <w:r w:rsidRPr="00426CEC">
        <w:rPr>
          <w:snapToGrid w:val="0"/>
          <w:kern w:val="22"/>
        </w:rPr>
        <w:t>the tools and guidance developed by the Food and Agriculture Organization of the United Nations and partners under the International Initiative for the Conservation and Sustainable Use of Pollinators, including those for the rapid assessment of pollinators’ status, the economic valuation of pollination, the determination of the risk of pesticides, the evaluation of pollination deficit, the evaluation of pollinator-friendly practices, and policy mainstreaming;</w:t>
      </w:r>
    </w:p>
    <w:p w14:paraId="7EC9807C"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5.</w:t>
      </w:r>
      <w:r w:rsidRPr="00426CEC">
        <w:rPr>
          <w:snapToGrid w:val="0"/>
          <w:kern w:val="22"/>
        </w:rPr>
        <w:tab/>
      </w:r>
      <w:r w:rsidRPr="00426CEC">
        <w:rPr>
          <w:i/>
          <w:snapToGrid w:val="0"/>
          <w:kern w:val="22"/>
        </w:rPr>
        <w:t>Takes note</w:t>
      </w:r>
      <w:r w:rsidRPr="00426CEC">
        <w:rPr>
          <w:snapToGrid w:val="0"/>
          <w:kern w:val="22"/>
        </w:rPr>
        <w:t xml:space="preserve"> of the establishment of the coalition of the willing on pollinators in the context of the “Cancun Commitments and Coalitions” and invites other Parties to consider joining this coalition;</w:t>
      </w:r>
      <w:r w:rsidRPr="00426CEC">
        <w:rPr>
          <w:snapToGrid w:val="0"/>
          <w:kern w:val="22"/>
          <w:vertAlign w:val="superscript"/>
        </w:rPr>
        <w:footnoteReference w:id="3"/>
      </w:r>
    </w:p>
    <w:p w14:paraId="135322BD"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6.</w:t>
      </w:r>
      <w:r w:rsidRPr="00426CEC">
        <w:rPr>
          <w:snapToGrid w:val="0"/>
          <w:kern w:val="22"/>
        </w:rPr>
        <w:tab/>
      </w:r>
      <w:r w:rsidRPr="00426CEC">
        <w:rPr>
          <w:i/>
          <w:snapToGrid w:val="0"/>
          <w:kern w:val="22"/>
        </w:rPr>
        <w:t>Encourages</w:t>
      </w:r>
      <w:r w:rsidRPr="00426CEC">
        <w:rPr>
          <w:snapToGrid w:val="0"/>
          <w:kern w:val="22"/>
        </w:rPr>
        <w:t xml:space="preserve"> businesses involved in the development, manufacturing and sale of pesticides, as appropriate, to take into account the findings of the Assessment in their activities, including in developing and revising risk assessments of products, applying the precautionary approach in line with the preamble to the Convention and be fully transparent in releasing the results of all toxicity studies consistent with applicable international, regional and national standards and frameworks;</w:t>
      </w:r>
    </w:p>
    <w:p w14:paraId="776872B7"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7.</w:t>
      </w:r>
      <w:r w:rsidRPr="00426CEC">
        <w:rPr>
          <w:i/>
          <w:snapToGrid w:val="0"/>
          <w:kern w:val="22"/>
        </w:rPr>
        <w:tab/>
        <w:t xml:space="preserve">Encourages </w:t>
      </w:r>
      <w:r w:rsidRPr="00426CEC">
        <w:rPr>
          <w:snapToGrid w:val="0"/>
          <w:kern w:val="22"/>
        </w:rPr>
        <w:t xml:space="preserve">Parties, and </w:t>
      </w:r>
      <w:r w:rsidRPr="00426CEC">
        <w:rPr>
          <w:i/>
          <w:snapToGrid w:val="0"/>
          <w:kern w:val="22"/>
        </w:rPr>
        <w:t xml:space="preserve">invites </w:t>
      </w:r>
      <w:r w:rsidRPr="00426CEC">
        <w:rPr>
          <w:snapToGrid w:val="0"/>
          <w:kern w:val="22"/>
        </w:rPr>
        <w:t>other Governments and other relevant organizations and stakeholders, taking into account national circumstances, as appropriate:</w:t>
      </w:r>
    </w:p>
    <w:p w14:paraId="7D05D04F" w14:textId="77777777" w:rsidR="008925F1" w:rsidRPr="00426CEC" w:rsidRDefault="008925F1" w:rsidP="0046040E">
      <w:pPr>
        <w:keepNext/>
        <w:suppressLineNumbers/>
        <w:suppressAutoHyphens/>
        <w:adjustRightInd w:val="0"/>
        <w:snapToGrid w:val="0"/>
        <w:spacing w:before="120" w:after="120" w:line="240" w:lineRule="auto"/>
        <w:ind w:left="1247" w:firstLine="624"/>
        <w:jc w:val="center"/>
        <w:rPr>
          <w:rFonts w:ascii="Times New Roman" w:eastAsia="Times New Roman" w:hAnsi="Times New Roman"/>
          <w:b/>
          <w:bCs/>
          <w:caps/>
          <w:snapToGrid w:val="0"/>
          <w:kern w:val="22"/>
          <w:lang w:val="en-GB"/>
        </w:rPr>
      </w:pPr>
      <w:r w:rsidRPr="00426CEC">
        <w:rPr>
          <w:rFonts w:ascii="Times New Roman" w:eastAsia="Times New Roman" w:hAnsi="Times New Roman"/>
          <w:b/>
          <w:bCs/>
          <w:caps/>
          <w:snapToGrid w:val="0"/>
          <w:kern w:val="22"/>
          <w:lang w:val="en-GB"/>
        </w:rPr>
        <w:t>Policies and strategies</w:t>
      </w:r>
    </w:p>
    <w:p w14:paraId="63157463"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(a)</w:t>
      </w:r>
      <w:r w:rsidRPr="00426CEC">
        <w:rPr>
          <w:snapToGrid w:val="0"/>
          <w:kern w:val="22"/>
        </w:rPr>
        <w:tab/>
        <w:t>To integrate consideration of issues related to the conservation and sustainable use of pollinators in agriculture and forestry policies, national biodiversity strategies and action plans, national adaptation plans for climate change, national action programmes for combating desertification and other relevant national policies plans, and programmes, taking into account the values of pollinators and pollination, inter alia, to promote the implementation of the actions below, to improve the management of pollinators, to address drivers of pollinator declines and to reduce the crop yield gaps due to pollination deficit;</w:t>
      </w:r>
    </w:p>
    <w:p w14:paraId="491EE663" w14:textId="77777777" w:rsidR="008925F1" w:rsidRPr="00426CEC" w:rsidRDefault="008925F1" w:rsidP="0046040E">
      <w:pPr>
        <w:keepNext/>
        <w:suppressLineNumbers/>
        <w:suppressAutoHyphens/>
        <w:adjustRightInd w:val="0"/>
        <w:snapToGrid w:val="0"/>
        <w:spacing w:before="120" w:after="120" w:line="240" w:lineRule="auto"/>
        <w:ind w:left="1247" w:firstLine="624"/>
        <w:jc w:val="center"/>
        <w:rPr>
          <w:rFonts w:ascii="Times New Roman" w:eastAsia="Times New Roman" w:hAnsi="Times New Roman"/>
          <w:b/>
          <w:bCs/>
          <w:caps/>
          <w:snapToGrid w:val="0"/>
          <w:kern w:val="22"/>
          <w:lang w:val="en-GB"/>
        </w:rPr>
      </w:pPr>
      <w:r w:rsidRPr="00426CEC">
        <w:rPr>
          <w:rFonts w:ascii="Times New Roman" w:eastAsia="Times New Roman" w:hAnsi="Times New Roman"/>
          <w:b/>
          <w:bCs/>
          <w:caps/>
          <w:snapToGrid w:val="0"/>
          <w:kern w:val="22"/>
          <w:lang w:val="en-GB"/>
        </w:rPr>
        <w:t>Promoting pollinator-friendly habitats</w:t>
      </w:r>
    </w:p>
    <w:p w14:paraId="4179376F"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(b)</w:t>
      </w:r>
      <w:r w:rsidRPr="00426CEC">
        <w:rPr>
          <w:snapToGrid w:val="0"/>
          <w:kern w:val="22"/>
        </w:rPr>
        <w:tab/>
        <w:t>To promote diversity of habitats and production systems in the landscape through, inter alia, support to ecologically based agriculture (including organic agriculture) and diversified agricultural systems (such as forest gardens, home gardens, agroforestry, crop rotation and mixed cropping and livestock systems), and through conservation, management and restoration of natural habitats, to enhance the extent and connectivity of pollinator</w:t>
      </w:r>
      <w:r w:rsidRPr="00426CEC">
        <w:rPr>
          <w:snapToGrid w:val="0"/>
          <w:kern w:val="22"/>
        </w:rPr>
        <w:noBreakHyphen/>
        <w:t>friendly habitat;</w:t>
      </w:r>
    </w:p>
    <w:p w14:paraId="62508480"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(c)</w:t>
      </w:r>
      <w:r w:rsidRPr="00426CEC">
        <w:rPr>
          <w:snapToGrid w:val="0"/>
          <w:kern w:val="22"/>
        </w:rPr>
        <w:tab/>
        <w:t>To promote conservation, management and restoration of patches of natural and semi-natural habitats on farms, and in urban and other developed areas, as appropriate, to maintain floral resources and nesting sites for pollinators;</w:t>
      </w:r>
    </w:p>
    <w:p w14:paraId="45F800E9"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(d)</w:t>
      </w:r>
      <w:r w:rsidRPr="00426CEC">
        <w:rPr>
          <w:snapToGrid w:val="0"/>
          <w:kern w:val="22"/>
        </w:rPr>
        <w:tab/>
        <w:t>To promote cropping systems and conservation, management and restoration</w:t>
      </w:r>
      <w:r w:rsidRPr="00426CEC">
        <w:rPr>
          <w:snapToGrid w:val="0"/>
          <w:color w:val="00B050"/>
          <w:kern w:val="22"/>
        </w:rPr>
        <w:t xml:space="preserve"> </w:t>
      </w:r>
      <w:r w:rsidRPr="00426CEC">
        <w:rPr>
          <w:snapToGrid w:val="0"/>
          <w:kern w:val="22"/>
        </w:rPr>
        <w:t>of grasslands and rangelands that enhance the availability of floral resources and nesting sites over time and space;</w:t>
      </w:r>
    </w:p>
    <w:p w14:paraId="5647BF63" w14:textId="77777777" w:rsidR="008925F1" w:rsidRPr="00426CEC" w:rsidRDefault="008925F1" w:rsidP="0046040E">
      <w:pPr>
        <w:keepNext/>
        <w:suppressLineNumbers/>
        <w:suppressAutoHyphens/>
        <w:adjustRightInd w:val="0"/>
        <w:snapToGrid w:val="0"/>
        <w:spacing w:before="120" w:after="120" w:line="240" w:lineRule="auto"/>
        <w:ind w:left="1247" w:firstLine="624"/>
        <w:jc w:val="center"/>
        <w:rPr>
          <w:b/>
          <w:snapToGrid w:val="0"/>
        </w:rPr>
      </w:pPr>
      <w:r w:rsidRPr="00D128DC">
        <w:rPr>
          <w:rFonts w:ascii="Times New Roman" w:eastAsia="Times New Roman" w:hAnsi="Times New Roman"/>
          <w:b/>
          <w:bCs/>
          <w:caps/>
          <w:snapToGrid w:val="0"/>
          <w:kern w:val="22"/>
          <w:lang w:val="en-GB"/>
        </w:rPr>
        <w:t xml:space="preserve">Improving the management of pollinators, and reducing </w:t>
      </w:r>
      <w:r w:rsidR="0046040E">
        <w:rPr>
          <w:rFonts w:ascii="Times New Roman" w:eastAsia="Times New Roman" w:hAnsi="Times New Roman"/>
          <w:b/>
          <w:bCs/>
          <w:caps/>
          <w:snapToGrid w:val="0"/>
          <w:kern w:val="22"/>
          <w:lang w:val="en-GB"/>
        </w:rPr>
        <w:br/>
      </w:r>
      <w:r w:rsidRPr="00D128DC">
        <w:rPr>
          <w:rFonts w:ascii="Times New Roman" w:eastAsia="Times New Roman" w:hAnsi="Times New Roman"/>
          <w:b/>
          <w:bCs/>
          <w:caps/>
          <w:snapToGrid w:val="0"/>
          <w:kern w:val="22"/>
          <w:lang w:val="en-GB"/>
        </w:rPr>
        <w:t>risk from pests, pathogens and invasive species</w:t>
      </w:r>
    </w:p>
    <w:p w14:paraId="19862384"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(e)</w:t>
      </w:r>
      <w:r w:rsidRPr="00426CEC">
        <w:rPr>
          <w:snapToGrid w:val="0"/>
          <w:kern w:val="22"/>
        </w:rPr>
        <w:tab/>
        <w:t>To enhance the floral diversity available to pollinators using mainly native species and reduce the dependence of managed pollinators on nectar-replacements, thereby improving pollinator nutrition and immunity to pests and diseases;</w:t>
      </w:r>
    </w:p>
    <w:p w14:paraId="4A0D3DAB"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(f)</w:t>
      </w:r>
      <w:r w:rsidRPr="00426CEC">
        <w:rPr>
          <w:snapToGrid w:val="0"/>
          <w:kern w:val="22"/>
        </w:rPr>
        <w:tab/>
        <w:t>To promote genetic diversity within populations of managed pollinators;</w:t>
      </w:r>
    </w:p>
    <w:p w14:paraId="7903A43B"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(g)</w:t>
      </w:r>
      <w:r w:rsidRPr="00426CEC">
        <w:rPr>
          <w:snapToGrid w:val="0"/>
          <w:kern w:val="22"/>
        </w:rPr>
        <w:tab/>
        <w:t xml:space="preserve">To improve hygiene and control of pests (including the </w:t>
      </w:r>
      <w:r w:rsidRPr="00426CEC">
        <w:rPr>
          <w:i/>
          <w:iCs/>
          <w:noProof/>
          <w:snapToGrid w:val="0"/>
          <w:kern w:val="22"/>
        </w:rPr>
        <w:t>Varroa</w:t>
      </w:r>
      <w:r w:rsidRPr="00426CEC">
        <w:rPr>
          <w:snapToGrid w:val="0"/>
          <w:kern w:val="22"/>
        </w:rPr>
        <w:t xml:space="preserve"> mite and the Asiatic wasp, </w:t>
      </w:r>
      <w:r w:rsidRPr="00426CEC">
        <w:rPr>
          <w:i/>
          <w:noProof/>
          <w:snapToGrid w:val="0"/>
          <w:kern w:val="22"/>
          <w:lang w:val="la-Latn"/>
        </w:rPr>
        <w:t>Vespa velutina</w:t>
      </w:r>
      <w:r w:rsidRPr="00426CEC">
        <w:rPr>
          <w:snapToGrid w:val="0"/>
          <w:kern w:val="22"/>
        </w:rPr>
        <w:t>) and pathogens in managed pollinator populations;</w:t>
      </w:r>
    </w:p>
    <w:p w14:paraId="1BC066D8"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(h)</w:t>
      </w:r>
      <w:r w:rsidRPr="00426CEC">
        <w:rPr>
          <w:snapToGrid w:val="0"/>
          <w:kern w:val="22"/>
        </w:rPr>
        <w:tab/>
        <w:t xml:space="preserve">To monitor and manage the movement of managed pollinator species, sub-species and breeds where appropriate, among countries, and as appropriate within countries, to </w:t>
      </w:r>
      <w:r w:rsidRPr="00426CEC">
        <w:rPr>
          <w:snapToGrid w:val="0"/>
          <w:kern w:val="22"/>
        </w:rPr>
        <w:lastRenderedPageBreak/>
        <w:t>limit the spread of parasites and pathogens to managed and wild pollinator populations, and to prevent the introduction of potentially invasive pollinator species outside their native ranges;</w:t>
      </w:r>
    </w:p>
    <w:p w14:paraId="3F36263D"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(i)</w:t>
      </w:r>
      <w:r w:rsidRPr="00426CEC">
        <w:rPr>
          <w:snapToGrid w:val="0"/>
          <w:kern w:val="22"/>
        </w:rPr>
        <w:tab/>
        <w:t>To prevent or minimize the risk of introducing invasive alien species harmful to wild and managed pollinators and the plant resources on which they depend and to identify and evaluate such risk;</w:t>
      </w:r>
    </w:p>
    <w:p w14:paraId="1B65CDBA" w14:textId="77777777" w:rsidR="008925F1" w:rsidRPr="0046040E" w:rsidRDefault="008925F1" w:rsidP="0046040E">
      <w:pPr>
        <w:keepNext/>
        <w:suppressLineNumbers/>
        <w:suppressAutoHyphens/>
        <w:adjustRightInd w:val="0"/>
        <w:snapToGrid w:val="0"/>
        <w:spacing w:before="120" w:after="120" w:line="240" w:lineRule="auto"/>
        <w:ind w:left="1247" w:firstLine="624"/>
        <w:jc w:val="center"/>
        <w:rPr>
          <w:rFonts w:ascii="Times New Roman" w:eastAsia="Times New Roman" w:hAnsi="Times New Roman"/>
          <w:b/>
          <w:bCs/>
          <w:caps/>
          <w:snapToGrid w:val="0"/>
          <w:kern w:val="22"/>
          <w:lang w:val="en-GB"/>
        </w:rPr>
      </w:pPr>
      <w:r w:rsidRPr="0046040E">
        <w:rPr>
          <w:rFonts w:ascii="Times New Roman" w:eastAsia="Times New Roman" w:hAnsi="Times New Roman"/>
          <w:b/>
          <w:bCs/>
          <w:caps/>
          <w:snapToGrid w:val="0"/>
          <w:kern w:val="22"/>
          <w:lang w:val="en-GB"/>
        </w:rPr>
        <w:t>Reducing risk from pesticides, including insecticides, herbicides and fungicides</w:t>
      </w:r>
    </w:p>
    <w:p w14:paraId="2B920AB3"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(j)</w:t>
      </w:r>
      <w:r w:rsidRPr="00426CEC">
        <w:rPr>
          <w:snapToGrid w:val="0"/>
          <w:kern w:val="22"/>
        </w:rPr>
        <w:tab/>
        <w:t>To develop and implement national and as appropriate regional pesticide risk reduction strategies and to avoid or reduce the use of pesticides harmful for pollinators, for example, by adopting Integrated Pest Management practices and biocontrol, taking into account the International Code of Conduct on Pesticide Management of the Food and Agriculture Organization of the United Nations and the World Health Organization;</w:t>
      </w:r>
    </w:p>
    <w:p w14:paraId="1CB13C5D"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(k)</w:t>
      </w:r>
      <w:r w:rsidRPr="00426CEC">
        <w:rPr>
          <w:snapToGrid w:val="0"/>
          <w:kern w:val="22"/>
        </w:rPr>
        <w:tab/>
        <w:t>Where pesticides pose a risk to pollinators, to improve pesticide application practices, including</w:t>
      </w:r>
      <w:r w:rsidRPr="00426CEC">
        <w:rPr>
          <w:snapToGrid w:val="0"/>
          <w:color w:val="FF0000"/>
          <w:kern w:val="22"/>
        </w:rPr>
        <w:t xml:space="preserve"> </w:t>
      </w:r>
      <w:r w:rsidRPr="00426CEC">
        <w:rPr>
          <w:snapToGrid w:val="0"/>
          <w:kern w:val="22"/>
        </w:rPr>
        <w:t>technologies to reduce drift, to reduce exposure of pollinators;</w:t>
      </w:r>
    </w:p>
    <w:p w14:paraId="56656C43"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(l)</w:t>
      </w:r>
      <w:r w:rsidRPr="00426CEC">
        <w:rPr>
          <w:snapToGrid w:val="0"/>
          <w:kern w:val="22"/>
        </w:rPr>
        <w:tab/>
        <w:t>To promote weed management strategies that take into account the need for pollinator forage, nutrition and nesting sites;</w:t>
      </w:r>
    </w:p>
    <w:p w14:paraId="0BF73430"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(m)</w:t>
      </w:r>
      <w:r w:rsidRPr="00426CEC">
        <w:rPr>
          <w:snapToGrid w:val="0"/>
          <w:kern w:val="22"/>
        </w:rPr>
        <w:tab/>
        <w:t xml:space="preserve">To improve, as appropriate, risk assessment procedures for pesticides and, where necessary, for living modified organisms to better take into account possible impacts, including sublethal and indirect effects, on both wild and managed pollinators, </w:t>
      </w:r>
      <w:r w:rsidRPr="00332730">
        <w:rPr>
          <w:i/>
          <w:snapToGrid w:val="0"/>
        </w:rPr>
        <w:t>including</w:t>
      </w:r>
      <w:r w:rsidRPr="00426CEC">
        <w:rPr>
          <w:snapToGrid w:val="0"/>
          <w:kern w:val="22"/>
        </w:rPr>
        <w:t>, inter alia, a wider range of pollinator taxa, beyond honeybees and managed bumblebees, and toxicological studies, in risk assessment protocols, applying the precautionary approach in line with the preamble of the Convention, consistent with international obligations and taking into account climate variations and cumulative effects;</w:t>
      </w:r>
    </w:p>
    <w:p w14:paraId="2599D3DB"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(n)</w:t>
      </w:r>
      <w:r w:rsidRPr="00426CEC">
        <w:rPr>
          <w:snapToGrid w:val="0"/>
          <w:kern w:val="22"/>
        </w:rPr>
        <w:tab/>
        <w:t xml:space="preserve">To avoid or minimize the synergistic </w:t>
      </w:r>
      <w:r w:rsidRPr="00332730">
        <w:rPr>
          <w:i/>
          <w:snapToGrid w:val="0"/>
        </w:rPr>
        <w:t>effects</w:t>
      </w:r>
      <w:r w:rsidRPr="00426CEC">
        <w:rPr>
          <w:snapToGrid w:val="0"/>
          <w:kern w:val="22"/>
        </w:rPr>
        <w:t xml:space="preserve"> of pesticides with other drivers that have been proven to pose serious or irreversible harm to pollinators;</w:t>
      </w:r>
    </w:p>
    <w:p w14:paraId="196137CD" w14:textId="77777777" w:rsidR="008925F1" w:rsidRPr="0046040E" w:rsidRDefault="008925F1" w:rsidP="0046040E">
      <w:pPr>
        <w:keepNext/>
        <w:suppressLineNumbers/>
        <w:suppressAutoHyphens/>
        <w:adjustRightInd w:val="0"/>
        <w:snapToGrid w:val="0"/>
        <w:spacing w:before="120" w:after="120" w:line="240" w:lineRule="auto"/>
        <w:ind w:left="1247" w:firstLine="624"/>
        <w:jc w:val="center"/>
        <w:rPr>
          <w:rFonts w:ascii="Times New Roman" w:eastAsia="Times New Roman" w:hAnsi="Times New Roman"/>
          <w:b/>
          <w:bCs/>
          <w:caps/>
          <w:snapToGrid w:val="0"/>
          <w:kern w:val="22"/>
          <w:lang w:val="en-GB"/>
        </w:rPr>
      </w:pPr>
      <w:r w:rsidRPr="0046040E">
        <w:rPr>
          <w:rFonts w:ascii="Times New Roman" w:eastAsia="Times New Roman" w:hAnsi="Times New Roman"/>
          <w:b/>
          <w:bCs/>
          <w:caps/>
          <w:snapToGrid w:val="0"/>
          <w:kern w:val="22"/>
          <w:lang w:val="en-GB"/>
        </w:rPr>
        <w:t>Enabling policies and activities</w:t>
      </w:r>
    </w:p>
    <w:p w14:paraId="41A672A3"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426CEC">
        <w:rPr>
          <w:snapToGrid w:val="0"/>
          <w:kern w:val="22"/>
        </w:rPr>
        <w:t>(o)</w:t>
      </w:r>
      <w:r w:rsidRPr="00426CEC">
        <w:rPr>
          <w:snapToGrid w:val="0"/>
          <w:kern w:val="22"/>
        </w:rPr>
        <w:tab/>
        <w:t xml:space="preserve">To promote education and public awareness of the value of pollinators and of the habitats that support them, and </w:t>
      </w:r>
      <w:r w:rsidRPr="00332730">
        <w:rPr>
          <w:snapToGrid w:val="0"/>
        </w:rPr>
        <w:t>of the need to reduce threats to these species and their habitats;</w:t>
      </w:r>
    </w:p>
    <w:p w14:paraId="2988B5C7"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(p)</w:t>
      </w:r>
      <w:r w:rsidRPr="00332730">
        <w:rPr>
          <w:snapToGrid w:val="0"/>
        </w:rPr>
        <w:tab/>
        <w:t>To integrate consideration of issues related to the conservation and sustainable use of pollinators, including wild pollinators, into agricultural extension services, using approaches, as appropriate, such as farmer field schools;</w:t>
      </w:r>
    </w:p>
    <w:p w14:paraId="7CB24F9B"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(q)</w:t>
      </w:r>
      <w:r w:rsidRPr="00332730">
        <w:rPr>
          <w:snapToGrid w:val="0"/>
        </w:rPr>
        <w:tab/>
        <w:t>To develop and implement incentives for farmers and indigenous peoples and local communities to protect pollinators and pollinator habitats, for example through benefit-sharing schemes, including payments for pollinator services schemes, and remove or reduce perverse incentives consistent with applicable international obligations, such as causing the destruction of pollinator habitats, overuse of pesticides and simplification of agricultural landscapes and production systems;</w:t>
      </w:r>
    </w:p>
    <w:p w14:paraId="5FA4F5FA"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(r)</w:t>
      </w:r>
      <w:r w:rsidRPr="00332730">
        <w:rPr>
          <w:snapToGrid w:val="0"/>
        </w:rPr>
        <w:tab/>
        <w:t>To promote and support access to data and use of decision support tools, including, where appropriate, land</w:t>
      </w:r>
      <w:r w:rsidRPr="00332730">
        <w:rPr>
          <w:snapToGrid w:val="0"/>
        </w:rPr>
        <w:noBreakHyphen/>
        <w:t>use planning and zoning, to enhance the extent and connectivity of pollinator habitats in the landscape, with the participation of farmers and local communities;</w:t>
      </w:r>
    </w:p>
    <w:p w14:paraId="567D5DA6"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332730">
        <w:rPr>
          <w:snapToGrid w:val="0"/>
        </w:rPr>
        <w:t>(s)</w:t>
      </w:r>
      <w:r w:rsidRPr="00332730">
        <w:rPr>
          <w:snapToGrid w:val="0"/>
        </w:rPr>
        <w:tab/>
        <w:t>To protect and promote traditional knowledge, innovations and practices, protect traditional and established land rights and</w:t>
      </w:r>
      <w:r w:rsidRPr="00426CEC">
        <w:rPr>
          <w:snapToGrid w:val="0"/>
          <w:kern w:val="22"/>
        </w:rPr>
        <w:t xml:space="preserve"> tenure, as appropriate, and to promote biological and cultural diversity, and the links between them,</w:t>
      </w:r>
      <w:r w:rsidRPr="00426CEC">
        <w:rPr>
          <w:snapToGrid w:val="0"/>
          <w:kern w:val="22"/>
          <w:vertAlign w:val="superscript"/>
        </w:rPr>
        <w:footnoteReference w:id="4"/>
      </w:r>
      <w:r w:rsidRPr="00426CEC">
        <w:rPr>
          <w:snapToGrid w:val="0"/>
          <w:kern w:val="22"/>
        </w:rPr>
        <w:t xml:space="preserve"> for the conservation and sustainable use of pollinators including diverse farming systems;</w:t>
      </w:r>
    </w:p>
    <w:p w14:paraId="227E7D60" w14:textId="77777777" w:rsidR="008925F1" w:rsidRPr="0046040E" w:rsidRDefault="008925F1" w:rsidP="0046040E">
      <w:pPr>
        <w:keepNext/>
        <w:suppressLineNumbers/>
        <w:suppressAutoHyphens/>
        <w:adjustRightInd w:val="0"/>
        <w:snapToGrid w:val="0"/>
        <w:spacing w:before="120" w:after="120" w:line="240" w:lineRule="auto"/>
        <w:ind w:left="1247" w:firstLine="624"/>
        <w:jc w:val="center"/>
        <w:rPr>
          <w:rFonts w:ascii="Times New Roman" w:eastAsia="Times New Roman" w:hAnsi="Times New Roman"/>
          <w:b/>
          <w:bCs/>
          <w:caps/>
          <w:snapToGrid w:val="0"/>
          <w:kern w:val="22"/>
          <w:lang w:val="en-GB"/>
        </w:rPr>
      </w:pPr>
      <w:r w:rsidRPr="0046040E">
        <w:rPr>
          <w:rFonts w:ascii="Times New Roman" w:eastAsia="Times New Roman" w:hAnsi="Times New Roman"/>
          <w:b/>
          <w:bCs/>
          <w:caps/>
          <w:snapToGrid w:val="0"/>
          <w:kern w:val="22"/>
          <w:lang w:val="en-GB"/>
        </w:rPr>
        <w:t>Research, monitoring and assessment</w:t>
      </w:r>
    </w:p>
    <w:p w14:paraId="699C9E12"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(t)</w:t>
      </w:r>
      <w:r w:rsidRPr="00332730">
        <w:rPr>
          <w:snapToGrid w:val="0"/>
        </w:rPr>
        <w:tab/>
        <w:t>To enhance monitoring of the status and trends of all pollinators, pollinator</w:t>
      </w:r>
      <w:r w:rsidRPr="00332730">
        <w:rPr>
          <w:snapToGrid w:val="0"/>
        </w:rPr>
        <w:noBreakHyphen/>
        <w:t>friendly habitats and pollinator community structure as well as the identification of potential pollinator deficits using consistent and comparable methodologies;</w:t>
      </w:r>
    </w:p>
    <w:p w14:paraId="3868FC58"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(u)</w:t>
      </w:r>
      <w:r w:rsidRPr="00332730">
        <w:rPr>
          <w:snapToGrid w:val="0"/>
        </w:rPr>
        <w:tab/>
        <w:t>To build taxonomic capacity on pollinators;</w:t>
      </w:r>
    </w:p>
    <w:p w14:paraId="2EA593B6"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(v)</w:t>
      </w:r>
      <w:r w:rsidRPr="00332730">
        <w:rPr>
          <w:snapToGrid w:val="0"/>
        </w:rPr>
        <w:tab/>
        <w:t>To assess the benefits of pollinators and pollination, taking into account the economic value to agriculture and food production and the value to conservation and sustainable use of biodiversity, as well as cultural and other values;</w:t>
      </w:r>
    </w:p>
    <w:p w14:paraId="21207B7F"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(w)</w:t>
      </w:r>
      <w:r w:rsidRPr="00332730">
        <w:rPr>
          <w:snapToGrid w:val="0"/>
        </w:rPr>
        <w:tab/>
        <w:t>To undertake research on the socioeconomic implications of pollinator decline in the agricultural sector;</w:t>
      </w:r>
    </w:p>
    <w:p w14:paraId="762E6A76"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(x)</w:t>
      </w:r>
      <w:r w:rsidRPr="00332730">
        <w:rPr>
          <w:snapToGrid w:val="0"/>
        </w:rPr>
        <w:tab/>
        <w:t>To promote and share further research to address gaps in knowledge identified in the Assessment, as appropriate and in accordance with national legislation, including the effects of the partial loss of pollinators on crop production, and potential impacts of pesticides, in particular neonicotinoids and other systemic pesticides, taking into account their possible cumulative effects, and of living modified organisms, on pollinator populations, under field conditions, including differential impacts on managed and wild pollinators, and on social versus solitary pollinators, and the impacts on pollination of both crop and non-crop plants over both the short and long term, and under different climatic conditions;</w:t>
      </w:r>
    </w:p>
    <w:p w14:paraId="6DB71AF7" w14:textId="77777777" w:rsidR="008925F1" w:rsidRPr="00332730"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rPr>
      </w:pPr>
      <w:r w:rsidRPr="00332730">
        <w:rPr>
          <w:snapToGrid w:val="0"/>
        </w:rPr>
        <w:t>(y)</w:t>
      </w:r>
      <w:r w:rsidRPr="00332730">
        <w:rPr>
          <w:snapToGrid w:val="0"/>
        </w:rPr>
        <w:tab/>
        <w:t>To promote further research to identify practical ways that pollinator-friendly practices can be integrated into farming systems as part of efforts to increase production and mainstreaming of biodiversity into agricultural production systems;</w:t>
      </w:r>
    </w:p>
    <w:p w14:paraId="2492575D"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332730">
        <w:rPr>
          <w:snapToGrid w:val="0"/>
        </w:rPr>
        <w:t>(z)</w:t>
      </w:r>
      <w:r w:rsidRPr="00332730">
        <w:rPr>
          <w:snapToGrid w:val="0"/>
        </w:rPr>
        <w:tab/>
        <w:t>To promote further research to identify risks to pollination under climate change and potential adaption measures, including</w:t>
      </w:r>
      <w:r w:rsidRPr="00426CEC">
        <w:rPr>
          <w:snapToGrid w:val="0"/>
          <w:kern w:val="22"/>
        </w:rPr>
        <w:t xml:space="preserve"> the potential loss of keystone species and their effect on ecosystem resilience;</w:t>
      </w:r>
    </w:p>
    <w:p w14:paraId="1D2E5857"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(aa)</w:t>
      </w:r>
      <w:r w:rsidRPr="00426CEC">
        <w:rPr>
          <w:snapToGrid w:val="0"/>
          <w:kern w:val="22"/>
        </w:rPr>
        <w:tab/>
        <w:t xml:space="preserve">To promote further research and analysis on pest </w:t>
      </w:r>
      <w:r w:rsidRPr="00332730">
        <w:rPr>
          <w:snapToGrid w:val="0"/>
        </w:rPr>
        <w:t>management</w:t>
      </w:r>
      <w:r w:rsidRPr="00426CEC">
        <w:rPr>
          <w:snapToGrid w:val="0"/>
          <w:kern w:val="22"/>
        </w:rPr>
        <w:t>, taking into account the impact of drivers of pollinator decline, to support development of more feasible and sustainable alternatives;</w:t>
      </w:r>
    </w:p>
    <w:p w14:paraId="15FFB502"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8.</w:t>
      </w:r>
      <w:r w:rsidRPr="00426CEC">
        <w:rPr>
          <w:i/>
          <w:snapToGrid w:val="0"/>
          <w:kern w:val="22"/>
        </w:rPr>
        <w:tab/>
        <w:t xml:space="preserve">Invites </w:t>
      </w:r>
      <w:r w:rsidRPr="00426CEC">
        <w:rPr>
          <w:snapToGrid w:val="0"/>
          <w:kern w:val="22"/>
        </w:rPr>
        <w:t xml:space="preserve">Parties, other Governments and relevant organizations to provide the Executive Secretary with information on relevant national initiatives and activities to promote the conservation and sustainable use of pollinators and </w:t>
      </w:r>
      <w:r w:rsidRPr="00426CEC">
        <w:rPr>
          <w:i/>
          <w:snapToGrid w:val="0"/>
          <w:kern w:val="22"/>
        </w:rPr>
        <w:t>requests</w:t>
      </w:r>
      <w:r w:rsidRPr="00426CEC">
        <w:rPr>
          <w:snapToGrid w:val="0"/>
          <w:kern w:val="22"/>
        </w:rPr>
        <w:t xml:space="preserve"> the Executive Secretary, subject to the availability of resources, to compile this information, including information in the national reports, for consideration by the Subsidiary Body on Scientific, Technical and Technological Advice at a meeting held prior to the fourteenth meeting of the Conference of the Parties;</w:t>
      </w:r>
    </w:p>
    <w:p w14:paraId="0DCFD86F"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9.</w:t>
      </w:r>
      <w:r w:rsidRPr="00426CEC">
        <w:rPr>
          <w:i/>
          <w:snapToGrid w:val="0"/>
          <w:kern w:val="22"/>
        </w:rPr>
        <w:tab/>
        <w:t>Encourages</w:t>
      </w:r>
      <w:r w:rsidRPr="00426CEC">
        <w:rPr>
          <w:snapToGrid w:val="0"/>
          <w:kern w:val="22"/>
        </w:rPr>
        <w:t xml:space="preserve"> academic and research bodies, and relevant international organizations and networks to promote further research to address gaps in knowledge identified in the Assessment, including the issues identified in paragraph 7, subparagraphs (t) to (aa), above, to expand research to cover a wider variety of pollinators and to support coordinated global regional and national monitoring efforts and build relevant taxonomic capacity, especially in developing countries, where there have been fewer research and monitoring efforts to date;</w:t>
      </w:r>
    </w:p>
    <w:p w14:paraId="79AED178"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10.</w:t>
      </w:r>
      <w:r w:rsidRPr="00426CEC">
        <w:rPr>
          <w:i/>
          <w:snapToGrid w:val="0"/>
          <w:kern w:val="22"/>
        </w:rPr>
        <w:tab/>
        <w:t>Requests</w:t>
      </w:r>
      <w:r w:rsidRPr="00426CEC">
        <w:rPr>
          <w:snapToGrid w:val="0"/>
          <w:kern w:val="22"/>
        </w:rPr>
        <w:t xml:space="preserve"> the Executive Secretary, subject to the availability of resources, together with the Food and Agriculture Organization of the United Nations, and in collaboration with other partners, to review the </w:t>
      </w:r>
      <w:r w:rsidRPr="00426CEC">
        <w:rPr>
          <w:rFonts w:eastAsia="Malgun Gothic"/>
          <w:snapToGrid w:val="0"/>
          <w:kern w:val="22"/>
        </w:rPr>
        <w:t xml:space="preserve">implementation of the </w:t>
      </w:r>
      <w:r w:rsidRPr="00426CEC">
        <w:rPr>
          <w:snapToGrid w:val="0"/>
          <w:kern w:val="22"/>
        </w:rPr>
        <w:t>International Initiative on the Conservation and Sustainable Use of Pollinators and prepare a draft updated and streamlined plan of action, including capacity-building, based on the Assessment and including the most recent knowledge, for consideration by the Subsidiary Body on Scientific, Technical and Technological Advice at a meeting held prior to the fourteenth meeting of the Conference of the Parties;</w:t>
      </w:r>
    </w:p>
    <w:p w14:paraId="42A6DCCF"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11.</w:t>
      </w:r>
      <w:r w:rsidRPr="00426CEC">
        <w:rPr>
          <w:i/>
          <w:snapToGrid w:val="0"/>
          <w:kern w:val="22"/>
        </w:rPr>
        <w:tab/>
        <w:t>Also requests</w:t>
      </w:r>
      <w:r w:rsidRPr="00426CEC">
        <w:rPr>
          <w:snapToGrid w:val="0"/>
          <w:kern w:val="22"/>
        </w:rPr>
        <w:t xml:space="preserve"> the Executive Secretary, subject to the availability of resources, in partnership with relevant organizations and indigenous peoples and local communities, to compile and summarize information on pollinators and pollination relevant to the conservation and sustainable use of biodiversity in all ecosystems, beyond their role in agriculture and food production for consideration by the Subsidiary Body on Scientific, Technical and Technological Advice at a meeting held prior to the fourteenth meeting of the Conference of the Parties;</w:t>
      </w:r>
    </w:p>
    <w:p w14:paraId="1671C08D"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kern w:val="22"/>
        </w:rPr>
      </w:pPr>
      <w:r w:rsidRPr="00426CEC">
        <w:rPr>
          <w:snapToGrid w:val="0"/>
          <w:kern w:val="22"/>
        </w:rPr>
        <w:t>12.</w:t>
      </w:r>
      <w:r w:rsidRPr="00426CEC">
        <w:rPr>
          <w:i/>
          <w:snapToGrid w:val="0"/>
          <w:kern w:val="22"/>
        </w:rPr>
        <w:tab/>
        <w:t>Further requests</w:t>
      </w:r>
      <w:r w:rsidRPr="00426CEC">
        <w:rPr>
          <w:snapToGrid w:val="0"/>
          <w:kern w:val="22"/>
        </w:rPr>
        <w:t xml:space="preserve"> the Executive Secretary to bring the present decision to the attention of the Food and Agriculture Organization of the United Nations and its Commission on Genetic Resources for Food and Agriculture;</w:t>
      </w:r>
    </w:p>
    <w:p w14:paraId="24F4A26A"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color w:val="000000"/>
          <w:kern w:val="22"/>
        </w:rPr>
      </w:pPr>
      <w:r w:rsidRPr="00426CEC">
        <w:rPr>
          <w:snapToGrid w:val="0"/>
          <w:color w:val="000000"/>
          <w:kern w:val="22"/>
        </w:rPr>
        <w:t>13.</w:t>
      </w:r>
      <w:r w:rsidRPr="00426CEC">
        <w:rPr>
          <w:i/>
          <w:snapToGrid w:val="0"/>
          <w:color w:val="000000"/>
          <w:kern w:val="22"/>
        </w:rPr>
        <w:tab/>
        <w:t>Requests</w:t>
      </w:r>
      <w:r w:rsidRPr="00426CEC">
        <w:rPr>
          <w:snapToGrid w:val="0"/>
          <w:color w:val="000000"/>
          <w:kern w:val="22"/>
        </w:rPr>
        <w:t xml:space="preserve"> the Executive Secretary,</w:t>
      </w:r>
      <w:r w:rsidRPr="00426CEC">
        <w:rPr>
          <w:iCs/>
          <w:snapToGrid w:val="0"/>
          <w:color w:val="000000"/>
          <w:kern w:val="22"/>
        </w:rPr>
        <w:t xml:space="preserve"> in view of the variance in </w:t>
      </w:r>
      <w:r w:rsidRPr="00426CEC">
        <w:rPr>
          <w:snapToGrid w:val="0"/>
          <w:color w:val="000000"/>
          <w:kern w:val="22"/>
        </w:rPr>
        <w:t xml:space="preserve">the amount of information on the status and trends of pollinators and pollination among regions, with significant gaps in data, and also limitations in capacity for the identification, monitoring and management of pollinators, in many developing countries, in particular the least developing countries and small island developing States, and in countries with economies in transition, in cooperation with the </w:t>
      </w:r>
      <w:r w:rsidRPr="00426CEC">
        <w:rPr>
          <w:snapToGrid w:val="0"/>
          <w:kern w:val="22"/>
        </w:rPr>
        <w:t>Intergovernmental Science-Policy Platform on Biodiversity and Ecosystem Services</w:t>
      </w:r>
      <w:r w:rsidRPr="00426CEC">
        <w:rPr>
          <w:snapToGrid w:val="0"/>
          <w:color w:val="000000"/>
          <w:kern w:val="22"/>
        </w:rPr>
        <w:t xml:space="preserve">, the </w:t>
      </w:r>
      <w:r w:rsidRPr="00426CEC">
        <w:rPr>
          <w:snapToGrid w:val="0"/>
          <w:kern w:val="22"/>
        </w:rPr>
        <w:t xml:space="preserve">Food and Agriculture </w:t>
      </w:r>
      <w:r w:rsidRPr="00332730">
        <w:rPr>
          <w:snapToGrid w:val="0"/>
        </w:rPr>
        <w:t>Organization</w:t>
      </w:r>
      <w:r w:rsidRPr="00426CEC">
        <w:rPr>
          <w:snapToGrid w:val="0"/>
          <w:kern w:val="22"/>
        </w:rPr>
        <w:t xml:space="preserve"> of the United Nations</w:t>
      </w:r>
      <w:r w:rsidRPr="00426CEC">
        <w:rPr>
          <w:snapToGrid w:val="0"/>
          <w:color w:val="000000"/>
          <w:kern w:val="22"/>
        </w:rPr>
        <w:t>, and other relevant organizations, subject to the availability of resources and avoiding duplication of efforts:</w:t>
      </w:r>
    </w:p>
    <w:p w14:paraId="58077108"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color w:val="000000"/>
          <w:kern w:val="22"/>
        </w:rPr>
      </w:pPr>
      <w:r w:rsidRPr="00426CEC">
        <w:rPr>
          <w:snapToGrid w:val="0"/>
          <w:color w:val="000000"/>
          <w:kern w:val="22"/>
        </w:rPr>
        <w:t>(a)</w:t>
      </w:r>
      <w:r w:rsidRPr="00426CEC">
        <w:rPr>
          <w:snapToGrid w:val="0"/>
          <w:color w:val="000000"/>
          <w:kern w:val="22"/>
        </w:rPr>
        <w:tab/>
        <w:t>To promote, as a priority, efforts to address data gaps and capacity for monitoring the status and trends of pollinators and pollination in developing countries, in particular those in Africa, Latin America, Asia and Oceania;</w:t>
      </w:r>
    </w:p>
    <w:p w14:paraId="30882669"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color w:val="000000"/>
          <w:kern w:val="22"/>
        </w:rPr>
      </w:pPr>
      <w:r w:rsidRPr="00426CEC">
        <w:rPr>
          <w:snapToGrid w:val="0"/>
          <w:color w:val="000000"/>
          <w:kern w:val="22"/>
        </w:rPr>
        <w:t>(b)</w:t>
      </w:r>
      <w:r w:rsidRPr="00426CEC">
        <w:rPr>
          <w:snapToGrid w:val="0"/>
          <w:color w:val="000000"/>
          <w:kern w:val="22"/>
        </w:rPr>
        <w:tab/>
        <w:t xml:space="preserve">To identify and develop proposals for strengthening capacity related to pollinators and pollination, and supplementary regional assessments, in particular for Africa, Latin America, Asia and Oceania, to be integrated into the updated and streamlined plan of action of the </w:t>
      </w:r>
      <w:r w:rsidRPr="00426CEC">
        <w:rPr>
          <w:snapToGrid w:val="0"/>
          <w:kern w:val="22"/>
        </w:rPr>
        <w:t>International Initiative on the Conservation and Sustainable Use of Pollinators</w:t>
      </w:r>
      <w:r w:rsidRPr="00426CEC">
        <w:rPr>
          <w:snapToGrid w:val="0"/>
          <w:color w:val="000000"/>
          <w:kern w:val="22"/>
        </w:rPr>
        <w:t xml:space="preserve"> referred to in paragraph 10 above;</w:t>
      </w:r>
    </w:p>
    <w:p w14:paraId="72365033"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color w:val="000000"/>
          <w:kern w:val="22"/>
        </w:rPr>
      </w:pPr>
      <w:r w:rsidRPr="00426CEC">
        <w:rPr>
          <w:snapToGrid w:val="0"/>
          <w:color w:val="000000"/>
          <w:kern w:val="22"/>
        </w:rPr>
        <w:t>14.</w:t>
      </w:r>
      <w:r w:rsidRPr="00426CEC">
        <w:rPr>
          <w:iCs/>
          <w:snapToGrid w:val="0"/>
          <w:color w:val="000000"/>
          <w:kern w:val="22"/>
        </w:rPr>
        <w:tab/>
      </w:r>
      <w:r w:rsidRPr="00426CEC">
        <w:rPr>
          <w:i/>
          <w:snapToGrid w:val="0"/>
          <w:color w:val="000000"/>
          <w:kern w:val="22"/>
        </w:rPr>
        <w:t>Invites</w:t>
      </w:r>
      <w:r w:rsidRPr="00426CEC">
        <w:rPr>
          <w:snapToGrid w:val="0"/>
          <w:color w:val="000000"/>
          <w:kern w:val="22"/>
        </w:rPr>
        <w:t xml:space="preserve"> the </w:t>
      </w:r>
      <w:r w:rsidRPr="00426CEC">
        <w:rPr>
          <w:snapToGrid w:val="0"/>
          <w:kern w:val="22"/>
        </w:rPr>
        <w:t>Intergovernmental Science-Policy Platform on Biodiversity and Ecosystem Services</w:t>
      </w:r>
      <w:r w:rsidRPr="00426CEC" w:rsidDel="004D5F19">
        <w:rPr>
          <w:snapToGrid w:val="0"/>
          <w:color w:val="000000"/>
          <w:kern w:val="22"/>
        </w:rPr>
        <w:t xml:space="preserve"> </w:t>
      </w:r>
      <w:r w:rsidRPr="00426CEC">
        <w:rPr>
          <w:snapToGrid w:val="0"/>
          <w:color w:val="000000"/>
          <w:kern w:val="22"/>
        </w:rPr>
        <w:t>to give due attention to the theme of pollinators and pollination in the ongoing regional/subregional assessments on biodiversity and ecosystem services, and the thematic assessment on land degradation and restoration and in the work of the task force on capacity-building;</w:t>
      </w:r>
    </w:p>
    <w:p w14:paraId="28AFAE5D"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color w:val="000000"/>
          <w:kern w:val="22"/>
        </w:rPr>
      </w:pPr>
      <w:r w:rsidRPr="00426CEC">
        <w:rPr>
          <w:snapToGrid w:val="0"/>
          <w:color w:val="000000"/>
          <w:kern w:val="22"/>
        </w:rPr>
        <w:t>15.</w:t>
      </w:r>
      <w:r w:rsidRPr="00426CEC">
        <w:rPr>
          <w:iCs/>
          <w:snapToGrid w:val="0"/>
          <w:color w:val="000000"/>
          <w:kern w:val="22"/>
        </w:rPr>
        <w:tab/>
      </w:r>
      <w:r w:rsidRPr="00426CEC">
        <w:rPr>
          <w:i/>
          <w:snapToGrid w:val="0"/>
          <w:color w:val="000000"/>
          <w:kern w:val="22"/>
        </w:rPr>
        <w:t>Encourages</w:t>
      </w:r>
      <w:r w:rsidRPr="00426CEC">
        <w:rPr>
          <w:snapToGrid w:val="0"/>
          <w:color w:val="000000"/>
          <w:kern w:val="22"/>
        </w:rPr>
        <w:t xml:space="preserve"> Parties, </w:t>
      </w:r>
      <w:r w:rsidRPr="00426CEC">
        <w:rPr>
          <w:snapToGrid w:val="0"/>
          <w:kern w:val="22"/>
        </w:rPr>
        <w:t>other Governments</w:t>
      </w:r>
      <w:r w:rsidRPr="00426CEC">
        <w:rPr>
          <w:snapToGrid w:val="0"/>
          <w:color w:val="000000"/>
          <w:kern w:val="22"/>
        </w:rPr>
        <w:t xml:space="preserve"> and organizations in a position to do so, to support capacity-building and technical and scientific cooperation, to address the gaps and limitations referred to in paragraph 13, inter alia building upon relevant traditional and local knowledge;</w:t>
      </w:r>
    </w:p>
    <w:p w14:paraId="76C0E6BF" w14:textId="77777777" w:rsidR="008925F1" w:rsidRPr="00426CEC" w:rsidRDefault="008925F1" w:rsidP="00332730">
      <w:pPr>
        <w:pStyle w:val="Normal-pool"/>
        <w:tabs>
          <w:tab w:val="clear" w:pos="1247"/>
          <w:tab w:val="clear" w:pos="1814"/>
          <w:tab w:val="clear" w:pos="2381"/>
          <w:tab w:val="clear" w:pos="2948"/>
          <w:tab w:val="clear" w:pos="3515"/>
          <w:tab w:val="clear" w:pos="4082"/>
          <w:tab w:val="left" w:pos="624"/>
        </w:tabs>
        <w:spacing w:after="120"/>
        <w:ind w:left="1871" w:firstLine="624"/>
        <w:rPr>
          <w:snapToGrid w:val="0"/>
          <w:color w:val="000000"/>
          <w:kern w:val="22"/>
        </w:rPr>
      </w:pPr>
      <w:r w:rsidRPr="00426CEC">
        <w:rPr>
          <w:snapToGrid w:val="0"/>
          <w:color w:val="000000"/>
          <w:kern w:val="22"/>
        </w:rPr>
        <w:t>16.</w:t>
      </w:r>
      <w:r w:rsidRPr="00426CEC">
        <w:rPr>
          <w:snapToGrid w:val="0"/>
          <w:color w:val="000000"/>
          <w:kern w:val="22"/>
        </w:rPr>
        <w:tab/>
      </w:r>
      <w:r w:rsidRPr="00426CEC">
        <w:rPr>
          <w:i/>
          <w:iCs/>
          <w:snapToGrid w:val="0"/>
          <w:color w:val="000000"/>
          <w:kern w:val="22"/>
        </w:rPr>
        <w:t>Requests</w:t>
      </w:r>
      <w:r w:rsidRPr="00426CEC">
        <w:rPr>
          <w:snapToGrid w:val="0"/>
          <w:color w:val="000000"/>
          <w:kern w:val="22"/>
        </w:rPr>
        <w:t xml:space="preserve"> the Executive Secretary, subject to the availability of resources, to </w:t>
      </w:r>
      <w:r w:rsidRPr="00426CEC">
        <w:rPr>
          <w:snapToGrid w:val="0"/>
          <w:kern w:val="22"/>
        </w:rPr>
        <w:t xml:space="preserve">compile information on </w:t>
      </w:r>
      <w:r w:rsidRPr="00426CEC">
        <w:rPr>
          <w:snapToGrid w:val="0"/>
          <w:color w:val="000000"/>
          <w:kern w:val="22"/>
        </w:rPr>
        <w:t>best practices, tools and lessons learned related to the monitoring and management of pollinators and pollination and make them available through the clearing</w:t>
      </w:r>
      <w:r w:rsidRPr="00426CEC">
        <w:rPr>
          <w:snapToGrid w:val="0"/>
          <w:color w:val="000000"/>
          <w:kern w:val="22"/>
        </w:rPr>
        <w:noBreakHyphen/>
        <w:t>house mechanism and other means.</w:t>
      </w:r>
    </w:p>
    <w:p w14:paraId="616119BB" w14:textId="77777777" w:rsidR="008925F1" w:rsidRPr="00D128DC" w:rsidRDefault="00332730" w:rsidP="00D128DC">
      <w:pPr>
        <w:pStyle w:val="CH2"/>
      </w:pPr>
      <w:r w:rsidRPr="00D128DC">
        <w:br w:type="page"/>
      </w:r>
      <w:r w:rsidRPr="00D128DC">
        <w:tab/>
      </w:r>
      <w:r w:rsidRPr="00D128DC">
        <w:tab/>
      </w:r>
      <w:r w:rsidR="008925F1" w:rsidRPr="00D128DC">
        <w:t>Appendix III - Publications from the pollination assessment (abstract/first page)</w:t>
      </w:r>
    </w:p>
    <w:p w14:paraId="65250DF2" w14:textId="77777777" w:rsidR="008925F1" w:rsidRPr="007E4308" w:rsidRDefault="008925F1" w:rsidP="00D128DC">
      <w:pPr>
        <w:pStyle w:val="Normal-pool"/>
        <w:ind w:left="1247"/>
        <w:rPr>
          <w:rFonts w:ascii="Helvetica" w:hAnsi="Helvetica"/>
          <w:sz w:val="18"/>
          <w:szCs w:val="18"/>
          <w:lang w:val="fr-FR" w:eastAsia="ja-JP"/>
        </w:rPr>
      </w:pPr>
      <w:r w:rsidRPr="00A64479">
        <w:rPr>
          <w:rFonts w:eastAsia="Calibri"/>
          <w:w w:val="103"/>
          <w:lang w:val="fr-CH"/>
        </w:rPr>
        <w:t xml:space="preserve">Settele, J. et al. 2016. Climate change impacts on pollination. </w:t>
      </w:r>
      <w:r w:rsidRPr="00A64479">
        <w:rPr>
          <w:rFonts w:eastAsia="Calibri"/>
          <w:w w:val="103"/>
          <w:lang w:val="fr-FR"/>
        </w:rPr>
        <w:t>Nature Plants 2: 16092</w:t>
      </w:r>
    </w:p>
    <w:p w14:paraId="5994F626" w14:textId="77777777" w:rsidR="008925F1" w:rsidRDefault="000E63B3" w:rsidP="008925F1">
      <w:pPr>
        <w:pStyle w:val="Normalnumber"/>
        <w:numPr>
          <w:ilvl w:val="0"/>
          <w:numId w:val="0"/>
        </w:numPr>
        <w:rPr>
          <w:rFonts w:ascii="Helvetica" w:hAnsi="Helvetica"/>
          <w:sz w:val="18"/>
          <w:szCs w:val="18"/>
          <w:lang w:eastAsia="ja-JP"/>
        </w:rPr>
      </w:pPr>
      <w:r>
        <w:rPr>
          <w:rFonts w:ascii="Helvetica" w:hAnsi="Helvetica"/>
          <w:noProof/>
          <w:sz w:val="18"/>
          <w:szCs w:val="18"/>
          <w:lang w:val="en-US"/>
        </w:rPr>
        <w:drawing>
          <wp:inline distT="0" distB="0" distL="0" distR="0" wp14:anchorId="1364B138" wp14:editId="18EF63D9">
            <wp:extent cx="6029325" cy="81629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8162925"/>
                    </a:xfrm>
                    <a:prstGeom prst="rect">
                      <a:avLst/>
                    </a:prstGeom>
                    <a:noFill/>
                    <a:ln>
                      <a:noFill/>
                    </a:ln>
                  </pic:spPr>
                </pic:pic>
              </a:graphicData>
            </a:graphic>
          </wp:inline>
        </w:drawing>
      </w:r>
    </w:p>
    <w:p w14:paraId="42B3E599" w14:textId="77777777" w:rsidR="008925F1" w:rsidRPr="009D7BC5" w:rsidRDefault="00D128DC" w:rsidP="00D128DC">
      <w:pPr>
        <w:pStyle w:val="Normal-pool"/>
        <w:keepNext/>
        <w:keepLines/>
        <w:tabs>
          <w:tab w:val="clear" w:pos="1247"/>
          <w:tab w:val="clear" w:pos="1814"/>
          <w:tab w:val="clear" w:pos="2381"/>
          <w:tab w:val="clear" w:pos="2948"/>
          <w:tab w:val="clear" w:pos="3515"/>
          <w:tab w:val="clear" w:pos="4082"/>
          <w:tab w:val="left" w:pos="624"/>
        </w:tabs>
        <w:spacing w:after="120"/>
        <w:ind w:left="1247"/>
        <w:rPr>
          <w:lang w:eastAsia="ja-JP"/>
        </w:rPr>
      </w:pPr>
      <w:r>
        <w:rPr>
          <w:lang w:val="fr-FR" w:eastAsia="ja-JP"/>
        </w:rPr>
        <w:t>(b)</w:t>
      </w:r>
      <w:r>
        <w:rPr>
          <w:lang w:val="fr-FR" w:eastAsia="ja-JP"/>
        </w:rPr>
        <w:tab/>
      </w:r>
      <w:r w:rsidR="008925F1" w:rsidRPr="009D7BC5">
        <w:rPr>
          <w:lang w:val="fr-FR" w:eastAsia="ja-JP"/>
        </w:rPr>
        <w:t xml:space="preserve">Potts, S. G. et al. 2016. </w:t>
      </w:r>
      <w:r w:rsidR="008925F1" w:rsidRPr="009D7BC5">
        <w:rPr>
          <w:lang w:eastAsia="ja-JP"/>
        </w:rPr>
        <w:t xml:space="preserve">Safeguarding Pollinators and Their Values to Human Well-Being. </w:t>
      </w:r>
      <w:r w:rsidR="008925F1" w:rsidRPr="009D7BC5">
        <w:rPr>
          <w:b/>
          <w:lang w:eastAsia="ja-JP"/>
        </w:rPr>
        <w:t>Nature</w:t>
      </w:r>
      <w:r w:rsidR="008925F1" w:rsidRPr="009D7BC5">
        <w:rPr>
          <w:lang w:eastAsia="ja-JP"/>
        </w:rPr>
        <w:t xml:space="preserve"> 540 (7632): 220-229</w:t>
      </w:r>
    </w:p>
    <w:p w14:paraId="0A7BF79A" w14:textId="77777777" w:rsidR="00D128DC" w:rsidRDefault="008925F1" w:rsidP="00D128DC">
      <w:pPr>
        <w:pStyle w:val="Normalnumber"/>
        <w:keepNext/>
        <w:keepLines/>
        <w:numPr>
          <w:ilvl w:val="0"/>
          <w:numId w:val="0"/>
        </w:numPr>
        <w:tabs>
          <w:tab w:val="clear" w:pos="1247"/>
          <w:tab w:val="clear" w:pos="1814"/>
          <w:tab w:val="clear" w:pos="2381"/>
          <w:tab w:val="clear" w:pos="2948"/>
          <w:tab w:val="clear" w:pos="3515"/>
          <w:tab w:val="clear" w:pos="4082"/>
          <w:tab w:val="left" w:pos="624"/>
        </w:tabs>
        <w:rPr>
          <w:rFonts w:ascii="Helvetica" w:hAnsi="Helvetica"/>
          <w:sz w:val="18"/>
          <w:szCs w:val="18"/>
          <w:lang w:eastAsia="ja-JP"/>
        </w:rPr>
      </w:pPr>
      <w:r>
        <w:rPr>
          <w:rFonts w:ascii="Helvetica" w:hAnsi="Helvetica"/>
          <w:sz w:val="18"/>
          <w:szCs w:val="18"/>
          <w:lang w:eastAsia="ja-JP"/>
        </w:rPr>
        <w:object w:dxaOrig="8925" w:dyaOrig="11730" w14:anchorId="32D63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03.75pt" o:ole="">
            <v:imagedata r:id="rId36" o:title=""/>
          </v:shape>
          <o:OLEObject Type="Embed" ProgID="AcroExch.Document.DC" ShapeID="_x0000_i1025" DrawAspect="Content" ObjectID="_1547622595" r:id="rId37"/>
        </w:object>
      </w:r>
    </w:p>
    <w:p w14:paraId="50D67A54" w14:textId="77777777" w:rsidR="0046040E" w:rsidRDefault="0046040E" w:rsidP="0046040E">
      <w:pPr>
        <w:pStyle w:val="Normalnumber"/>
        <w:keepNext/>
        <w:keepLines/>
        <w:numPr>
          <w:ilvl w:val="0"/>
          <w:numId w:val="0"/>
        </w:numPr>
        <w:tabs>
          <w:tab w:val="clear" w:pos="1247"/>
          <w:tab w:val="clear" w:pos="1814"/>
          <w:tab w:val="clear" w:pos="2381"/>
          <w:tab w:val="clear" w:pos="2948"/>
          <w:tab w:val="clear" w:pos="3515"/>
          <w:tab w:val="clear" w:pos="4082"/>
          <w:tab w:val="left" w:pos="624"/>
        </w:tabs>
        <w:ind w:left="1247" w:firstLine="624"/>
        <w:rPr>
          <w:rFonts w:eastAsia="Calibri"/>
          <w:w w:val="103"/>
        </w:rPr>
      </w:pPr>
      <w:r>
        <w:rPr>
          <w:rFonts w:ascii="Helvetica" w:hAnsi="Helvetica"/>
          <w:sz w:val="18"/>
          <w:szCs w:val="18"/>
          <w:lang w:val="fr-FR" w:eastAsia="ja-JP"/>
        </w:rPr>
        <w:br w:type="page"/>
        <w:t>(c</w:t>
      </w:r>
      <w:r w:rsidRPr="00D128DC">
        <w:rPr>
          <w:rFonts w:ascii="Helvetica" w:hAnsi="Helvetica"/>
          <w:sz w:val="18"/>
          <w:szCs w:val="18"/>
          <w:lang w:val="fr-FR" w:eastAsia="ja-JP"/>
        </w:rPr>
        <w:t>)</w:t>
      </w:r>
      <w:r w:rsidRPr="00D128DC">
        <w:rPr>
          <w:rFonts w:ascii="Helvetica" w:hAnsi="Helvetica"/>
          <w:sz w:val="18"/>
          <w:szCs w:val="18"/>
          <w:lang w:val="fr-FR" w:eastAsia="ja-JP"/>
        </w:rPr>
        <w:tab/>
      </w:r>
      <w:r w:rsidRPr="00D128DC">
        <w:rPr>
          <w:rFonts w:eastAsia="Calibri"/>
          <w:w w:val="103"/>
          <w:lang w:val="fr-FR"/>
        </w:rPr>
        <w:t xml:space="preserve">Dicks, L. V. et al. 2016. </w:t>
      </w:r>
      <w:r w:rsidRPr="00E37F0C">
        <w:rPr>
          <w:rFonts w:eastAsia="Calibri"/>
          <w:w w:val="103"/>
        </w:rPr>
        <w:t>Ten policies for pollinators. Science 354 (6315): 975-976. DOI: 10.1126/science.aai9226</w:t>
      </w:r>
    </w:p>
    <w:p w14:paraId="4F1FC8DF" w14:textId="77777777" w:rsidR="0046040E" w:rsidRDefault="0046040E" w:rsidP="0046040E">
      <w:pPr>
        <w:pStyle w:val="Normal-pool"/>
        <w:keepNext/>
        <w:keepLines/>
        <w:rPr>
          <w:rFonts w:eastAsia="Calibri"/>
          <w:w w:val="103"/>
        </w:rPr>
      </w:pPr>
    </w:p>
    <w:p w14:paraId="116A037B" w14:textId="77777777" w:rsidR="0046040E" w:rsidRDefault="000E63B3" w:rsidP="0046040E">
      <w:pPr>
        <w:pStyle w:val="Normal-pool"/>
        <w:keepNext/>
        <w:keepLines/>
        <w:rPr>
          <w:rFonts w:eastAsia="Calibri"/>
          <w:w w:val="103"/>
        </w:rPr>
      </w:pPr>
      <w:r>
        <w:rPr>
          <w:rFonts w:ascii="Helvetica" w:hAnsi="Helvetica"/>
          <w:noProof/>
          <w:sz w:val="18"/>
          <w:szCs w:val="18"/>
          <w:lang w:val="en-US"/>
        </w:rPr>
        <w:drawing>
          <wp:inline distT="0" distB="0" distL="0" distR="0" wp14:anchorId="60545F2D" wp14:editId="1FD43111">
            <wp:extent cx="6038850" cy="8086725"/>
            <wp:effectExtent l="0" t="0" r="0" b="9525"/>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8086725"/>
                    </a:xfrm>
                    <a:prstGeom prst="rect">
                      <a:avLst/>
                    </a:prstGeom>
                    <a:noFill/>
                    <a:ln>
                      <a:noFill/>
                    </a:ln>
                  </pic:spPr>
                </pic:pic>
              </a:graphicData>
            </a:graphic>
          </wp:inline>
        </w:drawing>
      </w:r>
    </w:p>
    <w:p w14:paraId="2B1451D0" w14:textId="77777777" w:rsidR="008925F1" w:rsidRPr="00E37F0C" w:rsidRDefault="0046040E" w:rsidP="0046040E">
      <w:pPr>
        <w:pStyle w:val="Normalnumber"/>
        <w:keepNext/>
        <w:keepLines/>
        <w:numPr>
          <w:ilvl w:val="0"/>
          <w:numId w:val="0"/>
        </w:numPr>
        <w:tabs>
          <w:tab w:val="clear" w:pos="1247"/>
          <w:tab w:val="clear" w:pos="1814"/>
          <w:tab w:val="clear" w:pos="2381"/>
          <w:tab w:val="clear" w:pos="2948"/>
          <w:tab w:val="clear" w:pos="3515"/>
          <w:tab w:val="clear" w:pos="4082"/>
          <w:tab w:val="left" w:pos="624"/>
        </w:tabs>
        <w:ind w:left="1247" w:firstLine="624"/>
        <w:rPr>
          <w:rFonts w:eastAsia="Calibri"/>
          <w:b/>
          <w:w w:val="103"/>
        </w:rPr>
      </w:pPr>
      <w:r>
        <w:rPr>
          <w:rFonts w:eastAsia="Calibri"/>
          <w:w w:val="103"/>
          <w:lang w:val="fr-FR"/>
        </w:rPr>
        <w:br w:type="page"/>
      </w:r>
      <w:r w:rsidR="00D128DC">
        <w:rPr>
          <w:rFonts w:eastAsia="Calibri"/>
          <w:w w:val="103"/>
          <w:lang w:val="fr-FR"/>
        </w:rPr>
        <w:t>(d)</w:t>
      </w:r>
      <w:r w:rsidR="00D128DC">
        <w:rPr>
          <w:rFonts w:eastAsia="Calibri"/>
          <w:w w:val="103"/>
          <w:lang w:val="fr-FR"/>
        </w:rPr>
        <w:tab/>
      </w:r>
      <w:r w:rsidR="008925F1" w:rsidRPr="00D128DC">
        <w:rPr>
          <w:rFonts w:eastAsia="Calibri"/>
          <w:w w:val="103"/>
          <w:lang w:val="fr-FR"/>
        </w:rPr>
        <w:t xml:space="preserve">Breeze, T. D. et al. 2016. </w:t>
      </w:r>
      <w:r w:rsidR="008925F1" w:rsidRPr="00715A3D">
        <w:rPr>
          <w:rFonts w:eastAsia="Calibri"/>
          <w:w w:val="103"/>
        </w:rPr>
        <w:t>Economic Measures of Pollination Services: Shortcomings and Future Directions</w:t>
      </w:r>
      <w:r w:rsidR="008925F1">
        <w:rPr>
          <w:rFonts w:eastAsia="Calibri"/>
          <w:w w:val="103"/>
        </w:rPr>
        <w:t xml:space="preserve">. </w:t>
      </w:r>
      <w:r w:rsidR="008925F1" w:rsidRPr="00D741D2">
        <w:rPr>
          <w:rFonts w:eastAsia="Calibri"/>
          <w:w w:val="103"/>
        </w:rPr>
        <w:t>Trends in Ecology and Evolution</w:t>
      </w:r>
      <w:r w:rsidR="008925F1">
        <w:rPr>
          <w:rFonts w:eastAsia="Calibri"/>
          <w:w w:val="103"/>
        </w:rPr>
        <w:t xml:space="preserve"> </w:t>
      </w:r>
      <w:r w:rsidR="008925F1" w:rsidRPr="00715A3D">
        <w:rPr>
          <w:rFonts w:eastAsia="Calibri"/>
          <w:w w:val="103"/>
        </w:rPr>
        <w:t>31</w:t>
      </w:r>
      <w:r w:rsidR="008925F1">
        <w:rPr>
          <w:rFonts w:eastAsia="Calibri"/>
          <w:w w:val="103"/>
        </w:rPr>
        <w:t>(</w:t>
      </w:r>
      <w:r w:rsidR="008925F1" w:rsidRPr="00715A3D">
        <w:rPr>
          <w:rFonts w:eastAsia="Calibri"/>
          <w:w w:val="103"/>
        </w:rPr>
        <w:t>12</w:t>
      </w:r>
      <w:r w:rsidR="008925F1">
        <w:rPr>
          <w:rFonts w:eastAsia="Calibri"/>
          <w:w w:val="103"/>
        </w:rPr>
        <w:t xml:space="preserve">): </w:t>
      </w:r>
      <w:r w:rsidR="008925F1" w:rsidRPr="00715A3D">
        <w:rPr>
          <w:rFonts w:eastAsia="Calibri"/>
          <w:w w:val="103"/>
        </w:rPr>
        <w:t>927–939</w:t>
      </w:r>
    </w:p>
    <w:p w14:paraId="45936105" w14:textId="77777777" w:rsidR="008925F1" w:rsidRDefault="000E63B3" w:rsidP="0046040E">
      <w:pPr>
        <w:pStyle w:val="Normal-pool"/>
        <w:rPr>
          <w:rFonts w:ascii="Helvetica" w:hAnsi="Helvetica"/>
          <w:noProof/>
          <w:sz w:val="18"/>
          <w:szCs w:val="18"/>
          <w:lang w:val="en-US"/>
        </w:rPr>
      </w:pPr>
      <w:r>
        <w:rPr>
          <w:rFonts w:ascii="Helvetica" w:hAnsi="Helvetica"/>
          <w:noProof/>
          <w:sz w:val="18"/>
          <w:szCs w:val="18"/>
          <w:lang w:val="en-US"/>
        </w:rPr>
        <w:drawing>
          <wp:inline distT="0" distB="0" distL="0" distR="0" wp14:anchorId="2A6B2C59" wp14:editId="6C911DA2">
            <wp:extent cx="6029325" cy="7972425"/>
            <wp:effectExtent l="0" t="0" r="9525" b="9525"/>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9325" cy="7972425"/>
                    </a:xfrm>
                    <a:prstGeom prst="rect">
                      <a:avLst/>
                    </a:prstGeom>
                    <a:noFill/>
                    <a:ln>
                      <a:noFill/>
                    </a:ln>
                  </pic:spPr>
                </pic:pic>
              </a:graphicData>
            </a:graphic>
          </wp:inline>
        </w:drawing>
      </w:r>
    </w:p>
    <w:p w14:paraId="41FDC918" w14:textId="77777777" w:rsidR="0046040E" w:rsidRDefault="0046040E" w:rsidP="0046040E">
      <w:pPr>
        <w:pStyle w:val="Normal-pool"/>
        <w:rPr>
          <w:rFonts w:ascii="Helvetica" w:hAnsi="Helvetica"/>
          <w:noProof/>
          <w:sz w:val="18"/>
          <w:szCs w:val="18"/>
          <w:lang w:val="en-US"/>
        </w:rPr>
      </w:pP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921"/>
        <w:gridCol w:w="1922"/>
        <w:gridCol w:w="1923"/>
        <w:gridCol w:w="1923"/>
      </w:tblGrid>
      <w:tr w:rsidR="0046040E" w14:paraId="3BA1A2B2" w14:textId="77777777" w:rsidTr="0046040E">
        <w:tc>
          <w:tcPr>
            <w:tcW w:w="1942" w:type="dxa"/>
          </w:tcPr>
          <w:p w14:paraId="4018741D" w14:textId="77777777" w:rsidR="0046040E" w:rsidRDefault="0046040E" w:rsidP="0046040E">
            <w:pPr>
              <w:pStyle w:val="Normal-pool"/>
              <w:tabs>
                <w:tab w:val="clear" w:pos="1247"/>
                <w:tab w:val="clear" w:pos="1814"/>
                <w:tab w:val="clear" w:pos="2381"/>
                <w:tab w:val="clear" w:pos="2948"/>
                <w:tab w:val="clear" w:pos="3515"/>
                <w:tab w:val="clear" w:pos="4082"/>
                <w:tab w:val="left" w:pos="624"/>
              </w:tabs>
              <w:spacing w:before="520" w:after="0"/>
            </w:pPr>
          </w:p>
        </w:tc>
        <w:tc>
          <w:tcPr>
            <w:tcW w:w="1942" w:type="dxa"/>
          </w:tcPr>
          <w:p w14:paraId="052B4093" w14:textId="77777777" w:rsidR="0046040E" w:rsidRDefault="0046040E" w:rsidP="0046040E">
            <w:pPr>
              <w:pStyle w:val="Normal-pool"/>
              <w:tabs>
                <w:tab w:val="clear" w:pos="1247"/>
                <w:tab w:val="clear" w:pos="1814"/>
                <w:tab w:val="clear" w:pos="2381"/>
                <w:tab w:val="clear" w:pos="2948"/>
                <w:tab w:val="clear" w:pos="3515"/>
                <w:tab w:val="clear" w:pos="4082"/>
                <w:tab w:val="left" w:pos="624"/>
              </w:tabs>
              <w:spacing w:before="520" w:after="0"/>
            </w:pPr>
          </w:p>
        </w:tc>
        <w:tc>
          <w:tcPr>
            <w:tcW w:w="1942" w:type="dxa"/>
            <w:tcBorders>
              <w:bottom w:val="single" w:sz="4" w:space="0" w:color="auto"/>
            </w:tcBorders>
          </w:tcPr>
          <w:p w14:paraId="6758F82E" w14:textId="77777777" w:rsidR="0046040E" w:rsidRDefault="0046040E" w:rsidP="0046040E">
            <w:pPr>
              <w:pStyle w:val="Normal-pool"/>
              <w:tabs>
                <w:tab w:val="clear" w:pos="1247"/>
                <w:tab w:val="clear" w:pos="1814"/>
                <w:tab w:val="clear" w:pos="2381"/>
                <w:tab w:val="clear" w:pos="2948"/>
                <w:tab w:val="clear" w:pos="3515"/>
                <w:tab w:val="clear" w:pos="4082"/>
                <w:tab w:val="left" w:pos="624"/>
              </w:tabs>
              <w:spacing w:before="520" w:after="0"/>
            </w:pPr>
          </w:p>
        </w:tc>
        <w:tc>
          <w:tcPr>
            <w:tcW w:w="1943" w:type="dxa"/>
          </w:tcPr>
          <w:p w14:paraId="5B35E011" w14:textId="77777777" w:rsidR="0046040E" w:rsidRDefault="0046040E" w:rsidP="0046040E">
            <w:pPr>
              <w:pStyle w:val="Normal-pool"/>
              <w:tabs>
                <w:tab w:val="clear" w:pos="1247"/>
                <w:tab w:val="clear" w:pos="1814"/>
                <w:tab w:val="clear" w:pos="2381"/>
                <w:tab w:val="clear" w:pos="2948"/>
                <w:tab w:val="clear" w:pos="3515"/>
                <w:tab w:val="clear" w:pos="4082"/>
                <w:tab w:val="left" w:pos="624"/>
              </w:tabs>
              <w:spacing w:before="520" w:after="0"/>
            </w:pPr>
          </w:p>
        </w:tc>
        <w:tc>
          <w:tcPr>
            <w:tcW w:w="1943" w:type="dxa"/>
          </w:tcPr>
          <w:p w14:paraId="3CE1C078" w14:textId="77777777" w:rsidR="0046040E" w:rsidRDefault="0046040E" w:rsidP="0046040E">
            <w:pPr>
              <w:pStyle w:val="Normal-pool"/>
              <w:tabs>
                <w:tab w:val="clear" w:pos="1247"/>
                <w:tab w:val="clear" w:pos="1814"/>
                <w:tab w:val="clear" w:pos="2381"/>
                <w:tab w:val="clear" w:pos="2948"/>
                <w:tab w:val="clear" w:pos="3515"/>
                <w:tab w:val="clear" w:pos="4082"/>
                <w:tab w:val="left" w:pos="624"/>
              </w:tabs>
              <w:spacing w:before="520" w:after="0"/>
            </w:pPr>
          </w:p>
        </w:tc>
      </w:tr>
    </w:tbl>
    <w:p w14:paraId="42EB5E1B" w14:textId="77777777" w:rsidR="0046040E" w:rsidRDefault="0046040E" w:rsidP="0046040E">
      <w:pPr>
        <w:pStyle w:val="Normal-pool"/>
      </w:pPr>
    </w:p>
    <w:sectPr w:rsidR="0046040E" w:rsidSect="002D328A">
      <w:headerReference w:type="default" r:id="rId40"/>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8E5F4" w14:textId="77777777" w:rsidR="0034465A" w:rsidRDefault="0034465A">
      <w:r>
        <w:separator/>
      </w:r>
    </w:p>
  </w:endnote>
  <w:endnote w:type="continuationSeparator" w:id="0">
    <w:p w14:paraId="69AFFB11" w14:textId="77777777" w:rsidR="0034465A" w:rsidRDefault="0034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8"/>
        <w:szCs w:val="18"/>
      </w:rPr>
      <w:id w:val="857467019"/>
      <w:docPartObj>
        <w:docPartGallery w:val="Page Numbers (Bottom of Page)"/>
        <w:docPartUnique/>
      </w:docPartObj>
    </w:sdtPr>
    <w:sdtEndPr>
      <w:rPr>
        <w:noProof/>
      </w:rPr>
    </w:sdtEndPr>
    <w:sdtContent>
      <w:p w14:paraId="5BFA29A9" w14:textId="3B2065B5" w:rsidR="002871F4" w:rsidRPr="00FF2689" w:rsidRDefault="002871F4" w:rsidP="00B72B4E">
        <w:pPr>
          <w:pStyle w:val="Normal-pool"/>
          <w:rPr>
            <w:b/>
            <w:sz w:val="18"/>
            <w:szCs w:val="18"/>
          </w:rPr>
        </w:pPr>
        <w:r w:rsidRPr="00FF2689">
          <w:rPr>
            <w:b/>
            <w:sz w:val="18"/>
            <w:szCs w:val="18"/>
          </w:rPr>
          <w:fldChar w:fldCharType="begin"/>
        </w:r>
        <w:r w:rsidRPr="00FF2689">
          <w:rPr>
            <w:b/>
            <w:sz w:val="18"/>
            <w:szCs w:val="18"/>
          </w:rPr>
          <w:instrText xml:space="preserve"> PAGE   \* MERGEFORMAT </w:instrText>
        </w:r>
        <w:r w:rsidRPr="00FF2689">
          <w:rPr>
            <w:b/>
            <w:sz w:val="18"/>
            <w:szCs w:val="18"/>
          </w:rPr>
          <w:fldChar w:fldCharType="separate"/>
        </w:r>
        <w:r w:rsidR="0056619E">
          <w:rPr>
            <w:b/>
            <w:noProof/>
            <w:sz w:val="18"/>
            <w:szCs w:val="18"/>
          </w:rPr>
          <w:t>4</w:t>
        </w:r>
        <w:r w:rsidRPr="00FF2689">
          <w:rPr>
            <w:b/>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461652"/>
      <w:docPartObj>
        <w:docPartGallery w:val="Page Numbers (Bottom of Page)"/>
        <w:docPartUnique/>
      </w:docPartObj>
    </w:sdtPr>
    <w:sdtEndPr>
      <w:rPr>
        <w:b/>
        <w:noProof/>
        <w:sz w:val="18"/>
        <w:szCs w:val="18"/>
      </w:rPr>
    </w:sdtEndPr>
    <w:sdtContent>
      <w:p w14:paraId="24F4AF92" w14:textId="05115486" w:rsidR="002871F4" w:rsidRPr="00FA707B" w:rsidRDefault="002871F4" w:rsidP="00B72B4E">
        <w:pPr>
          <w:pStyle w:val="Normal-pool"/>
          <w:jc w:val="right"/>
          <w:rPr>
            <w:b/>
            <w:sz w:val="18"/>
            <w:szCs w:val="18"/>
          </w:rPr>
        </w:pPr>
        <w:r w:rsidRPr="00FA707B">
          <w:rPr>
            <w:b/>
            <w:sz w:val="18"/>
            <w:szCs w:val="18"/>
          </w:rPr>
          <w:fldChar w:fldCharType="begin"/>
        </w:r>
        <w:r w:rsidRPr="00FA707B">
          <w:rPr>
            <w:b/>
            <w:sz w:val="18"/>
            <w:szCs w:val="18"/>
          </w:rPr>
          <w:instrText xml:space="preserve"> PAGE   \* MERGEFORMAT </w:instrText>
        </w:r>
        <w:r w:rsidRPr="00FA707B">
          <w:rPr>
            <w:b/>
            <w:sz w:val="18"/>
            <w:szCs w:val="18"/>
          </w:rPr>
          <w:fldChar w:fldCharType="separate"/>
        </w:r>
        <w:r w:rsidR="0056619E">
          <w:rPr>
            <w:b/>
            <w:noProof/>
            <w:sz w:val="18"/>
            <w:szCs w:val="18"/>
          </w:rPr>
          <w:t>3</w:t>
        </w:r>
        <w:r w:rsidRPr="00FA707B">
          <w:rPr>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E943D" w14:textId="1A8AEC61" w:rsidR="002871F4" w:rsidRDefault="00A64479" w:rsidP="008925F1">
    <w:pPr>
      <w:pStyle w:val="Normal-pool"/>
      <w:tabs>
        <w:tab w:val="clear" w:pos="1247"/>
        <w:tab w:val="clear" w:pos="1814"/>
        <w:tab w:val="clear" w:pos="2381"/>
        <w:tab w:val="clear" w:pos="2948"/>
        <w:tab w:val="clear" w:pos="3515"/>
        <w:tab w:val="clear" w:pos="4082"/>
        <w:tab w:val="left" w:pos="624"/>
      </w:tabs>
      <w:spacing w:before="60" w:after="120"/>
    </w:pPr>
    <w:r>
      <w:t>K1700626</w:t>
    </w:r>
    <w:r>
      <w:tab/>
      <w:t>03</w:t>
    </w:r>
    <w:r w:rsidR="002871F4">
      <w:t>0</w:t>
    </w:r>
    <w:r>
      <w:t>2</w:t>
    </w:r>
    <w:r w:rsidR="002871F4">
      <w:t>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311A9" w14:textId="2D66FCEC" w:rsidR="002871F4" w:rsidRPr="00FF2689" w:rsidRDefault="002871F4" w:rsidP="000E63B3">
    <w:pPr>
      <w:pStyle w:val="Normal-pool"/>
      <w:rPr>
        <w:b/>
        <w:sz w:val="18"/>
        <w:szCs w:val="18"/>
      </w:rPr>
    </w:pPr>
    <w:r w:rsidRPr="00FF2689">
      <w:rPr>
        <w:b/>
        <w:sz w:val="18"/>
        <w:szCs w:val="18"/>
      </w:rPr>
      <w:fldChar w:fldCharType="begin"/>
    </w:r>
    <w:r w:rsidRPr="00FF2689">
      <w:rPr>
        <w:b/>
        <w:sz w:val="18"/>
        <w:szCs w:val="18"/>
      </w:rPr>
      <w:instrText xml:space="preserve"> PAGE   \* MERGEFORMAT </w:instrText>
    </w:r>
    <w:r w:rsidRPr="00FF2689">
      <w:rPr>
        <w:b/>
        <w:sz w:val="18"/>
        <w:szCs w:val="18"/>
      </w:rPr>
      <w:fldChar w:fldCharType="separate"/>
    </w:r>
    <w:r w:rsidR="0056619E">
      <w:rPr>
        <w:b/>
        <w:noProof/>
        <w:sz w:val="18"/>
        <w:szCs w:val="18"/>
      </w:rPr>
      <w:t>2</w:t>
    </w:r>
    <w:r w:rsidRPr="00FF2689">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852C4" w14:textId="77777777" w:rsidR="002871F4" w:rsidRDefault="002871F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7F448" w14:textId="53E84126" w:rsidR="002871F4" w:rsidRDefault="002871F4"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633952">
      <w:rPr>
        <w:rStyle w:val="PageNumber"/>
        <w:noProof/>
      </w:rPr>
      <w:t>15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494FD" w14:textId="1D4E2CD6" w:rsidR="002871F4" w:rsidRDefault="002871F4">
    <w:pPr>
      <w:pStyle w:val="Footer"/>
    </w:pPr>
    <w:r>
      <w:rPr>
        <w:rStyle w:val="PageNumber"/>
      </w:rPr>
      <w:fldChar w:fldCharType="begin"/>
    </w:r>
    <w:r>
      <w:rPr>
        <w:rStyle w:val="PageNumber"/>
      </w:rPr>
      <w:instrText xml:space="preserve"> PAGE </w:instrText>
    </w:r>
    <w:r>
      <w:rPr>
        <w:rStyle w:val="PageNumber"/>
      </w:rPr>
      <w:fldChar w:fldCharType="separate"/>
    </w:r>
    <w:r w:rsidR="0056619E">
      <w:rPr>
        <w:rStyle w:val="PageNumber"/>
        <w:noProof/>
      </w:rPr>
      <w:t>8</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ABD58" w14:textId="5E9BE0AD" w:rsidR="002871F4" w:rsidRPr="00FF2689" w:rsidRDefault="002871F4" w:rsidP="000E63B3">
    <w:pPr>
      <w:pStyle w:val="Normal-pool"/>
      <w:jc w:val="right"/>
      <w:rPr>
        <w:b/>
        <w:sz w:val="18"/>
        <w:szCs w:val="18"/>
      </w:rPr>
    </w:pPr>
    <w:r w:rsidRPr="00FF2689">
      <w:rPr>
        <w:b/>
        <w:sz w:val="18"/>
        <w:szCs w:val="18"/>
      </w:rPr>
      <w:fldChar w:fldCharType="begin"/>
    </w:r>
    <w:r w:rsidRPr="00FF2689">
      <w:rPr>
        <w:b/>
        <w:sz w:val="18"/>
        <w:szCs w:val="18"/>
      </w:rPr>
      <w:instrText xml:space="preserve"> PAGE   \* MERGEFORMAT </w:instrText>
    </w:r>
    <w:r w:rsidRPr="00FF2689">
      <w:rPr>
        <w:b/>
        <w:sz w:val="18"/>
        <w:szCs w:val="18"/>
      </w:rPr>
      <w:fldChar w:fldCharType="separate"/>
    </w:r>
    <w:r w:rsidR="0056619E">
      <w:rPr>
        <w:b/>
        <w:noProof/>
        <w:sz w:val="18"/>
        <w:szCs w:val="18"/>
      </w:rPr>
      <w:t>7</w:t>
    </w:r>
    <w:r w:rsidRPr="00FF2689">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206AE" w14:textId="77777777" w:rsidR="0034465A" w:rsidRDefault="0034465A" w:rsidP="000E63B3">
      <w:pPr>
        <w:spacing w:before="60" w:after="0" w:line="240" w:lineRule="auto"/>
        <w:ind w:left="624"/>
      </w:pPr>
      <w:r>
        <w:separator/>
      </w:r>
    </w:p>
  </w:footnote>
  <w:footnote w:type="continuationSeparator" w:id="0">
    <w:p w14:paraId="445A6AEF" w14:textId="77777777" w:rsidR="0034465A" w:rsidRDefault="0034465A">
      <w:r>
        <w:continuationSeparator/>
      </w:r>
    </w:p>
  </w:footnote>
  <w:footnote w:id="1">
    <w:p w14:paraId="0BA2ACDA" w14:textId="77777777" w:rsidR="002871F4" w:rsidRPr="007E4308" w:rsidRDefault="002871F4" w:rsidP="008925F1">
      <w:pPr>
        <w:pStyle w:val="FootnoteText"/>
        <w:tabs>
          <w:tab w:val="clear" w:pos="1247"/>
          <w:tab w:val="clear" w:pos="1814"/>
          <w:tab w:val="clear" w:pos="2381"/>
          <w:tab w:val="clear" w:pos="2948"/>
          <w:tab w:val="clear" w:pos="3515"/>
          <w:tab w:val="clear" w:pos="4082"/>
          <w:tab w:val="left" w:pos="624"/>
        </w:tabs>
        <w:rPr>
          <w:szCs w:val="18"/>
          <w:lang w:val="en-US"/>
        </w:rPr>
      </w:pPr>
      <w:r w:rsidRPr="003410FA">
        <w:rPr>
          <w:rStyle w:val="FootnoteReference"/>
          <w:spacing w:val="5"/>
          <w:w w:val="104"/>
          <w:vertAlign w:val="baseline"/>
          <w:lang w:val="en-US"/>
        </w:rPr>
        <w:t>*</w:t>
      </w:r>
      <w:r w:rsidRPr="003410FA">
        <w:rPr>
          <w:szCs w:val="18"/>
          <w:lang w:val="en-US"/>
        </w:rPr>
        <w:t xml:space="preserve"> IPBES/5/1/Rev.1.</w:t>
      </w:r>
    </w:p>
  </w:footnote>
  <w:footnote w:id="2">
    <w:p w14:paraId="7ACDE741" w14:textId="77777777" w:rsidR="002871F4" w:rsidRPr="00A14FB6" w:rsidRDefault="002871F4" w:rsidP="008925F1">
      <w:pPr>
        <w:pStyle w:val="FootnoteText"/>
        <w:rPr>
          <w:kern w:val="18"/>
          <w:lang w:val="en-US"/>
        </w:rPr>
      </w:pPr>
      <w:r w:rsidRPr="008A3959">
        <w:rPr>
          <w:rStyle w:val="FootnoteReference"/>
          <w:kern w:val="18"/>
        </w:rPr>
        <w:footnoteRef/>
      </w:r>
      <w:r w:rsidRPr="00A14FB6">
        <w:rPr>
          <w:kern w:val="18"/>
          <w:lang w:val="en-US"/>
        </w:rPr>
        <w:t xml:space="preserve"> UNEP/CBD/COP/13/INF/31.</w:t>
      </w:r>
    </w:p>
  </w:footnote>
  <w:footnote w:id="3">
    <w:p w14:paraId="482DB46E" w14:textId="77777777" w:rsidR="002871F4" w:rsidRPr="00A14FB6" w:rsidRDefault="002871F4" w:rsidP="008925F1">
      <w:pPr>
        <w:pStyle w:val="FootnoteText"/>
        <w:rPr>
          <w:kern w:val="18"/>
          <w:lang w:val="en-US"/>
        </w:rPr>
      </w:pPr>
      <w:r w:rsidRPr="008A3959">
        <w:rPr>
          <w:rStyle w:val="FootnoteReference"/>
          <w:kern w:val="18"/>
        </w:rPr>
        <w:footnoteRef/>
      </w:r>
      <w:r w:rsidRPr="00A14FB6">
        <w:rPr>
          <w:kern w:val="18"/>
          <w:lang w:val="en-US"/>
        </w:rPr>
        <w:t xml:space="preserve"> www.cbd.int/ccc</w:t>
      </w:r>
    </w:p>
  </w:footnote>
  <w:footnote w:id="4">
    <w:p w14:paraId="1C6FB7B4" w14:textId="77777777" w:rsidR="002871F4" w:rsidRPr="00A14FB6" w:rsidRDefault="002871F4" w:rsidP="008925F1">
      <w:pPr>
        <w:pStyle w:val="FootnoteText"/>
        <w:rPr>
          <w:kern w:val="18"/>
          <w:lang w:val="en-US"/>
        </w:rPr>
      </w:pPr>
      <w:r w:rsidRPr="00087614">
        <w:rPr>
          <w:rStyle w:val="FootnoteReference"/>
          <w:kern w:val="18"/>
        </w:rPr>
        <w:footnoteRef/>
      </w:r>
      <w:r w:rsidRPr="00A14FB6">
        <w:rPr>
          <w:kern w:val="18"/>
          <w:lang w:val="en-US"/>
        </w:rPr>
        <w:t xml:space="preserve"> </w:t>
      </w:r>
      <w:r w:rsidRPr="00A14FB6">
        <w:rPr>
          <w:kern w:val="18"/>
          <w:szCs w:val="22"/>
          <w:lang w:val="en-US"/>
        </w:rPr>
        <w:t>Identified in the Assessment as “biocultural diversity”.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8FC50" w14:textId="77777777" w:rsidR="002871F4" w:rsidRPr="00FF2689" w:rsidRDefault="002871F4">
    <w:pPr>
      <w:pStyle w:val="Header"/>
      <w:rPr>
        <w:szCs w:val="18"/>
      </w:rPr>
    </w:pPr>
    <w:r>
      <w:rPr>
        <w:rFonts w:ascii="Times New Roman" w:eastAsia="Times New Roman" w:hAnsi="Times New Roman"/>
        <w:szCs w:val="18"/>
        <w:lang w:val="en-GB"/>
      </w:rPr>
      <w:t>IPBES/5/INF/1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4A649" w14:textId="77777777" w:rsidR="002871F4" w:rsidRPr="00332730" w:rsidRDefault="002871F4" w:rsidP="00332730">
    <w:pPr>
      <w:pStyle w:val="Header"/>
      <w:jc w:val="right"/>
      <w:rPr>
        <w:szCs w:val="18"/>
      </w:rPr>
    </w:pPr>
    <w:r>
      <w:rPr>
        <w:rFonts w:ascii="Times New Roman" w:eastAsia="Times New Roman" w:hAnsi="Times New Roman"/>
        <w:szCs w:val="18"/>
        <w:lang w:val="en-GB"/>
      </w:rPr>
      <w:t>IPBES/5/INF/1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6F878" w14:textId="77777777" w:rsidR="002871F4" w:rsidRPr="00FF2689" w:rsidRDefault="002871F4" w:rsidP="00B72B4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A0B6A" w14:textId="77777777" w:rsidR="002871F4" w:rsidRPr="00FF2689" w:rsidRDefault="002871F4">
    <w:pPr>
      <w:pStyle w:val="Header"/>
      <w:rPr>
        <w:szCs w:val="18"/>
      </w:rPr>
    </w:pPr>
    <w:r>
      <w:rPr>
        <w:rFonts w:ascii="Times New Roman" w:eastAsia="Times New Roman" w:hAnsi="Times New Roman"/>
        <w:szCs w:val="18"/>
        <w:lang w:val="en-GB"/>
      </w:rPr>
      <w:t>IPBES/5/INF/1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6A602" w14:textId="77777777" w:rsidR="002871F4" w:rsidRPr="00FF2689" w:rsidRDefault="002871F4" w:rsidP="00B72B4E">
    <w:pPr>
      <w:pStyle w:val="Header"/>
      <w:jc w:val="right"/>
      <w:rPr>
        <w:szCs w:val="18"/>
      </w:rPr>
    </w:pPr>
    <w:r>
      <w:rPr>
        <w:rFonts w:ascii="Times New Roman" w:eastAsia="Times New Roman" w:hAnsi="Times New Roman"/>
        <w:szCs w:val="18"/>
        <w:lang w:val="en-GB"/>
      </w:rPr>
      <w:t>IPBES/5/INF/1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ED490" w14:textId="77777777" w:rsidR="002871F4" w:rsidRPr="00FC4BE7" w:rsidRDefault="002871F4" w:rsidP="00B72B4E">
    <w:pPr>
      <w:pStyle w:val="Header"/>
      <w:rPr>
        <w:rFonts w:ascii="Times New Roman" w:eastAsia="Times New Roman" w:hAnsi="Times New Roman"/>
        <w:szCs w:val="18"/>
        <w:lang w:val="en-GB"/>
      </w:rPr>
    </w:pPr>
    <w:r>
      <w:rPr>
        <w:rFonts w:ascii="Times New Roman" w:eastAsia="Times New Roman" w:hAnsi="Times New Roman"/>
        <w:szCs w:val="18"/>
        <w:lang w:val="en-GB"/>
      </w:rPr>
      <w:t>IPBES/5/INF/1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62D71" w14:textId="77777777" w:rsidR="002871F4" w:rsidRPr="002D328A" w:rsidRDefault="002871F4" w:rsidP="002D32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A1993" w14:textId="77777777" w:rsidR="002871F4" w:rsidRDefault="002871F4" w:rsidP="00035EDE">
    <w:pPr>
      <w:pStyle w:val="Header"/>
      <w:jc w:val="right"/>
    </w:pPr>
    <w:r>
      <w:t>UNON/DCS/ELU/TEMPLATE.1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CC42" w14:textId="77777777" w:rsidR="002871F4" w:rsidRPr="002D328A" w:rsidRDefault="002871F4" w:rsidP="002D328A">
    <w:pPr>
      <w:pStyle w:val="Header"/>
      <w:rPr>
        <w:szCs w:val="18"/>
      </w:rPr>
    </w:pPr>
    <w:r>
      <w:rPr>
        <w:rFonts w:ascii="Times New Roman" w:eastAsia="Times New Roman" w:hAnsi="Times New Roman"/>
        <w:szCs w:val="18"/>
        <w:lang w:val="en-GB"/>
      </w:rPr>
      <w:t>IPBES/5/INF/1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B8188" w14:textId="77777777" w:rsidR="002871F4" w:rsidRPr="00FC4BE7" w:rsidRDefault="002871F4" w:rsidP="002D328A">
    <w:pPr>
      <w:pStyle w:val="Header"/>
      <w:jc w:val="right"/>
      <w:rPr>
        <w:rFonts w:ascii="Times New Roman" w:eastAsia="Times New Roman" w:hAnsi="Times New Roman"/>
        <w:szCs w:val="18"/>
        <w:lang w:val="en-GB"/>
      </w:rPr>
    </w:pPr>
    <w:r>
      <w:rPr>
        <w:rFonts w:ascii="Times New Roman" w:eastAsia="Times New Roman" w:hAnsi="Times New Roman"/>
        <w:szCs w:val="18"/>
        <w:lang w:val="en-GB"/>
      </w:rPr>
      <w:t>IPBES/5/INF/1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 w15:restartNumberingAfterBreak="0">
    <w:nsid w:val="515C6ACF"/>
    <w:multiLevelType w:val="hybridMultilevel"/>
    <w:tmpl w:val="9A3A395A"/>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3" w15:restartNumberingAfterBreak="0">
    <w:nsid w:val="52A66A9D"/>
    <w:multiLevelType w:val="multilevel"/>
    <w:tmpl w:val="D6A06838"/>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abstractNumId w:val="0"/>
  </w:num>
  <w:num w:numId="2">
    <w:abstractNumId w:val="1"/>
  </w:num>
  <w:num w:numId="3">
    <w:abstractNumId w:val="3"/>
  </w:num>
  <w:num w:numId="4">
    <w:abstractNumId w:val="3"/>
    <w:lvlOverride w:ilvl="0">
      <w:lvl w:ilvl="0">
        <w:start w:val="1"/>
        <w:numFmt w:val="decimal"/>
        <w:pStyle w:val="Normalnumber"/>
        <w:lvlText w:val="%1."/>
        <w:lvlJc w:val="left"/>
        <w:pPr>
          <w:tabs>
            <w:tab w:val="num" w:pos="1134"/>
          </w:tabs>
          <w:ind w:left="1247" w:firstLine="0"/>
        </w:pPr>
        <w:rPr>
          <w:rFonts w:hint="default"/>
          <w:b w:val="0"/>
        </w:rPr>
      </w:lvl>
    </w:lvlOverride>
    <w:lvlOverride w:ilvl="1">
      <w:lvl w:ilvl="1">
        <w:start w:val="1"/>
        <w:numFmt w:val="lowerLetter"/>
        <w:lvlText w:val="(%2)"/>
        <w:lvlJc w:val="left"/>
        <w:pPr>
          <w:tabs>
            <w:tab w:val="num" w:pos="1134"/>
          </w:tabs>
          <w:ind w:left="1247" w:firstLine="567"/>
        </w:pPr>
        <w:rPr>
          <w:rFonts w:hint="default"/>
        </w:rPr>
      </w:lvl>
    </w:lvlOverride>
    <w:lvlOverride w:ilvl="2">
      <w:lvl w:ilvl="2">
        <w:start w:val="1"/>
        <w:numFmt w:val="lowerRoman"/>
        <w:lvlText w:val="(%3)"/>
        <w:lvlJc w:val="left"/>
        <w:pPr>
          <w:tabs>
            <w:tab w:val="num" w:pos="1134"/>
          </w:tabs>
          <w:ind w:left="2948" w:hanging="567"/>
        </w:pPr>
        <w:rPr>
          <w:rFonts w:hint="default"/>
        </w:rPr>
      </w:lvl>
    </w:lvlOverride>
    <w:lvlOverride w:ilvl="3">
      <w:lvl w:ilvl="3">
        <w:start w:val="1"/>
        <w:numFmt w:val="lowerLetter"/>
        <w:lvlText w:val="%4."/>
        <w:lvlJc w:val="left"/>
        <w:pPr>
          <w:tabs>
            <w:tab w:val="num" w:pos="1134"/>
          </w:tabs>
          <w:ind w:left="3515" w:hanging="567"/>
        </w:pPr>
        <w:rPr>
          <w:rFonts w:hint="default"/>
        </w:rPr>
      </w:lvl>
    </w:lvlOverride>
    <w:lvlOverride w:ilvl="4">
      <w:lvl w:ilvl="4">
        <w:start w:val="1"/>
        <w:numFmt w:val="lowerRoman"/>
        <w:lvlText w:val="%5."/>
        <w:lvlJc w:val="left"/>
        <w:pPr>
          <w:tabs>
            <w:tab w:val="num" w:pos="1134"/>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
    <w:abstractNumId w:val="3"/>
    <w:lvlOverride w:ilvl="0">
      <w:startOverride w:val="1"/>
      <w:lvl w:ilvl="0">
        <w:start w:val="1"/>
        <w:numFmt w:val="decimal"/>
        <w:pStyle w:val="Normalnumber"/>
        <w:lvlText w:val="%1."/>
        <w:lvlJc w:val="left"/>
        <w:pPr>
          <w:tabs>
            <w:tab w:val="num" w:pos="1134"/>
          </w:tabs>
          <w:ind w:left="1247" w:firstLine="0"/>
        </w:pPr>
        <w:rPr>
          <w:rFonts w:hint="default"/>
          <w:b w:val="0"/>
        </w:rPr>
      </w:lvl>
    </w:lvlOverride>
    <w:lvlOverride w:ilvl="1">
      <w:startOverride w:val="1"/>
      <w:lvl w:ilvl="1">
        <w:start w:val="1"/>
        <w:numFmt w:val="lowerLetter"/>
        <w:lvlText w:val="(%2)"/>
        <w:lvlJc w:val="left"/>
        <w:pPr>
          <w:tabs>
            <w:tab w:val="num" w:pos="1134"/>
          </w:tabs>
          <w:ind w:left="1247" w:firstLine="567"/>
        </w:pPr>
        <w:rPr>
          <w:rFonts w:hint="default"/>
          <w:b w:val="0"/>
        </w:rPr>
      </w:lvl>
    </w:lvlOverride>
    <w:lvlOverride w:ilvl="2">
      <w:startOverride w:val="1"/>
      <w:lvl w:ilvl="2">
        <w:start w:val="1"/>
        <w:numFmt w:val="lowerRoman"/>
        <w:lvlText w:val="(%3)"/>
        <w:lvlJc w:val="left"/>
        <w:pPr>
          <w:tabs>
            <w:tab w:val="num" w:pos="1134"/>
          </w:tabs>
          <w:ind w:left="2948" w:hanging="567"/>
        </w:pPr>
        <w:rPr>
          <w:rFonts w:hint="default"/>
        </w:rPr>
      </w:lvl>
    </w:lvlOverride>
    <w:lvlOverride w:ilvl="3">
      <w:startOverride w:val="1"/>
      <w:lvl w:ilvl="3">
        <w:start w:val="1"/>
        <w:numFmt w:val="lowerLetter"/>
        <w:lvlText w:val="%4."/>
        <w:lvlJc w:val="left"/>
        <w:pPr>
          <w:tabs>
            <w:tab w:val="num" w:pos="1134"/>
          </w:tabs>
          <w:ind w:left="3515" w:hanging="567"/>
        </w:pPr>
        <w:rPr>
          <w:rFonts w:hint="default"/>
        </w:rPr>
      </w:lvl>
    </w:lvlOverride>
    <w:lvlOverride w:ilvl="4">
      <w:startOverride w:val="1"/>
      <w:lvl w:ilvl="4">
        <w:start w:val="1"/>
        <w:numFmt w:val="lowerRoman"/>
        <w:lvlText w:val="%5."/>
        <w:lvlJc w:val="left"/>
        <w:pPr>
          <w:tabs>
            <w:tab w:val="num" w:pos="1134"/>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1"/>
  <w:activeWritingStyle w:appName="MSWord" w:lang="en-CA" w:vendorID="64" w:dllVersion="131078" w:nlCheck="1" w:checkStyle="0"/>
  <w:activeWritingStyle w:appName="MSWord" w:lang="fr-CH" w:vendorID="64" w:dllVersion="131078" w:nlCheck="1" w:checkStyle="0"/>
  <w:activeWritingStyle w:appName="MSWord" w:lang="es-ES_tradnl" w:vendorID="64" w:dllVersion="131078" w:nlCheck="1" w:checkStyle="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624"/>
  <w:hyphenationZone w:val="425"/>
  <w:evenAndOddHeaders/>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5F1"/>
    <w:rsid w:val="000149E6"/>
    <w:rsid w:val="000247B0"/>
    <w:rsid w:val="00026997"/>
    <w:rsid w:val="00033E0B"/>
    <w:rsid w:val="00035EDE"/>
    <w:rsid w:val="000509B4"/>
    <w:rsid w:val="0006035B"/>
    <w:rsid w:val="00071886"/>
    <w:rsid w:val="000742BC"/>
    <w:rsid w:val="00082A0C"/>
    <w:rsid w:val="00083504"/>
    <w:rsid w:val="0009640C"/>
    <w:rsid w:val="000B22A2"/>
    <w:rsid w:val="000C2A52"/>
    <w:rsid w:val="000D33C0"/>
    <w:rsid w:val="000D6941"/>
    <w:rsid w:val="000E63B3"/>
    <w:rsid w:val="001202E3"/>
    <w:rsid w:val="00123699"/>
    <w:rsid w:val="0013059D"/>
    <w:rsid w:val="00141A55"/>
    <w:rsid w:val="001446A3"/>
    <w:rsid w:val="00155395"/>
    <w:rsid w:val="00160D74"/>
    <w:rsid w:val="00167D02"/>
    <w:rsid w:val="00181EC8"/>
    <w:rsid w:val="00184349"/>
    <w:rsid w:val="00195F33"/>
    <w:rsid w:val="001B1617"/>
    <w:rsid w:val="001B504B"/>
    <w:rsid w:val="001D3874"/>
    <w:rsid w:val="001D7E75"/>
    <w:rsid w:val="001E56D2"/>
    <w:rsid w:val="001E7D56"/>
    <w:rsid w:val="001F75DE"/>
    <w:rsid w:val="00200D58"/>
    <w:rsid w:val="002013BE"/>
    <w:rsid w:val="0020594D"/>
    <w:rsid w:val="002063A4"/>
    <w:rsid w:val="0021145B"/>
    <w:rsid w:val="00243D36"/>
    <w:rsid w:val="00247707"/>
    <w:rsid w:val="0026018E"/>
    <w:rsid w:val="00286740"/>
    <w:rsid w:val="002871F4"/>
    <w:rsid w:val="002929D8"/>
    <w:rsid w:val="002A237D"/>
    <w:rsid w:val="002A4C53"/>
    <w:rsid w:val="002B0672"/>
    <w:rsid w:val="002B247F"/>
    <w:rsid w:val="002C145D"/>
    <w:rsid w:val="002C2C3E"/>
    <w:rsid w:val="002C533E"/>
    <w:rsid w:val="002D027F"/>
    <w:rsid w:val="002D328A"/>
    <w:rsid w:val="002D7A85"/>
    <w:rsid w:val="002D7B60"/>
    <w:rsid w:val="002F4761"/>
    <w:rsid w:val="002F5C79"/>
    <w:rsid w:val="003019E2"/>
    <w:rsid w:val="0031413F"/>
    <w:rsid w:val="003148BB"/>
    <w:rsid w:val="00317976"/>
    <w:rsid w:val="00332730"/>
    <w:rsid w:val="0034465A"/>
    <w:rsid w:val="00355EA9"/>
    <w:rsid w:val="003578DE"/>
    <w:rsid w:val="00396257"/>
    <w:rsid w:val="00397EB8"/>
    <w:rsid w:val="003A4FD0"/>
    <w:rsid w:val="003A69D1"/>
    <w:rsid w:val="003A7705"/>
    <w:rsid w:val="003A77F1"/>
    <w:rsid w:val="003B1545"/>
    <w:rsid w:val="003C409D"/>
    <w:rsid w:val="003C5BA6"/>
    <w:rsid w:val="003F0E85"/>
    <w:rsid w:val="00410C55"/>
    <w:rsid w:val="00416854"/>
    <w:rsid w:val="00417725"/>
    <w:rsid w:val="004352E7"/>
    <w:rsid w:val="00437F26"/>
    <w:rsid w:val="00444097"/>
    <w:rsid w:val="00445487"/>
    <w:rsid w:val="00454769"/>
    <w:rsid w:val="0046040E"/>
    <w:rsid w:val="00466991"/>
    <w:rsid w:val="0047064C"/>
    <w:rsid w:val="004A42E1"/>
    <w:rsid w:val="004B162C"/>
    <w:rsid w:val="004C3DBE"/>
    <w:rsid w:val="004C5C96"/>
    <w:rsid w:val="004D06A4"/>
    <w:rsid w:val="004F1A81"/>
    <w:rsid w:val="005218D9"/>
    <w:rsid w:val="00536186"/>
    <w:rsid w:val="00544CBB"/>
    <w:rsid w:val="0056619E"/>
    <w:rsid w:val="0057315F"/>
    <w:rsid w:val="00576104"/>
    <w:rsid w:val="005A0EBE"/>
    <w:rsid w:val="005A1C6C"/>
    <w:rsid w:val="005C67C8"/>
    <w:rsid w:val="005D0249"/>
    <w:rsid w:val="005D6E8C"/>
    <w:rsid w:val="005F100C"/>
    <w:rsid w:val="005F68DA"/>
    <w:rsid w:val="0060773B"/>
    <w:rsid w:val="006157B5"/>
    <w:rsid w:val="00626FC6"/>
    <w:rsid w:val="006303B4"/>
    <w:rsid w:val="00633952"/>
    <w:rsid w:val="00633D3D"/>
    <w:rsid w:val="00641703"/>
    <w:rsid w:val="006431A6"/>
    <w:rsid w:val="006459F6"/>
    <w:rsid w:val="006501AD"/>
    <w:rsid w:val="00651BFA"/>
    <w:rsid w:val="00654475"/>
    <w:rsid w:val="00665A4B"/>
    <w:rsid w:val="00692E2A"/>
    <w:rsid w:val="006A76F2"/>
    <w:rsid w:val="006D7EFB"/>
    <w:rsid w:val="006E6672"/>
    <w:rsid w:val="006E6722"/>
    <w:rsid w:val="007027B9"/>
    <w:rsid w:val="00715E88"/>
    <w:rsid w:val="00722C6A"/>
    <w:rsid w:val="007235F0"/>
    <w:rsid w:val="00734CAA"/>
    <w:rsid w:val="0075533C"/>
    <w:rsid w:val="00757581"/>
    <w:rsid w:val="007611A0"/>
    <w:rsid w:val="00796D3F"/>
    <w:rsid w:val="007A1683"/>
    <w:rsid w:val="007A5C12"/>
    <w:rsid w:val="007A7CB0"/>
    <w:rsid w:val="007B68A3"/>
    <w:rsid w:val="007C2541"/>
    <w:rsid w:val="007D66A8"/>
    <w:rsid w:val="007E003F"/>
    <w:rsid w:val="008164F2"/>
    <w:rsid w:val="00821395"/>
    <w:rsid w:val="00830E26"/>
    <w:rsid w:val="00843576"/>
    <w:rsid w:val="00843B64"/>
    <w:rsid w:val="008478FC"/>
    <w:rsid w:val="00867BFF"/>
    <w:rsid w:val="0088480A"/>
    <w:rsid w:val="0088757A"/>
    <w:rsid w:val="008925F1"/>
    <w:rsid w:val="008957DD"/>
    <w:rsid w:val="00897D98"/>
    <w:rsid w:val="008A6DF2"/>
    <w:rsid w:val="008A7807"/>
    <w:rsid w:val="008B4CC9"/>
    <w:rsid w:val="008D7C99"/>
    <w:rsid w:val="008E0FCB"/>
    <w:rsid w:val="0092178C"/>
    <w:rsid w:val="00930B88"/>
    <w:rsid w:val="00940DCC"/>
    <w:rsid w:val="0094179A"/>
    <w:rsid w:val="0094459E"/>
    <w:rsid w:val="00944DBC"/>
    <w:rsid w:val="00950977"/>
    <w:rsid w:val="00951A7B"/>
    <w:rsid w:val="009564A6"/>
    <w:rsid w:val="00967621"/>
    <w:rsid w:val="00967E6A"/>
    <w:rsid w:val="009B4A0F"/>
    <w:rsid w:val="009C11D2"/>
    <w:rsid w:val="009C6C70"/>
    <w:rsid w:val="009D0B63"/>
    <w:rsid w:val="009E307E"/>
    <w:rsid w:val="00A07870"/>
    <w:rsid w:val="00A07F19"/>
    <w:rsid w:val="00A1348D"/>
    <w:rsid w:val="00A232EE"/>
    <w:rsid w:val="00A4175F"/>
    <w:rsid w:val="00A44411"/>
    <w:rsid w:val="00A469FA"/>
    <w:rsid w:val="00A55B01"/>
    <w:rsid w:val="00A56B5B"/>
    <w:rsid w:val="00A603FF"/>
    <w:rsid w:val="00A64479"/>
    <w:rsid w:val="00A657DD"/>
    <w:rsid w:val="00A666A6"/>
    <w:rsid w:val="00A675FD"/>
    <w:rsid w:val="00A72437"/>
    <w:rsid w:val="00A80611"/>
    <w:rsid w:val="00AB5340"/>
    <w:rsid w:val="00AC0A89"/>
    <w:rsid w:val="00AC7C96"/>
    <w:rsid w:val="00AE237D"/>
    <w:rsid w:val="00AE502A"/>
    <w:rsid w:val="00AF7C07"/>
    <w:rsid w:val="00B22C93"/>
    <w:rsid w:val="00B27589"/>
    <w:rsid w:val="00B405B7"/>
    <w:rsid w:val="00B52222"/>
    <w:rsid w:val="00B54FE7"/>
    <w:rsid w:val="00B66901"/>
    <w:rsid w:val="00B71E6D"/>
    <w:rsid w:val="00B72070"/>
    <w:rsid w:val="00B72B4E"/>
    <w:rsid w:val="00B779E1"/>
    <w:rsid w:val="00B91EE1"/>
    <w:rsid w:val="00BA0090"/>
    <w:rsid w:val="00BA1A67"/>
    <w:rsid w:val="00BE5B5F"/>
    <w:rsid w:val="00C26F55"/>
    <w:rsid w:val="00C30C63"/>
    <w:rsid w:val="00C36B8B"/>
    <w:rsid w:val="00C415C1"/>
    <w:rsid w:val="00C47DBF"/>
    <w:rsid w:val="00C552FF"/>
    <w:rsid w:val="00C558DA"/>
    <w:rsid w:val="00C55AF3"/>
    <w:rsid w:val="00C84759"/>
    <w:rsid w:val="00CA6C7F"/>
    <w:rsid w:val="00CC10A6"/>
    <w:rsid w:val="00CD5EB8"/>
    <w:rsid w:val="00CD7044"/>
    <w:rsid w:val="00CE08B9"/>
    <w:rsid w:val="00CE524C"/>
    <w:rsid w:val="00CF141F"/>
    <w:rsid w:val="00CF4777"/>
    <w:rsid w:val="00D067BB"/>
    <w:rsid w:val="00D128DC"/>
    <w:rsid w:val="00D1352A"/>
    <w:rsid w:val="00D169AF"/>
    <w:rsid w:val="00D25249"/>
    <w:rsid w:val="00D44172"/>
    <w:rsid w:val="00D63B8C"/>
    <w:rsid w:val="00D739CC"/>
    <w:rsid w:val="00D8093D"/>
    <w:rsid w:val="00D8108C"/>
    <w:rsid w:val="00D842AE"/>
    <w:rsid w:val="00D9211C"/>
    <w:rsid w:val="00D92DE0"/>
    <w:rsid w:val="00D92FEF"/>
    <w:rsid w:val="00D93A0F"/>
    <w:rsid w:val="00DA1BCA"/>
    <w:rsid w:val="00DC46FF"/>
    <w:rsid w:val="00DC4EE9"/>
    <w:rsid w:val="00DC5254"/>
    <w:rsid w:val="00DD1A4F"/>
    <w:rsid w:val="00DD3107"/>
    <w:rsid w:val="00DD7C2C"/>
    <w:rsid w:val="00E06797"/>
    <w:rsid w:val="00E1265B"/>
    <w:rsid w:val="00E13B48"/>
    <w:rsid w:val="00E1404F"/>
    <w:rsid w:val="00E21C83"/>
    <w:rsid w:val="00E24ADA"/>
    <w:rsid w:val="00E32F59"/>
    <w:rsid w:val="00E46D9A"/>
    <w:rsid w:val="00E565FF"/>
    <w:rsid w:val="00E65388"/>
    <w:rsid w:val="00E85B7D"/>
    <w:rsid w:val="00E9121B"/>
    <w:rsid w:val="00EA0AE2"/>
    <w:rsid w:val="00EA39E5"/>
    <w:rsid w:val="00EC5A46"/>
    <w:rsid w:val="00EC63E2"/>
    <w:rsid w:val="00EF22B3"/>
    <w:rsid w:val="00F03B69"/>
    <w:rsid w:val="00F07A50"/>
    <w:rsid w:val="00F113DA"/>
    <w:rsid w:val="00F37DC8"/>
    <w:rsid w:val="00F439B3"/>
    <w:rsid w:val="00F650C3"/>
    <w:rsid w:val="00F65D85"/>
    <w:rsid w:val="00F8091E"/>
    <w:rsid w:val="00F8615C"/>
    <w:rsid w:val="00F969E5"/>
    <w:rsid w:val="00FA6BB0"/>
    <w:rsid w:val="00FC0855"/>
    <w:rsid w:val="00FD5860"/>
    <w:rsid w:val="00FE352D"/>
    <w:rsid w:val="00FE40EB"/>
    <w:rsid w:val="00FE4D02"/>
    <w:rsid w:val="00FE7D62"/>
    <w:rsid w:val="00FF2D50"/>
    <w:rsid w:val="00FF38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1223EEE"/>
  <w15:docId w15:val="{8AA52E75-B4AA-4CB3-A155-1F8DE20A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925F1"/>
    <w:pPr>
      <w:spacing w:after="200" w:line="276" w:lineRule="auto"/>
    </w:pPr>
    <w:rPr>
      <w:rFonts w:ascii="Calibri" w:eastAsia="MS Mincho" w:hAnsi="Calibri"/>
      <w:sz w:val="22"/>
      <w:szCs w:val="22"/>
    </w:rPr>
  </w:style>
  <w:style w:type="paragraph" w:styleId="Heading1">
    <w:name w:val="heading 1"/>
    <w:basedOn w:val="Normal"/>
    <w:next w:val="Normalnumber"/>
    <w:qFormat/>
    <w:rsid w:val="000D6941"/>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qFormat/>
    <w:rsid w:val="000D6941"/>
    <w:pPr>
      <w:keepNext/>
      <w:spacing w:before="240" w:after="120"/>
      <w:ind w:left="1247" w:hanging="680"/>
      <w:outlineLvl w:val="1"/>
    </w:pPr>
    <w:rPr>
      <w:b/>
      <w:sz w:val="24"/>
      <w:szCs w:val="24"/>
    </w:rPr>
  </w:style>
  <w:style w:type="paragraph" w:styleId="Heading3">
    <w:name w:val="heading 3"/>
    <w:basedOn w:val="Normal"/>
    <w:next w:val="Normalnumbe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E Fußnotenzeichen,(Diplomarbeit FZ),(Diplomarbeit FZ)1,(Diplomarbeit FZ)2,(Diplomarbeit FZ)3,(Diplomarbeit FZ)4,(Diplomarbeit FZ)5,(Diplomarbeit FZ)6,16 Poin"/>
    <w:basedOn w:val="DefaultParagraphFont"/>
    <w:qFormat/>
    <w:rsid w:val="000D6941"/>
    <w:rPr>
      <w:rFonts w:ascii="Times New Roman" w:hAnsi="Times New Roman"/>
      <w:color w:val="auto"/>
      <w:sz w:val="20"/>
      <w:szCs w:val="18"/>
      <w:vertAlign w:val="superscript"/>
    </w:rPr>
  </w:style>
  <w:style w:type="paragraph" w:styleId="FootnoteText">
    <w:name w:val="footnote text"/>
    <w:basedOn w:val="Normalpool"/>
    <w:link w:val="FootnoteTextChar"/>
    <w:uiPriority w:val="99"/>
    <w:rsid w:val="000D6941"/>
    <w:pPr>
      <w:spacing w:before="20" w:after="40"/>
      <w:ind w:left="1247"/>
    </w:pPr>
    <w:rPr>
      <w:sz w:val="18"/>
    </w:rPr>
  </w:style>
  <w:style w:type="character" w:customStyle="1" w:styleId="NormalnumberChar">
    <w:name w:val="Normal_number Char"/>
    <w:link w:val="Normalnumber"/>
    <w:rsid w:val="008925F1"/>
    <w:rPr>
      <w:lang w:val="en-GB"/>
    </w:rPr>
  </w:style>
  <w:style w:type="character" w:customStyle="1" w:styleId="CH2Char">
    <w:name w:val="CH2 Char"/>
    <w:link w:val="CH2"/>
    <w:rsid w:val="008925F1"/>
    <w:rPr>
      <w:b/>
      <w:sz w:val="24"/>
      <w:szCs w:val="24"/>
      <w:lang w:val="en-GB"/>
    </w:rPr>
  </w:style>
  <w:style w:type="paragraph" w:styleId="Title">
    <w:name w:val="Title"/>
    <w:basedOn w:val="BBTitle"/>
    <w:next w:val="Normal"/>
    <w:link w:val="TitleChar"/>
    <w:qFormat/>
    <w:rsid w:val="008925F1"/>
    <w:pPr>
      <w:tabs>
        <w:tab w:val="clear" w:pos="4082"/>
      </w:tabs>
    </w:pPr>
    <w:rPr>
      <w:lang w:val="en-US"/>
    </w:rPr>
  </w:style>
  <w:style w:type="character" w:customStyle="1" w:styleId="TitleChar">
    <w:name w:val="Title Char"/>
    <w:basedOn w:val="DefaultParagraphFont"/>
    <w:link w:val="Title"/>
    <w:rsid w:val="008925F1"/>
    <w:rPr>
      <w:b/>
      <w:sz w:val="28"/>
      <w:szCs w:val="28"/>
    </w:rPr>
  </w:style>
  <w:style w:type="character" w:customStyle="1" w:styleId="Normal-poolChar">
    <w:name w:val="Normal-pool Char"/>
    <w:link w:val="Normal-pool"/>
    <w:rsid w:val="008925F1"/>
    <w:rPr>
      <w:lang w:val="en-GB"/>
    </w:rPr>
  </w:style>
  <w:style w:type="character" w:customStyle="1" w:styleId="HeaderChar">
    <w:name w:val="Header Char"/>
    <w:link w:val="Header"/>
    <w:uiPriority w:val="99"/>
    <w:rsid w:val="008925F1"/>
    <w:rPr>
      <w:b/>
      <w:sz w:val="18"/>
      <w:lang w:val="fr-FR"/>
    </w:rPr>
  </w:style>
  <w:style w:type="paragraph" w:styleId="ListParagraph">
    <w:name w:val="List Paragraph"/>
    <w:basedOn w:val="Normal"/>
    <w:link w:val="ListParagraphChar"/>
    <w:uiPriority w:val="34"/>
    <w:qFormat/>
    <w:rsid w:val="008925F1"/>
    <w:pPr>
      <w:spacing w:after="0" w:line="240" w:lineRule="auto"/>
      <w:ind w:left="720"/>
      <w:contextualSpacing/>
    </w:pPr>
    <w:rPr>
      <w:rFonts w:ascii="Times New Roman" w:hAnsi="Times New Roman"/>
      <w:sz w:val="20"/>
      <w:szCs w:val="20"/>
      <w:lang w:val="en-GB"/>
    </w:rPr>
  </w:style>
  <w:style w:type="character" w:customStyle="1" w:styleId="ListParagraphChar">
    <w:name w:val="List Paragraph Char"/>
    <w:link w:val="ListParagraph"/>
    <w:uiPriority w:val="34"/>
    <w:rsid w:val="008925F1"/>
    <w:rPr>
      <w:rFonts w:eastAsia="MS Mincho"/>
      <w:lang w:val="en-GB"/>
    </w:rPr>
  </w:style>
  <w:style w:type="character" w:customStyle="1" w:styleId="FootnoteTextChar">
    <w:name w:val="Footnote Text Char"/>
    <w:link w:val="FootnoteText"/>
    <w:uiPriority w:val="99"/>
    <w:rsid w:val="008925F1"/>
    <w:rPr>
      <w:sz w:val="18"/>
      <w:lang w:val="fr-FR"/>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semiHidden/>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3"/>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qFormat/>
    <w:rsid w:val="00160D74"/>
    <w:pPr>
      <w:numPr>
        <w:numId w:val="4"/>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rsid w:val="00723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35F0"/>
    <w:rPr>
      <w:rFonts w:ascii="Tahoma" w:eastAsia="MS Mincho" w:hAnsi="Tahoma" w:cs="Tahoma"/>
      <w:sz w:val="16"/>
      <w:szCs w:val="16"/>
    </w:rPr>
  </w:style>
  <w:style w:type="character" w:styleId="CommentReference">
    <w:name w:val="annotation reference"/>
    <w:basedOn w:val="DefaultParagraphFont"/>
    <w:rsid w:val="00FF2D50"/>
    <w:rPr>
      <w:sz w:val="16"/>
      <w:szCs w:val="16"/>
    </w:rPr>
  </w:style>
  <w:style w:type="paragraph" w:styleId="CommentText">
    <w:name w:val="annotation text"/>
    <w:basedOn w:val="Normal"/>
    <w:link w:val="CommentTextChar"/>
    <w:rsid w:val="00FF2D50"/>
    <w:pPr>
      <w:spacing w:line="240" w:lineRule="auto"/>
    </w:pPr>
    <w:rPr>
      <w:sz w:val="20"/>
      <w:szCs w:val="20"/>
    </w:rPr>
  </w:style>
  <w:style w:type="character" w:customStyle="1" w:styleId="CommentTextChar">
    <w:name w:val="Comment Text Char"/>
    <w:basedOn w:val="DefaultParagraphFont"/>
    <w:link w:val="CommentText"/>
    <w:rsid w:val="00FF2D50"/>
    <w:rPr>
      <w:rFonts w:ascii="Calibri" w:eastAsia="MS Mincho" w:hAnsi="Calibri"/>
    </w:rPr>
  </w:style>
  <w:style w:type="paragraph" w:styleId="CommentSubject">
    <w:name w:val="annotation subject"/>
    <w:basedOn w:val="CommentText"/>
    <w:next w:val="CommentText"/>
    <w:link w:val="CommentSubjectChar"/>
    <w:rsid w:val="00FF2D50"/>
    <w:rPr>
      <w:b/>
      <w:bCs/>
    </w:rPr>
  </w:style>
  <w:style w:type="character" w:customStyle="1" w:styleId="CommentSubjectChar">
    <w:name w:val="Comment Subject Char"/>
    <w:basedOn w:val="CommentTextChar"/>
    <w:link w:val="CommentSubject"/>
    <w:rsid w:val="00FF2D50"/>
    <w:rPr>
      <w:rFonts w:ascii="Calibri" w:eastAsia="MS Mincho" w:hAnsi="Calibri"/>
      <w:b/>
      <w:bCs/>
    </w:rPr>
  </w:style>
  <w:style w:type="character" w:styleId="Emphasis">
    <w:name w:val="Emphasis"/>
    <w:basedOn w:val="DefaultParagraphFont"/>
    <w:qFormat/>
    <w:rsid w:val="005661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13.emf"/><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oleObject" Target="embeddings/oleObject1.bin"/><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11.emf"/><Relationship Id="rId10" Type="http://schemas.openxmlformats.org/officeDocument/2006/relationships/image" Target="media/image3.jpeg"/><Relationship Id="rId19" Type="http://schemas.openxmlformats.org/officeDocument/2006/relationships/hyperlink" Target="http://www.promotepollinators.org"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image" Target="media/image10.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F3B5C-0A3F-45D2-B4B0-227354DD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4850</Words>
  <Characters>27647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Sarah Banda-Genchev</cp:lastModifiedBy>
  <cp:revision>2</cp:revision>
  <cp:lastPrinted>2010-07-07T11:56:00Z</cp:lastPrinted>
  <dcterms:created xsi:type="dcterms:W3CDTF">2017-02-03T09:24:00Z</dcterms:created>
  <dcterms:modified xsi:type="dcterms:W3CDTF">2017-02-03T09:24:00Z</dcterms:modified>
</cp:coreProperties>
</file>