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801DEB" w:rsidRPr="0081483A" w14:paraId="2823A7F5" w14:textId="77777777" w:rsidTr="00597195">
        <w:trPr>
          <w:cantSplit/>
          <w:trHeight w:val="1079"/>
          <w:jc w:val="right"/>
        </w:trPr>
        <w:tc>
          <w:tcPr>
            <w:tcW w:w="1545" w:type="dxa"/>
          </w:tcPr>
          <w:p w14:paraId="49515AEA" w14:textId="77777777" w:rsidR="00801DEB" w:rsidRPr="0081483A" w:rsidRDefault="00801DEB" w:rsidP="00597195">
            <w:pPr>
              <w:keepNext/>
              <w:spacing w:before="40"/>
              <w:outlineLvl w:val="1"/>
              <w:rPr>
                <w:sz w:val="27"/>
                <w:szCs w:val="27"/>
              </w:rPr>
            </w:pPr>
            <w:bookmarkStart w:id="0" w:name="_GoBack"/>
            <w:bookmarkEnd w:id="0"/>
            <w:r w:rsidRPr="0081483A">
              <w:rPr>
                <w:rFonts w:ascii="Arial" w:hAnsi="Arial" w:cs="Arial"/>
                <w:b/>
                <w:noProof/>
                <w:sz w:val="27"/>
                <w:szCs w:val="27"/>
              </w:rPr>
              <w:t xml:space="preserve">UNITED </w:t>
            </w:r>
            <w:r w:rsidRPr="0081483A">
              <w:rPr>
                <w:rFonts w:ascii="Arial" w:hAnsi="Arial" w:cs="Arial"/>
                <w:b/>
                <w:noProof/>
                <w:sz w:val="27"/>
                <w:szCs w:val="27"/>
              </w:rPr>
              <w:br/>
              <w:t>NATIONS</w:t>
            </w:r>
          </w:p>
        </w:tc>
        <w:tc>
          <w:tcPr>
            <w:tcW w:w="1004" w:type="dxa"/>
            <w:gridSpan w:val="2"/>
            <w:tcBorders>
              <w:left w:val="nil"/>
            </w:tcBorders>
            <w:vAlign w:val="center"/>
          </w:tcPr>
          <w:p w14:paraId="5119ADDB" w14:textId="77777777" w:rsidR="00801DEB" w:rsidRPr="0081483A" w:rsidRDefault="00801DEB" w:rsidP="00597195">
            <w:pPr>
              <w:ind w:left="-108"/>
              <w:jc w:val="center"/>
            </w:pPr>
            <w:r>
              <w:rPr>
                <w:noProof/>
                <w:lang w:val="en-US"/>
              </w:rPr>
              <w:drawing>
                <wp:inline distT="0" distB="0" distL="0" distR="0" wp14:anchorId="045A4B45" wp14:editId="17064C64">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612F8525" w14:textId="77777777" w:rsidR="00801DEB" w:rsidRPr="0081483A" w:rsidRDefault="00801DEB" w:rsidP="00597195">
            <w:pPr>
              <w:ind w:left="-108"/>
              <w:jc w:val="center"/>
            </w:pPr>
            <w:r>
              <w:rPr>
                <w:noProof/>
                <w:lang w:val="en-US"/>
              </w:rPr>
              <w:drawing>
                <wp:inline distT="0" distB="0" distL="0" distR="0" wp14:anchorId="67AD6640" wp14:editId="0238A1DC">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7713CD6E" w14:textId="77777777" w:rsidR="00801DEB" w:rsidRPr="0081483A" w:rsidRDefault="00801DEB" w:rsidP="00597195">
            <w:pPr>
              <w:ind w:left="-108"/>
              <w:jc w:val="center"/>
            </w:pPr>
            <w:r>
              <w:rPr>
                <w:noProof/>
                <w:lang w:val="en-US"/>
              </w:rPr>
              <w:drawing>
                <wp:inline distT="0" distB="0" distL="0" distR="0" wp14:anchorId="51A62B05" wp14:editId="6ECD3E33">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DBCF1DE" w14:textId="77777777" w:rsidR="00801DEB" w:rsidRPr="0081483A" w:rsidRDefault="00801DEB" w:rsidP="00597195">
            <w:pPr>
              <w:ind w:left="-108"/>
            </w:pPr>
            <w:r>
              <w:rPr>
                <w:noProof/>
                <w:lang w:val="en-US"/>
              </w:rPr>
              <w:drawing>
                <wp:inline distT="0" distB="0" distL="0" distR="0" wp14:anchorId="52D82423" wp14:editId="48EF2510">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6497A3B1" w14:textId="77777777" w:rsidR="00801DEB" w:rsidRPr="0081483A" w:rsidRDefault="00801DEB" w:rsidP="00597195">
            <w:pPr>
              <w:jc w:val="center"/>
            </w:pPr>
            <w:r>
              <w:rPr>
                <w:noProof/>
                <w:lang w:val="en-US"/>
              </w:rPr>
              <w:drawing>
                <wp:inline distT="0" distB="0" distL="0" distR="0" wp14:anchorId="196DA231" wp14:editId="1DF4014D">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286FB989" w14:textId="77777777" w:rsidR="00801DEB" w:rsidRPr="0081483A" w:rsidRDefault="00801DEB" w:rsidP="00597195">
            <w:pPr>
              <w:jc w:val="center"/>
            </w:pPr>
          </w:p>
        </w:tc>
        <w:tc>
          <w:tcPr>
            <w:tcW w:w="1686" w:type="dxa"/>
          </w:tcPr>
          <w:p w14:paraId="612D7663" w14:textId="77777777" w:rsidR="00801DEB" w:rsidRPr="003F1D30" w:rsidRDefault="00801DEB" w:rsidP="00597195">
            <w:pPr>
              <w:keepNext/>
              <w:spacing w:before="40"/>
              <w:jc w:val="right"/>
              <w:outlineLvl w:val="1"/>
              <w:rPr>
                <w:rFonts w:ascii="Arial" w:hAnsi="Arial" w:cs="Arial"/>
                <w:b/>
                <w:sz w:val="64"/>
                <w:szCs w:val="64"/>
              </w:rPr>
            </w:pPr>
            <w:r w:rsidRPr="0081483A">
              <w:rPr>
                <w:rFonts w:ascii="Arial" w:hAnsi="Arial" w:cs="Arial"/>
                <w:b/>
                <w:sz w:val="64"/>
                <w:szCs w:val="64"/>
              </w:rPr>
              <w:t>BES</w:t>
            </w:r>
          </w:p>
        </w:tc>
      </w:tr>
      <w:tr w:rsidR="00801DEB" w:rsidRPr="0081483A" w14:paraId="2D745166" w14:textId="77777777" w:rsidTr="00597195">
        <w:trPr>
          <w:cantSplit/>
          <w:trHeight w:val="282"/>
          <w:jc w:val="right"/>
        </w:trPr>
        <w:tc>
          <w:tcPr>
            <w:tcW w:w="1545" w:type="dxa"/>
            <w:tcBorders>
              <w:bottom w:val="single" w:sz="2" w:space="0" w:color="auto"/>
            </w:tcBorders>
          </w:tcPr>
          <w:p w14:paraId="7AEF1C5F" w14:textId="77777777" w:rsidR="00801DEB" w:rsidRPr="0081483A" w:rsidRDefault="00801DEB" w:rsidP="00597195">
            <w:pPr>
              <w:rPr>
                <w:noProof/>
              </w:rPr>
            </w:pPr>
          </w:p>
        </w:tc>
        <w:tc>
          <w:tcPr>
            <w:tcW w:w="6025" w:type="dxa"/>
            <w:gridSpan w:val="6"/>
            <w:tcBorders>
              <w:bottom w:val="single" w:sz="2" w:space="0" w:color="auto"/>
            </w:tcBorders>
          </w:tcPr>
          <w:p w14:paraId="42205575" w14:textId="77777777" w:rsidR="00801DEB" w:rsidRPr="00EA5E72" w:rsidRDefault="00801DEB" w:rsidP="00597195">
            <w:pPr>
              <w:rPr>
                <w:rFonts w:eastAsia="Times New Roman"/>
                <w:b/>
                <w:sz w:val="24"/>
                <w:szCs w:val="24"/>
              </w:rPr>
            </w:pPr>
          </w:p>
        </w:tc>
        <w:tc>
          <w:tcPr>
            <w:tcW w:w="2260" w:type="dxa"/>
            <w:gridSpan w:val="2"/>
            <w:tcBorders>
              <w:bottom w:val="single" w:sz="2" w:space="0" w:color="auto"/>
            </w:tcBorders>
          </w:tcPr>
          <w:p w14:paraId="6D7B4789" w14:textId="77777777" w:rsidR="00801DEB" w:rsidRPr="00EA5E72" w:rsidRDefault="00801DEB" w:rsidP="001E75C2">
            <w:pPr>
              <w:rPr>
                <w:b/>
                <w:sz w:val="24"/>
                <w:szCs w:val="24"/>
              </w:rPr>
            </w:pPr>
            <w:r w:rsidRPr="00EF4249">
              <w:rPr>
                <w:rFonts w:eastAsia="Times New Roman"/>
                <w:b/>
                <w:sz w:val="24"/>
                <w:szCs w:val="24"/>
              </w:rPr>
              <w:t>IPBES</w:t>
            </w:r>
            <w:r w:rsidRPr="00EF4249">
              <w:rPr>
                <w:rFonts w:eastAsia="Times New Roman"/>
              </w:rPr>
              <w:t>/5/1</w:t>
            </w:r>
            <w:r w:rsidR="001E75C2">
              <w:rPr>
                <w:rFonts w:eastAsia="Times New Roman"/>
              </w:rPr>
              <w:t>3</w:t>
            </w:r>
          </w:p>
        </w:tc>
      </w:tr>
      <w:tr w:rsidR="00801DEB" w:rsidRPr="0081483A" w14:paraId="1A17D33B" w14:textId="77777777" w:rsidTr="00597195">
        <w:trPr>
          <w:cantSplit/>
          <w:trHeight w:val="1433"/>
          <w:jc w:val="right"/>
        </w:trPr>
        <w:tc>
          <w:tcPr>
            <w:tcW w:w="2034" w:type="dxa"/>
            <w:gridSpan w:val="2"/>
            <w:tcBorders>
              <w:top w:val="single" w:sz="2" w:space="0" w:color="auto"/>
              <w:bottom w:val="single" w:sz="24" w:space="0" w:color="auto"/>
            </w:tcBorders>
          </w:tcPr>
          <w:p w14:paraId="62638EFE" w14:textId="77777777" w:rsidR="00801DEB" w:rsidRPr="0081483A" w:rsidRDefault="00801DEB" w:rsidP="00597195">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34E2B619" wp14:editId="7870AFBA">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2071976B" w14:textId="6479F5C0" w:rsidR="00801DEB" w:rsidRPr="007D6AB9" w:rsidRDefault="00801DEB" w:rsidP="008A7F00">
            <w:pPr>
              <w:tabs>
                <w:tab w:val="left" w:pos="1247"/>
                <w:tab w:val="left" w:pos="1814"/>
                <w:tab w:val="left" w:pos="2381"/>
                <w:tab w:val="left" w:pos="2948"/>
                <w:tab w:val="left" w:pos="3515"/>
              </w:tabs>
              <w:spacing w:before="120" w:after="120"/>
              <w:rPr>
                <w:rFonts w:eastAsia="Times New Roman"/>
              </w:rPr>
            </w:pPr>
            <w:r w:rsidRPr="007D6AB9">
              <w:rPr>
                <w:rFonts w:ascii="Arial" w:hAnsi="Arial" w:cs="Arial"/>
                <w:b/>
                <w:sz w:val="28"/>
                <w:szCs w:val="28"/>
              </w:rPr>
              <w:t>Intergovernmental Science-Policy Platform on Biodiversity and Ecosystem Services</w:t>
            </w:r>
            <w:r w:rsidR="002E0181">
              <w:rPr>
                <w:rFonts w:ascii="Arial" w:hAnsi="Arial" w:cs="Arial"/>
                <w:b/>
                <w:sz w:val="28"/>
                <w:szCs w:val="28"/>
              </w:rPr>
              <w:t xml:space="preserve"> </w:t>
            </w:r>
          </w:p>
        </w:tc>
        <w:tc>
          <w:tcPr>
            <w:tcW w:w="2260" w:type="dxa"/>
            <w:gridSpan w:val="2"/>
            <w:tcBorders>
              <w:top w:val="single" w:sz="2" w:space="0" w:color="auto"/>
              <w:bottom w:val="single" w:sz="24" w:space="0" w:color="auto"/>
            </w:tcBorders>
          </w:tcPr>
          <w:p w14:paraId="40CAA1FD" w14:textId="32891833" w:rsidR="00801DEB" w:rsidRPr="007D6AB9" w:rsidRDefault="00801DEB" w:rsidP="00597195">
            <w:pPr>
              <w:tabs>
                <w:tab w:val="left" w:pos="1247"/>
                <w:tab w:val="left" w:pos="1814"/>
                <w:tab w:val="left" w:pos="2381"/>
                <w:tab w:val="left" w:pos="2948"/>
                <w:tab w:val="left" w:pos="3515"/>
              </w:tabs>
              <w:spacing w:before="120" w:after="120"/>
              <w:rPr>
                <w:rFonts w:eastAsia="Times New Roman"/>
              </w:rPr>
            </w:pPr>
            <w:r w:rsidRPr="007D6AB9">
              <w:rPr>
                <w:rFonts w:eastAsia="Times New Roman"/>
              </w:rPr>
              <w:t>Distr.: General</w:t>
            </w:r>
            <w:r w:rsidRPr="007D6AB9">
              <w:rPr>
                <w:rFonts w:eastAsia="Times New Roman"/>
              </w:rPr>
              <w:br/>
            </w:r>
            <w:r w:rsidR="001E75C2" w:rsidRPr="008D6675">
              <w:rPr>
                <w:rFonts w:eastAsia="Times New Roman"/>
              </w:rPr>
              <w:t xml:space="preserve">16 </w:t>
            </w:r>
            <w:r>
              <w:rPr>
                <w:rFonts w:eastAsia="Times New Roman"/>
              </w:rPr>
              <w:t xml:space="preserve">December </w:t>
            </w:r>
            <w:r w:rsidRPr="007D6AB9">
              <w:rPr>
                <w:rFonts w:eastAsia="Times New Roman"/>
              </w:rPr>
              <w:t>2016</w:t>
            </w:r>
          </w:p>
          <w:p w14:paraId="38B530A4" w14:textId="77777777" w:rsidR="00801DEB" w:rsidRPr="007D6AB9" w:rsidRDefault="00801DEB" w:rsidP="00597195">
            <w:pPr>
              <w:tabs>
                <w:tab w:val="left" w:pos="1247"/>
                <w:tab w:val="left" w:pos="1814"/>
                <w:tab w:val="left" w:pos="2381"/>
                <w:tab w:val="left" w:pos="2948"/>
                <w:tab w:val="left" w:pos="3515"/>
              </w:tabs>
              <w:spacing w:before="120" w:after="120"/>
            </w:pPr>
            <w:r w:rsidRPr="007D6AB9">
              <w:rPr>
                <w:rFonts w:eastAsia="Times New Roman"/>
              </w:rPr>
              <w:t>Original: English</w:t>
            </w:r>
          </w:p>
        </w:tc>
      </w:tr>
    </w:tbl>
    <w:p w14:paraId="257623C2" w14:textId="645B132F" w:rsidR="00801DEB" w:rsidRDefault="00801DEB" w:rsidP="00801DEB">
      <w:pPr>
        <w:pStyle w:val="AgendaItemTitle"/>
      </w:pPr>
      <w:r>
        <w:t>Plenary of the Intergovernmental Science-Policy</w:t>
      </w:r>
      <w:r w:rsidR="00982EF8">
        <w:t xml:space="preserve"> </w:t>
      </w:r>
      <w:r w:rsidR="00982EF8">
        <w:br/>
      </w:r>
      <w:r>
        <w:t>Platform on Biodiversity and Ecosystem Services</w:t>
      </w:r>
    </w:p>
    <w:p w14:paraId="40468B1D" w14:textId="77777777" w:rsidR="00801DEB" w:rsidRPr="00982EF8" w:rsidRDefault="00801DEB" w:rsidP="00801DEB">
      <w:pPr>
        <w:pStyle w:val="AgendaItemTitle"/>
      </w:pPr>
      <w:r w:rsidRPr="00982EF8">
        <w:t>Fifth session</w:t>
      </w:r>
    </w:p>
    <w:p w14:paraId="6D53B5DE" w14:textId="77777777" w:rsidR="00801DEB" w:rsidRPr="00F9521B" w:rsidRDefault="00801DEB" w:rsidP="00801DEB">
      <w:pPr>
        <w:pStyle w:val="AgendaItemTitle"/>
        <w:rPr>
          <w:b w:val="0"/>
        </w:rPr>
      </w:pPr>
      <w:r w:rsidRPr="00F9521B">
        <w:rPr>
          <w:b w:val="0"/>
        </w:rPr>
        <w:t>Bonn, Germany, 7–10 March 2017</w:t>
      </w:r>
    </w:p>
    <w:p w14:paraId="3F74F9CA" w14:textId="3BF608EC" w:rsidR="001E75C2" w:rsidRPr="00C57816" w:rsidRDefault="001E75C2" w:rsidP="00C57816">
      <w:pPr>
        <w:rPr>
          <w:rFonts w:eastAsia="Times New Roman"/>
          <w:sz w:val="24"/>
          <w:szCs w:val="24"/>
          <w:lang w:eastAsia="en-GB"/>
        </w:rPr>
      </w:pPr>
      <w:r>
        <w:t>Item 2</w:t>
      </w:r>
      <w:r w:rsidR="001F5466">
        <w:t xml:space="preserve"> (c) </w:t>
      </w:r>
      <w:r>
        <w:t>of the provisional agenda</w:t>
      </w:r>
      <w:r w:rsidR="00C57816">
        <w:rPr>
          <w:bCs/>
          <w:spacing w:val="4"/>
          <w:w w:val="103"/>
        </w:rPr>
        <w:footnoteReference w:customMarkFollows="1" w:id="1"/>
        <w:t>*</w:t>
      </w:r>
    </w:p>
    <w:p w14:paraId="059F82D8" w14:textId="306A8750" w:rsidR="001E75C2" w:rsidRPr="005B516B" w:rsidRDefault="001E75C2" w:rsidP="00CD1AD5">
      <w:pPr>
        <w:pStyle w:val="AATitle2"/>
        <w:rPr>
          <w:lang w:val="en-US"/>
        </w:rPr>
      </w:pPr>
      <w:r>
        <w:t>Organizational matters</w:t>
      </w:r>
      <w:r w:rsidR="006C7A27">
        <w:t>: election of alternate members of the Multidisciplinary Expert Panel</w:t>
      </w:r>
    </w:p>
    <w:p w14:paraId="536B3E62" w14:textId="5D7E0A48" w:rsidR="001E75C2" w:rsidRDefault="001E75C2" w:rsidP="002559A2">
      <w:pPr>
        <w:pStyle w:val="BBTitle"/>
      </w:pPr>
      <w:r w:rsidRPr="00382856">
        <w:t xml:space="preserve">Multidisciplinary </w:t>
      </w:r>
      <w:r w:rsidRPr="002559A2">
        <w:t>Expert</w:t>
      </w:r>
      <w:r w:rsidRPr="00382856">
        <w:t xml:space="preserve"> Panel: </w:t>
      </w:r>
      <w:r w:rsidR="00C37FF3">
        <w:t>n</w:t>
      </w:r>
      <w:r w:rsidRPr="00382856">
        <w:t>ominations for the replacement of members having resigned</w:t>
      </w:r>
    </w:p>
    <w:p w14:paraId="54450BFE" w14:textId="77777777" w:rsidR="001E75C2" w:rsidRPr="0098071E" w:rsidRDefault="002559A2" w:rsidP="002559A2">
      <w:pPr>
        <w:pStyle w:val="CH2"/>
      </w:pPr>
      <w:r>
        <w:tab/>
      </w:r>
      <w:r>
        <w:tab/>
      </w:r>
      <w:r w:rsidR="001E75C2">
        <w:t>Note by the secretariat</w:t>
      </w:r>
    </w:p>
    <w:p w14:paraId="77E9F9AB" w14:textId="36D5C58E" w:rsidR="001E75C2" w:rsidRPr="0071418F" w:rsidRDefault="00C37FF3" w:rsidP="007533DB">
      <w:pPr>
        <w:pStyle w:val="Normalnumber"/>
        <w:numPr>
          <w:ilvl w:val="0"/>
          <w:numId w:val="5"/>
        </w:numPr>
        <w:tabs>
          <w:tab w:val="clear" w:pos="567"/>
        </w:tabs>
      </w:pPr>
      <w:r>
        <w:t>At its third session, t</w:t>
      </w:r>
      <w:r w:rsidR="001E75C2" w:rsidRPr="0083580A">
        <w:t>h</w:t>
      </w:r>
      <w:r w:rsidR="001E75C2">
        <w:t>e Plenary</w:t>
      </w:r>
      <w:r>
        <w:t xml:space="preserve"> of the Intergovernmental Science-Policy Platform on Biodiversity and Ecosystem Services</w:t>
      </w:r>
      <w:r w:rsidR="001C3C93">
        <w:t xml:space="preserve"> (IPBES)</w:t>
      </w:r>
      <w:r w:rsidR="001E75C2">
        <w:t xml:space="preserve"> elected 25 members to the Multidisciplinary Expert Panel in accordance with the rules of procedure for the Plenary as </w:t>
      </w:r>
      <w:r w:rsidR="001E75C2" w:rsidRPr="0071418F">
        <w:t>adopted in decisions IPBES-1/1 and IPBES-2/1. The term of office of th</w:t>
      </w:r>
      <w:r w:rsidR="00E0156D" w:rsidRPr="0071418F">
        <w:t>o</w:t>
      </w:r>
      <w:r w:rsidR="001E75C2" w:rsidRPr="0071418F">
        <w:t xml:space="preserve">se members will end at the close of the sixth session of the Plenary. </w:t>
      </w:r>
    </w:p>
    <w:p w14:paraId="661C12A0" w14:textId="2377F2BA" w:rsidR="001E75C2" w:rsidRDefault="001E75C2" w:rsidP="005B516B">
      <w:pPr>
        <w:pStyle w:val="Normalnumber"/>
        <w:numPr>
          <w:ilvl w:val="0"/>
          <w:numId w:val="5"/>
        </w:numPr>
        <w:tabs>
          <w:tab w:val="clear" w:pos="567"/>
        </w:tabs>
      </w:pPr>
      <w:r w:rsidRPr="0071418F">
        <w:t>Since the fourth session of the Plenary, four members of the Multidisciplinary Expert Panel</w:t>
      </w:r>
      <w:r w:rsidR="00CD1AD5">
        <w:t xml:space="preserve"> have resigned: </w:t>
      </w:r>
      <w:r w:rsidRPr="0071418F">
        <w:t>Ms. Sandra Diaz (Latin American and Caribbean region), Ms. Maja Vasilijevi</w:t>
      </w:r>
      <w:r w:rsidR="00597195">
        <w:t>ć</w:t>
      </w:r>
      <w:r w:rsidRPr="00C678E4">
        <w:t xml:space="preserve"> and Mr.</w:t>
      </w:r>
      <w:r w:rsidR="005B516B">
        <w:t> </w:t>
      </w:r>
      <w:r w:rsidRPr="00C678E4">
        <w:t xml:space="preserve">György Pataki (both Eastern European region) and Ms. Charlotte Karibuhoye (African </w:t>
      </w:r>
      <w:r w:rsidRPr="0071418F">
        <w:t>region). Rule 31 of the rules of procedure stipulates that if a member of the Panel res</w:t>
      </w:r>
      <w:r w:rsidRPr="00E0156D">
        <w:t>igns or is otherwise unable to complete</w:t>
      </w:r>
      <w:r>
        <w:t xml:space="preserve"> the assigned term of office or to perform the functions of that office, that member will be replaced by an alternate nominated by the same region and selected by the Plenary.</w:t>
      </w:r>
    </w:p>
    <w:p w14:paraId="6F07500B" w14:textId="77777777" w:rsidR="00835C31" w:rsidRDefault="001E75C2" w:rsidP="007533DB">
      <w:pPr>
        <w:pStyle w:val="Normalnumber"/>
        <w:numPr>
          <w:ilvl w:val="0"/>
          <w:numId w:val="5"/>
        </w:numPr>
        <w:tabs>
          <w:tab w:val="clear" w:pos="567"/>
        </w:tabs>
      </w:pPr>
      <w:r>
        <w:t>In line</w:t>
      </w:r>
      <w:r w:rsidRPr="002D6900">
        <w:t xml:space="preserve"> </w:t>
      </w:r>
      <w:r w:rsidRPr="0071418F">
        <w:t xml:space="preserve">with </w:t>
      </w:r>
      <w:r w:rsidRPr="00A532BC">
        <w:t>rule 29</w:t>
      </w:r>
      <w:r w:rsidRPr="00F9063B">
        <w:t xml:space="preserve"> of the rules of procedure, the alternate would serve until the end of the mandate of the member being replaced, that is</w:t>
      </w:r>
      <w:r w:rsidR="00412EBE">
        <w:t>,</w:t>
      </w:r>
      <w:r w:rsidRPr="00F9063B">
        <w:t xml:space="preserve"> from the </w:t>
      </w:r>
      <w:r w:rsidR="00144119" w:rsidRPr="0071418F">
        <w:t xml:space="preserve">end of the </w:t>
      </w:r>
      <w:r w:rsidRPr="0071418F">
        <w:t>fifth</w:t>
      </w:r>
      <w:r w:rsidR="00144119" w:rsidRPr="0071418F">
        <w:t xml:space="preserve"> session</w:t>
      </w:r>
      <w:r w:rsidRPr="0071418F">
        <w:t xml:space="preserve"> until the </w:t>
      </w:r>
      <w:r w:rsidR="00412EBE">
        <w:t>end</w:t>
      </w:r>
      <w:r w:rsidR="00144119" w:rsidRPr="0071418F">
        <w:t xml:space="preserve"> of the </w:t>
      </w:r>
      <w:r w:rsidRPr="0071418F">
        <w:t>sixth session of the Plenary. Members of the Panel are elected with a possibility of re-election for one consecutive term.</w:t>
      </w:r>
    </w:p>
    <w:p w14:paraId="1892437D" w14:textId="35F4A9BA" w:rsidR="00835C31" w:rsidRDefault="001C3C93" w:rsidP="007533DB">
      <w:pPr>
        <w:pStyle w:val="Normalnumber"/>
        <w:numPr>
          <w:ilvl w:val="0"/>
          <w:numId w:val="5"/>
        </w:numPr>
        <w:tabs>
          <w:tab w:val="clear" w:pos="567"/>
        </w:tabs>
      </w:pPr>
      <w:r w:rsidRPr="0071418F">
        <w:t>In October 2016, t</w:t>
      </w:r>
      <w:r w:rsidR="001E75C2" w:rsidRPr="0071418F">
        <w:t xml:space="preserve">he Executive Secretary invited the three regions concerned to submit nominations for alternates to replace the members </w:t>
      </w:r>
      <w:r w:rsidR="00412EBE">
        <w:t>who</w:t>
      </w:r>
      <w:r w:rsidR="001E75C2" w:rsidRPr="0071418F">
        <w:t xml:space="preserve"> ha</w:t>
      </w:r>
      <w:r w:rsidRPr="0071418F">
        <w:t>d</w:t>
      </w:r>
      <w:r w:rsidR="001E75C2" w:rsidRPr="0071418F">
        <w:t xml:space="preserve"> resigned. By 15 December, only f</w:t>
      </w:r>
      <w:r w:rsidR="00217BDD">
        <w:t>our</w:t>
      </w:r>
      <w:r w:rsidR="00CD1AD5">
        <w:t xml:space="preserve"> </w:t>
      </w:r>
      <w:r w:rsidR="001E75C2" w:rsidRPr="0071418F">
        <w:t xml:space="preserve">nominations, not covering all </w:t>
      </w:r>
      <w:r w:rsidR="00144119" w:rsidRPr="0071418F">
        <w:t xml:space="preserve">the </w:t>
      </w:r>
      <w:r w:rsidR="001E75C2" w:rsidRPr="0071418F">
        <w:t>regions concerned, ha</w:t>
      </w:r>
      <w:r w:rsidR="00144119" w:rsidRPr="0071418F">
        <w:t>d</w:t>
      </w:r>
      <w:r w:rsidR="001E75C2" w:rsidRPr="0071418F">
        <w:t xml:space="preserve"> been received. The Executive Secretary has therefore extended the deadline for nominations to 31 January 2017. Information on all </w:t>
      </w:r>
      <w:r w:rsidR="00144119" w:rsidRPr="0071418F">
        <w:t xml:space="preserve">the </w:t>
      </w:r>
      <w:r w:rsidR="001E75C2" w:rsidRPr="0071418F">
        <w:t>nominations received by th</w:t>
      </w:r>
      <w:r w:rsidR="00144119" w:rsidRPr="0071418F">
        <w:t>at</w:t>
      </w:r>
      <w:r w:rsidR="001E75C2" w:rsidRPr="0071418F">
        <w:t xml:space="preserve"> deadline, including the curricula vitae of the candidates, will be made available in </w:t>
      </w:r>
      <w:r w:rsidR="00144119" w:rsidRPr="0071418F">
        <w:t xml:space="preserve">the note by the secretariat on </w:t>
      </w:r>
      <w:r w:rsidR="00F9063B">
        <w:t xml:space="preserve">the matter </w:t>
      </w:r>
      <w:r w:rsidR="00144119" w:rsidRPr="00F9063B">
        <w:t>(</w:t>
      </w:r>
      <w:r w:rsidR="001E75C2" w:rsidRPr="00F9063B">
        <w:t>IPBES/5/INF/20</w:t>
      </w:r>
      <w:r w:rsidR="00144119" w:rsidRPr="00F9063B">
        <w:t>)</w:t>
      </w:r>
      <w:r w:rsidR="00FF2812">
        <w:t xml:space="preserve"> and on the IPBES website at </w:t>
      </w:r>
      <w:hyperlink r:id="rId14" w:history="1">
        <w:r w:rsidR="00835C31" w:rsidRPr="005B516B">
          <w:rPr>
            <w:rStyle w:val="Hyperlink"/>
            <w:lang w:val="en-US"/>
          </w:rPr>
          <w:t>www.ipbes.net/plenary/ipbes-5</w:t>
        </w:r>
      </w:hyperlink>
      <w:r w:rsidR="00DE6034">
        <w:t>.</w:t>
      </w:r>
    </w:p>
    <w:p w14:paraId="3456A0D0" w14:textId="59D070FF" w:rsidR="001E75C2" w:rsidRDefault="001E75C2" w:rsidP="007533DB">
      <w:pPr>
        <w:pStyle w:val="Normalnumber"/>
        <w:numPr>
          <w:ilvl w:val="0"/>
          <w:numId w:val="5"/>
        </w:numPr>
        <w:tabs>
          <w:tab w:val="clear" w:pos="567"/>
        </w:tabs>
      </w:pPr>
      <w:r>
        <w:t xml:space="preserve">The regions concerned will be invited to consider the nominations received and, under item 2 </w:t>
      </w:r>
      <w:r w:rsidR="00144119">
        <w:t xml:space="preserve">(a) </w:t>
      </w:r>
      <w:r>
        <w:t xml:space="preserve">of the agenda of the fifth session </w:t>
      </w:r>
      <w:r w:rsidRPr="00396CC7">
        <w:t>of the Plenary, to</w:t>
      </w:r>
      <w:r w:rsidR="00FF2812" w:rsidRPr="00396CC7">
        <w:t xml:space="preserve"> nominate, for selection by the Plenary,</w:t>
      </w:r>
      <w:r w:rsidRPr="00396CC7">
        <w:t xml:space="preserve"> one </w:t>
      </w:r>
      <w:r w:rsidR="00144119" w:rsidRPr="00396CC7">
        <w:t xml:space="preserve">member from the </w:t>
      </w:r>
      <w:r w:rsidRPr="00396CC7">
        <w:t xml:space="preserve">Latin American region, two </w:t>
      </w:r>
      <w:r w:rsidR="00144119" w:rsidRPr="00396CC7">
        <w:t xml:space="preserve">members from the </w:t>
      </w:r>
      <w:r w:rsidRPr="00396CC7">
        <w:t xml:space="preserve">Eastern European region, and one </w:t>
      </w:r>
      <w:r w:rsidR="00144119" w:rsidRPr="00396CC7">
        <w:t xml:space="preserve">member from the </w:t>
      </w:r>
      <w:r w:rsidRPr="00396CC7">
        <w:t>African region</w:t>
      </w:r>
      <w:r w:rsidR="00144119">
        <w:t xml:space="preserve"> as </w:t>
      </w:r>
      <w:r>
        <w:t>replacements</w:t>
      </w:r>
      <w:r w:rsidR="00144119">
        <w:t xml:space="preserve"> for the members who have resigned</w:t>
      </w:r>
      <w:r>
        <w:t>.</w:t>
      </w:r>
    </w:p>
    <w:p w14:paraId="7A642360" w14:textId="77777777" w:rsidR="001E75C2" w:rsidRDefault="001E75C2" w:rsidP="007533DB">
      <w:pPr>
        <w:pStyle w:val="Normalnumber"/>
        <w:numPr>
          <w:ilvl w:val="0"/>
          <w:numId w:val="5"/>
        </w:numPr>
        <w:tabs>
          <w:tab w:val="clear" w:pos="567"/>
        </w:tabs>
      </w:pPr>
      <w:r>
        <w:t xml:space="preserve">In line with rule 26 of the rules of procedure, </w:t>
      </w:r>
      <w:r w:rsidR="0071418F">
        <w:t>nominations should take disciplinary and gender balance</w:t>
      </w:r>
      <w:r w:rsidR="0071418F" w:rsidRPr="0071418F">
        <w:t xml:space="preserve"> </w:t>
      </w:r>
      <w:r w:rsidR="0071418F">
        <w:t xml:space="preserve">into account. In addition, </w:t>
      </w:r>
      <w:r>
        <w:t xml:space="preserve">the following criteria could be taken into account in nominating and selecting members of the Panel: </w:t>
      </w:r>
    </w:p>
    <w:p w14:paraId="277ECAC6" w14:textId="77777777" w:rsidR="001E75C2" w:rsidRPr="004C5052" w:rsidRDefault="001E75C2" w:rsidP="007533DB">
      <w:pPr>
        <w:pStyle w:val="Normalnumber"/>
        <w:numPr>
          <w:ilvl w:val="1"/>
          <w:numId w:val="5"/>
        </w:numPr>
        <w:tabs>
          <w:tab w:val="clear" w:pos="567"/>
        </w:tabs>
        <w:ind w:firstLine="624"/>
        <w:rPr>
          <w:rFonts w:eastAsia="Calibri"/>
        </w:rPr>
      </w:pPr>
      <w:r w:rsidRPr="004C5052">
        <w:rPr>
          <w:rFonts w:eastAsia="Calibri"/>
        </w:rPr>
        <w:t xml:space="preserve">Scientific expertise in biodiversity and ecosystem services with regard to both natural and social sciences and traditional and local knowledge among the members of the Panel; </w:t>
      </w:r>
    </w:p>
    <w:p w14:paraId="4635D915" w14:textId="77777777" w:rsidR="001E75C2" w:rsidRPr="00B96547" w:rsidRDefault="001E75C2" w:rsidP="007533DB">
      <w:pPr>
        <w:pStyle w:val="Normalnumber"/>
        <w:numPr>
          <w:ilvl w:val="1"/>
          <w:numId w:val="5"/>
        </w:numPr>
        <w:tabs>
          <w:tab w:val="clear" w:pos="567"/>
        </w:tabs>
        <w:ind w:firstLine="624"/>
        <w:rPr>
          <w:rFonts w:eastAsia="Calibri"/>
        </w:rPr>
      </w:pPr>
      <w:r w:rsidRPr="004C5052">
        <w:rPr>
          <w:rFonts w:eastAsia="Calibri"/>
        </w:rPr>
        <w:lastRenderedPageBreak/>
        <w:t xml:space="preserve">Scientific, technical or policy expertise and knowledge of the main elements of the </w:t>
      </w:r>
      <w:r>
        <w:rPr>
          <w:rFonts w:eastAsia="Calibri"/>
        </w:rPr>
        <w:t>IPBES</w:t>
      </w:r>
      <w:r w:rsidRPr="004C5052">
        <w:rPr>
          <w:rFonts w:eastAsia="Calibri"/>
        </w:rPr>
        <w:t xml:space="preserve"> programme of </w:t>
      </w:r>
      <w:r w:rsidRPr="00B96547">
        <w:rPr>
          <w:rFonts w:eastAsia="Calibri"/>
        </w:rPr>
        <w:t xml:space="preserve">work; </w:t>
      </w:r>
    </w:p>
    <w:p w14:paraId="1AD5DB97" w14:textId="77777777" w:rsidR="001E75C2" w:rsidRDefault="001E75C2" w:rsidP="007533DB">
      <w:pPr>
        <w:pStyle w:val="Normalnumber"/>
        <w:numPr>
          <w:ilvl w:val="1"/>
          <w:numId w:val="5"/>
        </w:numPr>
        <w:tabs>
          <w:tab w:val="clear" w:pos="567"/>
        </w:tabs>
        <w:ind w:firstLine="624"/>
        <w:rPr>
          <w:rFonts w:eastAsia="Calibri"/>
        </w:rPr>
      </w:pPr>
      <w:r w:rsidRPr="00B96547">
        <w:rPr>
          <w:rFonts w:eastAsia="Calibri"/>
        </w:rPr>
        <w:t>Experience in communicating, promoting and incorporating science into</w:t>
      </w:r>
      <w:r w:rsidRPr="004C5052">
        <w:rPr>
          <w:rFonts w:eastAsia="Calibri"/>
        </w:rPr>
        <w:t xml:space="preserve"> policy development proces</w:t>
      </w:r>
      <w:r>
        <w:rPr>
          <w:rFonts w:eastAsia="Calibri"/>
        </w:rPr>
        <w:t xml:space="preserve">ses; </w:t>
      </w:r>
    </w:p>
    <w:p w14:paraId="1955E4FB" w14:textId="77777777" w:rsidR="001E75C2" w:rsidRPr="004C5052" w:rsidRDefault="001E75C2" w:rsidP="007533DB">
      <w:pPr>
        <w:pStyle w:val="Normalnumber"/>
        <w:numPr>
          <w:ilvl w:val="1"/>
          <w:numId w:val="5"/>
        </w:numPr>
        <w:tabs>
          <w:tab w:val="clear" w:pos="567"/>
        </w:tabs>
        <w:ind w:firstLine="624"/>
        <w:rPr>
          <w:rFonts w:eastAsia="Calibri"/>
        </w:rPr>
      </w:pPr>
      <w:r w:rsidRPr="004C5052">
        <w:rPr>
          <w:color w:val="000000"/>
          <w:lang w:val="en-US"/>
        </w:rPr>
        <w:t>Ability to work in international scientific and policy processes.</w:t>
      </w:r>
    </w:p>
    <w:p w14:paraId="0F3E42B5" w14:textId="7425CF13" w:rsidR="001E75C2" w:rsidRPr="00550CF7" w:rsidRDefault="001E75C2" w:rsidP="007533DB">
      <w:pPr>
        <w:pStyle w:val="Normalnumber"/>
        <w:numPr>
          <w:ilvl w:val="0"/>
          <w:numId w:val="5"/>
        </w:numPr>
        <w:tabs>
          <w:tab w:val="clear" w:pos="567"/>
        </w:tabs>
        <w:rPr>
          <w:rFonts w:eastAsia="Calibri"/>
          <w:w w:val="103"/>
        </w:rPr>
      </w:pPr>
      <w:r>
        <w:t xml:space="preserve">The regions have also been informed of the </w:t>
      </w:r>
      <w:r w:rsidR="0071418F">
        <w:t xml:space="preserve">need </w:t>
      </w:r>
      <w:r>
        <w:t xml:space="preserve">for </w:t>
      </w:r>
      <w:r w:rsidRPr="00550CF7">
        <w:t>members</w:t>
      </w:r>
      <w:r>
        <w:t xml:space="preserve"> of the Multidisciplinary Expert Panel</w:t>
      </w:r>
      <w:r w:rsidRPr="00550CF7">
        <w:t xml:space="preserve"> to commit 20</w:t>
      </w:r>
      <w:r w:rsidR="0071418F">
        <w:t xml:space="preserve"> per cent</w:t>
      </w:r>
      <w:r w:rsidRPr="00550CF7">
        <w:t xml:space="preserve"> of their time</w:t>
      </w:r>
      <w:r w:rsidR="0071418F">
        <w:t xml:space="preserve"> to the work of the Panel</w:t>
      </w:r>
      <w:r w:rsidRPr="00550CF7">
        <w:t>, which translates to roughly 10</w:t>
      </w:r>
      <w:r w:rsidR="005B516B">
        <w:t> </w:t>
      </w:r>
      <w:r w:rsidRPr="00550CF7">
        <w:t>weeks a year, with sig</w:t>
      </w:r>
      <w:r>
        <w:t>nificant international travel.</w:t>
      </w:r>
    </w:p>
    <w:p w14:paraId="29FBEAB0" w14:textId="77777777" w:rsidR="00B27589" w:rsidRDefault="00B27589" w:rsidP="00CD1AD5"/>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1922"/>
        <w:gridCol w:w="1922"/>
        <w:gridCol w:w="1922"/>
        <w:gridCol w:w="1923"/>
      </w:tblGrid>
      <w:tr w:rsidR="00454675" w14:paraId="3DF0D368" w14:textId="77777777" w:rsidTr="00CD1AD5">
        <w:tc>
          <w:tcPr>
            <w:tcW w:w="2009" w:type="dxa"/>
          </w:tcPr>
          <w:p w14:paraId="4067346F" w14:textId="77777777" w:rsidR="00454675" w:rsidRDefault="00454675" w:rsidP="00CD1AD5">
            <w:pPr>
              <w:spacing w:before="520" w:after="0"/>
              <w:rPr>
                <w:sz w:val="20"/>
                <w:szCs w:val="20"/>
              </w:rPr>
            </w:pPr>
          </w:p>
        </w:tc>
        <w:tc>
          <w:tcPr>
            <w:tcW w:w="2009" w:type="dxa"/>
          </w:tcPr>
          <w:p w14:paraId="52535FA3" w14:textId="77777777" w:rsidR="00454675" w:rsidRDefault="00454675" w:rsidP="00CD1AD5">
            <w:pPr>
              <w:spacing w:before="520" w:after="0"/>
              <w:rPr>
                <w:sz w:val="20"/>
                <w:szCs w:val="20"/>
              </w:rPr>
            </w:pPr>
          </w:p>
        </w:tc>
        <w:tc>
          <w:tcPr>
            <w:tcW w:w="2009" w:type="dxa"/>
            <w:tcBorders>
              <w:bottom w:val="single" w:sz="4" w:space="0" w:color="auto"/>
            </w:tcBorders>
          </w:tcPr>
          <w:p w14:paraId="6388DDD5" w14:textId="77777777" w:rsidR="00454675" w:rsidRDefault="00454675" w:rsidP="00CD1AD5">
            <w:pPr>
              <w:spacing w:before="520" w:after="0"/>
              <w:rPr>
                <w:sz w:val="20"/>
                <w:szCs w:val="20"/>
              </w:rPr>
            </w:pPr>
          </w:p>
        </w:tc>
        <w:tc>
          <w:tcPr>
            <w:tcW w:w="2009" w:type="dxa"/>
          </w:tcPr>
          <w:p w14:paraId="14B32A9E" w14:textId="77777777" w:rsidR="00454675" w:rsidRDefault="00454675" w:rsidP="00CD1AD5">
            <w:pPr>
              <w:spacing w:before="520" w:after="0"/>
              <w:rPr>
                <w:sz w:val="20"/>
                <w:szCs w:val="20"/>
              </w:rPr>
            </w:pPr>
          </w:p>
        </w:tc>
        <w:tc>
          <w:tcPr>
            <w:tcW w:w="2010" w:type="dxa"/>
          </w:tcPr>
          <w:p w14:paraId="3876BB00" w14:textId="77777777" w:rsidR="00454675" w:rsidRDefault="00454675" w:rsidP="00CD1AD5">
            <w:pPr>
              <w:spacing w:before="520" w:after="0"/>
              <w:rPr>
                <w:sz w:val="20"/>
                <w:szCs w:val="20"/>
              </w:rPr>
            </w:pPr>
          </w:p>
        </w:tc>
      </w:tr>
    </w:tbl>
    <w:p w14:paraId="5AEAFF8B" w14:textId="77777777" w:rsidR="00454675" w:rsidRPr="00A4175F" w:rsidRDefault="00454675" w:rsidP="00CD1AD5"/>
    <w:sectPr w:rsidR="00454675" w:rsidRPr="00A4175F" w:rsidSect="008A7F00">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35A4" w14:textId="77777777" w:rsidR="007F44AF" w:rsidRDefault="007F44AF">
      <w:r>
        <w:separator/>
      </w:r>
    </w:p>
  </w:endnote>
  <w:endnote w:type="continuationSeparator" w:id="0">
    <w:p w14:paraId="0001689A" w14:textId="77777777" w:rsidR="007F44AF" w:rsidRDefault="007F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CEDB" w14:textId="1A2593E8" w:rsidR="00597195" w:rsidRDefault="00597195">
    <w:pPr>
      <w:pStyle w:val="Footer"/>
    </w:pPr>
    <w:r>
      <w:rPr>
        <w:rStyle w:val="PageNumber"/>
      </w:rPr>
      <w:fldChar w:fldCharType="begin"/>
    </w:r>
    <w:r>
      <w:rPr>
        <w:rStyle w:val="PageNumber"/>
      </w:rPr>
      <w:instrText xml:space="preserve"> PAGE </w:instrText>
    </w:r>
    <w:r>
      <w:rPr>
        <w:rStyle w:val="PageNumber"/>
      </w:rPr>
      <w:fldChar w:fldCharType="separate"/>
    </w:r>
    <w:r w:rsidR="003C6E5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8391" w14:textId="77777777" w:rsidR="00597195" w:rsidRDefault="0059719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4953" w14:textId="24C0B5ED" w:rsidR="00597195" w:rsidRDefault="00597195" w:rsidP="00CB67E0">
    <w:pPr>
      <w:pStyle w:val="Normal-pool"/>
    </w:pPr>
    <w:r>
      <w:t>K1612201</w:t>
    </w:r>
    <w:r>
      <w:tab/>
    </w:r>
    <w:r w:rsidR="00007AE3" w:rsidRPr="003D786B">
      <w:t>19</w:t>
    </w:r>
    <w:r w:rsidR="00CB67E0" w:rsidRPr="003D786B">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378" w14:textId="77777777" w:rsidR="007F44AF" w:rsidRPr="00CD1AD5" w:rsidRDefault="007F44AF" w:rsidP="00CD1AD5">
      <w:pPr>
        <w:spacing w:before="60"/>
        <w:ind w:left="624"/>
        <w:rPr>
          <w:sz w:val="18"/>
          <w:szCs w:val="18"/>
        </w:rPr>
      </w:pPr>
      <w:r w:rsidRPr="00CD1AD5">
        <w:rPr>
          <w:sz w:val="18"/>
          <w:szCs w:val="18"/>
        </w:rPr>
        <w:separator/>
      </w:r>
    </w:p>
  </w:footnote>
  <w:footnote w:type="continuationSeparator" w:id="0">
    <w:p w14:paraId="69DB5352" w14:textId="77777777" w:rsidR="007F44AF" w:rsidRDefault="007F44AF">
      <w:r>
        <w:continuationSeparator/>
      </w:r>
    </w:p>
  </w:footnote>
  <w:footnote w:id="1">
    <w:p w14:paraId="55C905DE" w14:textId="52476E59" w:rsidR="00597195" w:rsidRPr="00517EAE" w:rsidRDefault="00597195" w:rsidP="00CD1AD5">
      <w:pPr>
        <w:pStyle w:val="FootnoteText"/>
        <w:tabs>
          <w:tab w:val="clear" w:pos="1247"/>
          <w:tab w:val="clear" w:pos="1814"/>
          <w:tab w:val="clear" w:pos="2381"/>
          <w:tab w:val="clear" w:pos="2948"/>
          <w:tab w:val="clear" w:pos="3515"/>
          <w:tab w:val="clear" w:pos="4082"/>
        </w:tabs>
        <w:rPr>
          <w:szCs w:val="18"/>
          <w:lang w:val="en-US"/>
        </w:rPr>
      </w:pPr>
      <w:r w:rsidRPr="00CD1AD5">
        <w:rPr>
          <w:rStyle w:val="FootnoteReference"/>
          <w:spacing w:val="5"/>
          <w:w w:val="104"/>
          <w:sz w:val="18"/>
          <w:vertAlign w:val="baseline"/>
          <w:lang w:val="en-US"/>
        </w:rPr>
        <w:t>*</w:t>
      </w:r>
      <w:r w:rsidRPr="00EC16E1">
        <w:rPr>
          <w:szCs w:val="18"/>
          <w:lang w:val="en-US"/>
        </w:rPr>
        <w:t xml:space="preserve"> </w:t>
      </w:r>
      <w:r w:rsidRPr="00517EAE">
        <w:rPr>
          <w:szCs w:val="18"/>
          <w:lang w:val="en-US"/>
        </w:rPr>
        <w:t>IPBES/5/1</w:t>
      </w:r>
      <w:r>
        <w:rPr>
          <w:szCs w:val="18"/>
          <w:lang w:val="en-US"/>
        </w:rPr>
        <w:t>/Rev.1</w:t>
      </w:r>
      <w:r w:rsidRPr="00517EAE">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303D" w14:textId="00210160" w:rsidR="00597195" w:rsidRPr="009812D1" w:rsidRDefault="00597195" w:rsidP="009812D1">
    <w:pPr>
      <w:pStyle w:val="Header"/>
      <w:rPr>
        <w:szCs w:val="18"/>
      </w:rPr>
    </w:pPr>
    <w:r w:rsidRPr="009812D1">
      <w:rPr>
        <w:rFonts w:eastAsia="Times New Roman"/>
        <w:szCs w:val="18"/>
      </w:rPr>
      <w:t>IPBES/5/13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E6A8" w14:textId="0D3E6B43" w:rsidR="00597195" w:rsidRDefault="00597195" w:rsidP="00035EDE">
    <w:pPr>
      <w:pStyle w:val="Header"/>
      <w:jc w:val="right"/>
    </w:pPr>
    <w:r>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1DFE" w14:textId="78F23D27" w:rsidR="00597195" w:rsidRDefault="00597195" w:rsidP="002F5A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num>
  <w:num w:numId="5">
    <w:abstractNumId w:val="0"/>
    <w:lvlOverride w:ilvl="0">
      <w:lvl w:ilvl="0">
        <w:start w:val="1"/>
        <w:numFmt w:val="decimal"/>
        <w:lvlText w:val="%1."/>
        <w:lvlJc w:val="left"/>
        <w:pPr>
          <w:tabs>
            <w:tab w:val="num" w:pos="567"/>
          </w:tabs>
          <w:ind w:left="1247" w:firstLine="0"/>
        </w:pPr>
        <w:rPr>
          <w:rFonts w:hint="default"/>
          <w:i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07AE3"/>
    <w:rsid w:val="000149E6"/>
    <w:rsid w:val="000247B0"/>
    <w:rsid w:val="00026997"/>
    <w:rsid w:val="00033E0B"/>
    <w:rsid w:val="00035EDE"/>
    <w:rsid w:val="000509B4"/>
    <w:rsid w:val="0006035B"/>
    <w:rsid w:val="00071886"/>
    <w:rsid w:val="000742BC"/>
    <w:rsid w:val="00082A0C"/>
    <w:rsid w:val="00083504"/>
    <w:rsid w:val="00086333"/>
    <w:rsid w:val="0009640C"/>
    <w:rsid w:val="000B22A2"/>
    <w:rsid w:val="000C2A52"/>
    <w:rsid w:val="000D33C0"/>
    <w:rsid w:val="000D6941"/>
    <w:rsid w:val="001202E3"/>
    <w:rsid w:val="00123699"/>
    <w:rsid w:val="0013059D"/>
    <w:rsid w:val="00141A55"/>
    <w:rsid w:val="00142F13"/>
    <w:rsid w:val="00144119"/>
    <w:rsid w:val="001446A3"/>
    <w:rsid w:val="00155395"/>
    <w:rsid w:val="00160D74"/>
    <w:rsid w:val="00167D02"/>
    <w:rsid w:val="00180060"/>
    <w:rsid w:val="00181EC8"/>
    <w:rsid w:val="00184349"/>
    <w:rsid w:val="00195F33"/>
    <w:rsid w:val="001B1617"/>
    <w:rsid w:val="001B504B"/>
    <w:rsid w:val="001C3C93"/>
    <w:rsid w:val="001D3874"/>
    <w:rsid w:val="001D7E75"/>
    <w:rsid w:val="001E56D2"/>
    <w:rsid w:val="001E75C2"/>
    <w:rsid w:val="001E7D56"/>
    <w:rsid w:val="001F5466"/>
    <w:rsid w:val="001F75DE"/>
    <w:rsid w:val="00200D58"/>
    <w:rsid w:val="002013BE"/>
    <w:rsid w:val="002063A4"/>
    <w:rsid w:val="0021145B"/>
    <w:rsid w:val="00217BDD"/>
    <w:rsid w:val="00243D36"/>
    <w:rsid w:val="00247707"/>
    <w:rsid w:val="002559A2"/>
    <w:rsid w:val="0026018E"/>
    <w:rsid w:val="00286740"/>
    <w:rsid w:val="002929D8"/>
    <w:rsid w:val="002A237D"/>
    <w:rsid w:val="002A4C53"/>
    <w:rsid w:val="002B0672"/>
    <w:rsid w:val="002B247F"/>
    <w:rsid w:val="002C145D"/>
    <w:rsid w:val="002C2C3E"/>
    <w:rsid w:val="002C533E"/>
    <w:rsid w:val="002C7D88"/>
    <w:rsid w:val="002D027F"/>
    <w:rsid w:val="002D7A85"/>
    <w:rsid w:val="002D7B60"/>
    <w:rsid w:val="002E0181"/>
    <w:rsid w:val="002F4761"/>
    <w:rsid w:val="002F5AE0"/>
    <w:rsid w:val="002F5C79"/>
    <w:rsid w:val="003019E2"/>
    <w:rsid w:val="0031413F"/>
    <w:rsid w:val="003148BB"/>
    <w:rsid w:val="00317976"/>
    <w:rsid w:val="00355EA9"/>
    <w:rsid w:val="003578DE"/>
    <w:rsid w:val="00380582"/>
    <w:rsid w:val="00396257"/>
    <w:rsid w:val="00396976"/>
    <w:rsid w:val="00396CC7"/>
    <w:rsid w:val="0039760D"/>
    <w:rsid w:val="00397EB8"/>
    <w:rsid w:val="003A4FD0"/>
    <w:rsid w:val="003A69D1"/>
    <w:rsid w:val="003A7705"/>
    <w:rsid w:val="003A77F1"/>
    <w:rsid w:val="003B1545"/>
    <w:rsid w:val="003C409D"/>
    <w:rsid w:val="003C5BA6"/>
    <w:rsid w:val="003C6E5C"/>
    <w:rsid w:val="003D786B"/>
    <w:rsid w:val="003E0EF1"/>
    <w:rsid w:val="003F0E85"/>
    <w:rsid w:val="00410C55"/>
    <w:rsid w:val="00412EBE"/>
    <w:rsid w:val="00416854"/>
    <w:rsid w:val="00417725"/>
    <w:rsid w:val="00426C25"/>
    <w:rsid w:val="00437F26"/>
    <w:rsid w:val="00444097"/>
    <w:rsid w:val="00445487"/>
    <w:rsid w:val="00454675"/>
    <w:rsid w:val="00454769"/>
    <w:rsid w:val="00461346"/>
    <w:rsid w:val="00466991"/>
    <w:rsid w:val="0047064C"/>
    <w:rsid w:val="004A42E1"/>
    <w:rsid w:val="004B162C"/>
    <w:rsid w:val="004B54A2"/>
    <w:rsid w:val="004C3391"/>
    <w:rsid w:val="004C3DBE"/>
    <w:rsid w:val="004C5C96"/>
    <w:rsid w:val="004D06A4"/>
    <w:rsid w:val="004F1A81"/>
    <w:rsid w:val="00517EAE"/>
    <w:rsid w:val="005218D9"/>
    <w:rsid w:val="00536186"/>
    <w:rsid w:val="00544CBB"/>
    <w:rsid w:val="00551C4D"/>
    <w:rsid w:val="0057315F"/>
    <w:rsid w:val="00576104"/>
    <w:rsid w:val="00597195"/>
    <w:rsid w:val="005B516B"/>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92E2A"/>
    <w:rsid w:val="006A427C"/>
    <w:rsid w:val="006A76F2"/>
    <w:rsid w:val="006C7A27"/>
    <w:rsid w:val="006D7EFB"/>
    <w:rsid w:val="006E6672"/>
    <w:rsid w:val="006E6722"/>
    <w:rsid w:val="006F24EB"/>
    <w:rsid w:val="006F41A3"/>
    <w:rsid w:val="006F48E4"/>
    <w:rsid w:val="007027B9"/>
    <w:rsid w:val="00711F20"/>
    <w:rsid w:val="0071418F"/>
    <w:rsid w:val="00715E88"/>
    <w:rsid w:val="00734CAA"/>
    <w:rsid w:val="007533DB"/>
    <w:rsid w:val="0075533C"/>
    <w:rsid w:val="00757581"/>
    <w:rsid w:val="007611A0"/>
    <w:rsid w:val="00787CE0"/>
    <w:rsid w:val="00796D3F"/>
    <w:rsid w:val="007A1683"/>
    <w:rsid w:val="007A5C12"/>
    <w:rsid w:val="007A7CB0"/>
    <w:rsid w:val="007B68A3"/>
    <w:rsid w:val="007C2541"/>
    <w:rsid w:val="007D4EBC"/>
    <w:rsid w:val="007D66A8"/>
    <w:rsid w:val="007E003F"/>
    <w:rsid w:val="007E6AFE"/>
    <w:rsid w:val="007F44AF"/>
    <w:rsid w:val="00801DEB"/>
    <w:rsid w:val="008021EC"/>
    <w:rsid w:val="008164F2"/>
    <w:rsid w:val="00821395"/>
    <w:rsid w:val="00830E26"/>
    <w:rsid w:val="00835C31"/>
    <w:rsid w:val="00843576"/>
    <w:rsid w:val="00843B64"/>
    <w:rsid w:val="008478FC"/>
    <w:rsid w:val="00851F35"/>
    <w:rsid w:val="00867BFF"/>
    <w:rsid w:val="0088480A"/>
    <w:rsid w:val="0088757A"/>
    <w:rsid w:val="008957DD"/>
    <w:rsid w:val="00897D98"/>
    <w:rsid w:val="008A6DF2"/>
    <w:rsid w:val="008A7807"/>
    <w:rsid w:val="008A7F00"/>
    <w:rsid w:val="008B398B"/>
    <w:rsid w:val="008B4CC9"/>
    <w:rsid w:val="008D7C99"/>
    <w:rsid w:val="008E0FCB"/>
    <w:rsid w:val="009029B1"/>
    <w:rsid w:val="0092178C"/>
    <w:rsid w:val="00930B88"/>
    <w:rsid w:val="00936667"/>
    <w:rsid w:val="00940DCC"/>
    <w:rsid w:val="0094179A"/>
    <w:rsid w:val="0094459E"/>
    <w:rsid w:val="00944DBC"/>
    <w:rsid w:val="00950977"/>
    <w:rsid w:val="00951A7B"/>
    <w:rsid w:val="00952F18"/>
    <w:rsid w:val="009564A6"/>
    <w:rsid w:val="00967621"/>
    <w:rsid w:val="00967E6A"/>
    <w:rsid w:val="009812D1"/>
    <w:rsid w:val="00982EF8"/>
    <w:rsid w:val="009B4A0F"/>
    <w:rsid w:val="009C11D2"/>
    <w:rsid w:val="009C6C70"/>
    <w:rsid w:val="009D0B63"/>
    <w:rsid w:val="009E307E"/>
    <w:rsid w:val="00A07870"/>
    <w:rsid w:val="00A07F19"/>
    <w:rsid w:val="00A1348D"/>
    <w:rsid w:val="00A232EE"/>
    <w:rsid w:val="00A4175F"/>
    <w:rsid w:val="00A44411"/>
    <w:rsid w:val="00A469FA"/>
    <w:rsid w:val="00A532BC"/>
    <w:rsid w:val="00A55B01"/>
    <w:rsid w:val="00A56B5B"/>
    <w:rsid w:val="00A603FF"/>
    <w:rsid w:val="00A657DD"/>
    <w:rsid w:val="00A666A6"/>
    <w:rsid w:val="00A675FD"/>
    <w:rsid w:val="00A72437"/>
    <w:rsid w:val="00A80611"/>
    <w:rsid w:val="00A86448"/>
    <w:rsid w:val="00AA7A65"/>
    <w:rsid w:val="00AB104F"/>
    <w:rsid w:val="00AB5340"/>
    <w:rsid w:val="00AC0A89"/>
    <w:rsid w:val="00AC7C96"/>
    <w:rsid w:val="00AE237D"/>
    <w:rsid w:val="00AE502A"/>
    <w:rsid w:val="00AF7C07"/>
    <w:rsid w:val="00B22C93"/>
    <w:rsid w:val="00B23BB8"/>
    <w:rsid w:val="00B27589"/>
    <w:rsid w:val="00B405B7"/>
    <w:rsid w:val="00B52222"/>
    <w:rsid w:val="00B54FE7"/>
    <w:rsid w:val="00B66901"/>
    <w:rsid w:val="00B71E6D"/>
    <w:rsid w:val="00B72070"/>
    <w:rsid w:val="00B779E1"/>
    <w:rsid w:val="00B91EE1"/>
    <w:rsid w:val="00B96547"/>
    <w:rsid w:val="00BA0090"/>
    <w:rsid w:val="00BA1A67"/>
    <w:rsid w:val="00BC2FEA"/>
    <w:rsid w:val="00BE5B5F"/>
    <w:rsid w:val="00C070BC"/>
    <w:rsid w:val="00C26F55"/>
    <w:rsid w:val="00C30C63"/>
    <w:rsid w:val="00C36B8B"/>
    <w:rsid w:val="00C37FF3"/>
    <w:rsid w:val="00C415C1"/>
    <w:rsid w:val="00C47DBF"/>
    <w:rsid w:val="00C552FF"/>
    <w:rsid w:val="00C558DA"/>
    <w:rsid w:val="00C55AF3"/>
    <w:rsid w:val="00C57816"/>
    <w:rsid w:val="00C84759"/>
    <w:rsid w:val="00CA4672"/>
    <w:rsid w:val="00CA6C7F"/>
    <w:rsid w:val="00CB67E0"/>
    <w:rsid w:val="00CC10A6"/>
    <w:rsid w:val="00CC44C5"/>
    <w:rsid w:val="00CD1AD5"/>
    <w:rsid w:val="00CD385D"/>
    <w:rsid w:val="00CD5EB8"/>
    <w:rsid w:val="00CD7044"/>
    <w:rsid w:val="00CE08B9"/>
    <w:rsid w:val="00CE524C"/>
    <w:rsid w:val="00CF141F"/>
    <w:rsid w:val="00CF4777"/>
    <w:rsid w:val="00CF4C76"/>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20F5"/>
    <w:rsid w:val="00DC2641"/>
    <w:rsid w:val="00DC46FF"/>
    <w:rsid w:val="00DC5254"/>
    <w:rsid w:val="00DD1A4F"/>
    <w:rsid w:val="00DD3107"/>
    <w:rsid w:val="00DD7C2C"/>
    <w:rsid w:val="00DE6034"/>
    <w:rsid w:val="00E0156D"/>
    <w:rsid w:val="00E06797"/>
    <w:rsid w:val="00E1265B"/>
    <w:rsid w:val="00E13B48"/>
    <w:rsid w:val="00E1404F"/>
    <w:rsid w:val="00E21C83"/>
    <w:rsid w:val="00E24ADA"/>
    <w:rsid w:val="00E32F59"/>
    <w:rsid w:val="00E46D9A"/>
    <w:rsid w:val="00E565FF"/>
    <w:rsid w:val="00E65388"/>
    <w:rsid w:val="00E65A65"/>
    <w:rsid w:val="00E67A72"/>
    <w:rsid w:val="00E85B7D"/>
    <w:rsid w:val="00E9121B"/>
    <w:rsid w:val="00EA0AE2"/>
    <w:rsid w:val="00EA39E5"/>
    <w:rsid w:val="00EA6F96"/>
    <w:rsid w:val="00EB6ED2"/>
    <w:rsid w:val="00EC0CE2"/>
    <w:rsid w:val="00EC16E1"/>
    <w:rsid w:val="00EC5A46"/>
    <w:rsid w:val="00EC63E2"/>
    <w:rsid w:val="00EF22B3"/>
    <w:rsid w:val="00F03B69"/>
    <w:rsid w:val="00F07A50"/>
    <w:rsid w:val="00F113DA"/>
    <w:rsid w:val="00F37DC8"/>
    <w:rsid w:val="00F439B3"/>
    <w:rsid w:val="00F650C3"/>
    <w:rsid w:val="00F65D85"/>
    <w:rsid w:val="00F8091E"/>
    <w:rsid w:val="00F8615C"/>
    <w:rsid w:val="00F9063B"/>
    <w:rsid w:val="00F969E5"/>
    <w:rsid w:val="00FA2B54"/>
    <w:rsid w:val="00FA6BB0"/>
    <w:rsid w:val="00FD5860"/>
    <w:rsid w:val="00FE352D"/>
    <w:rsid w:val="00FE40EB"/>
    <w:rsid w:val="00FE4D02"/>
    <w:rsid w:val="00FE7D62"/>
    <w:rsid w:val="00FF281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E25F3"/>
  <w15:docId w15:val="{E28D9DBA-D853-4B7E-96FA-C5213C1E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CD1AD5"/>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D1AD5"/>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CD1AD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B96547"/>
    <w:rPr>
      <w:sz w:val="16"/>
      <w:szCs w:val="16"/>
    </w:rPr>
  </w:style>
  <w:style w:type="paragraph" w:styleId="CommentText">
    <w:name w:val="annotation text"/>
    <w:basedOn w:val="Normal"/>
    <w:link w:val="CommentTextChar"/>
    <w:rsid w:val="00B96547"/>
  </w:style>
  <w:style w:type="character" w:customStyle="1" w:styleId="CommentTextChar">
    <w:name w:val="Comment Text Char"/>
    <w:basedOn w:val="DefaultParagraphFont"/>
    <w:link w:val="CommentText"/>
    <w:rsid w:val="00B96547"/>
    <w:rPr>
      <w:rFonts w:eastAsia="MS Mincho"/>
      <w:lang w:eastAsia="en-US"/>
    </w:rPr>
  </w:style>
  <w:style w:type="paragraph" w:styleId="CommentSubject">
    <w:name w:val="annotation subject"/>
    <w:basedOn w:val="CommentText"/>
    <w:next w:val="CommentText"/>
    <w:link w:val="CommentSubjectChar"/>
    <w:rsid w:val="00B96547"/>
    <w:rPr>
      <w:b/>
      <w:bCs/>
    </w:rPr>
  </w:style>
  <w:style w:type="character" w:customStyle="1" w:styleId="CommentSubjectChar">
    <w:name w:val="Comment Subject Char"/>
    <w:basedOn w:val="CommentTextChar"/>
    <w:link w:val="CommentSubject"/>
    <w:rsid w:val="00B96547"/>
    <w:rPr>
      <w:rFonts w:eastAsia="MS Mincho"/>
      <w:b/>
      <w:bCs/>
      <w:lang w:eastAsia="en-US"/>
    </w:rPr>
  </w:style>
  <w:style w:type="character" w:styleId="FollowedHyperlink">
    <w:name w:val="FollowedHyperlink"/>
    <w:basedOn w:val="DefaultParagraphFont"/>
    <w:semiHidden/>
    <w:unhideWhenUsed/>
    <w:rsid w:val="00835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11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1708629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bes.net/plenary/ipbes-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3136-2E89-4946-B730-4BA3254D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2016-12-21T11:55:00Z</cp:lastPrinted>
  <dcterms:created xsi:type="dcterms:W3CDTF">2017-01-23T12:18:00Z</dcterms:created>
  <dcterms:modified xsi:type="dcterms:W3CDTF">2017-01-23T12:18:00Z</dcterms:modified>
</cp:coreProperties>
</file>