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440"/>
        <w:gridCol w:w="586"/>
        <w:gridCol w:w="351"/>
        <w:gridCol w:w="861"/>
        <w:gridCol w:w="951"/>
        <w:gridCol w:w="2679"/>
        <w:gridCol w:w="970"/>
        <w:gridCol w:w="1875"/>
      </w:tblGrid>
      <w:tr w:rsidR="00EA7A5B" w:rsidRPr="005671A1" w:rsidTr="00055D54">
        <w:trPr>
          <w:cantSplit/>
          <w:trHeight w:val="1079"/>
          <w:jc w:val="right"/>
        </w:trPr>
        <w:tc>
          <w:tcPr>
            <w:tcW w:w="1456" w:type="dxa"/>
          </w:tcPr>
          <w:p w:rsidR="00EA7A5B" w:rsidRPr="005671A1" w:rsidRDefault="00EA7A5B" w:rsidP="00A037C4">
            <w:pPr>
              <w:pStyle w:val="Normal-pool"/>
              <w:rPr>
                <w:rFonts w:ascii="Arial" w:hAnsi="Arial" w:cs="Arial"/>
                <w:b/>
                <w:sz w:val="27"/>
                <w:szCs w:val="27"/>
                <w:lang w:val="fr-FR"/>
              </w:rPr>
            </w:pPr>
            <w:bookmarkStart w:id="0" w:name="_GoBack"/>
            <w:bookmarkEnd w:id="0"/>
            <w:r w:rsidRPr="005671A1">
              <w:rPr>
                <w:rFonts w:ascii="Arial" w:hAnsi="Arial" w:cs="Arial"/>
                <w:b/>
                <w:sz w:val="27"/>
                <w:szCs w:val="27"/>
                <w:lang w:val="fr-FR"/>
              </w:rPr>
              <w:t>NATIONS UNIES</w:t>
            </w:r>
          </w:p>
        </w:tc>
        <w:tc>
          <w:tcPr>
            <w:tcW w:w="946" w:type="dxa"/>
            <w:gridSpan w:val="2"/>
            <w:tcBorders>
              <w:left w:val="nil"/>
            </w:tcBorders>
            <w:vAlign w:val="center"/>
          </w:tcPr>
          <w:p w:rsidR="00EA7A5B" w:rsidRPr="005671A1" w:rsidRDefault="00EA7A5B" w:rsidP="00A037C4">
            <w:pPr>
              <w:pStyle w:val="Normal-pool"/>
              <w:rPr>
                <w:lang w:val="fr-FR"/>
              </w:rPr>
            </w:pPr>
            <w:r w:rsidRPr="005671A1">
              <w:rPr>
                <w:noProof/>
                <w:lang w:val="en-US"/>
              </w:rPr>
              <w:drawing>
                <wp:inline distT="0" distB="0" distL="0" distR="0" wp14:anchorId="7BA1C2E8" wp14:editId="07BF2A1B">
                  <wp:extent cx="482803" cy="460857"/>
                  <wp:effectExtent l="0" t="0" r="0" b="0"/>
                  <wp:docPr id="2"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9" w:type="dxa"/>
            <w:tcBorders>
              <w:left w:val="nil"/>
            </w:tcBorders>
            <w:vAlign w:val="center"/>
          </w:tcPr>
          <w:p w:rsidR="00EA7A5B" w:rsidRPr="005671A1" w:rsidRDefault="00EA7A5B" w:rsidP="00A037C4">
            <w:pPr>
              <w:pStyle w:val="Normal-pool"/>
              <w:spacing w:before="160"/>
              <w:rPr>
                <w:lang w:val="fr-FR"/>
              </w:rPr>
            </w:pPr>
            <w:r w:rsidRPr="005671A1">
              <w:rPr>
                <w:noProof/>
                <w:lang w:val="en-US"/>
              </w:rPr>
              <w:drawing>
                <wp:inline distT="0" distB="0" distL="0" distR="0" wp14:anchorId="4BBF0FF8" wp14:editId="7BD485D7">
                  <wp:extent cx="362710" cy="47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60" w:type="dxa"/>
            <w:tcBorders>
              <w:left w:val="nil"/>
            </w:tcBorders>
            <w:vAlign w:val="center"/>
          </w:tcPr>
          <w:p w:rsidR="00EA7A5B" w:rsidRPr="005671A1" w:rsidRDefault="00EA7A5B" w:rsidP="00A037C4">
            <w:pPr>
              <w:pStyle w:val="Normal-pool"/>
              <w:rPr>
                <w:lang w:val="fr-FR"/>
              </w:rPr>
            </w:pPr>
            <w:r w:rsidRPr="005671A1">
              <w:rPr>
                <w:noProof/>
                <w:lang w:val="en-US"/>
              </w:rPr>
              <w:drawing>
                <wp:inline distT="0" distB="0" distL="0" distR="0" wp14:anchorId="231F86C3" wp14:editId="0B81B1D9">
                  <wp:extent cx="490119" cy="460857"/>
                  <wp:effectExtent l="0" t="0" r="5715" b="0"/>
                  <wp:docPr id="7"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11" w:type="dxa"/>
            <w:tcBorders>
              <w:left w:val="nil"/>
            </w:tcBorders>
            <w:vAlign w:val="center"/>
          </w:tcPr>
          <w:p w:rsidR="00EA7A5B" w:rsidRPr="005671A1" w:rsidRDefault="00EA7A5B" w:rsidP="00A037C4">
            <w:pPr>
              <w:pStyle w:val="Normal-pool"/>
              <w:rPr>
                <w:lang w:val="fr-FR"/>
              </w:rPr>
            </w:pPr>
            <w:r w:rsidRPr="005671A1">
              <w:rPr>
                <w:noProof/>
                <w:lang w:val="en-US"/>
              </w:rPr>
              <w:drawing>
                <wp:inline distT="0" distB="0" distL="0" distR="0" wp14:anchorId="09907E7E" wp14:editId="07516525">
                  <wp:extent cx="1653236" cy="355488"/>
                  <wp:effectExtent l="0" t="0" r="4445" b="6985"/>
                  <wp:docPr id="8" name="Picture 8"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9" w:type="dxa"/>
            <w:tcBorders>
              <w:left w:val="nil"/>
            </w:tcBorders>
            <w:vAlign w:val="center"/>
          </w:tcPr>
          <w:p w:rsidR="00EA7A5B" w:rsidRPr="005671A1" w:rsidRDefault="00EA7A5B" w:rsidP="00A037C4">
            <w:pPr>
              <w:pStyle w:val="Normal-pool"/>
              <w:ind w:right="-136"/>
              <w:rPr>
                <w:lang w:val="fr-FR"/>
              </w:rPr>
            </w:pPr>
            <w:r w:rsidRPr="005671A1">
              <w:rPr>
                <w:noProof/>
                <w:lang w:val="en-US"/>
              </w:rPr>
              <w:drawing>
                <wp:inline distT="0" distB="0" distL="0" distR="0" wp14:anchorId="58A1E6DA" wp14:editId="56220BB1">
                  <wp:extent cx="327617" cy="63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896" w:type="dxa"/>
          </w:tcPr>
          <w:p w:rsidR="00EA7A5B" w:rsidRPr="005671A1" w:rsidRDefault="00EA7A5B" w:rsidP="00A037C4">
            <w:pPr>
              <w:pStyle w:val="Normal-pool"/>
              <w:ind w:right="-136"/>
              <w:jc w:val="right"/>
              <w:rPr>
                <w:rFonts w:ascii="Arial" w:hAnsi="Arial" w:cs="Arial"/>
                <w:b/>
                <w:sz w:val="64"/>
                <w:szCs w:val="64"/>
                <w:lang w:val="fr-FR"/>
              </w:rPr>
            </w:pPr>
            <w:r w:rsidRPr="005671A1">
              <w:rPr>
                <w:rFonts w:ascii="Arial" w:hAnsi="Arial" w:cs="Arial"/>
                <w:b/>
                <w:sz w:val="64"/>
                <w:szCs w:val="64"/>
                <w:lang w:val="fr-FR"/>
              </w:rPr>
              <w:t>BES</w:t>
            </w:r>
          </w:p>
        </w:tc>
      </w:tr>
      <w:tr w:rsidR="00EA7A5B" w:rsidRPr="005671A1" w:rsidTr="00055D54">
        <w:trPr>
          <w:cantSplit/>
          <w:trHeight w:val="282"/>
          <w:jc w:val="right"/>
        </w:trPr>
        <w:tc>
          <w:tcPr>
            <w:tcW w:w="1456" w:type="dxa"/>
            <w:tcBorders>
              <w:bottom w:val="single" w:sz="2" w:space="0" w:color="auto"/>
            </w:tcBorders>
          </w:tcPr>
          <w:p w:rsidR="00EA7A5B" w:rsidRPr="005671A1" w:rsidRDefault="00EA7A5B" w:rsidP="00A037C4">
            <w:pPr>
              <w:pStyle w:val="Normal-pool"/>
              <w:rPr>
                <w:lang w:val="fr-FR"/>
              </w:rPr>
            </w:pPr>
          </w:p>
        </w:tc>
        <w:tc>
          <w:tcPr>
            <w:tcW w:w="5486" w:type="dxa"/>
            <w:gridSpan w:val="5"/>
            <w:tcBorders>
              <w:bottom w:val="single" w:sz="2" w:space="0" w:color="auto"/>
            </w:tcBorders>
          </w:tcPr>
          <w:p w:rsidR="00EA7A5B" w:rsidRPr="005671A1" w:rsidRDefault="00EA7A5B" w:rsidP="00A037C4">
            <w:pPr>
              <w:pStyle w:val="Normal-pool"/>
              <w:rPr>
                <w:rFonts w:ascii="Univers" w:hAnsi="Univers"/>
                <w:b/>
                <w:sz w:val="24"/>
                <w:lang w:val="fr-FR"/>
              </w:rPr>
            </w:pPr>
          </w:p>
        </w:tc>
        <w:tc>
          <w:tcPr>
            <w:tcW w:w="2875" w:type="dxa"/>
            <w:gridSpan w:val="2"/>
            <w:tcBorders>
              <w:bottom w:val="single" w:sz="2" w:space="0" w:color="auto"/>
            </w:tcBorders>
          </w:tcPr>
          <w:p w:rsidR="00EA7A5B" w:rsidRPr="005671A1" w:rsidRDefault="00EA7A5B" w:rsidP="00A037C4">
            <w:pPr>
              <w:pStyle w:val="Normal-pool"/>
              <w:spacing w:before="120"/>
              <w:rPr>
                <w:b/>
                <w:sz w:val="24"/>
                <w:szCs w:val="24"/>
                <w:lang w:val="fr-FR"/>
              </w:rPr>
            </w:pPr>
            <w:r w:rsidRPr="005671A1">
              <w:rPr>
                <w:b/>
                <w:sz w:val="24"/>
                <w:lang w:val="fr-FR"/>
              </w:rPr>
              <w:t>IPBES</w:t>
            </w:r>
            <w:r w:rsidRPr="005671A1">
              <w:rPr>
                <w:lang w:val="fr-FR"/>
              </w:rPr>
              <w:t>/5/1</w:t>
            </w:r>
            <w:r w:rsidR="00055D54">
              <w:rPr>
                <w:lang w:val="fr-FR"/>
              </w:rPr>
              <w:t>/Rev.1</w:t>
            </w:r>
            <w:r w:rsidRPr="005671A1">
              <w:rPr>
                <w:lang w:val="fr-FR"/>
              </w:rPr>
              <w:t>/Add.1</w:t>
            </w:r>
            <w:r w:rsidR="00055D54">
              <w:rPr>
                <w:lang w:val="fr-FR"/>
              </w:rPr>
              <w:t>/Rev.1</w:t>
            </w:r>
          </w:p>
        </w:tc>
      </w:tr>
      <w:tr w:rsidR="00EA7A5B" w:rsidRPr="00A02F67" w:rsidTr="00055D54">
        <w:trPr>
          <w:cantSplit/>
          <w:trHeight w:val="1743"/>
          <w:jc w:val="right"/>
        </w:trPr>
        <w:tc>
          <w:tcPr>
            <w:tcW w:w="2047" w:type="dxa"/>
            <w:gridSpan w:val="2"/>
            <w:tcBorders>
              <w:top w:val="single" w:sz="2" w:space="0" w:color="auto"/>
              <w:bottom w:val="single" w:sz="24" w:space="0" w:color="auto"/>
            </w:tcBorders>
          </w:tcPr>
          <w:p w:rsidR="00EA7A5B" w:rsidRPr="005671A1" w:rsidRDefault="00EA7A5B" w:rsidP="00A037C4">
            <w:pPr>
              <w:pStyle w:val="Normal-pool"/>
              <w:spacing w:before="240" w:after="240"/>
              <w:rPr>
                <w:b/>
                <w:sz w:val="28"/>
                <w:szCs w:val="28"/>
                <w:lang w:val="fr-FR"/>
              </w:rPr>
            </w:pPr>
            <w:r w:rsidRPr="005671A1">
              <w:rPr>
                <w:b/>
                <w:noProof/>
                <w:sz w:val="28"/>
                <w:szCs w:val="28"/>
                <w:lang w:val="en-US"/>
              </w:rPr>
              <w:drawing>
                <wp:inline distT="0" distB="0" distL="0" distR="0" wp14:anchorId="0E6E3EDA" wp14:editId="366DF35C">
                  <wp:extent cx="1111406" cy="5193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95" w:type="dxa"/>
            <w:gridSpan w:val="4"/>
            <w:tcBorders>
              <w:top w:val="single" w:sz="2" w:space="0" w:color="auto"/>
              <w:bottom w:val="single" w:sz="24" w:space="0" w:color="auto"/>
            </w:tcBorders>
          </w:tcPr>
          <w:p w:rsidR="00EA7A5B" w:rsidRPr="005671A1" w:rsidRDefault="00491C34" w:rsidP="00A037C4">
            <w:pPr>
              <w:pStyle w:val="Normal-pool"/>
              <w:spacing w:before="240" w:after="240"/>
              <w:rPr>
                <w:rFonts w:ascii="Arial" w:hAnsi="Arial" w:cs="Arial"/>
                <w:b/>
                <w:sz w:val="28"/>
                <w:szCs w:val="28"/>
                <w:lang w:val="fr-FR"/>
              </w:rPr>
            </w:pPr>
            <w:hyperlink r:id="rId15" w:tgtFrame="_blank" w:history="1">
              <w:r w:rsidR="00EA7A5B" w:rsidRPr="005671A1">
                <w:rPr>
                  <w:rFonts w:ascii="Arial" w:hAnsi="Arial" w:cs="Arial"/>
                  <w:b/>
                  <w:sz w:val="28"/>
                  <w:szCs w:val="28"/>
                  <w:lang w:val="fr-FR"/>
                </w:rPr>
                <w:t>Plateforme intergouvernementale scientifique et politique sur la biodiversité et les services écosystémiques</w:t>
              </w:r>
            </w:hyperlink>
          </w:p>
        </w:tc>
        <w:tc>
          <w:tcPr>
            <w:tcW w:w="2875" w:type="dxa"/>
            <w:gridSpan w:val="2"/>
            <w:tcBorders>
              <w:top w:val="single" w:sz="2" w:space="0" w:color="auto"/>
              <w:bottom w:val="single" w:sz="24" w:space="0" w:color="auto"/>
            </w:tcBorders>
          </w:tcPr>
          <w:p w:rsidR="00EA7A5B" w:rsidRPr="005671A1" w:rsidRDefault="00EA7A5B" w:rsidP="00A037C4">
            <w:pPr>
              <w:pStyle w:val="Normal-pool"/>
              <w:spacing w:before="120"/>
              <w:rPr>
                <w:lang w:val="fr-FR"/>
              </w:rPr>
            </w:pPr>
            <w:r w:rsidRPr="005671A1">
              <w:rPr>
                <w:lang w:val="fr-FR"/>
              </w:rPr>
              <w:t xml:space="preserve">Distr. générale </w:t>
            </w:r>
            <w:r w:rsidRPr="005671A1">
              <w:rPr>
                <w:lang w:val="fr-FR"/>
              </w:rPr>
              <w:br/>
            </w:r>
            <w:r w:rsidR="00055D54">
              <w:rPr>
                <w:lang w:val="fr-FR"/>
              </w:rPr>
              <w:t>21</w:t>
            </w:r>
            <w:r w:rsidRPr="005671A1">
              <w:rPr>
                <w:lang w:val="fr-FR"/>
              </w:rPr>
              <w:t> </w:t>
            </w:r>
            <w:r w:rsidR="00055D54">
              <w:rPr>
                <w:lang w:val="fr-FR"/>
              </w:rPr>
              <w:t>février 2017</w:t>
            </w:r>
          </w:p>
          <w:p w:rsidR="00EA7A5B" w:rsidRPr="005671A1" w:rsidRDefault="00EA7A5B" w:rsidP="00A037C4">
            <w:pPr>
              <w:pStyle w:val="Normal-pool"/>
              <w:spacing w:before="120"/>
              <w:rPr>
                <w:lang w:val="fr-FR"/>
              </w:rPr>
            </w:pPr>
            <w:r w:rsidRPr="005671A1">
              <w:rPr>
                <w:lang w:val="fr-FR"/>
              </w:rPr>
              <w:t xml:space="preserve">Français </w:t>
            </w:r>
            <w:r w:rsidRPr="005671A1">
              <w:rPr>
                <w:lang w:val="fr-FR"/>
              </w:rPr>
              <w:br/>
              <w:t>Original : anglais</w:t>
            </w:r>
          </w:p>
        </w:tc>
      </w:tr>
    </w:tbl>
    <w:p w:rsidR="00EA7A5B" w:rsidRPr="005671A1" w:rsidRDefault="00EA7A5B" w:rsidP="00EA7A5B">
      <w:pPr>
        <w:pStyle w:val="AATitle"/>
        <w:ind w:left="14" w:right="4160"/>
        <w:rPr>
          <w:lang w:val="fr-FR"/>
        </w:rPr>
      </w:pPr>
      <w:r w:rsidRPr="005671A1">
        <w:rPr>
          <w:lang w:val="fr-FR"/>
        </w:rPr>
        <w:t>Plénière de la Plateforme inter</w:t>
      </w:r>
      <w:r w:rsidR="00766DD2" w:rsidRPr="005671A1">
        <w:rPr>
          <w:lang w:val="fr-FR"/>
        </w:rPr>
        <w:t>gouvernementale</w:t>
      </w:r>
      <w:r w:rsidR="00766DD2" w:rsidRPr="005671A1">
        <w:rPr>
          <w:lang w:val="fr-FR"/>
        </w:rPr>
        <w:br/>
        <w:t>scientifique et </w:t>
      </w:r>
      <w:r w:rsidRPr="005671A1">
        <w:rPr>
          <w:lang w:val="fr-FR"/>
        </w:rPr>
        <w:t xml:space="preserve">politique sur la biodiversité </w:t>
      </w:r>
      <w:r w:rsidRPr="005671A1">
        <w:rPr>
          <w:lang w:val="fr-FR"/>
        </w:rPr>
        <w:br/>
        <w:t>et les services écosystémiques</w:t>
      </w:r>
    </w:p>
    <w:p w:rsidR="00EA7A5B" w:rsidRPr="005671A1" w:rsidRDefault="00EA7A5B" w:rsidP="00EA7A5B">
      <w:pPr>
        <w:pStyle w:val="AATitle"/>
        <w:ind w:left="14" w:right="4160"/>
        <w:rPr>
          <w:lang w:val="fr-FR"/>
        </w:rPr>
      </w:pPr>
      <w:r w:rsidRPr="005671A1">
        <w:rPr>
          <w:lang w:val="fr-FR"/>
        </w:rPr>
        <w:t>Cinquième session</w:t>
      </w:r>
    </w:p>
    <w:p w:rsidR="00EA7A5B" w:rsidRPr="005671A1" w:rsidRDefault="00EA7A5B" w:rsidP="00EA7A5B">
      <w:pPr>
        <w:pStyle w:val="AATitle"/>
        <w:ind w:left="14" w:right="4160"/>
        <w:rPr>
          <w:b w:val="0"/>
          <w:lang w:val="fr-FR" w:eastAsia="ja-JP"/>
        </w:rPr>
      </w:pPr>
      <w:r w:rsidRPr="005671A1">
        <w:rPr>
          <w:b w:val="0"/>
          <w:lang w:val="fr-FR" w:eastAsia="ja-JP"/>
        </w:rPr>
        <w:t>Bonn (Allemagne), 7-10 mars 2017</w:t>
      </w:r>
    </w:p>
    <w:p w:rsidR="00801DEB" w:rsidRPr="005671A1" w:rsidRDefault="00801DEB" w:rsidP="00C070BC">
      <w:pPr>
        <w:rPr>
          <w:sz w:val="24"/>
          <w:szCs w:val="24"/>
          <w:lang w:val="fr-FR"/>
        </w:rPr>
      </w:pPr>
      <w:r w:rsidRPr="005671A1">
        <w:rPr>
          <w:lang w:val="fr-FR"/>
        </w:rPr>
        <w:t>Point 2 a) de l</w:t>
      </w:r>
      <w:r w:rsidR="008E1649" w:rsidRPr="005671A1">
        <w:rPr>
          <w:lang w:val="fr-FR"/>
        </w:rPr>
        <w:t>’</w:t>
      </w:r>
      <w:r w:rsidRPr="005671A1">
        <w:rPr>
          <w:lang w:val="fr-FR"/>
        </w:rPr>
        <w:t>ordre du jour provisoire</w:t>
      </w:r>
      <w:r w:rsidR="00C070BC" w:rsidRPr="005671A1">
        <w:rPr>
          <w:bCs/>
          <w:spacing w:val="4"/>
          <w:w w:val="103"/>
          <w:lang w:val="fr-FR"/>
        </w:rPr>
        <w:footnoteReference w:customMarkFollows="1" w:id="1"/>
        <w:t>*</w:t>
      </w:r>
    </w:p>
    <w:p w:rsidR="00801DEB" w:rsidRPr="005671A1" w:rsidRDefault="008E1649" w:rsidP="004F184C">
      <w:pPr>
        <w:pStyle w:val="AATitle2"/>
        <w:rPr>
          <w:lang w:val="fr-FR"/>
        </w:rPr>
      </w:pPr>
      <w:r w:rsidRPr="005671A1">
        <w:rPr>
          <w:lang w:val="fr-FR"/>
        </w:rPr>
        <w:t>Questions d’organisation : a</w:t>
      </w:r>
      <w:r w:rsidR="00801DEB" w:rsidRPr="005671A1">
        <w:rPr>
          <w:lang w:val="fr-FR"/>
        </w:rPr>
        <w:t>doption de l</w:t>
      </w:r>
      <w:r w:rsidRPr="005671A1">
        <w:rPr>
          <w:lang w:val="fr-FR"/>
        </w:rPr>
        <w:t>’</w:t>
      </w:r>
      <w:r w:rsidR="00801DEB" w:rsidRPr="005671A1">
        <w:rPr>
          <w:lang w:val="fr-FR"/>
        </w:rPr>
        <w:t xml:space="preserve">ordre du jour </w:t>
      </w:r>
      <w:r w:rsidRPr="005671A1">
        <w:rPr>
          <w:lang w:val="fr-FR"/>
        </w:rPr>
        <w:br/>
      </w:r>
      <w:r w:rsidR="00801DEB" w:rsidRPr="005671A1">
        <w:rPr>
          <w:lang w:val="fr-FR"/>
        </w:rPr>
        <w:t>et organisation des travaux</w:t>
      </w:r>
    </w:p>
    <w:p w:rsidR="00801DEB" w:rsidRPr="005671A1" w:rsidRDefault="00801DEB" w:rsidP="0050520F">
      <w:pPr>
        <w:pStyle w:val="BBTitle"/>
        <w:rPr>
          <w:lang w:val="fr-FR"/>
        </w:rPr>
      </w:pPr>
      <w:r w:rsidRPr="005671A1">
        <w:rPr>
          <w:lang w:val="fr-FR"/>
        </w:rPr>
        <w:t>Ordre du jour provisoire annoté</w:t>
      </w:r>
    </w:p>
    <w:p w:rsidR="00801DEB" w:rsidRPr="005671A1" w:rsidRDefault="00801DEB" w:rsidP="009C30FC">
      <w:pPr>
        <w:pStyle w:val="CH2"/>
        <w:ind w:left="1248" w:hanging="624"/>
        <w:rPr>
          <w:lang w:val="fr-FR"/>
        </w:rPr>
      </w:pPr>
      <w:r w:rsidRPr="005671A1">
        <w:rPr>
          <w:lang w:val="fr-FR"/>
        </w:rPr>
        <w:t>Point</w:t>
      </w:r>
      <w:r w:rsidR="008E1649" w:rsidRPr="005671A1">
        <w:rPr>
          <w:lang w:val="fr-FR"/>
        </w:rPr>
        <w:t> </w:t>
      </w:r>
      <w:r w:rsidRPr="005671A1">
        <w:rPr>
          <w:lang w:val="fr-FR"/>
        </w:rPr>
        <w:t>1</w:t>
      </w:r>
    </w:p>
    <w:p w:rsidR="00801DEB" w:rsidRPr="005671A1" w:rsidRDefault="00801DEB" w:rsidP="009C30FC">
      <w:pPr>
        <w:pStyle w:val="CH2"/>
        <w:ind w:left="1248" w:hanging="624"/>
        <w:rPr>
          <w:lang w:val="fr-FR"/>
        </w:rPr>
      </w:pPr>
      <w:r w:rsidRPr="005671A1">
        <w:rPr>
          <w:lang w:val="fr-FR"/>
        </w:rPr>
        <w:t>Ouverture de la session</w:t>
      </w:r>
    </w:p>
    <w:p w:rsidR="00940ECA" w:rsidRPr="005671A1" w:rsidRDefault="00801DEB" w:rsidP="009C30FC">
      <w:pPr>
        <w:pStyle w:val="Normalnumber"/>
        <w:numPr>
          <w:ilvl w:val="0"/>
          <w:numId w:val="43"/>
        </w:numPr>
        <w:tabs>
          <w:tab w:val="clear" w:pos="567"/>
          <w:tab w:val="clear" w:pos="624"/>
        </w:tabs>
        <w:rPr>
          <w:lang w:val="fr-FR"/>
        </w:rPr>
      </w:pPr>
      <w:r w:rsidRPr="005671A1">
        <w:rPr>
          <w:lang w:val="fr-FR"/>
        </w:rPr>
        <w:t xml:space="preserve">La cinquième session de la Plénière de la Plateforme intergouvernementale scientifique et politique sur la biodiversité et les services écosystémiques </w:t>
      </w:r>
      <w:r w:rsidR="004E7D81" w:rsidRPr="005671A1">
        <w:rPr>
          <w:lang w:val="fr-FR"/>
        </w:rPr>
        <w:t>aura lieu</w:t>
      </w:r>
      <w:r w:rsidRPr="005671A1">
        <w:rPr>
          <w:lang w:val="fr-FR"/>
        </w:rPr>
        <w:t xml:space="preserve"> à Bonn (Allemagne) du 7 au 10</w:t>
      </w:r>
      <w:r w:rsidR="008E1649" w:rsidRPr="005671A1">
        <w:rPr>
          <w:lang w:val="fr-FR"/>
        </w:rPr>
        <w:t> </w:t>
      </w:r>
      <w:r w:rsidRPr="005671A1">
        <w:rPr>
          <w:lang w:val="fr-FR"/>
        </w:rPr>
        <w:t>mars 2017. La session sera</w:t>
      </w:r>
      <w:r w:rsidR="008E1649" w:rsidRPr="005671A1">
        <w:rPr>
          <w:lang w:val="fr-FR"/>
        </w:rPr>
        <w:t xml:space="preserve"> ouverte à 10 heures le mardi 7 </w:t>
      </w:r>
      <w:r w:rsidRPr="005671A1">
        <w:rPr>
          <w:lang w:val="fr-FR"/>
        </w:rPr>
        <w:t xml:space="preserve">mars 2017 par le Président de la Plénière, qui accueillera les participants. </w:t>
      </w:r>
    </w:p>
    <w:p w:rsidR="00801DEB" w:rsidRPr="005671A1" w:rsidRDefault="00940ECA" w:rsidP="009C30FC">
      <w:pPr>
        <w:pStyle w:val="Normalnumber"/>
        <w:numPr>
          <w:ilvl w:val="0"/>
          <w:numId w:val="43"/>
        </w:numPr>
        <w:tabs>
          <w:tab w:val="clear" w:pos="567"/>
          <w:tab w:val="clear" w:pos="624"/>
        </w:tabs>
        <w:rPr>
          <w:lang w:val="fr-FR"/>
        </w:rPr>
      </w:pPr>
      <w:r w:rsidRPr="005671A1">
        <w:rPr>
          <w:lang w:val="fr-FR"/>
        </w:rPr>
        <w:t>Des allocutions de bienvenue seront prononcées par</w:t>
      </w:r>
      <w:r w:rsidR="00A037C4" w:rsidRPr="005671A1">
        <w:rPr>
          <w:lang w:val="fr-FR"/>
        </w:rPr>
        <w:t xml:space="preserve"> le Secrétaire exécutif</w:t>
      </w:r>
      <w:r w:rsidR="004E7D81" w:rsidRPr="005671A1">
        <w:rPr>
          <w:lang w:val="fr-FR"/>
        </w:rPr>
        <w:t xml:space="preserve"> de la P</w:t>
      </w:r>
      <w:r w:rsidRPr="005671A1">
        <w:rPr>
          <w:lang w:val="fr-FR"/>
        </w:rPr>
        <w:t>lateforme; le Directeur exécutif du Programme des Nations Unies pour l</w:t>
      </w:r>
      <w:r w:rsidR="008E1649" w:rsidRPr="005671A1">
        <w:rPr>
          <w:lang w:val="fr-FR"/>
        </w:rPr>
        <w:t>’</w:t>
      </w:r>
      <w:r w:rsidRPr="005671A1">
        <w:rPr>
          <w:lang w:val="fr-FR"/>
        </w:rPr>
        <w:t>environnement (PNUE), ou son représentant, s</w:t>
      </w:r>
      <w:r w:rsidR="008E1649" w:rsidRPr="005671A1">
        <w:rPr>
          <w:lang w:val="fr-FR"/>
        </w:rPr>
        <w:t>’</w:t>
      </w:r>
      <w:r w:rsidRPr="005671A1">
        <w:rPr>
          <w:lang w:val="fr-FR"/>
        </w:rPr>
        <w:t>exprimant également au nom de l</w:t>
      </w:r>
      <w:r w:rsidR="008E1649" w:rsidRPr="005671A1">
        <w:rPr>
          <w:lang w:val="fr-FR"/>
        </w:rPr>
        <w:t>’</w:t>
      </w:r>
      <w:r w:rsidRPr="005671A1">
        <w:rPr>
          <w:lang w:val="fr-FR"/>
        </w:rPr>
        <w:t>Organisation des Nations Unies pour l</w:t>
      </w:r>
      <w:r w:rsidR="008E1649" w:rsidRPr="005671A1">
        <w:rPr>
          <w:lang w:val="fr-FR"/>
        </w:rPr>
        <w:t>’</w:t>
      </w:r>
      <w:r w:rsidRPr="005671A1">
        <w:rPr>
          <w:lang w:val="fr-FR"/>
        </w:rPr>
        <w:t>alimentation et l</w:t>
      </w:r>
      <w:r w:rsidR="008E1649" w:rsidRPr="005671A1">
        <w:rPr>
          <w:lang w:val="fr-FR"/>
        </w:rPr>
        <w:t>’</w:t>
      </w:r>
      <w:r w:rsidRPr="005671A1">
        <w:rPr>
          <w:lang w:val="fr-FR"/>
        </w:rPr>
        <w:t>agriculture (FAO), du Programme des Nations Unies pour le développement (PNUD) et de l</w:t>
      </w:r>
      <w:r w:rsidR="008E1649" w:rsidRPr="005671A1">
        <w:rPr>
          <w:lang w:val="fr-FR"/>
        </w:rPr>
        <w:t>’</w:t>
      </w:r>
      <w:r w:rsidRPr="005671A1">
        <w:rPr>
          <w:lang w:val="fr-FR"/>
        </w:rPr>
        <w:t>Organisation des Nations Unies pour l</w:t>
      </w:r>
      <w:r w:rsidR="008E1649" w:rsidRPr="005671A1">
        <w:rPr>
          <w:lang w:val="fr-FR"/>
        </w:rPr>
        <w:t>’</w:t>
      </w:r>
      <w:r w:rsidRPr="005671A1">
        <w:rPr>
          <w:lang w:val="fr-FR"/>
        </w:rPr>
        <w:t>éducation, la science et la culture (UNESCO); un représentant du Gouvernement allemand; et le maire de la ville de Bonn. Un discours</w:t>
      </w:r>
      <w:r w:rsidR="004E7D81" w:rsidRPr="005671A1">
        <w:rPr>
          <w:lang w:val="fr-FR"/>
        </w:rPr>
        <w:t>-programme</w:t>
      </w:r>
      <w:r w:rsidRPr="005671A1">
        <w:rPr>
          <w:lang w:val="fr-FR"/>
        </w:rPr>
        <w:t xml:space="preserve"> sur les synergies entre la lutte contre les changements climatiques et la préservation et l</w:t>
      </w:r>
      <w:r w:rsidR="008E1649" w:rsidRPr="005671A1">
        <w:rPr>
          <w:lang w:val="fr-FR"/>
        </w:rPr>
        <w:t>’</w:t>
      </w:r>
      <w:r w:rsidRPr="005671A1">
        <w:rPr>
          <w:lang w:val="fr-FR"/>
        </w:rPr>
        <w:t>utilisation durable de la bi</w:t>
      </w:r>
      <w:r w:rsidR="008E1649" w:rsidRPr="005671A1">
        <w:rPr>
          <w:lang w:val="fr-FR"/>
        </w:rPr>
        <w:t>odiversité sera prononcé par M. </w:t>
      </w:r>
      <w:r w:rsidR="004E7D81" w:rsidRPr="005671A1">
        <w:rPr>
          <w:lang w:val="fr-FR"/>
        </w:rPr>
        <w:t>Guy Midgley, du D</w:t>
      </w:r>
      <w:r w:rsidRPr="005671A1">
        <w:rPr>
          <w:lang w:val="fr-FR"/>
        </w:rPr>
        <w:t>épartement de botanique et zoologie de l</w:t>
      </w:r>
      <w:r w:rsidR="008E1649" w:rsidRPr="005671A1">
        <w:rPr>
          <w:lang w:val="fr-FR"/>
        </w:rPr>
        <w:t>’</w:t>
      </w:r>
      <w:r w:rsidR="004E7D81" w:rsidRPr="005671A1">
        <w:rPr>
          <w:lang w:val="fr-FR"/>
        </w:rPr>
        <w:t>U</w:t>
      </w:r>
      <w:r w:rsidRPr="005671A1">
        <w:rPr>
          <w:lang w:val="fr-FR"/>
        </w:rPr>
        <w:t xml:space="preserve">niversité </w:t>
      </w:r>
      <w:r w:rsidR="00A23434" w:rsidRPr="005671A1">
        <w:rPr>
          <w:lang w:val="fr-FR"/>
        </w:rPr>
        <w:t xml:space="preserve">de </w:t>
      </w:r>
      <w:r w:rsidRPr="005671A1">
        <w:rPr>
          <w:lang w:val="fr-FR"/>
        </w:rPr>
        <w:t xml:space="preserve">Stellenbosch en Afrique du Sud. La Secrétaire exécutive de la Convention-cadre des Nations Unies sur les changements climatiques, ou son représentant, prendra également la parole devant la Plénière. Des consultations régionales et une journée ouverte aux parties prenantes </w:t>
      </w:r>
      <w:r w:rsidR="004E7D81" w:rsidRPr="005671A1">
        <w:rPr>
          <w:lang w:val="fr-FR"/>
        </w:rPr>
        <w:t>se tiendront</w:t>
      </w:r>
      <w:r w:rsidRPr="005671A1">
        <w:rPr>
          <w:lang w:val="fr-FR"/>
        </w:rPr>
        <w:t xml:space="preserve"> le 6</w:t>
      </w:r>
      <w:r w:rsidR="008E1649" w:rsidRPr="005671A1">
        <w:rPr>
          <w:lang w:val="fr-FR"/>
        </w:rPr>
        <w:t> </w:t>
      </w:r>
      <w:r w:rsidRPr="005671A1">
        <w:rPr>
          <w:lang w:val="fr-FR"/>
        </w:rPr>
        <w:t>mars 2017.</w:t>
      </w:r>
    </w:p>
    <w:p w:rsidR="00801DEB" w:rsidRPr="005671A1" w:rsidRDefault="00801DEB" w:rsidP="009C30FC">
      <w:pPr>
        <w:pStyle w:val="CH2"/>
        <w:ind w:left="1248" w:hanging="624"/>
        <w:rPr>
          <w:lang w:val="fr-FR"/>
        </w:rPr>
      </w:pPr>
      <w:r w:rsidRPr="005671A1">
        <w:rPr>
          <w:lang w:val="fr-FR"/>
        </w:rPr>
        <w:t>Point</w:t>
      </w:r>
      <w:r w:rsidR="008E1649" w:rsidRPr="005671A1">
        <w:rPr>
          <w:lang w:val="fr-FR"/>
        </w:rPr>
        <w:t> </w:t>
      </w:r>
      <w:r w:rsidRPr="005671A1">
        <w:rPr>
          <w:lang w:val="fr-FR"/>
        </w:rPr>
        <w:t>2</w:t>
      </w:r>
    </w:p>
    <w:p w:rsidR="00801DEB" w:rsidRPr="005671A1" w:rsidRDefault="00801DEB" w:rsidP="009C30FC">
      <w:pPr>
        <w:pStyle w:val="CH2"/>
        <w:ind w:left="1248" w:hanging="624"/>
        <w:rPr>
          <w:lang w:val="fr-FR"/>
        </w:rPr>
      </w:pPr>
      <w:r w:rsidRPr="005671A1">
        <w:rPr>
          <w:lang w:val="fr-FR"/>
        </w:rPr>
        <w:t>Questions d</w:t>
      </w:r>
      <w:r w:rsidR="008E1649" w:rsidRPr="005671A1">
        <w:rPr>
          <w:lang w:val="fr-FR"/>
        </w:rPr>
        <w:t>’</w:t>
      </w:r>
      <w:r w:rsidRPr="005671A1">
        <w:rPr>
          <w:lang w:val="fr-FR"/>
        </w:rPr>
        <w:t>organisation</w:t>
      </w:r>
    </w:p>
    <w:p w:rsidR="00801DEB" w:rsidRPr="005671A1" w:rsidRDefault="00801DEB" w:rsidP="009C30FC">
      <w:pPr>
        <w:pStyle w:val="Normalnumber"/>
        <w:numPr>
          <w:ilvl w:val="0"/>
          <w:numId w:val="43"/>
        </w:numPr>
        <w:tabs>
          <w:tab w:val="clear" w:pos="567"/>
          <w:tab w:val="clear" w:pos="624"/>
        </w:tabs>
        <w:rPr>
          <w:lang w:val="fr-FR"/>
        </w:rPr>
      </w:pPr>
      <w:r w:rsidRPr="005671A1">
        <w:rPr>
          <w:lang w:val="fr-FR"/>
        </w:rPr>
        <w:t xml:space="preserve">Le </w:t>
      </w:r>
      <w:r w:rsidR="00AA3CB4" w:rsidRPr="005671A1">
        <w:rPr>
          <w:lang w:val="fr-FR"/>
        </w:rPr>
        <w:t>r</w:t>
      </w:r>
      <w:r w:rsidRPr="005671A1">
        <w:rPr>
          <w:lang w:val="fr-FR"/>
        </w:rPr>
        <w:t>èglement intérieur de la Plénière de la Plateforme, tel qu</w:t>
      </w:r>
      <w:r w:rsidR="008E1649" w:rsidRPr="005671A1">
        <w:rPr>
          <w:lang w:val="fr-FR"/>
        </w:rPr>
        <w:t>’</w:t>
      </w:r>
      <w:r w:rsidRPr="005671A1">
        <w:rPr>
          <w:lang w:val="fr-FR"/>
        </w:rPr>
        <w:t>adopté par celle-ci par sa décision</w:t>
      </w:r>
      <w:r w:rsidR="008E1649" w:rsidRPr="005671A1">
        <w:rPr>
          <w:lang w:val="fr-FR"/>
        </w:rPr>
        <w:t> </w:t>
      </w:r>
      <w:r w:rsidRPr="005671A1">
        <w:rPr>
          <w:lang w:val="fr-FR"/>
        </w:rPr>
        <w:t>IPBES-1/1</w:t>
      </w:r>
      <w:r w:rsidR="004E7D81" w:rsidRPr="005671A1">
        <w:rPr>
          <w:lang w:val="fr-FR"/>
        </w:rPr>
        <w:t>,</w:t>
      </w:r>
      <w:r w:rsidRPr="005671A1">
        <w:rPr>
          <w:lang w:val="fr-FR"/>
        </w:rPr>
        <w:t xml:space="preserve"> puis modifié par sa décision</w:t>
      </w:r>
      <w:r w:rsidR="008E1649" w:rsidRPr="005671A1">
        <w:rPr>
          <w:lang w:val="fr-FR"/>
        </w:rPr>
        <w:t> </w:t>
      </w:r>
      <w:r w:rsidRPr="005671A1">
        <w:rPr>
          <w:lang w:val="fr-FR"/>
        </w:rPr>
        <w:t>IPBES-2/1, régira le déroulement de sa cinqu</w:t>
      </w:r>
      <w:r w:rsidR="00B947B6" w:rsidRPr="005671A1">
        <w:rPr>
          <w:lang w:val="fr-FR"/>
        </w:rPr>
        <w:t>ième </w:t>
      </w:r>
      <w:r w:rsidRPr="005671A1">
        <w:rPr>
          <w:lang w:val="fr-FR"/>
        </w:rPr>
        <w:t xml:space="preserve">session. </w:t>
      </w:r>
    </w:p>
    <w:p w:rsidR="00801DEB" w:rsidRPr="005671A1" w:rsidRDefault="00801DEB" w:rsidP="009C30FC">
      <w:pPr>
        <w:pStyle w:val="CH3"/>
        <w:keepNext w:val="0"/>
        <w:keepLines w:val="0"/>
        <w:rPr>
          <w:lang w:val="fr-FR"/>
        </w:rPr>
      </w:pPr>
      <w:r w:rsidRPr="005671A1">
        <w:rPr>
          <w:lang w:val="fr-FR"/>
        </w:rPr>
        <w:tab/>
        <w:t>a)</w:t>
      </w:r>
      <w:r w:rsidRPr="005671A1">
        <w:rPr>
          <w:lang w:val="fr-FR"/>
        </w:rPr>
        <w:tab/>
        <w:t>Adoption de l</w:t>
      </w:r>
      <w:r w:rsidR="008E1649" w:rsidRPr="005671A1">
        <w:rPr>
          <w:lang w:val="fr-FR"/>
        </w:rPr>
        <w:t>’</w:t>
      </w:r>
      <w:r w:rsidRPr="005671A1">
        <w:rPr>
          <w:lang w:val="fr-FR"/>
        </w:rPr>
        <w:t>ordre du jour et organisation des travaux</w:t>
      </w:r>
    </w:p>
    <w:p w:rsidR="00801DEB" w:rsidRPr="005671A1" w:rsidRDefault="00801DEB" w:rsidP="009C30FC">
      <w:pPr>
        <w:pStyle w:val="Normalnumber"/>
        <w:numPr>
          <w:ilvl w:val="0"/>
          <w:numId w:val="43"/>
        </w:numPr>
        <w:tabs>
          <w:tab w:val="clear" w:pos="567"/>
          <w:tab w:val="clear" w:pos="624"/>
        </w:tabs>
        <w:rPr>
          <w:lang w:val="fr-FR"/>
        </w:rPr>
      </w:pPr>
      <w:r w:rsidRPr="005671A1">
        <w:rPr>
          <w:lang w:val="fr-FR"/>
        </w:rPr>
        <w:t>La Plénière souhaitera peut-être adopter l</w:t>
      </w:r>
      <w:r w:rsidR="008E1649" w:rsidRPr="005671A1">
        <w:rPr>
          <w:lang w:val="fr-FR"/>
        </w:rPr>
        <w:t>’</w:t>
      </w:r>
      <w:r w:rsidRPr="005671A1">
        <w:rPr>
          <w:lang w:val="fr-FR"/>
        </w:rPr>
        <w:t>ordre du jour, modifié au besoin, sur la base de l</w:t>
      </w:r>
      <w:r w:rsidR="008E1649" w:rsidRPr="005671A1">
        <w:rPr>
          <w:lang w:val="fr-FR"/>
        </w:rPr>
        <w:t>’</w:t>
      </w:r>
      <w:r w:rsidRPr="005671A1">
        <w:rPr>
          <w:lang w:val="fr-FR"/>
        </w:rPr>
        <w:t>ordre du jour provisoire et de l</w:t>
      </w:r>
      <w:r w:rsidR="008E1649" w:rsidRPr="005671A1">
        <w:rPr>
          <w:lang w:val="fr-FR"/>
        </w:rPr>
        <w:t>’</w:t>
      </w:r>
      <w:r w:rsidRPr="005671A1">
        <w:rPr>
          <w:lang w:val="fr-FR"/>
        </w:rPr>
        <w:t>ordre du jour provisoire annoté (IPBES/5/1/Rev.1 et IPBES/5/1/</w:t>
      </w:r>
      <w:r w:rsidR="00075E50">
        <w:rPr>
          <w:lang w:val="fr-FR"/>
        </w:rPr>
        <w:t>Rev.1/</w:t>
      </w:r>
      <w:r w:rsidRPr="005671A1">
        <w:rPr>
          <w:lang w:val="fr-FR"/>
        </w:rPr>
        <w:t>Add.1</w:t>
      </w:r>
      <w:r w:rsidR="00055D54">
        <w:rPr>
          <w:lang w:val="fr-FR"/>
        </w:rPr>
        <w:t>/Rev.1</w:t>
      </w:r>
      <w:r w:rsidRPr="005671A1">
        <w:rPr>
          <w:lang w:val="fr-FR"/>
        </w:rPr>
        <w:t xml:space="preserve">). </w:t>
      </w:r>
    </w:p>
    <w:p w:rsidR="00801DEB" w:rsidRPr="005671A1" w:rsidRDefault="00801DEB" w:rsidP="009C30FC">
      <w:pPr>
        <w:pStyle w:val="Normalnumber"/>
        <w:numPr>
          <w:ilvl w:val="0"/>
          <w:numId w:val="43"/>
        </w:numPr>
        <w:tabs>
          <w:tab w:val="clear" w:pos="567"/>
          <w:tab w:val="clear" w:pos="624"/>
        </w:tabs>
        <w:rPr>
          <w:lang w:val="fr-FR"/>
        </w:rPr>
      </w:pPr>
      <w:r w:rsidRPr="005671A1">
        <w:rPr>
          <w:lang w:val="fr-FR"/>
        </w:rPr>
        <w:lastRenderedPageBreak/>
        <w:t>Il est suggéré que les délibérations se déroulent en séances plénières. Cependant, si elle le juge nécessaire, la Plénière pourrait souhaiter créer des groupes de travail pour débattre de questions spécifiques. Il est donc également suggéré que, conformément à la pratique de ses sessions antérieures, la Plénière crée trois groupes de contact. Le premier examinerait le point</w:t>
      </w:r>
      <w:r w:rsidR="008E1649" w:rsidRPr="005671A1">
        <w:rPr>
          <w:lang w:val="fr-FR"/>
        </w:rPr>
        <w:t> </w:t>
      </w:r>
      <w:r w:rsidRPr="005671A1">
        <w:rPr>
          <w:lang w:val="fr-FR"/>
        </w:rPr>
        <w:t>6</w:t>
      </w:r>
      <w:r w:rsidR="008E1649" w:rsidRPr="005671A1">
        <w:rPr>
          <w:lang w:val="fr-FR"/>
        </w:rPr>
        <w:t> </w:t>
      </w:r>
      <w:r w:rsidRPr="005671A1">
        <w:rPr>
          <w:lang w:val="fr-FR"/>
        </w:rPr>
        <w:t>b) sur les systèmes de savoir</w:t>
      </w:r>
      <w:r w:rsidR="004E7D81" w:rsidRPr="005671A1">
        <w:rPr>
          <w:lang w:val="fr-FR"/>
        </w:rPr>
        <w:t>s</w:t>
      </w:r>
      <w:r w:rsidRPr="005671A1">
        <w:rPr>
          <w:lang w:val="fr-FR"/>
        </w:rPr>
        <w:t xml:space="preserve"> autochtones et locaux, </w:t>
      </w:r>
      <w:r w:rsidR="008E1649" w:rsidRPr="005671A1">
        <w:rPr>
          <w:lang w:val="fr-FR"/>
        </w:rPr>
        <w:t>le point </w:t>
      </w:r>
      <w:r w:rsidRPr="005671A1">
        <w:rPr>
          <w:lang w:val="fr-FR"/>
        </w:rPr>
        <w:t>8 sur l</w:t>
      </w:r>
      <w:r w:rsidR="008E1649" w:rsidRPr="005671A1">
        <w:rPr>
          <w:lang w:val="fr-FR"/>
        </w:rPr>
        <w:t>’</w:t>
      </w:r>
      <w:r w:rsidRPr="005671A1">
        <w:rPr>
          <w:lang w:val="fr-FR"/>
        </w:rPr>
        <w:t>examen de la Plateforme</w:t>
      </w:r>
      <w:r w:rsidR="00075E50">
        <w:rPr>
          <w:lang w:val="fr-FR"/>
        </w:rPr>
        <w:t xml:space="preserve"> et</w:t>
      </w:r>
      <w:r w:rsidRPr="005671A1">
        <w:rPr>
          <w:lang w:val="fr-FR"/>
        </w:rPr>
        <w:t xml:space="preserve"> le point</w:t>
      </w:r>
      <w:r w:rsidR="008E1649" w:rsidRPr="005671A1">
        <w:rPr>
          <w:lang w:val="fr-FR"/>
        </w:rPr>
        <w:t> </w:t>
      </w:r>
      <w:r w:rsidRPr="005671A1">
        <w:rPr>
          <w:lang w:val="fr-FR"/>
        </w:rPr>
        <w:t>9 sur la planification des futures sess</w:t>
      </w:r>
      <w:r w:rsidR="008E1649" w:rsidRPr="005671A1">
        <w:rPr>
          <w:lang w:val="fr-FR"/>
        </w:rPr>
        <w:t xml:space="preserve">ions de la Plénière </w:t>
      </w:r>
      <w:r w:rsidR="00075E50">
        <w:rPr>
          <w:lang w:val="fr-FR"/>
        </w:rPr>
        <w:t>ainsi que</w:t>
      </w:r>
      <w:r w:rsidR="008E1649" w:rsidRPr="005671A1">
        <w:rPr>
          <w:lang w:val="fr-FR"/>
        </w:rPr>
        <w:t xml:space="preserve"> </w:t>
      </w:r>
      <w:r w:rsidR="00075E50">
        <w:rPr>
          <w:lang w:val="fr-FR"/>
        </w:rPr>
        <w:t xml:space="preserve">toutes questions découlant de la proposition soumise par la Slovaquie, au nom des États membres de l’Union européenne qui sont membres de la </w:t>
      </w:r>
      <w:r w:rsidR="00D4164C">
        <w:rPr>
          <w:lang w:val="fr-FR"/>
        </w:rPr>
        <w:t>Plateforme, au titre du point 2 </w:t>
      </w:r>
      <w:r w:rsidR="00075E50">
        <w:rPr>
          <w:lang w:val="fr-FR"/>
        </w:rPr>
        <w:t>b) sur la composition de la Plateforme (voir par.</w:t>
      </w:r>
      <w:r w:rsidR="00D4164C">
        <w:rPr>
          <w:lang w:val="fr-FR"/>
        </w:rPr>
        <w:t> </w:t>
      </w:r>
      <w:r w:rsidR="00075E50">
        <w:rPr>
          <w:lang w:val="fr-FR"/>
        </w:rPr>
        <w:t>8 ci-dessous)</w:t>
      </w:r>
      <w:r w:rsidRPr="005671A1">
        <w:rPr>
          <w:lang w:val="fr-FR"/>
        </w:rPr>
        <w:t>. Le deuxième, travaillant en parallèle, examinerait le point</w:t>
      </w:r>
      <w:r w:rsidR="008E1649" w:rsidRPr="005671A1">
        <w:rPr>
          <w:lang w:val="fr-FR"/>
        </w:rPr>
        <w:t> </w:t>
      </w:r>
      <w:r w:rsidRPr="005671A1">
        <w:rPr>
          <w:lang w:val="fr-FR"/>
        </w:rPr>
        <w:t>6</w:t>
      </w:r>
      <w:r w:rsidR="008E1649" w:rsidRPr="005671A1">
        <w:rPr>
          <w:lang w:val="fr-FR"/>
        </w:rPr>
        <w:t> </w:t>
      </w:r>
      <w:r w:rsidRPr="005671A1">
        <w:rPr>
          <w:lang w:val="fr-FR"/>
        </w:rPr>
        <w:t>f) sur l</w:t>
      </w:r>
      <w:r w:rsidR="008E1649" w:rsidRPr="005671A1">
        <w:rPr>
          <w:lang w:val="fr-FR"/>
        </w:rPr>
        <w:t>’</w:t>
      </w:r>
      <w:r w:rsidRPr="005671A1">
        <w:rPr>
          <w:lang w:val="fr-FR"/>
        </w:rPr>
        <w:t>évaluation thématique de l</w:t>
      </w:r>
      <w:r w:rsidR="008E1649" w:rsidRPr="005671A1">
        <w:rPr>
          <w:lang w:val="fr-FR"/>
        </w:rPr>
        <w:t>’</w:t>
      </w:r>
      <w:r w:rsidRPr="005671A1">
        <w:rPr>
          <w:lang w:val="fr-FR"/>
        </w:rPr>
        <w:t>utilisation durable de la biodiversité, les points</w:t>
      </w:r>
      <w:r w:rsidR="008E1649" w:rsidRPr="005671A1">
        <w:rPr>
          <w:lang w:val="fr-FR"/>
        </w:rPr>
        <w:t> </w:t>
      </w:r>
      <w:r w:rsidRPr="005671A1">
        <w:rPr>
          <w:lang w:val="fr-FR"/>
        </w:rPr>
        <w:t>6</w:t>
      </w:r>
      <w:r w:rsidR="008E1649" w:rsidRPr="005671A1">
        <w:rPr>
          <w:lang w:val="fr-FR"/>
        </w:rPr>
        <w:t> </w:t>
      </w:r>
      <w:r w:rsidRPr="005671A1">
        <w:rPr>
          <w:lang w:val="fr-FR"/>
        </w:rPr>
        <w:t xml:space="preserve">d), e) et f) concernant trois évaluations supplémentaires à envisager dans le </w:t>
      </w:r>
      <w:r w:rsidR="004E7D81" w:rsidRPr="005671A1">
        <w:rPr>
          <w:lang w:val="fr-FR"/>
        </w:rPr>
        <w:t xml:space="preserve">cadre du </w:t>
      </w:r>
      <w:r w:rsidRPr="005671A1">
        <w:rPr>
          <w:lang w:val="fr-FR"/>
        </w:rPr>
        <w:t>programme de travail de la Plateforme, le point</w:t>
      </w:r>
      <w:r w:rsidR="00D4164C">
        <w:rPr>
          <w:lang w:val="fr-FR"/>
        </w:rPr>
        <w:t> </w:t>
      </w:r>
      <w:r w:rsidRPr="005671A1">
        <w:rPr>
          <w:lang w:val="fr-FR"/>
        </w:rPr>
        <w:t>6</w:t>
      </w:r>
      <w:r w:rsidR="008E1649" w:rsidRPr="005671A1">
        <w:rPr>
          <w:lang w:val="fr-FR"/>
        </w:rPr>
        <w:t> </w:t>
      </w:r>
      <w:r w:rsidRPr="005671A1">
        <w:rPr>
          <w:lang w:val="fr-FR"/>
        </w:rPr>
        <w:t>a) sur le renforcement des capacités et le point</w:t>
      </w:r>
      <w:r w:rsidR="008E1649" w:rsidRPr="005671A1">
        <w:rPr>
          <w:lang w:val="fr-FR"/>
        </w:rPr>
        <w:t> </w:t>
      </w:r>
      <w:r w:rsidRPr="005671A1">
        <w:rPr>
          <w:lang w:val="fr-FR"/>
        </w:rPr>
        <w:t>6</w:t>
      </w:r>
      <w:r w:rsidR="008E1649" w:rsidRPr="005671A1">
        <w:rPr>
          <w:lang w:val="fr-FR"/>
        </w:rPr>
        <w:t> </w:t>
      </w:r>
      <w:r w:rsidR="00D4164C">
        <w:rPr>
          <w:lang w:val="fr-FR"/>
        </w:rPr>
        <w:t>g</w:t>
      </w:r>
      <w:r w:rsidRPr="005671A1">
        <w:rPr>
          <w:lang w:val="fr-FR"/>
        </w:rPr>
        <w:t xml:space="preserve">) sur </w:t>
      </w:r>
      <w:r w:rsidR="00D4164C">
        <w:rPr>
          <w:lang w:val="fr-FR"/>
        </w:rPr>
        <w:t>les outils et méthodes d’appui à l’élaboration des politiques</w:t>
      </w:r>
      <w:r w:rsidRPr="005671A1">
        <w:rPr>
          <w:lang w:val="fr-FR"/>
        </w:rPr>
        <w:t>. Le</w:t>
      </w:r>
      <w:r w:rsidR="000D7104" w:rsidRPr="005671A1">
        <w:rPr>
          <w:lang w:val="fr-FR"/>
        </w:rPr>
        <w:t> </w:t>
      </w:r>
      <w:r w:rsidRPr="005671A1">
        <w:rPr>
          <w:lang w:val="fr-FR"/>
        </w:rPr>
        <w:t>troisi</w:t>
      </w:r>
      <w:r w:rsidR="00AA3CB4" w:rsidRPr="005671A1">
        <w:rPr>
          <w:lang w:val="fr-FR"/>
        </w:rPr>
        <w:t>ème </w:t>
      </w:r>
      <w:r w:rsidR="008E1649" w:rsidRPr="005671A1">
        <w:rPr>
          <w:lang w:val="fr-FR"/>
        </w:rPr>
        <w:t>groupe examinerait le point </w:t>
      </w:r>
      <w:r w:rsidRPr="005671A1">
        <w:rPr>
          <w:lang w:val="fr-FR"/>
        </w:rPr>
        <w:t xml:space="preserve">7 sur les dispositifs financiers et budgétaires pour la Plateforme, y compris un rapport sur les dépenses pour </w:t>
      </w:r>
      <w:r w:rsidR="004E7D81" w:rsidRPr="005671A1">
        <w:rPr>
          <w:lang w:val="fr-FR"/>
        </w:rPr>
        <w:t>la période</w:t>
      </w:r>
      <w:r w:rsidRPr="005671A1">
        <w:rPr>
          <w:lang w:val="fr-FR"/>
        </w:rPr>
        <w:t xml:space="preserve"> biennal</w:t>
      </w:r>
      <w:r w:rsidR="004E7D81" w:rsidRPr="005671A1">
        <w:rPr>
          <w:lang w:val="fr-FR"/>
        </w:rPr>
        <w:t>e</w:t>
      </w:r>
      <w:r w:rsidRPr="005671A1">
        <w:rPr>
          <w:lang w:val="fr-FR"/>
        </w:rPr>
        <w:t xml:space="preserve"> 2015-2016 et un projet de stratégie pour la </w:t>
      </w:r>
      <w:r w:rsidR="004E7D81" w:rsidRPr="005671A1">
        <w:rPr>
          <w:lang w:val="fr-FR"/>
        </w:rPr>
        <w:t>collecte</w:t>
      </w:r>
      <w:r w:rsidRPr="005671A1">
        <w:rPr>
          <w:lang w:val="fr-FR"/>
        </w:rPr>
        <w:t xml:space="preserve"> de fonds. Il est en outre suggéré que les séances plénières aient lieu tous les jours de 10 heures à 13 heures et de 15 heures à 18 heures. Le Bureau pense que des séances plénières en soirée pourraient également être nécessaires pour faire en sorte que les points inscrits à l</w:t>
      </w:r>
      <w:r w:rsidR="008E1649" w:rsidRPr="005671A1">
        <w:rPr>
          <w:lang w:val="fr-FR"/>
        </w:rPr>
        <w:t>’</w:t>
      </w:r>
      <w:r w:rsidRPr="005671A1">
        <w:rPr>
          <w:lang w:val="fr-FR"/>
        </w:rPr>
        <w:t xml:space="preserve">ordre du jour soient intégralement examinés dans la semaine. </w:t>
      </w:r>
    </w:p>
    <w:p w:rsidR="00801DEB" w:rsidRPr="005671A1" w:rsidRDefault="00801DEB" w:rsidP="009C30FC">
      <w:pPr>
        <w:pStyle w:val="Normalnumber"/>
        <w:numPr>
          <w:ilvl w:val="0"/>
          <w:numId w:val="43"/>
        </w:numPr>
        <w:tabs>
          <w:tab w:val="clear" w:pos="567"/>
          <w:tab w:val="clear" w:pos="624"/>
        </w:tabs>
        <w:rPr>
          <w:lang w:val="fr-FR"/>
        </w:rPr>
      </w:pPr>
      <w:r w:rsidRPr="005671A1">
        <w:rPr>
          <w:lang w:val="fr-FR"/>
        </w:rPr>
        <w:t>Une proposition sur la manière dont la Plénière souhaitera peut-être organiser ses travaux a été préparée, sur la base de la pratique suivie lors de ses précédentes sessions (voir annexe I), et une liste des documents de travail est fournie (annexe</w:t>
      </w:r>
      <w:r w:rsidR="008E1649" w:rsidRPr="005671A1">
        <w:rPr>
          <w:lang w:val="fr-FR"/>
        </w:rPr>
        <w:t> </w:t>
      </w:r>
      <w:r w:rsidRPr="005671A1">
        <w:rPr>
          <w:lang w:val="fr-FR"/>
        </w:rPr>
        <w:t>II). Cette proposition prévoit la répartition du temps et des tâches entre les groupes de contact que la Plénière souhaitera peut-être créer. L</w:t>
      </w:r>
      <w:r w:rsidR="008E1649" w:rsidRPr="005671A1">
        <w:rPr>
          <w:lang w:val="fr-FR"/>
        </w:rPr>
        <w:t>’</w:t>
      </w:r>
      <w:r w:rsidRPr="005671A1">
        <w:rPr>
          <w:lang w:val="fr-FR"/>
        </w:rPr>
        <w:t>interprétation simultanée dans les six langues officielles de l</w:t>
      </w:r>
      <w:r w:rsidR="008E1649" w:rsidRPr="005671A1">
        <w:rPr>
          <w:lang w:val="fr-FR"/>
        </w:rPr>
        <w:t>’</w:t>
      </w:r>
      <w:r w:rsidRPr="005671A1">
        <w:rPr>
          <w:lang w:val="fr-FR"/>
        </w:rPr>
        <w:t xml:space="preserve">Organisation des Nations Unies sera </w:t>
      </w:r>
      <w:r w:rsidR="004E7D81" w:rsidRPr="005671A1">
        <w:rPr>
          <w:lang w:val="fr-FR"/>
        </w:rPr>
        <w:t>assurée pour</w:t>
      </w:r>
      <w:r w:rsidRPr="005671A1">
        <w:rPr>
          <w:lang w:val="fr-FR"/>
        </w:rPr>
        <w:t xml:space="preserve"> t</w:t>
      </w:r>
      <w:r w:rsidR="004E7D81" w:rsidRPr="005671A1">
        <w:rPr>
          <w:lang w:val="fr-FR"/>
        </w:rPr>
        <w:t>outes les séances plénières et pour</w:t>
      </w:r>
      <w:r w:rsidRPr="005671A1">
        <w:rPr>
          <w:lang w:val="fr-FR"/>
        </w:rPr>
        <w:t xml:space="preserve"> certaines séances des groupes de contact</w:t>
      </w:r>
      <w:r w:rsidR="003A2ADD">
        <w:rPr>
          <w:lang w:val="fr-FR"/>
        </w:rPr>
        <w:t xml:space="preserve">. </w:t>
      </w:r>
    </w:p>
    <w:p w:rsidR="00801DEB" w:rsidRPr="005671A1" w:rsidRDefault="00801DEB" w:rsidP="009C30FC">
      <w:pPr>
        <w:pStyle w:val="CH3"/>
        <w:rPr>
          <w:lang w:val="fr-FR"/>
        </w:rPr>
      </w:pPr>
      <w:r w:rsidRPr="005671A1">
        <w:rPr>
          <w:lang w:val="fr-FR"/>
        </w:rPr>
        <w:tab/>
        <w:t>b)</w:t>
      </w:r>
      <w:r w:rsidRPr="005671A1">
        <w:rPr>
          <w:lang w:val="fr-FR"/>
        </w:rPr>
        <w:tab/>
        <w:t>Composition de la Plateforme</w:t>
      </w:r>
    </w:p>
    <w:p w:rsidR="00801DEB" w:rsidRDefault="00801DEB" w:rsidP="009C30FC">
      <w:pPr>
        <w:pStyle w:val="Normalnumber"/>
        <w:numPr>
          <w:ilvl w:val="0"/>
          <w:numId w:val="43"/>
        </w:numPr>
        <w:tabs>
          <w:tab w:val="clear" w:pos="567"/>
          <w:tab w:val="clear" w:pos="624"/>
        </w:tabs>
        <w:rPr>
          <w:lang w:val="fr-FR"/>
        </w:rPr>
      </w:pPr>
      <w:r w:rsidRPr="005671A1">
        <w:rPr>
          <w:lang w:val="fr-FR"/>
        </w:rPr>
        <w:t xml:space="preserve">Le secrétariat présentera des informations sur la composition de la Plateforme. Tout État </w:t>
      </w:r>
      <w:r w:rsidR="00710A3C">
        <w:rPr>
          <w:lang w:val="fr-FR"/>
        </w:rPr>
        <w:t>M</w:t>
      </w:r>
      <w:r w:rsidRPr="005671A1">
        <w:rPr>
          <w:lang w:val="fr-FR"/>
        </w:rPr>
        <w:t>embre de l</w:t>
      </w:r>
      <w:r w:rsidR="008E1649" w:rsidRPr="005671A1">
        <w:rPr>
          <w:lang w:val="fr-FR"/>
        </w:rPr>
        <w:t>’</w:t>
      </w:r>
      <w:r w:rsidRPr="005671A1">
        <w:rPr>
          <w:lang w:val="fr-FR"/>
        </w:rPr>
        <w:t>Organisation des Nations Unies qui n</w:t>
      </w:r>
      <w:r w:rsidR="008E1649" w:rsidRPr="005671A1">
        <w:rPr>
          <w:lang w:val="fr-FR"/>
        </w:rPr>
        <w:t>’</w:t>
      </w:r>
      <w:r w:rsidRPr="005671A1">
        <w:rPr>
          <w:lang w:val="fr-FR"/>
        </w:rPr>
        <w:t>est pas membre de la Plateforme mais a l</w:t>
      </w:r>
      <w:r w:rsidR="008E1649" w:rsidRPr="005671A1">
        <w:rPr>
          <w:lang w:val="fr-FR"/>
        </w:rPr>
        <w:t>’</w:t>
      </w:r>
      <w:r w:rsidRPr="005671A1">
        <w:rPr>
          <w:lang w:val="fr-FR"/>
        </w:rPr>
        <w:t>intention de le devenir est prié d</w:t>
      </w:r>
      <w:r w:rsidR="008E1649" w:rsidRPr="005671A1">
        <w:rPr>
          <w:lang w:val="fr-FR"/>
        </w:rPr>
        <w:t>’</w:t>
      </w:r>
      <w:r w:rsidRPr="005671A1">
        <w:rPr>
          <w:lang w:val="fr-FR"/>
        </w:rPr>
        <w:t>en faire part au secrétariat dans une lettre officielle émanant de l</w:t>
      </w:r>
      <w:r w:rsidR="008E1649" w:rsidRPr="005671A1">
        <w:rPr>
          <w:lang w:val="fr-FR"/>
        </w:rPr>
        <w:t>’</w:t>
      </w:r>
      <w:r w:rsidRPr="005671A1">
        <w:rPr>
          <w:lang w:val="fr-FR"/>
        </w:rPr>
        <w:t>autorité gouvernementale compétente.</w:t>
      </w:r>
    </w:p>
    <w:p w:rsidR="003A2ADD" w:rsidRPr="005671A1" w:rsidRDefault="003A2ADD" w:rsidP="009C30FC">
      <w:pPr>
        <w:pStyle w:val="Normalnumber"/>
        <w:numPr>
          <w:ilvl w:val="0"/>
          <w:numId w:val="43"/>
        </w:numPr>
        <w:tabs>
          <w:tab w:val="clear" w:pos="567"/>
          <w:tab w:val="clear" w:pos="624"/>
        </w:tabs>
        <w:rPr>
          <w:lang w:val="fr-FR"/>
        </w:rPr>
      </w:pPr>
      <w:r>
        <w:rPr>
          <w:lang w:val="fr-FR"/>
        </w:rPr>
        <w:t>Le 21 février 2017, le Secrétaire exécutif a reçu une proposition soumise par la Slovaquie au nom des États de l’Union européenne qui sont membres de la Plateforme, relative à la participation de l’Union européenne aux travaux de la Plateforme, pour examen au titre de ce point de l’ordre du jour (IPBES/5/INF/27).</w:t>
      </w:r>
    </w:p>
    <w:p w:rsidR="00C17BC7" w:rsidRPr="005671A1" w:rsidRDefault="00C17BC7" w:rsidP="009C30FC">
      <w:pPr>
        <w:pStyle w:val="CH3"/>
        <w:rPr>
          <w:lang w:val="fr-FR"/>
        </w:rPr>
      </w:pPr>
      <w:r w:rsidRPr="005671A1">
        <w:rPr>
          <w:lang w:val="fr-FR"/>
        </w:rPr>
        <w:tab/>
        <w:t>c)</w:t>
      </w:r>
      <w:r w:rsidRPr="005671A1">
        <w:rPr>
          <w:lang w:val="fr-FR"/>
        </w:rPr>
        <w:tab/>
      </w:r>
      <w:r w:rsidR="00A23434" w:rsidRPr="005671A1">
        <w:rPr>
          <w:lang w:val="fr-FR"/>
        </w:rPr>
        <w:t xml:space="preserve">Désignation </w:t>
      </w:r>
      <w:r w:rsidRPr="005671A1">
        <w:rPr>
          <w:lang w:val="fr-FR"/>
        </w:rPr>
        <w:t>de</w:t>
      </w:r>
      <w:r w:rsidR="004E7D81" w:rsidRPr="005671A1">
        <w:rPr>
          <w:lang w:val="fr-FR"/>
        </w:rPr>
        <w:t>s membres</w:t>
      </w:r>
      <w:r w:rsidRPr="005671A1">
        <w:rPr>
          <w:lang w:val="fr-FR"/>
        </w:rPr>
        <w:t xml:space="preserve"> suppléants du Groupe d</w:t>
      </w:r>
      <w:r w:rsidR="008E1649" w:rsidRPr="005671A1">
        <w:rPr>
          <w:lang w:val="fr-FR"/>
        </w:rPr>
        <w:t>’</w:t>
      </w:r>
      <w:r w:rsidRPr="005671A1">
        <w:rPr>
          <w:lang w:val="fr-FR"/>
        </w:rPr>
        <w:t xml:space="preserve">experts multidisciplinaire </w:t>
      </w:r>
    </w:p>
    <w:p w:rsidR="00C17BC7" w:rsidRPr="005671A1" w:rsidRDefault="00C17BC7" w:rsidP="009C30FC">
      <w:pPr>
        <w:pStyle w:val="Normalnumber"/>
        <w:numPr>
          <w:ilvl w:val="0"/>
          <w:numId w:val="43"/>
        </w:numPr>
        <w:rPr>
          <w:lang w:val="fr-FR"/>
        </w:rPr>
      </w:pPr>
      <w:r w:rsidRPr="005671A1">
        <w:rPr>
          <w:lang w:val="fr-FR"/>
        </w:rPr>
        <w:t>La Plénière sera invitée à</w:t>
      </w:r>
      <w:r w:rsidR="00A23434" w:rsidRPr="005671A1">
        <w:rPr>
          <w:lang w:val="fr-FR"/>
        </w:rPr>
        <w:t xml:space="preserve"> désigner</w:t>
      </w:r>
      <w:r w:rsidRPr="005671A1">
        <w:rPr>
          <w:lang w:val="fr-FR"/>
        </w:rPr>
        <w:t>, conformément à l</w:t>
      </w:r>
      <w:r w:rsidR="008E1649" w:rsidRPr="005671A1">
        <w:rPr>
          <w:lang w:val="fr-FR"/>
        </w:rPr>
        <w:t>’article </w:t>
      </w:r>
      <w:r w:rsidR="00AA3CB4" w:rsidRPr="005671A1">
        <w:rPr>
          <w:lang w:val="fr-FR"/>
        </w:rPr>
        <w:t>31 de son r</w:t>
      </w:r>
      <w:r w:rsidRPr="005671A1">
        <w:rPr>
          <w:lang w:val="fr-FR"/>
        </w:rPr>
        <w:t>èglement intérieur modifié par la décision</w:t>
      </w:r>
      <w:r w:rsidR="008E1649" w:rsidRPr="005671A1">
        <w:rPr>
          <w:lang w:val="fr-FR"/>
        </w:rPr>
        <w:t> </w:t>
      </w:r>
      <w:r w:rsidRPr="005671A1">
        <w:rPr>
          <w:lang w:val="fr-FR"/>
        </w:rPr>
        <w:t>IPBES-2/1, des suppléants pour quatre membres du Groupe d</w:t>
      </w:r>
      <w:r w:rsidR="008E1649" w:rsidRPr="005671A1">
        <w:rPr>
          <w:lang w:val="fr-FR"/>
        </w:rPr>
        <w:t>’</w:t>
      </w:r>
      <w:r w:rsidRPr="005671A1">
        <w:rPr>
          <w:lang w:val="fr-FR"/>
        </w:rPr>
        <w:t>experts multidisciplinaire ayant démissionné depuis la quatrième sessi</w:t>
      </w:r>
      <w:r w:rsidR="008E1649" w:rsidRPr="005671A1">
        <w:rPr>
          <w:lang w:val="fr-FR"/>
        </w:rPr>
        <w:t>on de la Plénière, à savoir Mme </w:t>
      </w:r>
      <w:r w:rsidR="00AA3CB4" w:rsidRPr="005671A1">
        <w:rPr>
          <w:lang w:val="fr-FR"/>
        </w:rPr>
        <w:t>Sandra </w:t>
      </w:r>
      <w:r w:rsidRPr="005671A1">
        <w:rPr>
          <w:lang w:val="fr-FR"/>
        </w:rPr>
        <w:t>Diaz (</w:t>
      </w:r>
      <w:r w:rsidR="004E7D81" w:rsidRPr="005671A1">
        <w:rPr>
          <w:lang w:val="fr-FR"/>
        </w:rPr>
        <w:t xml:space="preserve">région </w:t>
      </w:r>
      <w:r w:rsidRPr="005671A1">
        <w:rPr>
          <w:lang w:val="fr-FR"/>
        </w:rPr>
        <w:t>Amérique latine et Caraïbes), Mme</w:t>
      </w:r>
      <w:r w:rsidR="008E1649" w:rsidRPr="005671A1">
        <w:rPr>
          <w:lang w:val="fr-FR"/>
        </w:rPr>
        <w:t> </w:t>
      </w:r>
      <w:r w:rsidRPr="005671A1">
        <w:rPr>
          <w:lang w:val="fr-FR"/>
        </w:rPr>
        <w:t>Maja Vasilijevic et M.</w:t>
      </w:r>
      <w:r w:rsidR="008E1649" w:rsidRPr="005671A1">
        <w:rPr>
          <w:lang w:val="fr-FR"/>
        </w:rPr>
        <w:t> </w:t>
      </w:r>
      <w:r w:rsidRPr="005671A1">
        <w:rPr>
          <w:lang w:val="fr-FR"/>
        </w:rPr>
        <w:t>György Pataki (</w:t>
      </w:r>
      <w:r w:rsidR="004E7D81" w:rsidRPr="005671A1">
        <w:rPr>
          <w:lang w:val="fr-FR"/>
        </w:rPr>
        <w:t xml:space="preserve">région </w:t>
      </w:r>
      <w:r w:rsidR="00AA3CB4" w:rsidRPr="005671A1">
        <w:rPr>
          <w:lang w:val="fr-FR"/>
        </w:rPr>
        <w:t>Europe orientale), et Mme</w:t>
      </w:r>
      <w:r w:rsidR="008E1649" w:rsidRPr="005671A1">
        <w:rPr>
          <w:lang w:val="fr-FR"/>
        </w:rPr>
        <w:t> </w:t>
      </w:r>
      <w:r w:rsidRPr="005671A1">
        <w:rPr>
          <w:lang w:val="fr-FR"/>
        </w:rPr>
        <w:t>Charlotte Karibuhoye (</w:t>
      </w:r>
      <w:r w:rsidR="004E7D81" w:rsidRPr="005671A1">
        <w:rPr>
          <w:lang w:val="fr-FR"/>
        </w:rPr>
        <w:t xml:space="preserve">région </w:t>
      </w:r>
      <w:r w:rsidRPr="005671A1">
        <w:rPr>
          <w:lang w:val="fr-FR"/>
        </w:rPr>
        <w:t xml:space="preserve">Afrique). Des informations sur les </w:t>
      </w:r>
      <w:r w:rsidR="004E7D81" w:rsidRPr="005671A1">
        <w:rPr>
          <w:lang w:val="fr-FR"/>
        </w:rPr>
        <w:t xml:space="preserve">candidatures présentées </w:t>
      </w:r>
      <w:r w:rsidRPr="005671A1">
        <w:rPr>
          <w:lang w:val="fr-FR"/>
        </w:rPr>
        <w:t xml:space="preserve">par les régions concernées </w:t>
      </w:r>
      <w:r w:rsidR="00AA3CB4" w:rsidRPr="005671A1">
        <w:rPr>
          <w:lang w:val="fr-FR"/>
        </w:rPr>
        <w:t>figurent</w:t>
      </w:r>
      <w:r w:rsidRPr="005671A1">
        <w:rPr>
          <w:lang w:val="fr-FR"/>
        </w:rPr>
        <w:t xml:space="preserve"> dans la note du secrétariat sur la question (IPBES/5/13) et les curriculum vitae des personnes désignées dans le document</w:t>
      </w:r>
      <w:r w:rsidR="008E1649" w:rsidRPr="005671A1">
        <w:rPr>
          <w:lang w:val="fr-FR"/>
        </w:rPr>
        <w:t> </w:t>
      </w:r>
      <w:r w:rsidRPr="005671A1">
        <w:rPr>
          <w:lang w:val="fr-FR"/>
        </w:rPr>
        <w:t>IPBES/5/INF/20. Les régions concernées seront invitées à examiner les candidatures reçues et nommeront un suppléant de la région Amérique latine et Caraïbes, deux suppléants de la région Europe orientale et un suppléant de la région Afrique</w:t>
      </w:r>
      <w:r w:rsidR="00A23434" w:rsidRPr="005671A1">
        <w:rPr>
          <w:lang w:val="fr-FR"/>
        </w:rPr>
        <w:t xml:space="preserve">; ces nominations </w:t>
      </w:r>
      <w:r w:rsidRPr="005671A1">
        <w:rPr>
          <w:lang w:val="fr-FR"/>
        </w:rPr>
        <w:t>seront soumis</w:t>
      </w:r>
      <w:r w:rsidR="00A23434" w:rsidRPr="005671A1">
        <w:rPr>
          <w:lang w:val="fr-FR"/>
        </w:rPr>
        <w:t>es</w:t>
      </w:r>
      <w:r w:rsidRPr="005671A1">
        <w:rPr>
          <w:lang w:val="fr-FR"/>
        </w:rPr>
        <w:t xml:space="preserve"> à la Plénière pour approbation. </w:t>
      </w:r>
    </w:p>
    <w:p w:rsidR="00801DEB" w:rsidRPr="005671A1" w:rsidRDefault="008E1649" w:rsidP="009C30FC">
      <w:pPr>
        <w:pStyle w:val="CH2"/>
        <w:ind w:left="1248" w:hanging="624"/>
        <w:rPr>
          <w:lang w:val="fr-FR"/>
        </w:rPr>
      </w:pPr>
      <w:r w:rsidRPr="005671A1">
        <w:rPr>
          <w:lang w:val="fr-FR"/>
        </w:rPr>
        <w:t>Point </w:t>
      </w:r>
      <w:r w:rsidR="00801DEB" w:rsidRPr="005671A1">
        <w:rPr>
          <w:lang w:val="fr-FR"/>
        </w:rPr>
        <w:t>3</w:t>
      </w:r>
    </w:p>
    <w:p w:rsidR="00801DEB" w:rsidRPr="005671A1" w:rsidRDefault="00801DEB" w:rsidP="009C30FC">
      <w:pPr>
        <w:pStyle w:val="CH2"/>
        <w:ind w:left="1248" w:hanging="624"/>
        <w:rPr>
          <w:lang w:val="fr-FR"/>
        </w:rPr>
      </w:pPr>
      <w:r w:rsidRPr="005671A1">
        <w:rPr>
          <w:lang w:val="fr-FR"/>
        </w:rPr>
        <w:t>Admission d</w:t>
      </w:r>
      <w:r w:rsidR="008E1649" w:rsidRPr="005671A1">
        <w:rPr>
          <w:lang w:val="fr-FR"/>
        </w:rPr>
        <w:t>’</w:t>
      </w:r>
      <w:r w:rsidRPr="005671A1">
        <w:rPr>
          <w:lang w:val="fr-FR"/>
        </w:rPr>
        <w:t>observateurs à la cinquième session de la Plénière de la Plateforme</w:t>
      </w:r>
    </w:p>
    <w:p w:rsidR="00801DEB" w:rsidRPr="005671A1" w:rsidRDefault="00801DEB" w:rsidP="009C30FC">
      <w:pPr>
        <w:pStyle w:val="Normalnumber"/>
        <w:numPr>
          <w:ilvl w:val="0"/>
          <w:numId w:val="43"/>
        </w:numPr>
        <w:tabs>
          <w:tab w:val="clear" w:pos="567"/>
          <w:tab w:val="clear" w:pos="624"/>
        </w:tabs>
        <w:rPr>
          <w:lang w:val="fr-FR"/>
        </w:rPr>
      </w:pPr>
      <w:r w:rsidRPr="005671A1">
        <w:rPr>
          <w:lang w:val="fr-FR"/>
        </w:rPr>
        <w:t>Le Président de la Plateforme proposera</w:t>
      </w:r>
      <w:r w:rsidR="004E7D81" w:rsidRPr="005671A1">
        <w:rPr>
          <w:lang w:val="fr-FR"/>
        </w:rPr>
        <w:t>,</w:t>
      </w:r>
      <w:r w:rsidRPr="005671A1">
        <w:rPr>
          <w:lang w:val="fr-FR"/>
        </w:rPr>
        <w:t xml:space="preserve"> au nom du Bureau</w:t>
      </w:r>
      <w:r w:rsidR="004E7D81" w:rsidRPr="005671A1">
        <w:rPr>
          <w:lang w:val="fr-FR"/>
        </w:rPr>
        <w:t>,</w:t>
      </w:r>
      <w:r w:rsidRPr="005671A1">
        <w:rPr>
          <w:lang w:val="fr-FR"/>
        </w:rPr>
        <w:t xml:space="preserve"> la liste d</w:t>
      </w:r>
      <w:r w:rsidR="004E7D81" w:rsidRPr="005671A1">
        <w:rPr>
          <w:lang w:val="fr-FR"/>
        </w:rPr>
        <w:t xml:space="preserve">es </w:t>
      </w:r>
      <w:r w:rsidRPr="005671A1">
        <w:rPr>
          <w:lang w:val="fr-FR"/>
        </w:rPr>
        <w:t>observateurs admis à la cinquième session (voir IPBES/5/INF/21)</w:t>
      </w:r>
      <w:r w:rsidR="004E7D81" w:rsidRPr="005671A1">
        <w:rPr>
          <w:lang w:val="fr-FR"/>
        </w:rPr>
        <w:t xml:space="preserve"> conformément à la décision prise par</w:t>
      </w:r>
      <w:r w:rsidRPr="005671A1">
        <w:rPr>
          <w:lang w:val="fr-FR"/>
        </w:rPr>
        <w:t xml:space="preserve"> la Plénière à sa</w:t>
      </w:r>
      <w:r w:rsidR="00A23434" w:rsidRPr="005671A1">
        <w:rPr>
          <w:lang w:val="fr-FR"/>
        </w:rPr>
        <w:t> </w:t>
      </w:r>
      <w:r w:rsidRPr="005671A1">
        <w:rPr>
          <w:lang w:val="fr-FR"/>
        </w:rPr>
        <w:t>quat</w:t>
      </w:r>
      <w:r w:rsidR="000E7417" w:rsidRPr="005671A1">
        <w:rPr>
          <w:lang w:val="fr-FR"/>
        </w:rPr>
        <w:t>rième session (IPBES/4/19, par. </w:t>
      </w:r>
      <w:r w:rsidRPr="005671A1">
        <w:rPr>
          <w:lang w:val="fr-FR"/>
        </w:rPr>
        <w:t>105)</w:t>
      </w:r>
      <w:r w:rsidR="004E7D81" w:rsidRPr="005671A1">
        <w:rPr>
          <w:lang w:val="fr-FR"/>
        </w:rPr>
        <w:t>,</w:t>
      </w:r>
      <w:r w:rsidRPr="005671A1">
        <w:rPr>
          <w:lang w:val="fr-FR"/>
        </w:rPr>
        <w:t xml:space="preserve"> selon laquelle la procédure provisoire d</w:t>
      </w:r>
      <w:r w:rsidR="008E1649" w:rsidRPr="005671A1">
        <w:rPr>
          <w:lang w:val="fr-FR"/>
        </w:rPr>
        <w:t>’</w:t>
      </w:r>
      <w:r w:rsidRPr="005671A1">
        <w:rPr>
          <w:lang w:val="fr-FR"/>
        </w:rPr>
        <w:t>admission des observateurs aux sessions de la Plénière, énoncée au paragraphe</w:t>
      </w:r>
      <w:r w:rsidR="008E1649" w:rsidRPr="005671A1">
        <w:rPr>
          <w:lang w:val="fr-FR"/>
        </w:rPr>
        <w:t> </w:t>
      </w:r>
      <w:r w:rsidRPr="005671A1">
        <w:rPr>
          <w:lang w:val="fr-FR"/>
        </w:rPr>
        <w:t xml:space="preserve">22 du rapport </w:t>
      </w:r>
      <w:r w:rsidR="00A23434" w:rsidRPr="005671A1">
        <w:rPr>
          <w:lang w:val="fr-FR"/>
        </w:rPr>
        <w:t xml:space="preserve">sur les travaux </w:t>
      </w:r>
      <w:r w:rsidRPr="005671A1">
        <w:rPr>
          <w:lang w:val="fr-FR"/>
        </w:rPr>
        <w:t>de la</w:t>
      </w:r>
      <w:r w:rsidR="00A23434" w:rsidRPr="005671A1">
        <w:rPr>
          <w:lang w:val="fr-FR"/>
        </w:rPr>
        <w:t> </w:t>
      </w:r>
      <w:r w:rsidRPr="005671A1">
        <w:rPr>
          <w:lang w:val="fr-FR"/>
        </w:rPr>
        <w:t>première session de la Plénière (IPBES/1/12) et appliquée à ses d</w:t>
      </w:r>
      <w:r w:rsidR="00710A3C">
        <w:rPr>
          <w:lang w:val="fr-FR"/>
        </w:rPr>
        <w:t>euxième, troisième et quatrième </w:t>
      </w:r>
      <w:r w:rsidRPr="005671A1">
        <w:rPr>
          <w:lang w:val="fr-FR"/>
        </w:rPr>
        <w:t>sessions, s</w:t>
      </w:r>
      <w:r w:rsidR="008E1649" w:rsidRPr="005671A1">
        <w:rPr>
          <w:lang w:val="fr-FR"/>
        </w:rPr>
        <w:t>’</w:t>
      </w:r>
      <w:r w:rsidRPr="005671A1">
        <w:rPr>
          <w:lang w:val="fr-FR"/>
        </w:rPr>
        <w:t>appliquerait à sa cinquième session.</w:t>
      </w:r>
    </w:p>
    <w:p w:rsidR="00801DEB" w:rsidRPr="005671A1" w:rsidRDefault="00801DEB" w:rsidP="009C30FC">
      <w:pPr>
        <w:pStyle w:val="Normalnumber"/>
        <w:numPr>
          <w:ilvl w:val="0"/>
          <w:numId w:val="43"/>
        </w:numPr>
        <w:tabs>
          <w:tab w:val="clear" w:pos="567"/>
        </w:tabs>
        <w:rPr>
          <w:color w:val="000000"/>
          <w:sz w:val="24"/>
          <w:szCs w:val="24"/>
          <w:lang w:val="fr-FR"/>
        </w:rPr>
      </w:pPr>
      <w:r w:rsidRPr="005671A1">
        <w:rPr>
          <w:lang w:val="fr-FR"/>
        </w:rPr>
        <w:t>La Plénière a également décidé d</w:t>
      </w:r>
      <w:r w:rsidR="008E1649" w:rsidRPr="005671A1">
        <w:rPr>
          <w:lang w:val="fr-FR"/>
        </w:rPr>
        <w:t>’</w:t>
      </w:r>
      <w:r w:rsidRPr="005671A1">
        <w:rPr>
          <w:lang w:val="fr-FR"/>
        </w:rPr>
        <w:t>examiner plus avant à sa cinquième session le projet de politique et procédures d</w:t>
      </w:r>
      <w:r w:rsidR="008E1649" w:rsidRPr="005671A1">
        <w:rPr>
          <w:lang w:val="fr-FR"/>
        </w:rPr>
        <w:t>’</w:t>
      </w:r>
      <w:r w:rsidRPr="005671A1">
        <w:rPr>
          <w:lang w:val="fr-FR"/>
        </w:rPr>
        <w:t>admission des observateurs, qui figure à l</w:t>
      </w:r>
      <w:r w:rsidR="008E1649" w:rsidRPr="005671A1">
        <w:rPr>
          <w:lang w:val="fr-FR"/>
        </w:rPr>
        <w:t>’</w:t>
      </w:r>
      <w:r w:rsidRPr="005671A1">
        <w:rPr>
          <w:lang w:val="fr-FR"/>
        </w:rPr>
        <w:t>annexe de la note du secrétariat sur la question (IPBES/5/14).</w:t>
      </w:r>
    </w:p>
    <w:p w:rsidR="00801DEB" w:rsidRPr="005671A1" w:rsidRDefault="00801DEB" w:rsidP="009C30FC">
      <w:pPr>
        <w:pStyle w:val="CH2"/>
        <w:ind w:left="1248" w:hanging="624"/>
        <w:rPr>
          <w:lang w:val="fr-FR"/>
        </w:rPr>
      </w:pPr>
      <w:r w:rsidRPr="005671A1">
        <w:rPr>
          <w:lang w:val="fr-FR"/>
        </w:rPr>
        <w:lastRenderedPageBreak/>
        <w:t>Point 4</w:t>
      </w:r>
    </w:p>
    <w:p w:rsidR="00801DEB" w:rsidRPr="005671A1" w:rsidRDefault="00801DEB" w:rsidP="009C30FC">
      <w:pPr>
        <w:pStyle w:val="CH2"/>
        <w:ind w:left="1248" w:hanging="624"/>
        <w:rPr>
          <w:lang w:val="fr-FR"/>
        </w:rPr>
      </w:pPr>
      <w:r w:rsidRPr="005671A1">
        <w:rPr>
          <w:lang w:val="fr-FR"/>
        </w:rPr>
        <w:t>Vérification des pouvoirs des représentants</w:t>
      </w:r>
    </w:p>
    <w:p w:rsidR="00801DEB" w:rsidRPr="005671A1" w:rsidRDefault="00801DEB" w:rsidP="009C30FC">
      <w:pPr>
        <w:pStyle w:val="Normalnumber"/>
        <w:numPr>
          <w:ilvl w:val="0"/>
          <w:numId w:val="43"/>
        </w:numPr>
        <w:tabs>
          <w:tab w:val="clear" w:pos="567"/>
          <w:tab w:val="clear" w:pos="624"/>
        </w:tabs>
        <w:rPr>
          <w:lang w:val="fr-FR"/>
        </w:rPr>
      </w:pPr>
      <w:r w:rsidRPr="005671A1">
        <w:rPr>
          <w:lang w:val="fr-FR"/>
        </w:rPr>
        <w:t>Tous les États membres de la Plateforme sont invités à participer pleinement à la session. Aux termes de l</w:t>
      </w:r>
      <w:r w:rsidR="008E1649" w:rsidRPr="005671A1">
        <w:rPr>
          <w:lang w:val="fr-FR"/>
        </w:rPr>
        <w:t>’</w:t>
      </w:r>
      <w:r w:rsidR="00AA3CB4" w:rsidRPr="005671A1">
        <w:rPr>
          <w:lang w:val="fr-FR"/>
        </w:rPr>
        <w:t>article 11 du r</w:t>
      </w:r>
      <w:r w:rsidRPr="005671A1">
        <w:rPr>
          <w:lang w:val="fr-FR"/>
        </w:rPr>
        <w:t>èglement intérieur, chaque membre de la Plateforme est représenté par une délégation composée d</w:t>
      </w:r>
      <w:r w:rsidR="008E1649" w:rsidRPr="005671A1">
        <w:rPr>
          <w:lang w:val="fr-FR"/>
        </w:rPr>
        <w:t>’</w:t>
      </w:r>
      <w:r w:rsidR="004E7D81" w:rsidRPr="005671A1">
        <w:rPr>
          <w:lang w:val="fr-FR"/>
        </w:rPr>
        <w:t>un chef de délégation et autres représentants accrédités,</w:t>
      </w:r>
      <w:r w:rsidRPr="005671A1">
        <w:rPr>
          <w:lang w:val="fr-FR"/>
        </w:rPr>
        <w:t xml:space="preserve"> </w:t>
      </w:r>
      <w:r w:rsidR="004E7D81" w:rsidRPr="005671A1">
        <w:rPr>
          <w:lang w:val="fr-FR"/>
        </w:rPr>
        <w:t xml:space="preserve">de représentants </w:t>
      </w:r>
      <w:r w:rsidRPr="005671A1">
        <w:rPr>
          <w:lang w:val="fr-FR"/>
        </w:rPr>
        <w:t xml:space="preserve">suppléants et </w:t>
      </w:r>
      <w:r w:rsidR="004E7D81" w:rsidRPr="005671A1">
        <w:rPr>
          <w:lang w:val="fr-FR"/>
        </w:rPr>
        <w:t xml:space="preserve">de </w:t>
      </w:r>
      <w:r w:rsidRPr="005671A1">
        <w:rPr>
          <w:lang w:val="fr-FR"/>
        </w:rPr>
        <w:t>conseillers qu</w:t>
      </w:r>
      <w:r w:rsidR="008E1649" w:rsidRPr="005671A1">
        <w:rPr>
          <w:lang w:val="fr-FR"/>
        </w:rPr>
        <w:t>’</w:t>
      </w:r>
      <w:r w:rsidRPr="005671A1">
        <w:rPr>
          <w:lang w:val="fr-FR"/>
        </w:rPr>
        <w:t xml:space="preserve">il juge nécessaires. </w:t>
      </w:r>
    </w:p>
    <w:p w:rsidR="00801DEB" w:rsidRPr="005671A1" w:rsidRDefault="00801DEB" w:rsidP="009C30FC">
      <w:pPr>
        <w:pStyle w:val="Normalnumber"/>
        <w:numPr>
          <w:ilvl w:val="0"/>
          <w:numId w:val="43"/>
        </w:numPr>
        <w:tabs>
          <w:tab w:val="clear" w:pos="567"/>
          <w:tab w:val="clear" w:pos="624"/>
        </w:tabs>
        <w:rPr>
          <w:lang w:val="fr-FR"/>
        </w:rPr>
      </w:pPr>
      <w:r w:rsidRPr="005671A1">
        <w:rPr>
          <w:lang w:val="fr-FR"/>
        </w:rPr>
        <w:t>En application de l</w:t>
      </w:r>
      <w:r w:rsidR="008E1649" w:rsidRPr="005671A1">
        <w:rPr>
          <w:lang w:val="fr-FR"/>
        </w:rPr>
        <w:t>’</w:t>
      </w:r>
      <w:r w:rsidRPr="005671A1">
        <w:rPr>
          <w:lang w:val="fr-FR"/>
        </w:rPr>
        <w:t>article</w:t>
      </w:r>
      <w:r w:rsidR="008E1649" w:rsidRPr="005671A1">
        <w:rPr>
          <w:lang w:val="fr-FR"/>
        </w:rPr>
        <w:t> </w:t>
      </w:r>
      <w:r w:rsidR="00AA3CB4" w:rsidRPr="005671A1">
        <w:rPr>
          <w:lang w:val="fr-FR"/>
        </w:rPr>
        <w:t>12 du r</w:t>
      </w:r>
      <w:r w:rsidRPr="005671A1">
        <w:rPr>
          <w:lang w:val="fr-FR"/>
        </w:rPr>
        <w:t>èglement intérieur, les représentants des États membres de la Plateforme qui participent à la session doivent communiquer au secrétariat leurs pouvoirs délivrés par leur chef d</w:t>
      </w:r>
      <w:r w:rsidR="008E1649" w:rsidRPr="005671A1">
        <w:rPr>
          <w:lang w:val="fr-FR"/>
        </w:rPr>
        <w:t>’</w:t>
      </w:r>
      <w:r w:rsidRPr="005671A1">
        <w:rPr>
          <w:lang w:val="fr-FR"/>
        </w:rPr>
        <w:t>État ou de gouvernement ou par leur ministre des affaires étrangères, ou en leur nom, conformément aux politiques et à la législation de chaque pays, si possible 24</w:t>
      </w:r>
      <w:r w:rsidR="008E1649" w:rsidRPr="005671A1">
        <w:rPr>
          <w:lang w:val="fr-FR"/>
        </w:rPr>
        <w:t> </w:t>
      </w:r>
      <w:r w:rsidRPr="005671A1">
        <w:rPr>
          <w:lang w:val="fr-FR"/>
        </w:rPr>
        <w:t>heures au plus tard après l</w:t>
      </w:r>
      <w:r w:rsidR="008E1649" w:rsidRPr="005671A1">
        <w:rPr>
          <w:lang w:val="fr-FR"/>
        </w:rPr>
        <w:t>’</w:t>
      </w:r>
      <w:r w:rsidRPr="005671A1">
        <w:rPr>
          <w:lang w:val="fr-FR"/>
        </w:rPr>
        <w:t xml:space="preserve">ouverture de la session. Sans ces pouvoirs, les représentants ne pourront pas participer à la prise de décisions à la session. </w:t>
      </w:r>
    </w:p>
    <w:p w:rsidR="00801DEB" w:rsidRPr="005671A1" w:rsidRDefault="00801DEB" w:rsidP="009C30FC">
      <w:pPr>
        <w:pStyle w:val="Normalnumber"/>
        <w:numPr>
          <w:ilvl w:val="0"/>
          <w:numId w:val="43"/>
        </w:numPr>
        <w:tabs>
          <w:tab w:val="clear" w:pos="567"/>
          <w:tab w:val="clear" w:pos="624"/>
        </w:tabs>
        <w:rPr>
          <w:lang w:val="fr-FR"/>
        </w:rPr>
      </w:pPr>
      <w:r w:rsidRPr="005671A1">
        <w:rPr>
          <w:lang w:val="fr-FR"/>
        </w:rPr>
        <w:t>Conformément à l</w:t>
      </w:r>
      <w:r w:rsidR="008E1649" w:rsidRPr="005671A1">
        <w:rPr>
          <w:lang w:val="fr-FR"/>
        </w:rPr>
        <w:t>’</w:t>
      </w:r>
      <w:r w:rsidR="00AA3CB4" w:rsidRPr="005671A1">
        <w:rPr>
          <w:lang w:val="fr-FR"/>
        </w:rPr>
        <w:t>article 13 du r</w:t>
      </w:r>
      <w:r w:rsidRPr="005671A1">
        <w:rPr>
          <w:lang w:val="fr-FR"/>
        </w:rPr>
        <w:t>èglement intérieur, le Bureau examinera les pouvoirs des représentants des membres de la Plateforme et fera rapport à ce sujet à la Plénière. Le Bureau soumettra son rapport le matin du vendredi 10</w:t>
      </w:r>
      <w:r w:rsidR="008E1649" w:rsidRPr="005671A1">
        <w:rPr>
          <w:lang w:val="fr-FR"/>
        </w:rPr>
        <w:t> </w:t>
      </w:r>
      <w:r w:rsidRPr="005671A1">
        <w:rPr>
          <w:lang w:val="fr-FR"/>
        </w:rPr>
        <w:t>mars 2017, avant l</w:t>
      </w:r>
      <w:r w:rsidR="008E1649" w:rsidRPr="005671A1">
        <w:rPr>
          <w:lang w:val="fr-FR"/>
        </w:rPr>
        <w:t>’</w:t>
      </w:r>
      <w:r w:rsidRPr="005671A1">
        <w:rPr>
          <w:lang w:val="fr-FR"/>
        </w:rPr>
        <w:t>adoption de toute résolution, décision ou recommandation.</w:t>
      </w:r>
    </w:p>
    <w:p w:rsidR="00801DEB" w:rsidRPr="005671A1" w:rsidRDefault="00801DEB" w:rsidP="009C30FC">
      <w:pPr>
        <w:pStyle w:val="CH2"/>
        <w:keepNext w:val="0"/>
        <w:keepLines w:val="0"/>
        <w:spacing w:before="240"/>
        <w:ind w:left="1248" w:hanging="624"/>
        <w:rPr>
          <w:lang w:val="fr-FR"/>
        </w:rPr>
      </w:pPr>
      <w:r w:rsidRPr="005671A1">
        <w:rPr>
          <w:lang w:val="fr-FR"/>
        </w:rPr>
        <w:t>Point</w:t>
      </w:r>
      <w:r w:rsidR="008E1649" w:rsidRPr="005671A1">
        <w:rPr>
          <w:lang w:val="fr-FR"/>
        </w:rPr>
        <w:t> </w:t>
      </w:r>
      <w:r w:rsidRPr="005671A1">
        <w:rPr>
          <w:lang w:val="fr-FR"/>
        </w:rPr>
        <w:t>5</w:t>
      </w:r>
    </w:p>
    <w:p w:rsidR="00801DEB" w:rsidRPr="005671A1" w:rsidRDefault="00801DEB" w:rsidP="009C30FC">
      <w:pPr>
        <w:pStyle w:val="CH2"/>
        <w:ind w:left="624" w:firstLine="0"/>
        <w:rPr>
          <w:lang w:val="fr-FR"/>
        </w:rPr>
      </w:pPr>
      <w:r w:rsidRPr="005671A1">
        <w:rPr>
          <w:lang w:val="fr-FR"/>
        </w:rPr>
        <w:t>Rapport d</w:t>
      </w:r>
      <w:r w:rsidR="00A23434" w:rsidRPr="005671A1">
        <w:rPr>
          <w:lang w:val="fr-FR"/>
        </w:rPr>
        <w:t>u</w:t>
      </w:r>
      <w:r w:rsidRPr="005671A1">
        <w:rPr>
          <w:lang w:val="fr-FR"/>
        </w:rPr>
        <w:t xml:space="preserve"> Secrétaire </w:t>
      </w:r>
      <w:r w:rsidR="00A23434" w:rsidRPr="005671A1">
        <w:rPr>
          <w:lang w:val="fr-FR"/>
        </w:rPr>
        <w:t xml:space="preserve">exécutif </w:t>
      </w:r>
      <w:r w:rsidRPr="005671A1">
        <w:rPr>
          <w:lang w:val="fr-FR"/>
        </w:rPr>
        <w:t>sur la mise en œuv</w:t>
      </w:r>
      <w:r w:rsidR="00710A3C">
        <w:rPr>
          <w:lang w:val="fr-FR"/>
        </w:rPr>
        <w:t>re du programme de travail pour </w:t>
      </w:r>
      <w:r w:rsidRPr="005671A1">
        <w:rPr>
          <w:lang w:val="fr-FR"/>
        </w:rPr>
        <w:t>la période 2014-2018</w:t>
      </w:r>
    </w:p>
    <w:p w:rsidR="00801DEB" w:rsidRPr="005671A1" w:rsidRDefault="00801DEB" w:rsidP="009C30FC">
      <w:pPr>
        <w:pStyle w:val="Normalnumber"/>
        <w:numPr>
          <w:ilvl w:val="0"/>
          <w:numId w:val="43"/>
        </w:numPr>
        <w:tabs>
          <w:tab w:val="clear" w:pos="567"/>
          <w:tab w:val="clear" w:pos="624"/>
        </w:tabs>
        <w:rPr>
          <w:lang w:val="fr-FR"/>
        </w:rPr>
      </w:pPr>
      <w:r w:rsidRPr="005671A1">
        <w:rPr>
          <w:lang w:val="fr-FR"/>
        </w:rPr>
        <w:t>Conformément à la décision</w:t>
      </w:r>
      <w:r w:rsidR="008E1649" w:rsidRPr="005671A1">
        <w:rPr>
          <w:lang w:val="fr-FR"/>
        </w:rPr>
        <w:t> </w:t>
      </w:r>
      <w:r w:rsidRPr="005671A1">
        <w:rPr>
          <w:lang w:val="fr-FR"/>
        </w:rPr>
        <w:t>IPBES-4/1 relative au programme de travail de la Plateforme, l</w:t>
      </w:r>
      <w:r w:rsidR="00A23434" w:rsidRPr="005671A1">
        <w:rPr>
          <w:lang w:val="fr-FR"/>
        </w:rPr>
        <w:t>e </w:t>
      </w:r>
      <w:r w:rsidRPr="005671A1">
        <w:rPr>
          <w:lang w:val="fr-FR"/>
        </w:rPr>
        <w:t>Secrétaire</w:t>
      </w:r>
      <w:r w:rsidR="00A23434" w:rsidRPr="005671A1">
        <w:rPr>
          <w:lang w:val="fr-FR"/>
        </w:rPr>
        <w:t xml:space="preserve"> exécutif</w:t>
      </w:r>
      <w:r w:rsidRPr="005671A1">
        <w:rPr>
          <w:lang w:val="fr-FR"/>
        </w:rPr>
        <w:t>, en collaboration avec le Groupe d</w:t>
      </w:r>
      <w:r w:rsidR="008E1649" w:rsidRPr="005671A1">
        <w:rPr>
          <w:lang w:val="fr-FR"/>
        </w:rPr>
        <w:t>’</w:t>
      </w:r>
      <w:r w:rsidRPr="005671A1">
        <w:rPr>
          <w:lang w:val="fr-FR"/>
        </w:rPr>
        <w:t xml:space="preserve">experts multidisciplinaire et le Bureau, a préparé un rapport sur la mise en œuvre du premier programme de travail </w:t>
      </w:r>
      <w:r w:rsidR="004E7D81" w:rsidRPr="005671A1">
        <w:rPr>
          <w:lang w:val="fr-FR"/>
        </w:rPr>
        <w:t xml:space="preserve">(IPBES/5/2) </w:t>
      </w:r>
      <w:r w:rsidRPr="005671A1">
        <w:rPr>
          <w:lang w:val="fr-FR"/>
        </w:rPr>
        <w:t>pour ex</w:t>
      </w:r>
      <w:r w:rsidR="004E7D81" w:rsidRPr="005671A1">
        <w:rPr>
          <w:lang w:val="fr-FR"/>
        </w:rPr>
        <w:t>amen par la Plénière</w:t>
      </w:r>
      <w:r w:rsidRPr="005671A1">
        <w:rPr>
          <w:lang w:val="fr-FR"/>
        </w:rPr>
        <w:t xml:space="preserve">. Ce rapport présente toutes les activités en cours au titre des produits </w:t>
      </w:r>
      <w:r w:rsidR="004E7D81" w:rsidRPr="005671A1">
        <w:rPr>
          <w:lang w:val="fr-FR"/>
        </w:rPr>
        <w:t>d</w:t>
      </w:r>
      <w:r w:rsidRPr="005671A1">
        <w:rPr>
          <w:lang w:val="fr-FR"/>
        </w:rPr>
        <w:t xml:space="preserve">u programme de travail, </w:t>
      </w:r>
      <w:r w:rsidR="004E7D81" w:rsidRPr="005671A1">
        <w:rPr>
          <w:lang w:val="fr-FR"/>
        </w:rPr>
        <w:t>ainsi que</w:t>
      </w:r>
      <w:r w:rsidR="00AA3CB4" w:rsidRPr="005671A1">
        <w:rPr>
          <w:lang w:val="fr-FR"/>
        </w:rPr>
        <w:t xml:space="preserve"> l</w:t>
      </w:r>
      <w:r w:rsidRPr="005671A1">
        <w:rPr>
          <w:lang w:val="fr-FR"/>
        </w:rPr>
        <w:t xml:space="preserve">es enseignements tirés et </w:t>
      </w:r>
      <w:r w:rsidR="004E7D81" w:rsidRPr="005671A1">
        <w:rPr>
          <w:lang w:val="fr-FR"/>
        </w:rPr>
        <w:t>l</w:t>
      </w:r>
      <w:r w:rsidRPr="005671A1">
        <w:rPr>
          <w:lang w:val="fr-FR"/>
        </w:rPr>
        <w:t>es difficultés rencontrées</w:t>
      </w:r>
      <w:r w:rsidR="004E7D81" w:rsidRPr="005671A1">
        <w:rPr>
          <w:lang w:val="fr-FR"/>
        </w:rPr>
        <w:t xml:space="preserve"> en 2016 dans le cadre de l</w:t>
      </w:r>
      <w:r w:rsidRPr="005671A1">
        <w:rPr>
          <w:lang w:val="fr-FR"/>
        </w:rPr>
        <w:t>a mise en œuvre</w:t>
      </w:r>
      <w:r w:rsidR="00AA3CB4" w:rsidRPr="005671A1">
        <w:rPr>
          <w:lang w:val="fr-FR"/>
        </w:rPr>
        <w:t xml:space="preserve"> du programme de travail</w:t>
      </w:r>
      <w:r w:rsidRPr="005671A1">
        <w:rPr>
          <w:lang w:val="fr-FR"/>
        </w:rPr>
        <w:t>.</w:t>
      </w:r>
    </w:p>
    <w:p w:rsidR="00801DEB" w:rsidRPr="005671A1" w:rsidRDefault="00801DEB" w:rsidP="009C30FC">
      <w:pPr>
        <w:pStyle w:val="Normalnumber"/>
        <w:numPr>
          <w:ilvl w:val="0"/>
          <w:numId w:val="43"/>
        </w:numPr>
        <w:tabs>
          <w:tab w:val="clear" w:pos="567"/>
          <w:tab w:val="clear" w:pos="624"/>
        </w:tabs>
        <w:rPr>
          <w:lang w:val="fr-FR"/>
        </w:rPr>
      </w:pPr>
      <w:r w:rsidRPr="005671A1">
        <w:rPr>
          <w:lang w:val="fr-FR"/>
        </w:rPr>
        <w:t xml:space="preserve">La Plénière souhaitera peut-être prendre note des informations </w:t>
      </w:r>
      <w:r w:rsidR="004E7D81" w:rsidRPr="005671A1">
        <w:rPr>
          <w:lang w:val="fr-FR"/>
        </w:rPr>
        <w:t xml:space="preserve">contenues dans </w:t>
      </w:r>
      <w:r w:rsidRPr="005671A1">
        <w:rPr>
          <w:lang w:val="fr-FR"/>
        </w:rPr>
        <w:t>le rapport, ainsi que d</w:t>
      </w:r>
      <w:r w:rsidR="008E1649" w:rsidRPr="005671A1">
        <w:rPr>
          <w:lang w:val="fr-FR"/>
        </w:rPr>
        <w:t>’</w:t>
      </w:r>
      <w:r w:rsidRPr="005671A1">
        <w:rPr>
          <w:lang w:val="fr-FR"/>
        </w:rPr>
        <w:t>informations</w:t>
      </w:r>
      <w:r w:rsidR="004E7D81" w:rsidRPr="005671A1">
        <w:rPr>
          <w:lang w:val="fr-FR"/>
        </w:rPr>
        <w:t xml:space="preserve"> connexes, notamment celles</w:t>
      </w:r>
      <w:r w:rsidRPr="005671A1">
        <w:rPr>
          <w:lang w:val="fr-FR"/>
        </w:rPr>
        <w:t xml:space="preserve"> relatives aux progrès </w:t>
      </w:r>
      <w:r w:rsidR="004E7D81" w:rsidRPr="005671A1">
        <w:rPr>
          <w:lang w:val="fr-FR"/>
        </w:rPr>
        <w:t>accomplis dans la réalisation</w:t>
      </w:r>
      <w:r w:rsidRPr="005671A1">
        <w:rPr>
          <w:lang w:val="fr-FR"/>
        </w:rPr>
        <w:t xml:space="preserve"> des évaluation</w:t>
      </w:r>
      <w:r w:rsidR="00710A3C">
        <w:rPr>
          <w:lang w:val="fr-FR"/>
        </w:rPr>
        <w:t>s</w:t>
      </w:r>
      <w:r w:rsidRPr="005671A1">
        <w:rPr>
          <w:lang w:val="fr-FR"/>
        </w:rPr>
        <w:t xml:space="preserve"> en cours</w:t>
      </w:r>
      <w:r w:rsidR="004E7D81" w:rsidRPr="005671A1">
        <w:rPr>
          <w:lang w:val="fr-FR"/>
        </w:rPr>
        <w:t>, à savoir,</w:t>
      </w:r>
      <w:r w:rsidRPr="005671A1">
        <w:rPr>
          <w:lang w:val="fr-FR"/>
        </w:rPr>
        <w:t xml:space="preserve"> l</w:t>
      </w:r>
      <w:r w:rsidR="008E1649" w:rsidRPr="005671A1">
        <w:rPr>
          <w:lang w:val="fr-FR"/>
        </w:rPr>
        <w:t>’</w:t>
      </w:r>
      <w:r w:rsidRPr="005671A1">
        <w:rPr>
          <w:lang w:val="fr-FR"/>
        </w:rPr>
        <w:t>évaluation mondiale de la biodiversité et de</w:t>
      </w:r>
      <w:r w:rsidR="000E7417" w:rsidRPr="005671A1">
        <w:rPr>
          <w:lang w:val="fr-FR"/>
        </w:rPr>
        <w:t>s services écosystémiques (voir </w:t>
      </w:r>
      <w:r w:rsidRPr="005671A1">
        <w:rPr>
          <w:lang w:val="fr-FR"/>
        </w:rPr>
        <w:t>IPBES/5/INF/8), l</w:t>
      </w:r>
      <w:r w:rsidR="008E1649" w:rsidRPr="005671A1">
        <w:rPr>
          <w:lang w:val="fr-FR"/>
        </w:rPr>
        <w:t>’</w:t>
      </w:r>
      <w:r w:rsidRPr="005671A1">
        <w:rPr>
          <w:lang w:val="fr-FR"/>
        </w:rPr>
        <w:t>évaluation thématique de la dégradation et de l</w:t>
      </w:r>
      <w:r w:rsidR="000E7417" w:rsidRPr="005671A1">
        <w:rPr>
          <w:lang w:val="fr-FR"/>
        </w:rPr>
        <w:t>a restauration des terres (voir </w:t>
      </w:r>
      <w:r w:rsidRPr="005671A1">
        <w:rPr>
          <w:lang w:val="fr-FR"/>
        </w:rPr>
        <w:t>IPBES/5/INF/9) et les évaluations régionales de la biodiversité et des services écosys</w:t>
      </w:r>
      <w:r w:rsidR="004E7D81" w:rsidRPr="005671A1">
        <w:rPr>
          <w:lang w:val="fr-FR"/>
        </w:rPr>
        <w:t>témiques (voir IPBES/5/INF/7); d</w:t>
      </w:r>
      <w:r w:rsidRPr="005671A1">
        <w:rPr>
          <w:lang w:val="fr-FR"/>
        </w:rPr>
        <w:t>es informations relatives aux activités entreprises à la suite de l</w:t>
      </w:r>
      <w:r w:rsidR="008E1649" w:rsidRPr="005671A1">
        <w:rPr>
          <w:lang w:val="fr-FR"/>
        </w:rPr>
        <w:t>’</w:t>
      </w:r>
      <w:r w:rsidRPr="005671A1">
        <w:rPr>
          <w:lang w:val="fr-FR"/>
        </w:rPr>
        <w:t>approbation du résumé à l</w:t>
      </w:r>
      <w:r w:rsidR="008E1649" w:rsidRPr="005671A1">
        <w:rPr>
          <w:lang w:val="fr-FR"/>
        </w:rPr>
        <w:t>’</w:t>
      </w:r>
      <w:r w:rsidRPr="005671A1">
        <w:rPr>
          <w:lang w:val="fr-FR"/>
        </w:rPr>
        <w:t>intention des décideurs du rapport sur l</w:t>
      </w:r>
      <w:r w:rsidR="008E1649" w:rsidRPr="005671A1">
        <w:rPr>
          <w:lang w:val="fr-FR"/>
        </w:rPr>
        <w:t>’</w:t>
      </w:r>
      <w:r w:rsidRPr="005671A1">
        <w:rPr>
          <w:lang w:val="fr-FR"/>
        </w:rPr>
        <w:t>évaluation des pollinisateurs, de la pollinisation et de la production alimentaire (v</w:t>
      </w:r>
      <w:r w:rsidR="004E7D81" w:rsidRPr="005671A1">
        <w:rPr>
          <w:lang w:val="fr-FR"/>
        </w:rPr>
        <w:t>oir IPBES/5/INF/1); d</w:t>
      </w:r>
      <w:r w:rsidRPr="005671A1">
        <w:rPr>
          <w:lang w:val="fr-FR"/>
        </w:rPr>
        <w:t>es informations relatives au projet de programme de travail pour le groupe d</w:t>
      </w:r>
      <w:r w:rsidR="008E1649" w:rsidRPr="005671A1">
        <w:rPr>
          <w:lang w:val="fr-FR"/>
        </w:rPr>
        <w:t>’</w:t>
      </w:r>
      <w:r w:rsidRPr="005671A1">
        <w:rPr>
          <w:lang w:val="fr-FR"/>
        </w:rPr>
        <w:t xml:space="preserve">experts </w:t>
      </w:r>
      <w:r w:rsidR="00A23434" w:rsidRPr="005671A1">
        <w:rPr>
          <w:lang w:val="fr-FR"/>
        </w:rPr>
        <w:t>sur l</w:t>
      </w:r>
      <w:r w:rsidRPr="005671A1">
        <w:rPr>
          <w:lang w:val="fr-FR"/>
        </w:rPr>
        <w:t>es scénarios et modèles, et aux autres activités entreprises à la suite de l</w:t>
      </w:r>
      <w:r w:rsidR="008E1649" w:rsidRPr="005671A1">
        <w:rPr>
          <w:lang w:val="fr-FR"/>
        </w:rPr>
        <w:t>’</w:t>
      </w:r>
      <w:r w:rsidRPr="005671A1">
        <w:rPr>
          <w:lang w:val="fr-FR"/>
        </w:rPr>
        <w:t>approbation du résumé à l</w:t>
      </w:r>
      <w:r w:rsidR="008E1649" w:rsidRPr="005671A1">
        <w:rPr>
          <w:lang w:val="fr-FR"/>
        </w:rPr>
        <w:t>’</w:t>
      </w:r>
      <w:r w:rsidRPr="005671A1">
        <w:rPr>
          <w:lang w:val="fr-FR"/>
        </w:rPr>
        <w:t>intention des décideurs du rapport sur les scénarios et mo</w:t>
      </w:r>
      <w:r w:rsidR="004E7D81" w:rsidRPr="005671A1">
        <w:rPr>
          <w:lang w:val="fr-FR"/>
        </w:rPr>
        <w:t>dèles (voir IPBES/5/INF/2); et d</w:t>
      </w:r>
      <w:r w:rsidRPr="005671A1">
        <w:rPr>
          <w:lang w:val="fr-FR"/>
        </w:rPr>
        <w:t>es informations relatives à l</w:t>
      </w:r>
      <w:r w:rsidR="008E1649" w:rsidRPr="005671A1">
        <w:rPr>
          <w:lang w:val="fr-FR"/>
        </w:rPr>
        <w:t>’</w:t>
      </w:r>
      <w:r w:rsidRPr="005671A1">
        <w:rPr>
          <w:lang w:val="fr-FR"/>
        </w:rPr>
        <w:t>élaboration du guide sur les évaluations (voir IPBES/5/INF/6). Au titre de ce point seront également fournies des informations sur la politique et les procédures en matière de conflit d</w:t>
      </w:r>
      <w:r w:rsidR="008E1649" w:rsidRPr="005671A1">
        <w:rPr>
          <w:lang w:val="fr-FR"/>
        </w:rPr>
        <w:t>’</w:t>
      </w:r>
      <w:r w:rsidRPr="005671A1">
        <w:rPr>
          <w:lang w:val="fr-FR"/>
        </w:rPr>
        <w:t>intérêts (voir IPBES/5/INF/19).</w:t>
      </w:r>
    </w:p>
    <w:p w:rsidR="00801DEB" w:rsidRPr="005671A1" w:rsidRDefault="00801DEB" w:rsidP="009C30FC">
      <w:pPr>
        <w:pStyle w:val="CH2"/>
        <w:keepNext w:val="0"/>
        <w:keepLines w:val="0"/>
        <w:spacing w:before="240"/>
        <w:ind w:left="1248" w:hanging="624"/>
        <w:rPr>
          <w:lang w:val="fr-FR"/>
        </w:rPr>
      </w:pPr>
      <w:r w:rsidRPr="005671A1">
        <w:rPr>
          <w:lang w:val="fr-FR"/>
        </w:rPr>
        <w:t>Point</w:t>
      </w:r>
      <w:r w:rsidR="008E1649" w:rsidRPr="005671A1">
        <w:rPr>
          <w:lang w:val="fr-FR"/>
        </w:rPr>
        <w:t> </w:t>
      </w:r>
      <w:r w:rsidRPr="005671A1">
        <w:rPr>
          <w:lang w:val="fr-FR"/>
        </w:rPr>
        <w:t>6</w:t>
      </w:r>
    </w:p>
    <w:p w:rsidR="00801DEB" w:rsidRPr="005671A1" w:rsidRDefault="00801DEB" w:rsidP="009C30FC">
      <w:pPr>
        <w:pStyle w:val="CH2"/>
        <w:ind w:left="624" w:firstLine="0"/>
        <w:rPr>
          <w:lang w:val="fr-FR"/>
        </w:rPr>
      </w:pPr>
      <w:r w:rsidRPr="005671A1">
        <w:rPr>
          <w:lang w:val="fr-FR"/>
        </w:rPr>
        <w:t xml:space="preserve">Programme de travail de la Plateforme </w:t>
      </w:r>
    </w:p>
    <w:p w:rsidR="00801DEB" w:rsidRPr="005671A1" w:rsidRDefault="00CA6E32" w:rsidP="009C30FC">
      <w:pPr>
        <w:pStyle w:val="CH3"/>
        <w:rPr>
          <w:lang w:val="fr-FR"/>
        </w:rPr>
      </w:pPr>
      <w:r w:rsidRPr="005671A1">
        <w:rPr>
          <w:lang w:val="fr-FR"/>
        </w:rPr>
        <w:tab/>
        <w:t>a)</w:t>
      </w:r>
      <w:r w:rsidRPr="005671A1">
        <w:rPr>
          <w:lang w:val="fr-FR"/>
        </w:rPr>
        <w:tab/>
        <w:t xml:space="preserve">Renforcement des capacités </w:t>
      </w:r>
    </w:p>
    <w:p w:rsidR="00801DEB" w:rsidRPr="005671A1" w:rsidRDefault="00801DEB" w:rsidP="009C30FC">
      <w:pPr>
        <w:pStyle w:val="Normalnumber"/>
        <w:numPr>
          <w:ilvl w:val="0"/>
          <w:numId w:val="43"/>
        </w:numPr>
        <w:tabs>
          <w:tab w:val="clear" w:pos="567"/>
          <w:tab w:val="clear" w:pos="624"/>
        </w:tabs>
        <w:rPr>
          <w:lang w:val="fr-FR"/>
        </w:rPr>
      </w:pPr>
      <w:r w:rsidRPr="005671A1">
        <w:rPr>
          <w:lang w:val="fr-FR"/>
        </w:rPr>
        <w:t>Dans la section</w:t>
      </w:r>
      <w:r w:rsidR="0065752F" w:rsidRPr="005671A1">
        <w:rPr>
          <w:lang w:val="fr-FR"/>
        </w:rPr>
        <w:t> </w:t>
      </w:r>
      <w:r w:rsidRPr="005671A1">
        <w:rPr>
          <w:lang w:val="fr-FR"/>
        </w:rPr>
        <w:t>I de sa décision</w:t>
      </w:r>
      <w:r w:rsidR="008E1649" w:rsidRPr="005671A1">
        <w:rPr>
          <w:lang w:val="fr-FR"/>
        </w:rPr>
        <w:t> </w:t>
      </w:r>
      <w:r w:rsidRPr="005671A1">
        <w:rPr>
          <w:lang w:val="fr-FR"/>
        </w:rPr>
        <w:t>IPBES-4/1, la Plénière a demandé à l</w:t>
      </w:r>
      <w:r w:rsidR="008E1649" w:rsidRPr="005671A1">
        <w:rPr>
          <w:lang w:val="fr-FR"/>
        </w:rPr>
        <w:t>’</w:t>
      </w:r>
      <w:r w:rsidRPr="005671A1">
        <w:rPr>
          <w:lang w:val="fr-FR"/>
        </w:rPr>
        <w:t>équipe spéciale sur le renforcement des capacités de poursuivre le pilotage du projet de programme de bourses, d</w:t>
      </w:r>
      <w:r w:rsidR="008E1649" w:rsidRPr="005671A1">
        <w:rPr>
          <w:lang w:val="fr-FR"/>
        </w:rPr>
        <w:t>’</w:t>
      </w:r>
      <w:r w:rsidRPr="005671A1">
        <w:rPr>
          <w:lang w:val="fr-FR"/>
        </w:rPr>
        <w:t>échanges et de formation, et du modèle expérimental de dispositif de mise en adéquation, y compris les éléments en ligne accueillis sur le portail Web du Réseau sur la biodiversité et les systèmes écosystémiques, en collaboration avec les partenaires stratégiques représentant à la fois des exécutants et des sources de financement traditionnelles et potentielles. Dans la même décision, la Plénière a demandé à l</w:t>
      </w:r>
      <w:r w:rsidR="008E1649" w:rsidRPr="005671A1">
        <w:rPr>
          <w:lang w:val="fr-FR"/>
        </w:rPr>
        <w:t>’</w:t>
      </w:r>
      <w:r w:rsidRPr="005671A1">
        <w:rPr>
          <w:lang w:val="fr-FR"/>
        </w:rPr>
        <w:t>équipe spéciale d</w:t>
      </w:r>
      <w:r w:rsidR="008E1649" w:rsidRPr="005671A1">
        <w:rPr>
          <w:lang w:val="fr-FR"/>
        </w:rPr>
        <w:t>’</w:t>
      </w:r>
      <w:r w:rsidRPr="005671A1">
        <w:rPr>
          <w:lang w:val="fr-FR"/>
        </w:rPr>
        <w:t>accorder une priorité accrue à la liste des</w:t>
      </w:r>
      <w:r w:rsidR="008E1649" w:rsidRPr="005671A1">
        <w:rPr>
          <w:lang w:val="fr-FR"/>
        </w:rPr>
        <w:t xml:space="preserve"> </w:t>
      </w:r>
      <w:r w:rsidRPr="005671A1">
        <w:rPr>
          <w:lang w:val="fr-FR"/>
        </w:rPr>
        <w:t xml:space="preserve">besoins en matière de renforcement des capacités, en vue de la mise en œuvre du premier programme de travail de la Plateforme. </w:t>
      </w:r>
    </w:p>
    <w:p w:rsidR="00361132" w:rsidRPr="005671A1" w:rsidRDefault="00361132">
      <w:pPr>
        <w:rPr>
          <w:rFonts w:eastAsia="Times New Roman"/>
          <w:lang w:val="fr-FR"/>
        </w:rPr>
      </w:pPr>
      <w:r w:rsidRPr="005671A1">
        <w:rPr>
          <w:lang w:val="fr-FR"/>
        </w:rPr>
        <w:br w:type="page"/>
      </w:r>
    </w:p>
    <w:p w:rsidR="00801DEB" w:rsidRPr="005671A1" w:rsidRDefault="00801DEB" w:rsidP="009C30FC">
      <w:pPr>
        <w:pStyle w:val="Normalnumber"/>
        <w:numPr>
          <w:ilvl w:val="0"/>
          <w:numId w:val="43"/>
        </w:numPr>
        <w:tabs>
          <w:tab w:val="clear" w:pos="567"/>
          <w:tab w:val="clear" w:pos="624"/>
        </w:tabs>
        <w:rPr>
          <w:lang w:val="fr-FR"/>
        </w:rPr>
      </w:pPr>
      <w:r w:rsidRPr="005671A1">
        <w:rPr>
          <w:lang w:val="fr-FR"/>
        </w:rPr>
        <w:lastRenderedPageBreak/>
        <w:t>La Plénière a également pris note des enseignements tirés du premier forum sur le renforcement des capacités</w:t>
      </w:r>
      <w:r w:rsidR="008E1649" w:rsidRPr="005671A1">
        <w:rPr>
          <w:lang w:val="fr-FR"/>
        </w:rPr>
        <w:t xml:space="preserve"> </w:t>
      </w:r>
      <w:r w:rsidRPr="005671A1">
        <w:rPr>
          <w:lang w:val="fr-FR"/>
        </w:rPr>
        <w:t>de la Plateforme et demandé au Bureau, avec l</w:t>
      </w:r>
      <w:r w:rsidR="008E1649" w:rsidRPr="005671A1">
        <w:rPr>
          <w:lang w:val="fr-FR"/>
        </w:rPr>
        <w:t>’</w:t>
      </w:r>
      <w:r w:rsidRPr="005671A1">
        <w:rPr>
          <w:lang w:val="fr-FR"/>
        </w:rPr>
        <w:t>appui du secrétariat et de l</w:t>
      </w:r>
      <w:r w:rsidR="008E1649" w:rsidRPr="005671A1">
        <w:rPr>
          <w:lang w:val="fr-FR"/>
        </w:rPr>
        <w:t>’</w:t>
      </w:r>
      <w:r w:rsidRPr="005671A1">
        <w:rPr>
          <w:lang w:val="fr-FR"/>
        </w:rPr>
        <w:t>équipe spéciale sur le renforcement des capacités et de son groupe d</w:t>
      </w:r>
      <w:r w:rsidR="008E1649" w:rsidRPr="005671A1">
        <w:rPr>
          <w:lang w:val="fr-FR"/>
        </w:rPr>
        <w:t>’</w:t>
      </w:r>
      <w:r w:rsidRPr="005671A1">
        <w:rPr>
          <w:lang w:val="fr-FR"/>
        </w:rPr>
        <w:t>appui technique, d</w:t>
      </w:r>
      <w:r w:rsidR="008E1649" w:rsidRPr="005671A1">
        <w:rPr>
          <w:lang w:val="fr-FR"/>
        </w:rPr>
        <w:t>’</w:t>
      </w:r>
      <w:r w:rsidRPr="005671A1">
        <w:rPr>
          <w:lang w:val="fr-FR"/>
        </w:rPr>
        <w:t xml:space="preserve">organiser un deuxième forum au cours du second semestre 2016 avec les représentants des exécutants et des sources de financement traditionnelles et potentielles. </w:t>
      </w:r>
    </w:p>
    <w:p w:rsidR="00801DEB" w:rsidRPr="005671A1" w:rsidRDefault="001F0349" w:rsidP="009C30FC">
      <w:pPr>
        <w:pStyle w:val="Normalnumber"/>
        <w:numPr>
          <w:ilvl w:val="0"/>
          <w:numId w:val="43"/>
        </w:numPr>
        <w:tabs>
          <w:tab w:val="clear" w:pos="567"/>
          <w:tab w:val="clear" w:pos="624"/>
        </w:tabs>
        <w:rPr>
          <w:lang w:val="fr-FR"/>
        </w:rPr>
      </w:pPr>
      <w:r w:rsidRPr="005671A1">
        <w:rPr>
          <w:lang w:val="fr-FR"/>
        </w:rPr>
        <w:t xml:space="preserve">À sa cinquième session, la Plénière sera invitée à examiner, pour approbation, un cadre global </w:t>
      </w:r>
      <w:r w:rsidR="00430DDB" w:rsidRPr="005671A1">
        <w:rPr>
          <w:lang w:val="fr-FR"/>
        </w:rPr>
        <w:t>pour l</w:t>
      </w:r>
      <w:r w:rsidRPr="005671A1">
        <w:rPr>
          <w:lang w:val="fr-FR"/>
        </w:rPr>
        <w:t>e renforcement des capacités</w:t>
      </w:r>
      <w:r w:rsidR="00EA20A3" w:rsidRPr="005671A1">
        <w:rPr>
          <w:lang w:val="fr-FR"/>
        </w:rPr>
        <w:t xml:space="preserve"> (</w:t>
      </w:r>
      <w:r w:rsidR="00430DDB" w:rsidRPr="005671A1">
        <w:rPr>
          <w:lang w:val="fr-FR"/>
        </w:rPr>
        <w:t>dénommé</w:t>
      </w:r>
      <w:r w:rsidRPr="005671A1">
        <w:rPr>
          <w:lang w:val="fr-FR"/>
        </w:rPr>
        <w:t xml:space="preserve"> </w:t>
      </w:r>
      <w:r w:rsidR="00EA20A3" w:rsidRPr="005671A1">
        <w:rPr>
          <w:lang w:val="fr-FR"/>
        </w:rPr>
        <w:t>« </w:t>
      </w:r>
      <w:r w:rsidRPr="005671A1">
        <w:rPr>
          <w:lang w:val="fr-FR"/>
        </w:rPr>
        <w:t xml:space="preserve">plan </w:t>
      </w:r>
      <w:r w:rsidR="00430DDB" w:rsidRPr="005671A1">
        <w:rPr>
          <w:lang w:val="fr-FR"/>
        </w:rPr>
        <w:t>glissant</w:t>
      </w:r>
      <w:r w:rsidR="00EA20A3" w:rsidRPr="005671A1">
        <w:rPr>
          <w:lang w:val="fr-FR"/>
        </w:rPr>
        <w:t> »)</w:t>
      </w:r>
      <w:r w:rsidRPr="005671A1">
        <w:rPr>
          <w:lang w:val="fr-FR"/>
        </w:rPr>
        <w:t>, mis au point par l</w:t>
      </w:r>
      <w:r w:rsidR="008E1649" w:rsidRPr="005671A1">
        <w:rPr>
          <w:lang w:val="fr-FR"/>
        </w:rPr>
        <w:t>’</w:t>
      </w:r>
      <w:r w:rsidRPr="005671A1">
        <w:rPr>
          <w:lang w:val="fr-FR"/>
        </w:rPr>
        <w:t xml:space="preserve">équipe spéciale, définissant les grandes lignes du plan pour la mise en </w:t>
      </w:r>
      <w:r w:rsidR="005145CE" w:rsidRPr="005671A1">
        <w:rPr>
          <w:lang w:val="fr-FR"/>
        </w:rPr>
        <w:t>œuvre</w:t>
      </w:r>
      <w:r w:rsidRPr="005671A1">
        <w:rPr>
          <w:lang w:val="fr-FR"/>
        </w:rPr>
        <w:t xml:space="preserve"> des mandats de la Plateforme concernant le renforcement des capacités de façon globale et stratégique jusqu</w:t>
      </w:r>
      <w:r w:rsidR="008E1649" w:rsidRPr="005671A1">
        <w:rPr>
          <w:lang w:val="fr-FR"/>
        </w:rPr>
        <w:t>’</w:t>
      </w:r>
      <w:r w:rsidRPr="005671A1">
        <w:rPr>
          <w:lang w:val="fr-FR"/>
        </w:rPr>
        <w:t xml:space="preserve">à la fin du premier programme de travail. Un résumé de ce cadre figure dans la note du secrétariat </w:t>
      </w:r>
      <w:r w:rsidR="00EA20A3" w:rsidRPr="005671A1">
        <w:rPr>
          <w:lang w:val="fr-FR"/>
        </w:rPr>
        <w:t xml:space="preserve">relative aux </w:t>
      </w:r>
      <w:r w:rsidRPr="005671A1">
        <w:rPr>
          <w:lang w:val="fr-FR"/>
        </w:rPr>
        <w:t xml:space="preserve">travaux </w:t>
      </w:r>
      <w:r w:rsidR="00EA20A3" w:rsidRPr="005671A1">
        <w:rPr>
          <w:lang w:val="fr-FR"/>
        </w:rPr>
        <w:t>sur le </w:t>
      </w:r>
      <w:r w:rsidRPr="005671A1">
        <w:rPr>
          <w:lang w:val="fr-FR"/>
        </w:rPr>
        <w:t>renforcement des capacités (IPBES-5/3). Le cadre complet, ainsi que le rapport sur le</w:t>
      </w:r>
      <w:r w:rsidR="000D7104" w:rsidRPr="005671A1">
        <w:rPr>
          <w:lang w:val="fr-FR"/>
        </w:rPr>
        <w:t> </w:t>
      </w:r>
      <w:r w:rsidRPr="005671A1">
        <w:rPr>
          <w:lang w:val="fr-FR"/>
        </w:rPr>
        <w:t>deuxième</w:t>
      </w:r>
      <w:r w:rsidR="000D7104" w:rsidRPr="005671A1">
        <w:rPr>
          <w:lang w:val="fr-FR"/>
        </w:rPr>
        <w:t> </w:t>
      </w:r>
      <w:r w:rsidRPr="005671A1">
        <w:rPr>
          <w:lang w:val="fr-FR"/>
        </w:rPr>
        <w:t>forum sur le renforcement des capacités de la Plateforme, qui s</w:t>
      </w:r>
      <w:r w:rsidR="008E1649" w:rsidRPr="005671A1">
        <w:rPr>
          <w:lang w:val="fr-FR"/>
        </w:rPr>
        <w:t>’</w:t>
      </w:r>
      <w:r w:rsidRPr="005671A1">
        <w:rPr>
          <w:lang w:val="fr-FR"/>
        </w:rPr>
        <w:t>est tenu en marge de la</w:t>
      </w:r>
      <w:r w:rsidR="000D7104" w:rsidRPr="005671A1">
        <w:rPr>
          <w:lang w:val="fr-FR"/>
        </w:rPr>
        <w:t> </w:t>
      </w:r>
      <w:r w:rsidRPr="005671A1">
        <w:rPr>
          <w:lang w:val="fr-FR"/>
        </w:rPr>
        <w:t>soixante et onzième session de l</w:t>
      </w:r>
      <w:r w:rsidR="008E1649" w:rsidRPr="005671A1">
        <w:rPr>
          <w:lang w:val="fr-FR"/>
        </w:rPr>
        <w:t>’</w:t>
      </w:r>
      <w:r w:rsidRPr="005671A1">
        <w:rPr>
          <w:lang w:val="fr-FR"/>
        </w:rPr>
        <w:t>Assemblée générale des</w:t>
      </w:r>
      <w:r w:rsidR="008E1649" w:rsidRPr="005671A1">
        <w:rPr>
          <w:lang w:val="fr-FR"/>
        </w:rPr>
        <w:t xml:space="preserve"> Nations Unies à New York le</w:t>
      </w:r>
      <w:r w:rsidR="000D7104" w:rsidRPr="005671A1">
        <w:rPr>
          <w:lang w:val="fr-FR"/>
        </w:rPr>
        <w:t> </w:t>
      </w:r>
      <w:r w:rsidR="008E1649" w:rsidRPr="005671A1">
        <w:rPr>
          <w:lang w:val="fr-FR"/>
        </w:rPr>
        <w:t>23 </w:t>
      </w:r>
      <w:r w:rsidRPr="005671A1">
        <w:rPr>
          <w:lang w:val="fr-FR"/>
        </w:rPr>
        <w:t>septembre 2016, figure</w:t>
      </w:r>
      <w:r w:rsidR="00430DDB" w:rsidRPr="005671A1">
        <w:rPr>
          <w:lang w:val="fr-FR"/>
        </w:rPr>
        <w:t>nt</w:t>
      </w:r>
      <w:r w:rsidRPr="005671A1">
        <w:rPr>
          <w:lang w:val="fr-FR"/>
        </w:rPr>
        <w:t xml:space="preserve"> dans le document IPBES/5/INF/3. </w:t>
      </w:r>
    </w:p>
    <w:p w:rsidR="00801DEB" w:rsidRPr="005671A1" w:rsidRDefault="00CA6E32" w:rsidP="009C30FC">
      <w:pPr>
        <w:pStyle w:val="CH3"/>
        <w:rPr>
          <w:lang w:val="fr-FR"/>
        </w:rPr>
      </w:pPr>
      <w:r w:rsidRPr="005671A1">
        <w:rPr>
          <w:lang w:val="fr-FR"/>
        </w:rPr>
        <w:tab/>
        <w:t>b)</w:t>
      </w:r>
      <w:r w:rsidRPr="005671A1">
        <w:rPr>
          <w:lang w:val="fr-FR"/>
        </w:rPr>
        <w:tab/>
        <w:t xml:space="preserve">Systèmes de savoirs autochtones et locaux </w:t>
      </w:r>
    </w:p>
    <w:p w:rsidR="00801DEB" w:rsidRPr="005671A1" w:rsidRDefault="00801DEB" w:rsidP="009C30FC">
      <w:pPr>
        <w:pStyle w:val="Normalnumber"/>
        <w:numPr>
          <w:ilvl w:val="0"/>
          <w:numId w:val="43"/>
        </w:numPr>
        <w:tabs>
          <w:tab w:val="clear" w:pos="567"/>
          <w:tab w:val="clear" w:pos="624"/>
        </w:tabs>
        <w:rPr>
          <w:rFonts w:eastAsia="Gulim"/>
          <w:color w:val="000000"/>
          <w:lang w:val="fr-FR"/>
        </w:rPr>
      </w:pPr>
      <w:r w:rsidRPr="005671A1">
        <w:rPr>
          <w:lang w:val="fr-FR"/>
        </w:rPr>
        <w:t>Dans la section II de sa décision</w:t>
      </w:r>
      <w:r w:rsidR="008E1649" w:rsidRPr="005671A1">
        <w:rPr>
          <w:lang w:val="fr-FR"/>
        </w:rPr>
        <w:t> </w:t>
      </w:r>
      <w:r w:rsidRPr="005671A1">
        <w:rPr>
          <w:lang w:val="fr-FR"/>
        </w:rPr>
        <w:t>IPBES-4/1, la Plénière a pris note des progrès accomplis dans le processus pilote des ateliers de dialogue visant à mobiliser les savoirs autochtones et locaux et a demandé la poursuite de ce processus dans le cadre de l</w:t>
      </w:r>
      <w:r w:rsidR="008E1649" w:rsidRPr="005671A1">
        <w:rPr>
          <w:lang w:val="fr-FR"/>
        </w:rPr>
        <w:t>’</w:t>
      </w:r>
      <w:r w:rsidRPr="005671A1">
        <w:rPr>
          <w:lang w:val="fr-FR"/>
        </w:rPr>
        <w:t>établissement d</w:t>
      </w:r>
      <w:r w:rsidR="008E1649" w:rsidRPr="005671A1">
        <w:rPr>
          <w:lang w:val="fr-FR"/>
        </w:rPr>
        <w:t>’</w:t>
      </w:r>
      <w:r w:rsidRPr="005671A1">
        <w:rPr>
          <w:lang w:val="fr-FR"/>
        </w:rPr>
        <w:t>évaluations, afin qu</w:t>
      </w:r>
      <w:r w:rsidR="008E1649" w:rsidRPr="005671A1">
        <w:rPr>
          <w:lang w:val="fr-FR"/>
        </w:rPr>
        <w:t>’</w:t>
      </w:r>
      <w:r w:rsidRPr="005671A1">
        <w:rPr>
          <w:lang w:val="fr-FR"/>
        </w:rPr>
        <w:t>elle examine à sa cinquième session la méthodologie employée jusqu</w:t>
      </w:r>
      <w:r w:rsidR="008E1649" w:rsidRPr="005671A1">
        <w:rPr>
          <w:lang w:val="fr-FR"/>
        </w:rPr>
        <w:t>’</w:t>
      </w:r>
      <w:r w:rsidRPr="005671A1">
        <w:rPr>
          <w:lang w:val="fr-FR"/>
        </w:rPr>
        <w:t>à présent dans l</w:t>
      </w:r>
      <w:r w:rsidR="008E1649" w:rsidRPr="005671A1">
        <w:rPr>
          <w:lang w:val="fr-FR"/>
        </w:rPr>
        <w:t>’</w:t>
      </w:r>
      <w:r w:rsidRPr="005671A1">
        <w:rPr>
          <w:lang w:val="fr-FR"/>
        </w:rPr>
        <w:t>organisation des ateliers. La Plénière a prié le Groupe d</w:t>
      </w:r>
      <w:r w:rsidR="008E1649" w:rsidRPr="005671A1">
        <w:rPr>
          <w:lang w:val="fr-FR"/>
        </w:rPr>
        <w:t>’</w:t>
      </w:r>
      <w:r w:rsidRPr="005671A1">
        <w:rPr>
          <w:lang w:val="fr-FR"/>
        </w:rPr>
        <w:t>experts multidisciplinaire de lui rendre compte, à sa</w:t>
      </w:r>
      <w:r w:rsidR="005145CE" w:rsidRPr="005671A1">
        <w:rPr>
          <w:lang w:val="fr-FR"/>
        </w:rPr>
        <w:t> </w:t>
      </w:r>
      <w:r w:rsidRPr="005671A1">
        <w:rPr>
          <w:lang w:val="fr-FR"/>
        </w:rPr>
        <w:t>cinquième</w:t>
      </w:r>
      <w:r w:rsidR="005145CE" w:rsidRPr="005671A1">
        <w:rPr>
          <w:lang w:val="fr-FR"/>
        </w:rPr>
        <w:t> </w:t>
      </w:r>
      <w:r w:rsidRPr="005671A1">
        <w:rPr>
          <w:lang w:val="fr-FR"/>
        </w:rPr>
        <w:t>session, des progrès accomplis et des options possibles pour intégrer les savoirs autochtones et locaux dans les produits de la Plateforme, y compris notamment les processus portant sur le consentement préalable en connaissance de cause, en tenant compte des cadres juridiques et non juridiques en place aux niveaux international, régional et national, en tant que de besoin. Elle a également prié l</w:t>
      </w:r>
      <w:r w:rsidR="008E1649" w:rsidRPr="005671A1">
        <w:rPr>
          <w:lang w:val="fr-FR"/>
        </w:rPr>
        <w:t>’</w:t>
      </w:r>
      <w:r w:rsidRPr="005671A1">
        <w:rPr>
          <w:lang w:val="fr-FR"/>
        </w:rPr>
        <w:t>équipe spéciale sur les systèmes de savoirs autochtones et locaux et le Groupe d</w:t>
      </w:r>
      <w:r w:rsidR="008E1649" w:rsidRPr="005671A1">
        <w:rPr>
          <w:lang w:val="fr-FR"/>
        </w:rPr>
        <w:t>’</w:t>
      </w:r>
      <w:r w:rsidRPr="005671A1">
        <w:rPr>
          <w:lang w:val="fr-FR"/>
        </w:rPr>
        <w:t>experts multidisciplinaire de continuer d</w:t>
      </w:r>
      <w:r w:rsidR="008E1649" w:rsidRPr="005671A1">
        <w:rPr>
          <w:lang w:val="fr-FR"/>
        </w:rPr>
        <w:t>’</w:t>
      </w:r>
      <w:r w:rsidRPr="005671A1">
        <w:rPr>
          <w:lang w:val="fr-FR"/>
        </w:rPr>
        <w:t>élaborer, au moyen d</w:t>
      </w:r>
      <w:r w:rsidR="008E1649" w:rsidRPr="005671A1">
        <w:rPr>
          <w:lang w:val="fr-FR"/>
        </w:rPr>
        <w:t>’</w:t>
      </w:r>
      <w:r w:rsidRPr="005671A1">
        <w:rPr>
          <w:lang w:val="fr-FR"/>
        </w:rPr>
        <w:t>un processus progressif, les approches visant l</w:t>
      </w:r>
      <w:r w:rsidR="008E1649" w:rsidRPr="005671A1">
        <w:rPr>
          <w:lang w:val="fr-FR"/>
        </w:rPr>
        <w:t>’</w:t>
      </w:r>
      <w:r w:rsidRPr="005671A1">
        <w:rPr>
          <w:lang w:val="fr-FR"/>
        </w:rPr>
        <w:t xml:space="preserve">intégration des savoirs autochtones et locaux dans la Plateforme, afin </w:t>
      </w:r>
      <w:r w:rsidR="00430DDB" w:rsidRPr="005671A1">
        <w:rPr>
          <w:lang w:val="fr-FR"/>
        </w:rPr>
        <w:t>qu’elle les examine</w:t>
      </w:r>
      <w:r w:rsidRPr="005671A1">
        <w:rPr>
          <w:lang w:val="fr-FR"/>
        </w:rPr>
        <w:t xml:space="preserve"> à sa cinquième session.</w:t>
      </w:r>
    </w:p>
    <w:p w:rsidR="00801DEB" w:rsidRPr="005671A1" w:rsidRDefault="00801DEB" w:rsidP="009C30FC">
      <w:pPr>
        <w:pStyle w:val="Normalnumber"/>
        <w:numPr>
          <w:ilvl w:val="0"/>
          <w:numId w:val="43"/>
        </w:numPr>
        <w:tabs>
          <w:tab w:val="clear" w:pos="567"/>
          <w:tab w:val="clear" w:pos="624"/>
        </w:tabs>
        <w:rPr>
          <w:rFonts w:eastAsia="Gulim"/>
          <w:color w:val="000000"/>
          <w:lang w:val="fr-FR"/>
        </w:rPr>
      </w:pPr>
      <w:r w:rsidRPr="005671A1">
        <w:rPr>
          <w:lang w:val="fr-FR"/>
        </w:rPr>
        <w:t>Dans la même décision, la Plénière a pris note des progrès accomplis à ce jour dans l</w:t>
      </w:r>
      <w:r w:rsidR="008E1649" w:rsidRPr="005671A1">
        <w:rPr>
          <w:lang w:val="fr-FR"/>
        </w:rPr>
        <w:t>’</w:t>
      </w:r>
      <w:r w:rsidRPr="005671A1">
        <w:rPr>
          <w:lang w:val="fr-FR"/>
        </w:rPr>
        <w:t>établissement d</w:t>
      </w:r>
      <w:r w:rsidR="008E1649" w:rsidRPr="005671A1">
        <w:rPr>
          <w:lang w:val="fr-FR"/>
        </w:rPr>
        <w:t>’</w:t>
      </w:r>
      <w:r w:rsidRPr="005671A1">
        <w:rPr>
          <w:lang w:val="fr-FR"/>
        </w:rPr>
        <w:t>un fichier de détenteurs et d</w:t>
      </w:r>
      <w:r w:rsidR="008E1649" w:rsidRPr="005671A1">
        <w:rPr>
          <w:lang w:val="fr-FR"/>
        </w:rPr>
        <w:t>’</w:t>
      </w:r>
      <w:r w:rsidRPr="005671A1">
        <w:rPr>
          <w:lang w:val="fr-FR"/>
        </w:rPr>
        <w:t>experts des savoirs autochtones et locaux et a prié instamment le Groupe d</w:t>
      </w:r>
      <w:r w:rsidR="008E1649" w:rsidRPr="005671A1">
        <w:rPr>
          <w:lang w:val="fr-FR"/>
        </w:rPr>
        <w:t>’</w:t>
      </w:r>
      <w:r w:rsidRPr="005671A1">
        <w:rPr>
          <w:lang w:val="fr-FR"/>
        </w:rPr>
        <w:t>experts multidisciplinaire de poursuivre l</w:t>
      </w:r>
      <w:r w:rsidR="008E1649" w:rsidRPr="005671A1">
        <w:rPr>
          <w:lang w:val="fr-FR"/>
        </w:rPr>
        <w:t>’</w:t>
      </w:r>
      <w:r w:rsidRPr="005671A1">
        <w:rPr>
          <w:lang w:val="fr-FR"/>
        </w:rPr>
        <w:t>établissement dudit fichier, conjointement avec l</w:t>
      </w:r>
      <w:r w:rsidR="008E1649" w:rsidRPr="005671A1">
        <w:rPr>
          <w:lang w:val="fr-FR"/>
        </w:rPr>
        <w:t>’</w:t>
      </w:r>
      <w:r w:rsidRPr="005671A1">
        <w:rPr>
          <w:lang w:val="fr-FR"/>
        </w:rPr>
        <w:t>équipe spéciale. Elle a également pris note de l</w:t>
      </w:r>
      <w:r w:rsidR="008E1649" w:rsidRPr="005671A1">
        <w:rPr>
          <w:lang w:val="fr-FR"/>
        </w:rPr>
        <w:t>’</w:t>
      </w:r>
      <w:r w:rsidRPr="005671A1">
        <w:rPr>
          <w:lang w:val="fr-FR"/>
        </w:rPr>
        <w:t>approche concernant le mécanisme participatif pour tirer parti des systèmes de savoirs autochtones et locaux et a demandé au Groupe d</w:t>
      </w:r>
      <w:r w:rsidR="008E1649" w:rsidRPr="005671A1">
        <w:rPr>
          <w:lang w:val="fr-FR"/>
        </w:rPr>
        <w:t>’</w:t>
      </w:r>
      <w:r w:rsidRPr="005671A1">
        <w:rPr>
          <w:lang w:val="fr-FR"/>
        </w:rPr>
        <w:t>experts multidisciplinaire, avec l</w:t>
      </w:r>
      <w:r w:rsidR="008E1649" w:rsidRPr="005671A1">
        <w:rPr>
          <w:lang w:val="fr-FR"/>
        </w:rPr>
        <w:t>’</w:t>
      </w:r>
      <w:r w:rsidRPr="005671A1">
        <w:rPr>
          <w:lang w:val="fr-FR"/>
        </w:rPr>
        <w:t>appui de l</w:t>
      </w:r>
      <w:r w:rsidR="008E1649" w:rsidRPr="005671A1">
        <w:rPr>
          <w:lang w:val="fr-FR"/>
        </w:rPr>
        <w:t>’</w:t>
      </w:r>
      <w:r w:rsidRPr="005671A1">
        <w:rPr>
          <w:lang w:val="fr-FR"/>
        </w:rPr>
        <w:t xml:space="preserve">équipe spéciale sur les systèmes de savoirs autochtones et locaux, de piloter le mécanisme, de présenter un rapport sur les progrès réalisés dans le pilotage des activités et de faire des recommandations aux fins du perfectionnement et de la mise en œuvre du mécanisme à la Plénière, à sa cinquième session. </w:t>
      </w:r>
    </w:p>
    <w:p w:rsidR="00801DEB" w:rsidRPr="005671A1" w:rsidRDefault="005A353A" w:rsidP="009C30FC">
      <w:pPr>
        <w:pStyle w:val="Normalnumber"/>
        <w:numPr>
          <w:ilvl w:val="0"/>
          <w:numId w:val="43"/>
        </w:numPr>
        <w:tabs>
          <w:tab w:val="clear" w:pos="567"/>
          <w:tab w:val="clear" w:pos="624"/>
        </w:tabs>
        <w:rPr>
          <w:rFonts w:eastAsia="Gulim"/>
          <w:color w:val="000000"/>
          <w:lang w:val="fr-FR"/>
        </w:rPr>
      </w:pPr>
      <w:r w:rsidRPr="005671A1">
        <w:rPr>
          <w:lang w:val="fr-FR"/>
        </w:rPr>
        <w:t>À sa cinquième session, la Plénière sera invitée à examiner, pour approbation, l</w:t>
      </w:r>
      <w:r w:rsidR="008E1649" w:rsidRPr="005671A1">
        <w:rPr>
          <w:lang w:val="fr-FR"/>
        </w:rPr>
        <w:t>’</w:t>
      </w:r>
      <w:r w:rsidRPr="005671A1">
        <w:rPr>
          <w:lang w:val="fr-FR"/>
        </w:rPr>
        <w:t>approche proposée pour intégrer les savoirs autochtones et locaux dans les produits de la Plateforme, qui recouvre le mécanisme participatif et le fichier, ainsi qu</w:t>
      </w:r>
      <w:r w:rsidR="008E1649" w:rsidRPr="005671A1">
        <w:rPr>
          <w:lang w:val="fr-FR"/>
        </w:rPr>
        <w:t>’</w:t>
      </w:r>
      <w:r w:rsidRPr="005671A1">
        <w:rPr>
          <w:lang w:val="fr-FR"/>
        </w:rPr>
        <w:t>indiqué dans la note du secrétariat sur les systèmes de savoirs autochtones et locaux (IPBES/5/4). Des informations supplémentaires, y compris une évaluation de</w:t>
      </w:r>
      <w:r w:rsidR="00EF6CE3" w:rsidRPr="005671A1">
        <w:rPr>
          <w:lang w:val="fr-FR"/>
        </w:rPr>
        <w:t>s</w:t>
      </w:r>
      <w:r w:rsidRPr="005671A1">
        <w:rPr>
          <w:lang w:val="fr-FR"/>
        </w:rPr>
        <w:t xml:space="preserve"> </w:t>
      </w:r>
      <w:r w:rsidR="00EA20A3" w:rsidRPr="005671A1">
        <w:rPr>
          <w:lang w:val="fr-FR"/>
        </w:rPr>
        <w:t>données d</w:t>
      </w:r>
      <w:r w:rsidR="008E1649" w:rsidRPr="005671A1">
        <w:rPr>
          <w:lang w:val="fr-FR"/>
        </w:rPr>
        <w:t>’</w:t>
      </w:r>
      <w:r w:rsidRPr="005671A1">
        <w:rPr>
          <w:lang w:val="fr-FR"/>
        </w:rPr>
        <w:t xml:space="preserve">expérience </w:t>
      </w:r>
      <w:r w:rsidR="00EA20A3" w:rsidRPr="005671A1">
        <w:rPr>
          <w:lang w:val="fr-FR"/>
        </w:rPr>
        <w:t xml:space="preserve">acquises dans le cadre </w:t>
      </w:r>
      <w:r w:rsidRPr="005671A1">
        <w:rPr>
          <w:lang w:val="fr-FR"/>
        </w:rPr>
        <w:t>du processus pilote des ateliers de dialogue visant à mobiliser les savoirs autochtones et locaux, ainsi que des informations sur l</w:t>
      </w:r>
      <w:r w:rsidR="008E1649" w:rsidRPr="005671A1">
        <w:rPr>
          <w:lang w:val="fr-FR"/>
        </w:rPr>
        <w:t>’</w:t>
      </w:r>
      <w:r w:rsidRPr="005671A1">
        <w:rPr>
          <w:lang w:val="fr-FR"/>
        </w:rPr>
        <w:t>approche pour intégrer les savoirs autochtones et locaux dans l</w:t>
      </w:r>
      <w:r w:rsidR="008E1649" w:rsidRPr="005671A1">
        <w:rPr>
          <w:lang w:val="fr-FR"/>
        </w:rPr>
        <w:t>’</w:t>
      </w:r>
      <w:r w:rsidRPr="005671A1">
        <w:rPr>
          <w:lang w:val="fr-FR"/>
        </w:rPr>
        <w:t>évaluation mondiale de la biodiversité et des services écosystémiques, figureront dans le document IPBES/5/INF/4.</w:t>
      </w:r>
    </w:p>
    <w:p w:rsidR="00801DEB" w:rsidRPr="005671A1" w:rsidRDefault="00AA3CB4" w:rsidP="009C30FC">
      <w:pPr>
        <w:pStyle w:val="CH3"/>
        <w:rPr>
          <w:lang w:val="fr-FR"/>
        </w:rPr>
      </w:pPr>
      <w:r w:rsidRPr="005671A1">
        <w:rPr>
          <w:lang w:val="fr-FR"/>
        </w:rPr>
        <w:tab/>
        <w:t>c)</w:t>
      </w:r>
      <w:r w:rsidRPr="005671A1">
        <w:rPr>
          <w:lang w:val="fr-FR"/>
        </w:rPr>
        <w:tab/>
        <w:t>Connaissances</w:t>
      </w:r>
      <w:r w:rsidR="00CA6E32" w:rsidRPr="005671A1">
        <w:rPr>
          <w:lang w:val="fr-FR"/>
        </w:rPr>
        <w:t xml:space="preserve"> et données </w:t>
      </w:r>
    </w:p>
    <w:p w:rsidR="00801DEB" w:rsidRPr="005671A1" w:rsidRDefault="00801DEB" w:rsidP="009C30FC">
      <w:pPr>
        <w:pStyle w:val="Normalnumber"/>
        <w:numPr>
          <w:ilvl w:val="0"/>
          <w:numId w:val="43"/>
        </w:numPr>
        <w:tabs>
          <w:tab w:val="clear" w:pos="567"/>
          <w:tab w:val="clear" w:pos="624"/>
        </w:tabs>
        <w:rPr>
          <w:lang w:val="fr-FR"/>
        </w:rPr>
      </w:pPr>
      <w:r w:rsidRPr="005671A1">
        <w:rPr>
          <w:lang w:val="fr-FR"/>
        </w:rPr>
        <w:t>Dans la section II de sa décision</w:t>
      </w:r>
      <w:r w:rsidR="008E1649" w:rsidRPr="005671A1">
        <w:rPr>
          <w:lang w:val="fr-FR"/>
        </w:rPr>
        <w:t> </w:t>
      </w:r>
      <w:r w:rsidRPr="005671A1">
        <w:rPr>
          <w:lang w:val="fr-FR"/>
        </w:rPr>
        <w:t>IPBES-3/1, la Plénière a approuvé le plan de gestion des données et des informations pour 2015 élaboré par l</w:t>
      </w:r>
      <w:r w:rsidR="008E1649" w:rsidRPr="005671A1">
        <w:rPr>
          <w:lang w:val="fr-FR"/>
        </w:rPr>
        <w:t>’</w:t>
      </w:r>
      <w:r w:rsidRPr="005671A1">
        <w:rPr>
          <w:lang w:val="fr-FR"/>
        </w:rPr>
        <w:t>équipe spéciale sur les connaissances et les données et a prié le secrétariat de lui présenter, pour information, les plans de gestion des données et infor</w:t>
      </w:r>
      <w:r w:rsidR="00AA3CB4" w:rsidRPr="005671A1">
        <w:rPr>
          <w:lang w:val="fr-FR"/>
        </w:rPr>
        <w:t xml:space="preserve">mations correspondant à chaque </w:t>
      </w:r>
      <w:r w:rsidRPr="005671A1">
        <w:rPr>
          <w:lang w:val="fr-FR"/>
        </w:rPr>
        <w:t>évaluation en cours et d</w:t>
      </w:r>
      <w:r w:rsidR="008E1649" w:rsidRPr="005671A1">
        <w:rPr>
          <w:lang w:val="fr-FR"/>
        </w:rPr>
        <w:t>’</w:t>
      </w:r>
      <w:r w:rsidRPr="005671A1">
        <w:rPr>
          <w:lang w:val="fr-FR"/>
        </w:rPr>
        <w:t>établir des plans de gestion des données et informations dans le cadre de tout processus  ou rapport de cadrage. Des informations sur les activités et les produits concernés par le plan de gestion des données et des informations de 2016 ont été présentées à la Plénière à sa quatrième session dans la note du secrétariat faisant le point sur les travaux de l</w:t>
      </w:r>
      <w:r w:rsidR="008E1649" w:rsidRPr="005671A1">
        <w:rPr>
          <w:lang w:val="fr-FR"/>
        </w:rPr>
        <w:t>’</w:t>
      </w:r>
      <w:r w:rsidRPr="005671A1">
        <w:rPr>
          <w:lang w:val="fr-FR"/>
        </w:rPr>
        <w:t>équipe spéciale sur les connaissances et les données (IPBES/4/INF/7, appendice</w:t>
      </w:r>
      <w:r w:rsidR="008E1649" w:rsidRPr="005671A1">
        <w:rPr>
          <w:lang w:val="fr-FR"/>
        </w:rPr>
        <w:t> </w:t>
      </w:r>
      <w:r w:rsidRPr="005671A1">
        <w:rPr>
          <w:lang w:val="fr-FR"/>
        </w:rPr>
        <w:t>II). Afin de mettre en œuvre le plan et de s</w:t>
      </w:r>
      <w:r w:rsidR="008E1649" w:rsidRPr="005671A1">
        <w:rPr>
          <w:lang w:val="fr-FR"/>
        </w:rPr>
        <w:t>’</w:t>
      </w:r>
      <w:r w:rsidRPr="005671A1">
        <w:rPr>
          <w:lang w:val="fr-FR"/>
        </w:rPr>
        <w:t xml:space="preserve">acquitter plus efficacement </w:t>
      </w:r>
      <w:r w:rsidR="00EA20A3" w:rsidRPr="005671A1">
        <w:rPr>
          <w:lang w:val="fr-FR"/>
        </w:rPr>
        <w:t xml:space="preserve">de </w:t>
      </w:r>
      <w:r w:rsidRPr="005671A1">
        <w:rPr>
          <w:lang w:val="fr-FR"/>
        </w:rPr>
        <w:t>son mandat, l</w:t>
      </w:r>
      <w:r w:rsidR="008E1649" w:rsidRPr="005671A1">
        <w:rPr>
          <w:lang w:val="fr-FR"/>
        </w:rPr>
        <w:t>’</w:t>
      </w:r>
      <w:r w:rsidRPr="005671A1">
        <w:rPr>
          <w:lang w:val="fr-FR"/>
        </w:rPr>
        <w:t>équipe spéciale sur les connaissances et les données a créé trois groupes de travail (des sous-groupes de l</w:t>
      </w:r>
      <w:r w:rsidR="008E1649" w:rsidRPr="005671A1">
        <w:rPr>
          <w:lang w:val="fr-FR"/>
        </w:rPr>
        <w:t>’</w:t>
      </w:r>
      <w:r w:rsidRPr="005671A1">
        <w:rPr>
          <w:lang w:val="fr-FR"/>
        </w:rPr>
        <w:t>équipe spéciale composés de membres de cette dernière et d</w:t>
      </w:r>
      <w:r w:rsidR="008E1649" w:rsidRPr="005671A1">
        <w:rPr>
          <w:lang w:val="fr-FR"/>
        </w:rPr>
        <w:t>’experts) chargés</w:t>
      </w:r>
      <w:r w:rsidR="0068438F">
        <w:rPr>
          <w:lang w:val="fr-FR"/>
        </w:rPr>
        <w:t xml:space="preserve"> : </w:t>
      </w:r>
      <w:r w:rsidR="008E1649" w:rsidRPr="005671A1">
        <w:rPr>
          <w:lang w:val="fr-FR"/>
        </w:rPr>
        <w:t>a) </w:t>
      </w:r>
      <w:r w:rsidRPr="005671A1">
        <w:rPr>
          <w:lang w:val="fr-FR"/>
        </w:rPr>
        <w:t xml:space="preserve">des indicateurs et données pour les évaluations de la </w:t>
      </w:r>
      <w:r w:rsidR="008E1649" w:rsidRPr="005671A1">
        <w:rPr>
          <w:lang w:val="fr-FR"/>
        </w:rPr>
        <w:t>Plateforme; b) </w:t>
      </w:r>
      <w:r w:rsidRPr="005671A1">
        <w:rPr>
          <w:lang w:val="fr-FR"/>
        </w:rPr>
        <w:t>de l</w:t>
      </w:r>
      <w:r w:rsidR="008E1649" w:rsidRPr="005671A1">
        <w:rPr>
          <w:lang w:val="fr-FR"/>
        </w:rPr>
        <w:t>’</w:t>
      </w:r>
      <w:r w:rsidRPr="005671A1">
        <w:rPr>
          <w:lang w:val="fr-FR"/>
        </w:rPr>
        <w:t>infrastructure en ligne à l</w:t>
      </w:r>
      <w:r w:rsidR="008E1649" w:rsidRPr="005671A1">
        <w:rPr>
          <w:lang w:val="fr-FR"/>
        </w:rPr>
        <w:t>’</w:t>
      </w:r>
      <w:r w:rsidRPr="005671A1">
        <w:rPr>
          <w:lang w:val="fr-FR"/>
        </w:rPr>
        <w:t xml:space="preserve">appui des besoins en matière de gestion </w:t>
      </w:r>
      <w:r w:rsidRPr="005671A1">
        <w:rPr>
          <w:lang w:val="fr-FR"/>
        </w:rPr>
        <w:lastRenderedPageBreak/>
        <w:t>des données et de l</w:t>
      </w:r>
      <w:r w:rsidR="008E1649" w:rsidRPr="005671A1">
        <w:rPr>
          <w:lang w:val="fr-FR"/>
        </w:rPr>
        <w:t>’information; et c) </w:t>
      </w:r>
      <w:r w:rsidRPr="005671A1">
        <w:rPr>
          <w:lang w:val="fr-FR"/>
        </w:rPr>
        <w:t>d</w:t>
      </w:r>
      <w:r w:rsidR="008E1649" w:rsidRPr="005671A1">
        <w:rPr>
          <w:lang w:val="fr-FR"/>
        </w:rPr>
        <w:t>’</w:t>
      </w:r>
      <w:r w:rsidRPr="005671A1">
        <w:rPr>
          <w:lang w:val="fr-FR"/>
        </w:rPr>
        <w:t xml:space="preserve">identifier les domaines de recherche prioritaires et de favoriser la production de nouvelles connaissances. </w:t>
      </w:r>
    </w:p>
    <w:p w:rsidR="00801DEB" w:rsidRPr="005671A1" w:rsidRDefault="00801DEB" w:rsidP="009C30FC">
      <w:pPr>
        <w:pStyle w:val="Normalnumber"/>
        <w:numPr>
          <w:ilvl w:val="0"/>
          <w:numId w:val="43"/>
        </w:numPr>
        <w:tabs>
          <w:tab w:val="clear" w:pos="567"/>
          <w:tab w:val="clear" w:pos="624"/>
        </w:tabs>
        <w:rPr>
          <w:rFonts w:eastAsia="Gulim"/>
          <w:color w:val="000000"/>
          <w:lang w:val="fr-FR"/>
        </w:rPr>
      </w:pPr>
      <w:r w:rsidRPr="005671A1">
        <w:rPr>
          <w:lang w:val="fr-FR"/>
        </w:rPr>
        <w:t>La Plénière sera invitée à prendre note des progrès accomplis par l</w:t>
      </w:r>
      <w:r w:rsidR="008E1649" w:rsidRPr="005671A1">
        <w:rPr>
          <w:lang w:val="fr-FR"/>
        </w:rPr>
        <w:t>’</w:t>
      </w:r>
      <w:r w:rsidRPr="005671A1">
        <w:rPr>
          <w:lang w:val="fr-FR"/>
        </w:rPr>
        <w:t>équipe spéciale et des activités proposées dans le cadre de la mise en œuvre de son mandat jusqu</w:t>
      </w:r>
      <w:r w:rsidR="008E1649" w:rsidRPr="005671A1">
        <w:rPr>
          <w:lang w:val="fr-FR"/>
        </w:rPr>
        <w:t>’</w:t>
      </w:r>
      <w:r w:rsidRPr="005671A1">
        <w:rPr>
          <w:lang w:val="fr-FR"/>
        </w:rPr>
        <w:t>à la fin du prem</w:t>
      </w:r>
      <w:r w:rsidR="00AA3CB4" w:rsidRPr="005671A1">
        <w:rPr>
          <w:lang w:val="fr-FR"/>
        </w:rPr>
        <w:t>ier </w:t>
      </w:r>
      <w:r w:rsidR="00430DDB" w:rsidRPr="005671A1">
        <w:rPr>
          <w:lang w:val="fr-FR"/>
        </w:rPr>
        <w:t>programme de travail figurant</w:t>
      </w:r>
      <w:r w:rsidRPr="005671A1">
        <w:rPr>
          <w:lang w:val="fr-FR"/>
        </w:rPr>
        <w:t xml:space="preserve"> dans la note du secrétariat concernant les travaux sur les connaissances et les données (IPBES/5/5). Des informations supplémentaires relatives aux travaux entrepris par l</w:t>
      </w:r>
      <w:r w:rsidR="008E1649" w:rsidRPr="005671A1">
        <w:rPr>
          <w:lang w:val="fr-FR"/>
        </w:rPr>
        <w:t>’</w:t>
      </w:r>
      <w:r w:rsidRPr="005671A1">
        <w:rPr>
          <w:lang w:val="fr-FR"/>
        </w:rPr>
        <w:t>équipe spéciale, en particulier concernant l</w:t>
      </w:r>
      <w:r w:rsidR="008E1649" w:rsidRPr="005671A1">
        <w:rPr>
          <w:lang w:val="fr-FR"/>
        </w:rPr>
        <w:t>’</w:t>
      </w:r>
      <w:r w:rsidRPr="005671A1">
        <w:rPr>
          <w:lang w:val="fr-FR"/>
        </w:rPr>
        <w:t>appui fourni aux évaluations de la Plateforme au regard des indicateurs, figurent dans le document IPBES/5/INF/5.</w:t>
      </w:r>
    </w:p>
    <w:p w:rsidR="00801DEB" w:rsidRPr="005671A1" w:rsidRDefault="00CA6E32" w:rsidP="009C30FC">
      <w:pPr>
        <w:pStyle w:val="CH3"/>
        <w:rPr>
          <w:lang w:val="fr-FR"/>
        </w:rPr>
      </w:pPr>
      <w:r w:rsidRPr="005671A1">
        <w:rPr>
          <w:lang w:val="fr-FR"/>
        </w:rPr>
        <w:tab/>
        <w:t>d)</w:t>
      </w:r>
      <w:r w:rsidRPr="005671A1">
        <w:rPr>
          <w:lang w:val="fr-FR"/>
        </w:rPr>
        <w:tab/>
        <w:t xml:space="preserve">Évaluation méthodologique des diverses conceptualisations des multiples valeurs de la nature et de ses bienfaits </w:t>
      </w:r>
    </w:p>
    <w:p w:rsidR="00801DEB" w:rsidRPr="005671A1" w:rsidRDefault="00801DEB" w:rsidP="009C30FC">
      <w:pPr>
        <w:pStyle w:val="Normalnumber"/>
        <w:numPr>
          <w:ilvl w:val="0"/>
          <w:numId w:val="43"/>
        </w:numPr>
        <w:tabs>
          <w:tab w:val="clear" w:pos="567"/>
          <w:tab w:val="clear" w:pos="624"/>
        </w:tabs>
        <w:rPr>
          <w:lang w:val="fr-FR"/>
        </w:rPr>
      </w:pPr>
      <w:r w:rsidRPr="005671A1">
        <w:rPr>
          <w:lang w:val="fr-FR"/>
        </w:rPr>
        <w:t>Dans la section</w:t>
      </w:r>
      <w:r w:rsidR="008E1649" w:rsidRPr="005671A1">
        <w:rPr>
          <w:lang w:val="fr-FR"/>
        </w:rPr>
        <w:t> </w:t>
      </w:r>
      <w:r w:rsidRPr="005671A1">
        <w:rPr>
          <w:lang w:val="fr-FR"/>
        </w:rPr>
        <w:t>V de sa décision</w:t>
      </w:r>
      <w:r w:rsidR="008E1649" w:rsidRPr="005671A1">
        <w:rPr>
          <w:lang w:val="fr-FR"/>
        </w:rPr>
        <w:t> </w:t>
      </w:r>
      <w:r w:rsidRPr="005671A1">
        <w:rPr>
          <w:lang w:val="fr-FR"/>
        </w:rPr>
        <w:t>IPBES-4/1, la Plénière s</w:t>
      </w:r>
      <w:r w:rsidR="008E1649" w:rsidRPr="005671A1">
        <w:rPr>
          <w:lang w:val="fr-FR"/>
        </w:rPr>
        <w:t>’</w:t>
      </w:r>
      <w:r w:rsidRPr="005671A1">
        <w:rPr>
          <w:lang w:val="fr-FR"/>
        </w:rPr>
        <w:t>est félicitée de l</w:t>
      </w:r>
      <w:r w:rsidR="008E1649" w:rsidRPr="005671A1">
        <w:rPr>
          <w:lang w:val="fr-FR"/>
        </w:rPr>
        <w:t>’</w:t>
      </w:r>
      <w:r w:rsidRPr="005671A1">
        <w:rPr>
          <w:lang w:val="fr-FR"/>
        </w:rPr>
        <w:t>établissement du guide préliminaire sur la conceptualisation des valeurs de la biodiversité et des bienfaits de la nature pour les êtres humains, a approuvé le rapport de cadrage pour une évaluation méthodologique sur les diverses conceptualisations des multiples valeurs de la nature et de ses bienfaits, y compris la biodiversité et les fonctions et services écosystémiques, reproduit dans le document IPBES/5/INF/12, et décidé d</w:t>
      </w:r>
      <w:r w:rsidR="008E1649" w:rsidRPr="005671A1">
        <w:rPr>
          <w:lang w:val="fr-FR"/>
        </w:rPr>
        <w:t>’</w:t>
      </w:r>
      <w:r w:rsidRPr="005671A1">
        <w:rPr>
          <w:lang w:val="fr-FR"/>
        </w:rPr>
        <w:t>examiner à sa cinquième session la réalisation de l</w:t>
      </w:r>
      <w:r w:rsidR="008E1649" w:rsidRPr="005671A1">
        <w:rPr>
          <w:lang w:val="fr-FR"/>
        </w:rPr>
        <w:t>’</w:t>
      </w:r>
      <w:r w:rsidRPr="005671A1">
        <w:rPr>
          <w:lang w:val="fr-FR"/>
        </w:rPr>
        <w:t>évaluation.</w:t>
      </w:r>
    </w:p>
    <w:p w:rsidR="00801DEB" w:rsidRPr="005671A1" w:rsidRDefault="00801DEB" w:rsidP="009C30FC">
      <w:pPr>
        <w:pStyle w:val="Normalnumber"/>
        <w:numPr>
          <w:ilvl w:val="0"/>
          <w:numId w:val="43"/>
        </w:numPr>
        <w:tabs>
          <w:tab w:val="clear" w:pos="567"/>
          <w:tab w:val="clear" w:pos="624"/>
        </w:tabs>
        <w:rPr>
          <w:lang w:val="fr-FR"/>
        </w:rPr>
      </w:pPr>
      <w:r w:rsidRPr="005671A1">
        <w:rPr>
          <w:lang w:val="fr-FR"/>
        </w:rPr>
        <w:t>Dans la même décision, la Plénière a prié le Groupe d</w:t>
      </w:r>
      <w:r w:rsidR="008E1649" w:rsidRPr="005671A1">
        <w:rPr>
          <w:lang w:val="fr-FR"/>
        </w:rPr>
        <w:t>’</w:t>
      </w:r>
      <w:r w:rsidRPr="005671A1">
        <w:rPr>
          <w:lang w:val="fr-FR"/>
        </w:rPr>
        <w:t xml:space="preserve">experts multidisciplinaire de nommer deux experts pour chaque évaluation de la Plateforme afin de veiller à ce que les valeurs et la détermination de la valeur soient, en collaboration avec le Groupe, intégrées de manière appropriée dans toutes les évaluations de la Plateforme. </w:t>
      </w:r>
    </w:p>
    <w:p w:rsidR="00801DEB" w:rsidRPr="005671A1" w:rsidRDefault="00801DEB" w:rsidP="009C30FC">
      <w:pPr>
        <w:pStyle w:val="Normalnumber"/>
        <w:numPr>
          <w:ilvl w:val="0"/>
          <w:numId w:val="43"/>
        </w:numPr>
        <w:tabs>
          <w:tab w:val="clear" w:pos="567"/>
          <w:tab w:val="clear" w:pos="624"/>
        </w:tabs>
        <w:rPr>
          <w:rFonts w:eastAsia="Gulim"/>
          <w:color w:val="000000"/>
          <w:lang w:val="fr-FR"/>
        </w:rPr>
      </w:pPr>
      <w:r w:rsidRPr="005671A1">
        <w:rPr>
          <w:lang w:val="fr-FR"/>
        </w:rPr>
        <w:t>La Plénière sera invitée à envisager conjointement la réalisation d</w:t>
      </w:r>
      <w:r w:rsidR="008E1649" w:rsidRPr="005671A1">
        <w:rPr>
          <w:lang w:val="fr-FR"/>
        </w:rPr>
        <w:t>’évaluations supplémentaires (points 6 d), e) et f))</w:t>
      </w:r>
      <w:r w:rsidRPr="005671A1">
        <w:rPr>
          <w:lang w:val="fr-FR"/>
        </w:rPr>
        <w:t>. Des informations générales figurent dans la note du secrétariat sur les considérations relatives à la réalisation de deux évaluations thématiques et d</w:t>
      </w:r>
      <w:r w:rsidR="008E1649" w:rsidRPr="005671A1">
        <w:rPr>
          <w:lang w:val="fr-FR"/>
        </w:rPr>
        <w:t>’</w:t>
      </w:r>
      <w:r w:rsidRPr="005671A1">
        <w:rPr>
          <w:lang w:val="fr-FR"/>
        </w:rPr>
        <w:t>une évaluation méthodologique (IPBES/5/6). La Plénière sera également invitée à prendre note des activités proposées pour que le groupe d</w:t>
      </w:r>
      <w:r w:rsidR="008E1649" w:rsidRPr="005671A1">
        <w:rPr>
          <w:lang w:val="fr-FR"/>
        </w:rPr>
        <w:t>’</w:t>
      </w:r>
      <w:r w:rsidRPr="005671A1">
        <w:rPr>
          <w:lang w:val="fr-FR"/>
        </w:rPr>
        <w:t>expert sur les valeurs appuie l</w:t>
      </w:r>
      <w:r w:rsidR="008E1649" w:rsidRPr="005671A1">
        <w:rPr>
          <w:lang w:val="fr-FR"/>
        </w:rPr>
        <w:t>’</w:t>
      </w:r>
      <w:r w:rsidRPr="005671A1">
        <w:rPr>
          <w:lang w:val="fr-FR"/>
        </w:rPr>
        <w:t>intégration de valeurs et de la détermination de valeurs dans les évaluations de la Plateforme jusqu</w:t>
      </w:r>
      <w:r w:rsidR="008E1649" w:rsidRPr="005671A1">
        <w:rPr>
          <w:lang w:val="fr-FR"/>
        </w:rPr>
        <w:t>’</w:t>
      </w:r>
      <w:r w:rsidRPr="005671A1">
        <w:rPr>
          <w:lang w:val="fr-FR"/>
        </w:rPr>
        <w:t xml:space="preserve">à la fin du premier programme de travail, tel que décrit dans le document IPBES/5/INF/13. </w:t>
      </w:r>
    </w:p>
    <w:p w:rsidR="00801DEB" w:rsidRPr="005671A1" w:rsidRDefault="00CA6E32" w:rsidP="009C30FC">
      <w:pPr>
        <w:pStyle w:val="CH3"/>
        <w:rPr>
          <w:lang w:val="fr-FR"/>
        </w:rPr>
      </w:pPr>
      <w:r w:rsidRPr="005671A1">
        <w:rPr>
          <w:lang w:val="fr-FR"/>
        </w:rPr>
        <w:tab/>
        <w:t>e)</w:t>
      </w:r>
      <w:r w:rsidRPr="005671A1">
        <w:rPr>
          <w:lang w:val="fr-FR"/>
        </w:rPr>
        <w:tab/>
        <w:t xml:space="preserve">Évaluation thématique des espèces exotiques envahissantes </w:t>
      </w:r>
    </w:p>
    <w:p w:rsidR="00801DEB" w:rsidRPr="005671A1" w:rsidRDefault="008E1649" w:rsidP="009C30FC">
      <w:pPr>
        <w:pStyle w:val="Normalnumber"/>
        <w:numPr>
          <w:ilvl w:val="0"/>
          <w:numId w:val="43"/>
        </w:numPr>
        <w:tabs>
          <w:tab w:val="clear" w:pos="567"/>
          <w:tab w:val="clear" w:pos="624"/>
        </w:tabs>
        <w:rPr>
          <w:lang w:val="fr-FR"/>
        </w:rPr>
      </w:pPr>
      <w:r w:rsidRPr="005671A1">
        <w:rPr>
          <w:lang w:val="fr-FR"/>
        </w:rPr>
        <w:t>Dans la section </w:t>
      </w:r>
      <w:r w:rsidR="00801DEB" w:rsidRPr="005671A1">
        <w:rPr>
          <w:lang w:val="fr-FR"/>
        </w:rPr>
        <w:t>IV de sa décision</w:t>
      </w:r>
      <w:r w:rsidRPr="005671A1">
        <w:rPr>
          <w:lang w:val="fr-FR"/>
        </w:rPr>
        <w:t> </w:t>
      </w:r>
      <w:r w:rsidR="00801DEB" w:rsidRPr="005671A1">
        <w:rPr>
          <w:lang w:val="fr-FR"/>
        </w:rPr>
        <w:t>IPBES-4/1, la Plénière a approuvé le rapport de cadrage pour une évaluation thématique des espèces exotiques envahissantes et de la lutte contre leur prolifération (IPBES/5/INF/10) et décidé d</w:t>
      </w:r>
      <w:r w:rsidRPr="005671A1">
        <w:rPr>
          <w:lang w:val="fr-FR"/>
        </w:rPr>
        <w:t>’</w:t>
      </w:r>
      <w:r w:rsidR="00801DEB" w:rsidRPr="005671A1">
        <w:rPr>
          <w:lang w:val="fr-FR"/>
        </w:rPr>
        <w:t xml:space="preserve">examiner à sa cinquième session la réalisation de cette évaluation. </w:t>
      </w:r>
    </w:p>
    <w:p w:rsidR="00801DEB" w:rsidRPr="005671A1" w:rsidRDefault="00801DEB" w:rsidP="009C30FC">
      <w:pPr>
        <w:pStyle w:val="Normalnumber"/>
        <w:numPr>
          <w:ilvl w:val="0"/>
          <w:numId w:val="43"/>
        </w:numPr>
        <w:tabs>
          <w:tab w:val="clear" w:pos="567"/>
          <w:tab w:val="clear" w:pos="624"/>
        </w:tabs>
        <w:rPr>
          <w:rFonts w:eastAsia="Calibri"/>
          <w:lang w:val="fr-FR"/>
        </w:rPr>
      </w:pPr>
      <w:r w:rsidRPr="005671A1">
        <w:rPr>
          <w:lang w:val="fr-FR"/>
        </w:rPr>
        <w:t>La Plénière sera invitée à envisager conjointement la réalisation d</w:t>
      </w:r>
      <w:r w:rsidR="008E1649" w:rsidRPr="005671A1">
        <w:rPr>
          <w:lang w:val="fr-FR"/>
        </w:rPr>
        <w:t>’évaluations supplémentaires (</w:t>
      </w:r>
      <w:r w:rsidR="004E7D81" w:rsidRPr="005671A1">
        <w:rPr>
          <w:lang w:val="fr-FR"/>
        </w:rPr>
        <w:t>points 6 </w:t>
      </w:r>
      <w:r w:rsidRPr="005671A1">
        <w:rPr>
          <w:lang w:val="fr-FR"/>
        </w:rPr>
        <w:t>d), e) et f)</w:t>
      </w:r>
      <w:r w:rsidR="008E1649" w:rsidRPr="005671A1">
        <w:rPr>
          <w:lang w:val="fr-FR"/>
        </w:rPr>
        <w:t>)</w:t>
      </w:r>
      <w:r w:rsidRPr="005671A1">
        <w:rPr>
          <w:lang w:val="fr-FR"/>
        </w:rPr>
        <w:t>. Des informations générales figurent dans la note du secrétariat sur les considérations relatives à la réalisation de deux évaluations thématiques et d</w:t>
      </w:r>
      <w:r w:rsidR="008E1649" w:rsidRPr="005671A1">
        <w:rPr>
          <w:lang w:val="fr-FR"/>
        </w:rPr>
        <w:t>’</w:t>
      </w:r>
      <w:r w:rsidRPr="005671A1">
        <w:rPr>
          <w:lang w:val="fr-FR"/>
        </w:rPr>
        <w:t>une évaluation méthodologique (IPBES/5/6).</w:t>
      </w:r>
    </w:p>
    <w:p w:rsidR="00801DEB" w:rsidRPr="005671A1" w:rsidRDefault="00CA6E32" w:rsidP="009C30FC">
      <w:pPr>
        <w:pStyle w:val="CH3"/>
        <w:rPr>
          <w:lang w:val="fr-FR"/>
        </w:rPr>
      </w:pPr>
      <w:r w:rsidRPr="005671A1">
        <w:rPr>
          <w:lang w:val="fr-FR"/>
        </w:rPr>
        <w:tab/>
        <w:t>f)</w:t>
      </w:r>
      <w:r w:rsidRPr="005671A1">
        <w:rPr>
          <w:lang w:val="fr-FR"/>
        </w:rPr>
        <w:tab/>
        <w:t>Évaluation thématique de l</w:t>
      </w:r>
      <w:r w:rsidR="008E1649" w:rsidRPr="005671A1">
        <w:rPr>
          <w:lang w:val="fr-FR"/>
        </w:rPr>
        <w:t>’</w:t>
      </w:r>
      <w:r w:rsidRPr="005671A1">
        <w:rPr>
          <w:lang w:val="fr-FR"/>
        </w:rPr>
        <w:t xml:space="preserve">utilisation durable de la biodiversité </w:t>
      </w:r>
    </w:p>
    <w:p w:rsidR="00801DEB" w:rsidRPr="005671A1" w:rsidRDefault="008E1649" w:rsidP="009C30FC">
      <w:pPr>
        <w:pStyle w:val="Normalnumber"/>
        <w:numPr>
          <w:ilvl w:val="0"/>
          <w:numId w:val="43"/>
        </w:numPr>
        <w:tabs>
          <w:tab w:val="clear" w:pos="567"/>
        </w:tabs>
        <w:rPr>
          <w:lang w:val="fr-FR"/>
        </w:rPr>
      </w:pPr>
      <w:r w:rsidRPr="005671A1">
        <w:rPr>
          <w:lang w:val="fr-FR"/>
        </w:rPr>
        <w:t>Dans la section </w:t>
      </w:r>
      <w:r w:rsidR="00801DEB" w:rsidRPr="005671A1">
        <w:rPr>
          <w:lang w:val="fr-FR"/>
        </w:rPr>
        <w:t>IV de sa décision</w:t>
      </w:r>
      <w:r w:rsidRPr="005671A1">
        <w:rPr>
          <w:lang w:val="fr-FR"/>
        </w:rPr>
        <w:t> </w:t>
      </w:r>
      <w:r w:rsidR="00801DEB" w:rsidRPr="005671A1">
        <w:rPr>
          <w:lang w:val="fr-FR"/>
        </w:rPr>
        <w:t>IPBES-4/1, la Plénière s</w:t>
      </w:r>
      <w:r w:rsidRPr="005671A1">
        <w:rPr>
          <w:lang w:val="fr-FR"/>
        </w:rPr>
        <w:t>’</w:t>
      </w:r>
      <w:r w:rsidR="00801DEB" w:rsidRPr="005671A1">
        <w:rPr>
          <w:lang w:val="fr-FR"/>
        </w:rPr>
        <w:t>est félicitée des progrès accomplis dans le cadrage de l</w:t>
      </w:r>
      <w:r w:rsidRPr="005671A1">
        <w:rPr>
          <w:lang w:val="fr-FR"/>
        </w:rPr>
        <w:t>’</w:t>
      </w:r>
      <w:r w:rsidR="00801DEB" w:rsidRPr="005671A1">
        <w:rPr>
          <w:lang w:val="fr-FR"/>
        </w:rPr>
        <w:t>évaluation de l</w:t>
      </w:r>
      <w:r w:rsidRPr="005671A1">
        <w:rPr>
          <w:lang w:val="fr-FR"/>
        </w:rPr>
        <w:t>’</w:t>
      </w:r>
      <w:r w:rsidR="00801DEB" w:rsidRPr="005671A1">
        <w:rPr>
          <w:lang w:val="fr-FR"/>
        </w:rPr>
        <w:t>utilisation durable de la biodiversité et a prié le Groupe d</w:t>
      </w:r>
      <w:r w:rsidRPr="005671A1">
        <w:rPr>
          <w:lang w:val="fr-FR"/>
        </w:rPr>
        <w:t>’</w:t>
      </w:r>
      <w:r w:rsidR="00801DEB" w:rsidRPr="005671A1">
        <w:rPr>
          <w:lang w:val="fr-FR"/>
        </w:rPr>
        <w:t>experts multidisciplinaire, en consultation avec le Bureau, de poursuivre le cadrage de l</w:t>
      </w:r>
      <w:r w:rsidRPr="005671A1">
        <w:rPr>
          <w:lang w:val="fr-FR"/>
        </w:rPr>
        <w:t>’</w:t>
      </w:r>
      <w:r w:rsidR="00801DEB" w:rsidRPr="005671A1">
        <w:rPr>
          <w:lang w:val="fr-FR"/>
        </w:rPr>
        <w:t>évaluat</w:t>
      </w:r>
      <w:r w:rsidRPr="005671A1">
        <w:rPr>
          <w:lang w:val="fr-FR"/>
        </w:rPr>
        <w:t>ion thématique, notamment en</w:t>
      </w:r>
      <w:r w:rsidR="0068438F">
        <w:rPr>
          <w:lang w:val="fr-FR"/>
        </w:rPr>
        <w:t xml:space="preserve"> : </w:t>
      </w:r>
      <w:r w:rsidRPr="005671A1">
        <w:rPr>
          <w:lang w:val="fr-FR"/>
        </w:rPr>
        <w:t>a) </w:t>
      </w:r>
      <w:r w:rsidR="00801DEB" w:rsidRPr="005671A1">
        <w:rPr>
          <w:lang w:val="fr-FR"/>
        </w:rPr>
        <w:t>organisant un atelier de cadrage mettant des experts face-à-</w:t>
      </w:r>
      <w:r w:rsidRPr="005671A1">
        <w:rPr>
          <w:lang w:val="fr-FR"/>
        </w:rPr>
        <w:t>face; b) </w:t>
      </w:r>
      <w:r w:rsidR="00801DEB" w:rsidRPr="005671A1">
        <w:rPr>
          <w:lang w:val="fr-FR"/>
        </w:rPr>
        <w:t>organisant un examen ouvert du projet révisé de rapport de cadrage par les gouvernemen</w:t>
      </w:r>
      <w:r w:rsidRPr="005671A1">
        <w:rPr>
          <w:lang w:val="fr-FR"/>
        </w:rPr>
        <w:t>ts et les parties prenantes; c) </w:t>
      </w:r>
      <w:r w:rsidR="00801DEB" w:rsidRPr="005671A1">
        <w:rPr>
          <w:lang w:val="fr-FR"/>
        </w:rPr>
        <w:t>établissant une version révisée du rapport de cadrage de l</w:t>
      </w:r>
      <w:r w:rsidRPr="005671A1">
        <w:rPr>
          <w:lang w:val="fr-FR"/>
        </w:rPr>
        <w:t>’</w:t>
      </w:r>
      <w:r w:rsidR="00801DEB" w:rsidRPr="005671A1">
        <w:rPr>
          <w:lang w:val="fr-FR"/>
        </w:rPr>
        <w:t>évaluation pour examen par la Plénière à sa cinquième session.</w:t>
      </w:r>
    </w:p>
    <w:p w:rsidR="00801DEB" w:rsidRPr="005671A1" w:rsidRDefault="00801DEB" w:rsidP="009C30FC">
      <w:pPr>
        <w:pStyle w:val="Normalnumber"/>
        <w:numPr>
          <w:ilvl w:val="0"/>
          <w:numId w:val="43"/>
        </w:numPr>
        <w:tabs>
          <w:tab w:val="clear" w:pos="567"/>
          <w:tab w:val="clear" w:pos="624"/>
        </w:tabs>
        <w:rPr>
          <w:rFonts w:eastAsia="Calibri"/>
          <w:lang w:val="fr-FR"/>
        </w:rPr>
      </w:pPr>
      <w:r w:rsidRPr="005671A1">
        <w:rPr>
          <w:lang w:val="fr-FR"/>
        </w:rPr>
        <w:t>La Plénière sera invitée à examiner</w:t>
      </w:r>
      <w:r w:rsidR="00AA3CB4" w:rsidRPr="005671A1">
        <w:rPr>
          <w:lang w:val="fr-FR"/>
        </w:rPr>
        <w:t>,</w:t>
      </w:r>
      <w:r w:rsidRPr="005671A1">
        <w:rPr>
          <w:lang w:val="fr-FR"/>
        </w:rPr>
        <w:t xml:space="preserve"> pour approbation</w:t>
      </w:r>
      <w:r w:rsidR="00AA3CB4" w:rsidRPr="005671A1">
        <w:rPr>
          <w:lang w:val="fr-FR"/>
        </w:rPr>
        <w:t>,</w:t>
      </w:r>
      <w:r w:rsidRPr="005671A1">
        <w:rPr>
          <w:lang w:val="fr-FR"/>
        </w:rPr>
        <w:t xml:space="preserve"> la version révisée du rapport de cadrage (IPBES/5/7, annexe) et à envisager la réalisation de l</w:t>
      </w:r>
      <w:r w:rsidR="008E1649" w:rsidRPr="005671A1">
        <w:rPr>
          <w:lang w:val="fr-FR"/>
        </w:rPr>
        <w:t>’</w:t>
      </w:r>
      <w:r w:rsidRPr="005671A1">
        <w:rPr>
          <w:lang w:val="fr-FR"/>
        </w:rPr>
        <w:t>évaluation. Des informations concernant le groupe d</w:t>
      </w:r>
      <w:r w:rsidR="008E1649" w:rsidRPr="005671A1">
        <w:rPr>
          <w:lang w:val="fr-FR"/>
        </w:rPr>
        <w:t>’</w:t>
      </w:r>
      <w:r w:rsidRPr="005671A1">
        <w:rPr>
          <w:lang w:val="fr-FR"/>
        </w:rPr>
        <w:t>experts et le processus de cadrage figurent dans le document IPBES/5/INF/11. La Plénière sera invitée à envisager conjointement la réalisation d</w:t>
      </w:r>
      <w:r w:rsidR="008E1649" w:rsidRPr="005671A1">
        <w:rPr>
          <w:lang w:val="fr-FR"/>
        </w:rPr>
        <w:t>’évaluations supplémentaires (points </w:t>
      </w:r>
      <w:r w:rsidR="006034F0" w:rsidRPr="005671A1">
        <w:rPr>
          <w:lang w:val="fr-FR"/>
        </w:rPr>
        <w:t>6 d), e) et f))</w:t>
      </w:r>
      <w:r w:rsidRPr="005671A1">
        <w:rPr>
          <w:lang w:val="fr-FR"/>
        </w:rPr>
        <w:t>. Des informations générales figurent dans la note du secrétariat sur les considérations relatives à la réalisation de deux évaluations thématiques et d</w:t>
      </w:r>
      <w:r w:rsidR="008E1649" w:rsidRPr="005671A1">
        <w:rPr>
          <w:lang w:val="fr-FR"/>
        </w:rPr>
        <w:t>’</w:t>
      </w:r>
      <w:r w:rsidRPr="005671A1">
        <w:rPr>
          <w:lang w:val="fr-FR"/>
        </w:rPr>
        <w:t>une évaluation méthodologique (IPBES/5/6).</w:t>
      </w:r>
    </w:p>
    <w:p w:rsidR="00801DEB" w:rsidRPr="005671A1" w:rsidRDefault="00CA6E32" w:rsidP="009C30FC">
      <w:pPr>
        <w:pStyle w:val="CH3"/>
        <w:rPr>
          <w:lang w:val="fr-FR"/>
        </w:rPr>
      </w:pPr>
      <w:r w:rsidRPr="005671A1">
        <w:rPr>
          <w:lang w:val="fr-FR"/>
        </w:rPr>
        <w:tab/>
        <w:t>g)</w:t>
      </w:r>
      <w:r w:rsidRPr="005671A1">
        <w:rPr>
          <w:lang w:val="fr-FR"/>
        </w:rPr>
        <w:tab/>
        <w:t>Outils et méthodes d</w:t>
      </w:r>
      <w:r w:rsidR="008E1649" w:rsidRPr="005671A1">
        <w:rPr>
          <w:lang w:val="fr-FR"/>
        </w:rPr>
        <w:t>’</w:t>
      </w:r>
      <w:r w:rsidRPr="005671A1">
        <w:rPr>
          <w:lang w:val="fr-FR"/>
        </w:rPr>
        <w:t>appui à l</w:t>
      </w:r>
      <w:r w:rsidR="008E1649" w:rsidRPr="005671A1">
        <w:rPr>
          <w:lang w:val="fr-FR"/>
        </w:rPr>
        <w:t>’</w:t>
      </w:r>
      <w:r w:rsidRPr="005671A1">
        <w:rPr>
          <w:lang w:val="fr-FR"/>
        </w:rPr>
        <w:t xml:space="preserve">élaboration des politiques </w:t>
      </w:r>
    </w:p>
    <w:p w:rsidR="00801DEB" w:rsidRPr="005671A1" w:rsidRDefault="008E1649" w:rsidP="009C30FC">
      <w:pPr>
        <w:pStyle w:val="Normalnumber"/>
        <w:numPr>
          <w:ilvl w:val="0"/>
          <w:numId w:val="43"/>
        </w:numPr>
        <w:tabs>
          <w:tab w:val="clear" w:pos="567"/>
          <w:tab w:val="clear" w:pos="624"/>
        </w:tabs>
        <w:rPr>
          <w:lang w:val="fr-FR"/>
        </w:rPr>
      </w:pPr>
      <w:r w:rsidRPr="005671A1">
        <w:rPr>
          <w:lang w:val="fr-FR"/>
        </w:rPr>
        <w:t>Dans la section VI de sa décision </w:t>
      </w:r>
      <w:r w:rsidR="00801DEB" w:rsidRPr="005671A1">
        <w:rPr>
          <w:lang w:val="fr-FR"/>
        </w:rPr>
        <w:t>IPBES-4/1, la Plénière a pris note des orientations concernant la poursuite des travaux relatifs aux outils et méthodes d</w:t>
      </w:r>
      <w:r w:rsidRPr="005671A1">
        <w:rPr>
          <w:lang w:val="fr-FR"/>
        </w:rPr>
        <w:t>’</w:t>
      </w:r>
      <w:r w:rsidR="00801DEB" w:rsidRPr="005671A1">
        <w:rPr>
          <w:lang w:val="fr-FR"/>
        </w:rPr>
        <w:t>appui à l</w:t>
      </w:r>
      <w:r w:rsidRPr="005671A1">
        <w:rPr>
          <w:lang w:val="fr-FR"/>
        </w:rPr>
        <w:t>’</w:t>
      </w:r>
      <w:r w:rsidR="00801DEB" w:rsidRPr="005671A1">
        <w:rPr>
          <w:lang w:val="fr-FR"/>
        </w:rPr>
        <w:t>élaboration des politiques, encouragé une intégration plus poussée de ces travaux dans tous les produits du programme de travail et invité les experts, les gouvernements et les parties prenantes à proposer de tels outils et méthodes pertinents en vue de les inclure dans le catalogue d</w:t>
      </w:r>
      <w:r w:rsidRPr="005671A1">
        <w:rPr>
          <w:lang w:val="fr-FR"/>
        </w:rPr>
        <w:t>’</w:t>
      </w:r>
      <w:r w:rsidR="00801DEB" w:rsidRPr="005671A1">
        <w:rPr>
          <w:lang w:val="fr-FR"/>
        </w:rPr>
        <w:t>outils et de méthodes d</w:t>
      </w:r>
      <w:r w:rsidRPr="005671A1">
        <w:rPr>
          <w:lang w:val="fr-FR"/>
        </w:rPr>
        <w:t>’</w:t>
      </w:r>
      <w:r w:rsidR="00801DEB" w:rsidRPr="005671A1">
        <w:rPr>
          <w:lang w:val="fr-FR"/>
        </w:rPr>
        <w:t>appui à l</w:t>
      </w:r>
      <w:r w:rsidRPr="005671A1">
        <w:rPr>
          <w:lang w:val="fr-FR"/>
        </w:rPr>
        <w:t>’</w:t>
      </w:r>
      <w:r w:rsidR="00801DEB" w:rsidRPr="005671A1">
        <w:rPr>
          <w:lang w:val="fr-FR"/>
        </w:rPr>
        <w:t xml:space="preserve">élaboration des politiques. </w:t>
      </w:r>
    </w:p>
    <w:p w:rsidR="00801DEB" w:rsidRPr="005671A1" w:rsidRDefault="00801DEB" w:rsidP="009C30FC">
      <w:pPr>
        <w:pStyle w:val="Normalnumber"/>
        <w:numPr>
          <w:ilvl w:val="0"/>
          <w:numId w:val="43"/>
        </w:numPr>
        <w:tabs>
          <w:tab w:val="clear" w:pos="567"/>
          <w:tab w:val="clear" w:pos="624"/>
        </w:tabs>
        <w:rPr>
          <w:lang w:val="fr-FR"/>
        </w:rPr>
      </w:pPr>
      <w:r w:rsidRPr="005671A1">
        <w:rPr>
          <w:lang w:val="fr-FR"/>
        </w:rPr>
        <w:lastRenderedPageBreak/>
        <w:t>Dans la même décision, la Plénière a prié le Groupe d</w:t>
      </w:r>
      <w:r w:rsidR="008E1649" w:rsidRPr="005671A1">
        <w:rPr>
          <w:lang w:val="fr-FR"/>
        </w:rPr>
        <w:t>’</w:t>
      </w:r>
      <w:r w:rsidRPr="005671A1">
        <w:rPr>
          <w:lang w:val="fr-FR"/>
        </w:rPr>
        <w:t>experts multidisciplinaire, avec l</w:t>
      </w:r>
      <w:r w:rsidR="008E1649" w:rsidRPr="005671A1">
        <w:rPr>
          <w:lang w:val="fr-FR"/>
        </w:rPr>
        <w:t>’</w:t>
      </w:r>
      <w:r w:rsidRPr="005671A1">
        <w:rPr>
          <w:lang w:val="fr-FR"/>
        </w:rPr>
        <w:t>appui du groupe d</w:t>
      </w:r>
      <w:r w:rsidR="008E1649" w:rsidRPr="005671A1">
        <w:rPr>
          <w:lang w:val="fr-FR"/>
        </w:rPr>
        <w:t>’</w:t>
      </w:r>
      <w:r w:rsidRPr="005671A1">
        <w:rPr>
          <w:lang w:val="fr-FR"/>
        </w:rPr>
        <w:t>experts sur les outils et méthodes</w:t>
      </w:r>
      <w:r w:rsidR="00AA3CB4" w:rsidRPr="005671A1">
        <w:rPr>
          <w:lang w:val="fr-FR"/>
        </w:rPr>
        <w:t>,</w:t>
      </w:r>
      <w:r w:rsidRPr="005671A1">
        <w:rPr>
          <w:lang w:val="fr-FR"/>
        </w:rPr>
        <w:t xml:space="preserve"> a) de continuer de mettre au point le catalogue en ligne (IPBES/4/INF/14) et d</w:t>
      </w:r>
      <w:r w:rsidR="008E1649" w:rsidRPr="005671A1">
        <w:rPr>
          <w:lang w:val="fr-FR"/>
        </w:rPr>
        <w:t>’</w:t>
      </w:r>
      <w:r w:rsidRPr="005671A1">
        <w:rPr>
          <w:lang w:val="fr-FR"/>
        </w:rPr>
        <w:t>en présenter un prototype afin de le tester et de l</w:t>
      </w:r>
      <w:r w:rsidR="008E1649" w:rsidRPr="005671A1">
        <w:rPr>
          <w:lang w:val="fr-FR"/>
        </w:rPr>
        <w:t>’</w:t>
      </w:r>
      <w:r w:rsidRPr="005671A1">
        <w:rPr>
          <w:lang w:val="fr-FR"/>
        </w:rPr>
        <w:t>examiner avant la cinqu</w:t>
      </w:r>
      <w:r w:rsidR="008E1649" w:rsidRPr="005671A1">
        <w:rPr>
          <w:lang w:val="fr-FR"/>
        </w:rPr>
        <w:t>ième session de la Plénière; b) </w:t>
      </w:r>
      <w:r w:rsidRPr="005671A1">
        <w:rPr>
          <w:lang w:val="fr-FR"/>
        </w:rPr>
        <w:t>de recenser les divers besoins des utilisateurs en ce qui concerne les outils d</w:t>
      </w:r>
      <w:r w:rsidR="008E1649" w:rsidRPr="005671A1">
        <w:rPr>
          <w:lang w:val="fr-FR"/>
        </w:rPr>
        <w:t>’</w:t>
      </w:r>
      <w:r w:rsidRPr="005671A1">
        <w:rPr>
          <w:lang w:val="fr-FR"/>
        </w:rPr>
        <w:t>appui à l</w:t>
      </w:r>
      <w:r w:rsidR="008E1649" w:rsidRPr="005671A1">
        <w:rPr>
          <w:lang w:val="fr-FR"/>
        </w:rPr>
        <w:t>’</w:t>
      </w:r>
      <w:r w:rsidRPr="005671A1">
        <w:rPr>
          <w:lang w:val="fr-FR"/>
        </w:rPr>
        <w:t>élaboration de politiques pour tous les produits concernés du programme de travail, et d</w:t>
      </w:r>
      <w:r w:rsidR="008E1649" w:rsidRPr="005671A1">
        <w:rPr>
          <w:lang w:val="fr-FR"/>
        </w:rPr>
        <w:t>’</w:t>
      </w:r>
      <w:r w:rsidRPr="005671A1">
        <w:rPr>
          <w:lang w:val="fr-FR"/>
        </w:rPr>
        <w:t>en faciliter la mise au point, selon qu</w:t>
      </w:r>
      <w:r w:rsidR="008E1649" w:rsidRPr="005671A1">
        <w:rPr>
          <w:lang w:val="fr-FR"/>
        </w:rPr>
        <w:t>’</w:t>
      </w:r>
      <w:r w:rsidRPr="005671A1">
        <w:rPr>
          <w:lang w:val="fr-FR"/>
        </w:rPr>
        <w:t>il convient; c)</w:t>
      </w:r>
      <w:r w:rsidR="008E1649" w:rsidRPr="005671A1">
        <w:rPr>
          <w:lang w:val="fr-FR"/>
        </w:rPr>
        <w:t> </w:t>
      </w:r>
      <w:r w:rsidRPr="005671A1">
        <w:rPr>
          <w:lang w:val="fr-FR"/>
        </w:rPr>
        <w:t>d</w:t>
      </w:r>
      <w:r w:rsidR="008E1649" w:rsidRPr="005671A1">
        <w:rPr>
          <w:lang w:val="fr-FR"/>
        </w:rPr>
        <w:t>’</w:t>
      </w:r>
      <w:r w:rsidRPr="005671A1">
        <w:rPr>
          <w:lang w:val="fr-FR"/>
        </w:rPr>
        <w:t>entreprendre une évaluation de l</w:t>
      </w:r>
      <w:r w:rsidR="008E1649" w:rsidRPr="005671A1">
        <w:rPr>
          <w:lang w:val="fr-FR"/>
        </w:rPr>
        <w:t>’</w:t>
      </w:r>
      <w:r w:rsidRPr="005671A1">
        <w:rPr>
          <w:lang w:val="fr-FR"/>
        </w:rPr>
        <w:t>utilisation et de l</w:t>
      </w:r>
      <w:r w:rsidR="008E1649" w:rsidRPr="005671A1">
        <w:rPr>
          <w:lang w:val="fr-FR"/>
        </w:rPr>
        <w:t>’</w:t>
      </w:r>
      <w:r w:rsidRPr="005671A1">
        <w:rPr>
          <w:lang w:val="fr-FR"/>
        </w:rPr>
        <w:t>efficacité du catalogue en ligne. La Plénière a également prié le Groupe de superviser le contenu du catalogue en ligne et, en consultation avec le Bureau, de continuer de mettre au point sa gouvernance, notamment en établissant des critères et un processus transparent et ouvert pour l</w:t>
      </w:r>
      <w:r w:rsidR="008E1649" w:rsidRPr="005671A1">
        <w:rPr>
          <w:lang w:val="fr-FR"/>
        </w:rPr>
        <w:t>’</w:t>
      </w:r>
      <w:r w:rsidRPr="005671A1">
        <w:rPr>
          <w:lang w:val="fr-FR"/>
        </w:rPr>
        <w:t>inclusion des outils et méthodes d</w:t>
      </w:r>
      <w:r w:rsidR="008E1649" w:rsidRPr="005671A1">
        <w:rPr>
          <w:lang w:val="fr-FR"/>
        </w:rPr>
        <w:t>’</w:t>
      </w:r>
      <w:r w:rsidRPr="005671A1">
        <w:rPr>
          <w:lang w:val="fr-FR"/>
        </w:rPr>
        <w:t>appui à l</w:t>
      </w:r>
      <w:r w:rsidR="008E1649" w:rsidRPr="005671A1">
        <w:rPr>
          <w:lang w:val="fr-FR"/>
        </w:rPr>
        <w:t>’</w:t>
      </w:r>
      <w:r w:rsidRPr="005671A1">
        <w:rPr>
          <w:lang w:val="fr-FR"/>
        </w:rPr>
        <w:t>élaboration de politiques présentés par les experts, les gouvernements et les parties prenantes.</w:t>
      </w:r>
    </w:p>
    <w:p w:rsidR="00801DEB" w:rsidRPr="005671A1" w:rsidRDefault="00801DEB" w:rsidP="009C30FC">
      <w:pPr>
        <w:pStyle w:val="Normalnumber"/>
        <w:numPr>
          <w:ilvl w:val="0"/>
          <w:numId w:val="43"/>
        </w:numPr>
        <w:tabs>
          <w:tab w:val="clear" w:pos="567"/>
          <w:tab w:val="clear" w:pos="624"/>
        </w:tabs>
        <w:rPr>
          <w:rFonts w:eastAsia="Gulim"/>
          <w:color w:val="000000"/>
          <w:lang w:val="fr-FR"/>
        </w:rPr>
      </w:pPr>
      <w:r w:rsidRPr="005671A1">
        <w:rPr>
          <w:lang w:val="fr-FR"/>
        </w:rPr>
        <w:t>La Plénière sera invitée à prendre note des progrès accomplis par le groupe d</w:t>
      </w:r>
      <w:r w:rsidR="008E1649" w:rsidRPr="005671A1">
        <w:rPr>
          <w:lang w:val="fr-FR"/>
        </w:rPr>
        <w:t>’</w:t>
      </w:r>
      <w:r w:rsidRPr="005671A1">
        <w:rPr>
          <w:lang w:val="fr-FR"/>
        </w:rPr>
        <w:t xml:space="preserve">experts et </w:t>
      </w:r>
      <w:r w:rsidR="00AA3CB4" w:rsidRPr="005671A1">
        <w:rPr>
          <w:lang w:val="fr-FR"/>
        </w:rPr>
        <w:t xml:space="preserve">à </w:t>
      </w:r>
      <w:r w:rsidRPr="005671A1">
        <w:rPr>
          <w:lang w:val="fr-FR"/>
        </w:rPr>
        <w:t>examiner pour approbation les activités proposées dans le cadre des outils et méthodes d</w:t>
      </w:r>
      <w:r w:rsidR="008E1649" w:rsidRPr="005671A1">
        <w:rPr>
          <w:lang w:val="fr-FR"/>
        </w:rPr>
        <w:t>’</w:t>
      </w:r>
      <w:r w:rsidRPr="005671A1">
        <w:rPr>
          <w:lang w:val="fr-FR"/>
        </w:rPr>
        <w:t>appui à l</w:t>
      </w:r>
      <w:r w:rsidR="008E1649" w:rsidRPr="005671A1">
        <w:rPr>
          <w:lang w:val="fr-FR"/>
        </w:rPr>
        <w:t>’</w:t>
      </w:r>
      <w:r w:rsidRPr="005671A1">
        <w:rPr>
          <w:lang w:val="fr-FR"/>
        </w:rPr>
        <w:t>élaboration de</w:t>
      </w:r>
      <w:r w:rsidR="00710A3C">
        <w:rPr>
          <w:lang w:val="fr-FR"/>
        </w:rPr>
        <w:t>s</w:t>
      </w:r>
      <w:r w:rsidRPr="005671A1">
        <w:rPr>
          <w:lang w:val="fr-FR"/>
        </w:rPr>
        <w:t xml:space="preserve"> politiques jusqu</w:t>
      </w:r>
      <w:r w:rsidR="008E1649" w:rsidRPr="005671A1">
        <w:rPr>
          <w:lang w:val="fr-FR"/>
        </w:rPr>
        <w:t>’</w:t>
      </w:r>
      <w:r w:rsidRPr="005671A1">
        <w:rPr>
          <w:lang w:val="fr-FR"/>
        </w:rPr>
        <w:t>à la fin du prem</w:t>
      </w:r>
      <w:r w:rsidR="00AA3CB4" w:rsidRPr="005671A1">
        <w:rPr>
          <w:lang w:val="fr-FR"/>
        </w:rPr>
        <w:t>ier programme de travail figurant</w:t>
      </w:r>
      <w:r w:rsidRPr="005671A1">
        <w:rPr>
          <w:lang w:val="fr-FR"/>
        </w:rPr>
        <w:t xml:space="preserve"> dans la note du secrétariat concernant les travaux sur les outils et méthodes d</w:t>
      </w:r>
      <w:r w:rsidR="008E1649" w:rsidRPr="005671A1">
        <w:rPr>
          <w:lang w:val="fr-FR"/>
        </w:rPr>
        <w:t>’</w:t>
      </w:r>
      <w:r w:rsidRPr="005671A1">
        <w:rPr>
          <w:lang w:val="fr-FR"/>
        </w:rPr>
        <w:t>appui à l</w:t>
      </w:r>
      <w:r w:rsidR="008E1649" w:rsidRPr="005671A1">
        <w:rPr>
          <w:lang w:val="fr-FR"/>
        </w:rPr>
        <w:t>’</w:t>
      </w:r>
      <w:r w:rsidRPr="005671A1">
        <w:rPr>
          <w:lang w:val="fr-FR"/>
        </w:rPr>
        <w:t>élaboration de</w:t>
      </w:r>
      <w:r w:rsidR="00710A3C">
        <w:rPr>
          <w:lang w:val="fr-FR"/>
        </w:rPr>
        <w:t>s</w:t>
      </w:r>
      <w:r w:rsidRPr="005671A1">
        <w:rPr>
          <w:lang w:val="fr-FR"/>
        </w:rPr>
        <w:t xml:space="preserve"> politiques (IPBES/5/8). Des informations supplémentaires relatives aux travaux sur les outils et méthodes d</w:t>
      </w:r>
      <w:r w:rsidR="008E1649" w:rsidRPr="005671A1">
        <w:rPr>
          <w:lang w:val="fr-FR"/>
        </w:rPr>
        <w:t>’</w:t>
      </w:r>
      <w:r w:rsidRPr="005671A1">
        <w:rPr>
          <w:lang w:val="fr-FR"/>
        </w:rPr>
        <w:t>appui à l</w:t>
      </w:r>
      <w:r w:rsidR="008E1649" w:rsidRPr="005671A1">
        <w:rPr>
          <w:lang w:val="fr-FR"/>
        </w:rPr>
        <w:t>’</w:t>
      </w:r>
      <w:r w:rsidRPr="005671A1">
        <w:rPr>
          <w:lang w:val="fr-FR"/>
        </w:rPr>
        <w:t>élaboration de</w:t>
      </w:r>
      <w:r w:rsidR="00710A3C">
        <w:rPr>
          <w:lang w:val="fr-FR"/>
        </w:rPr>
        <w:t>s</w:t>
      </w:r>
      <w:r w:rsidRPr="005671A1">
        <w:rPr>
          <w:lang w:val="fr-FR"/>
        </w:rPr>
        <w:t xml:space="preserve"> politiques, en particulier concernant les avancées dans la mise au point du catalogue en ligne et la fourniture d</w:t>
      </w:r>
      <w:r w:rsidR="008E1649" w:rsidRPr="005671A1">
        <w:rPr>
          <w:lang w:val="fr-FR"/>
        </w:rPr>
        <w:t>’</w:t>
      </w:r>
      <w:r w:rsidRPr="005671A1">
        <w:rPr>
          <w:lang w:val="fr-FR"/>
        </w:rPr>
        <w:t>orientations méthodologiques pour les évaluations de la Plateforme, figurent dans le document IPBES/5/INF/14.</w:t>
      </w:r>
    </w:p>
    <w:p w:rsidR="00801DEB" w:rsidRPr="005671A1" w:rsidRDefault="00CA6E32" w:rsidP="009C30FC">
      <w:pPr>
        <w:pStyle w:val="CH3"/>
        <w:rPr>
          <w:lang w:val="fr-FR"/>
        </w:rPr>
      </w:pPr>
      <w:r w:rsidRPr="005671A1">
        <w:rPr>
          <w:lang w:val="fr-FR"/>
        </w:rPr>
        <w:tab/>
        <w:t>h)</w:t>
      </w:r>
      <w:r w:rsidRPr="005671A1">
        <w:rPr>
          <w:lang w:val="fr-FR"/>
        </w:rPr>
        <w:tab/>
        <w:t xml:space="preserve">Communication, association des parties prenantes et partenariats stratégiques </w:t>
      </w:r>
    </w:p>
    <w:p w:rsidR="00801DEB" w:rsidRPr="005671A1" w:rsidRDefault="00801DEB" w:rsidP="009C30FC">
      <w:pPr>
        <w:pStyle w:val="Normalnumber"/>
        <w:numPr>
          <w:ilvl w:val="0"/>
          <w:numId w:val="43"/>
        </w:numPr>
        <w:tabs>
          <w:tab w:val="clear" w:pos="567"/>
          <w:tab w:val="clear" w:pos="624"/>
        </w:tabs>
        <w:rPr>
          <w:lang w:val="fr-FR"/>
        </w:rPr>
      </w:pPr>
      <w:r w:rsidRPr="005671A1">
        <w:rPr>
          <w:lang w:val="fr-FR"/>
        </w:rPr>
        <w:t>Dans sa décision</w:t>
      </w:r>
      <w:r w:rsidR="008E1649" w:rsidRPr="005671A1">
        <w:rPr>
          <w:lang w:val="fr-FR"/>
        </w:rPr>
        <w:t> </w:t>
      </w:r>
      <w:r w:rsidRPr="005671A1">
        <w:rPr>
          <w:lang w:val="fr-FR"/>
        </w:rPr>
        <w:t xml:space="preserve">IPBES-3/4, la Plénière a pris acte de la stratégie de communication et de sensibilisation figurant </w:t>
      </w:r>
      <w:r w:rsidR="006034F0" w:rsidRPr="005671A1">
        <w:rPr>
          <w:lang w:val="fr-FR"/>
        </w:rPr>
        <w:t xml:space="preserve">à </w:t>
      </w:r>
      <w:r w:rsidRPr="005671A1">
        <w:rPr>
          <w:lang w:val="fr-FR"/>
        </w:rPr>
        <w:t>l</w:t>
      </w:r>
      <w:r w:rsidR="008E1649" w:rsidRPr="005671A1">
        <w:rPr>
          <w:lang w:val="fr-FR"/>
        </w:rPr>
        <w:t>’</w:t>
      </w:r>
      <w:r w:rsidRPr="005671A1">
        <w:rPr>
          <w:lang w:val="fr-FR"/>
        </w:rPr>
        <w:t>annexe</w:t>
      </w:r>
      <w:r w:rsidR="0065752F" w:rsidRPr="005671A1">
        <w:rPr>
          <w:lang w:val="fr-FR"/>
        </w:rPr>
        <w:t> </w:t>
      </w:r>
      <w:r w:rsidR="00AA3CB4" w:rsidRPr="005671A1">
        <w:rPr>
          <w:lang w:val="fr-FR"/>
        </w:rPr>
        <w:t>I de cette</w:t>
      </w:r>
      <w:r w:rsidRPr="005671A1">
        <w:rPr>
          <w:lang w:val="fr-FR"/>
        </w:rPr>
        <w:t xml:space="preserve"> décision et prié le secrétariat, en fonction des ressources disponibles, d</w:t>
      </w:r>
      <w:r w:rsidR="008E1649" w:rsidRPr="005671A1">
        <w:rPr>
          <w:lang w:val="fr-FR"/>
        </w:rPr>
        <w:t>’</w:t>
      </w:r>
      <w:r w:rsidRPr="005671A1">
        <w:rPr>
          <w:lang w:val="fr-FR"/>
        </w:rPr>
        <w:t>entreprendre les activités décrites dans le plan de mise en œuvre initial, s</w:t>
      </w:r>
      <w:r w:rsidR="008E1649" w:rsidRPr="005671A1">
        <w:rPr>
          <w:lang w:val="fr-FR"/>
        </w:rPr>
        <w:t>’</w:t>
      </w:r>
      <w:r w:rsidRPr="005671A1">
        <w:rPr>
          <w:lang w:val="fr-FR"/>
        </w:rPr>
        <w:t>il y a lieu. À</w:t>
      </w:r>
      <w:r w:rsidR="006034F0" w:rsidRPr="005671A1">
        <w:rPr>
          <w:lang w:val="fr-FR"/>
        </w:rPr>
        <w:t> </w:t>
      </w:r>
      <w:r w:rsidRPr="005671A1">
        <w:rPr>
          <w:lang w:val="fr-FR"/>
        </w:rPr>
        <w:t>sa quatrième session, la Plénière a pris note des progrès réalisés en ce qui concerne la stratégie (décision</w:t>
      </w:r>
      <w:r w:rsidR="008E1649" w:rsidRPr="005671A1">
        <w:rPr>
          <w:lang w:val="fr-FR"/>
        </w:rPr>
        <w:t> </w:t>
      </w:r>
      <w:r w:rsidRPr="005671A1">
        <w:rPr>
          <w:lang w:val="fr-FR"/>
        </w:rPr>
        <w:t>IPBES-4/4</w:t>
      </w:r>
      <w:r w:rsidR="008E1649" w:rsidRPr="005671A1">
        <w:rPr>
          <w:lang w:val="fr-FR"/>
        </w:rPr>
        <w:t>, section </w:t>
      </w:r>
      <w:r w:rsidRPr="005671A1">
        <w:rPr>
          <w:lang w:val="fr-FR"/>
        </w:rPr>
        <w:t>I).</w:t>
      </w:r>
    </w:p>
    <w:p w:rsidR="00801DEB" w:rsidRPr="005671A1" w:rsidRDefault="008E1649" w:rsidP="009C30FC">
      <w:pPr>
        <w:pStyle w:val="Normalnumber"/>
        <w:numPr>
          <w:ilvl w:val="0"/>
          <w:numId w:val="43"/>
        </w:numPr>
        <w:tabs>
          <w:tab w:val="clear" w:pos="567"/>
          <w:tab w:val="clear" w:pos="624"/>
        </w:tabs>
        <w:rPr>
          <w:lang w:val="fr-FR"/>
        </w:rPr>
      </w:pPr>
      <w:r w:rsidRPr="005671A1">
        <w:rPr>
          <w:lang w:val="fr-FR"/>
        </w:rPr>
        <w:t>Également dans sa décision </w:t>
      </w:r>
      <w:r w:rsidR="00801DEB" w:rsidRPr="005671A1">
        <w:rPr>
          <w:lang w:val="fr-FR"/>
        </w:rPr>
        <w:t xml:space="preserve">IPBES-3/4, la Plénière a pris acte avec satisfaction du projet révisé de stratégie de participation des parties prenantes, qui figure </w:t>
      </w:r>
      <w:r w:rsidR="006034F0" w:rsidRPr="005671A1">
        <w:rPr>
          <w:lang w:val="fr-FR"/>
        </w:rPr>
        <w:t xml:space="preserve">à </w:t>
      </w:r>
      <w:r w:rsidR="00801DEB" w:rsidRPr="005671A1">
        <w:rPr>
          <w:lang w:val="fr-FR"/>
        </w:rPr>
        <w:t>l</w:t>
      </w:r>
      <w:r w:rsidRPr="005671A1">
        <w:rPr>
          <w:lang w:val="fr-FR"/>
        </w:rPr>
        <w:t>’</w:t>
      </w:r>
      <w:r w:rsidR="00801DEB" w:rsidRPr="005671A1">
        <w:rPr>
          <w:lang w:val="fr-FR"/>
        </w:rPr>
        <w:t>annexe</w:t>
      </w:r>
      <w:r w:rsidRPr="005671A1">
        <w:rPr>
          <w:lang w:val="fr-FR"/>
        </w:rPr>
        <w:t xml:space="preserve"> II de </w:t>
      </w:r>
      <w:r w:rsidR="00AA3CB4" w:rsidRPr="005671A1">
        <w:rPr>
          <w:lang w:val="fr-FR"/>
        </w:rPr>
        <w:t>cette</w:t>
      </w:r>
      <w:r w:rsidRPr="005671A1">
        <w:rPr>
          <w:lang w:val="fr-FR"/>
        </w:rPr>
        <w:t xml:space="preserve"> décision. À </w:t>
      </w:r>
      <w:r w:rsidR="00AA3CB4" w:rsidRPr="005671A1">
        <w:rPr>
          <w:lang w:val="fr-FR"/>
        </w:rPr>
        <w:t>sa </w:t>
      </w:r>
      <w:r w:rsidR="00801DEB" w:rsidRPr="005671A1">
        <w:rPr>
          <w:lang w:val="fr-FR"/>
        </w:rPr>
        <w:t>quatrième session, dans la section</w:t>
      </w:r>
      <w:r w:rsidRPr="005671A1">
        <w:rPr>
          <w:lang w:val="fr-FR"/>
        </w:rPr>
        <w:t> </w:t>
      </w:r>
      <w:r w:rsidR="00801DEB" w:rsidRPr="005671A1">
        <w:rPr>
          <w:lang w:val="fr-FR"/>
        </w:rPr>
        <w:t>II de sa décision</w:t>
      </w:r>
      <w:r w:rsidRPr="005671A1">
        <w:rPr>
          <w:lang w:val="fr-FR"/>
        </w:rPr>
        <w:t> </w:t>
      </w:r>
      <w:r w:rsidR="00801DEB" w:rsidRPr="005671A1">
        <w:rPr>
          <w:lang w:val="fr-FR"/>
        </w:rPr>
        <w:t>IPBES-4/4, la Plénière a pris note des progrès réalisés par les parties prenantes de la Plateforme dans l</w:t>
      </w:r>
      <w:r w:rsidRPr="005671A1">
        <w:rPr>
          <w:lang w:val="fr-FR"/>
        </w:rPr>
        <w:t>’</w:t>
      </w:r>
      <w:r w:rsidR="00801DEB" w:rsidRPr="005671A1">
        <w:rPr>
          <w:lang w:val="fr-FR"/>
        </w:rPr>
        <w:t>auto-organisation et la structuration d</w:t>
      </w:r>
      <w:r w:rsidRPr="005671A1">
        <w:rPr>
          <w:lang w:val="fr-FR"/>
        </w:rPr>
        <w:t>’</w:t>
      </w:r>
      <w:r w:rsidR="00801DEB" w:rsidRPr="005671A1">
        <w:rPr>
          <w:lang w:val="fr-FR"/>
        </w:rPr>
        <w:t>un réseau à composition non limitée de parties prenantes, et des contributions en nature apportées à cette fin, depuis la troisième session de la Plénière, et s</w:t>
      </w:r>
      <w:r w:rsidRPr="005671A1">
        <w:rPr>
          <w:lang w:val="fr-FR"/>
        </w:rPr>
        <w:t>’</w:t>
      </w:r>
      <w:r w:rsidR="00801DEB" w:rsidRPr="005671A1">
        <w:rPr>
          <w:lang w:val="fr-FR"/>
        </w:rPr>
        <w:t>est félicitée des partenariats stratégiques entre les réseaux à composition non limitée de parties prenantes et la Plateforme. Elle a également d</w:t>
      </w:r>
      <w:r w:rsidR="00AA3CB4" w:rsidRPr="005671A1">
        <w:rPr>
          <w:lang w:val="fr-FR"/>
        </w:rPr>
        <w:t>emandé au Secrétaire exécutif</w:t>
      </w:r>
      <w:r w:rsidR="00801DEB" w:rsidRPr="005671A1">
        <w:rPr>
          <w:lang w:val="fr-FR"/>
        </w:rPr>
        <w:t xml:space="preserve"> de collaborer avec les réseaux à composition non limitée de parties prenantes, d</w:t>
      </w:r>
      <w:r w:rsidRPr="005671A1">
        <w:rPr>
          <w:lang w:val="fr-FR"/>
        </w:rPr>
        <w:t>’</w:t>
      </w:r>
      <w:r w:rsidR="00801DEB" w:rsidRPr="005671A1">
        <w:rPr>
          <w:lang w:val="fr-FR"/>
        </w:rPr>
        <w:t>entreprendre les activités décrites dans le plan de mise en œuvre initial de la stratégie d</w:t>
      </w:r>
      <w:r w:rsidRPr="005671A1">
        <w:rPr>
          <w:lang w:val="fr-FR"/>
        </w:rPr>
        <w:t>’</w:t>
      </w:r>
      <w:r w:rsidR="00801DEB" w:rsidRPr="005671A1">
        <w:rPr>
          <w:lang w:val="fr-FR"/>
        </w:rPr>
        <w:t>association des parties prenantes et de finaliser les dispositions institutionnelles en vue d</w:t>
      </w:r>
      <w:r w:rsidRPr="005671A1">
        <w:rPr>
          <w:lang w:val="fr-FR"/>
        </w:rPr>
        <w:t>’</w:t>
      </w:r>
      <w:r w:rsidR="00801DEB" w:rsidRPr="005671A1">
        <w:rPr>
          <w:lang w:val="fr-FR"/>
        </w:rPr>
        <w:t xml:space="preserve">établir de tels partenariats stratégiques. </w:t>
      </w:r>
    </w:p>
    <w:p w:rsidR="00801DEB" w:rsidRPr="005671A1" w:rsidRDefault="00801DEB" w:rsidP="009C30FC">
      <w:pPr>
        <w:pStyle w:val="Normalnumber"/>
        <w:numPr>
          <w:ilvl w:val="0"/>
          <w:numId w:val="43"/>
        </w:numPr>
        <w:tabs>
          <w:tab w:val="clear" w:pos="567"/>
          <w:tab w:val="clear" w:pos="624"/>
        </w:tabs>
        <w:rPr>
          <w:lang w:val="fr-FR"/>
        </w:rPr>
      </w:pPr>
      <w:r w:rsidRPr="005671A1">
        <w:rPr>
          <w:lang w:val="fr-FR"/>
        </w:rPr>
        <w:t>Dans la section</w:t>
      </w:r>
      <w:r w:rsidR="008E1649" w:rsidRPr="005671A1">
        <w:rPr>
          <w:lang w:val="fr-FR"/>
        </w:rPr>
        <w:t> </w:t>
      </w:r>
      <w:r w:rsidRPr="005671A1">
        <w:rPr>
          <w:lang w:val="fr-FR"/>
        </w:rPr>
        <w:t xml:space="preserve">III de </w:t>
      </w:r>
      <w:r w:rsidR="00361132" w:rsidRPr="005671A1">
        <w:rPr>
          <w:lang w:val="fr-FR"/>
        </w:rPr>
        <w:t>s</w:t>
      </w:r>
      <w:r w:rsidRPr="005671A1">
        <w:rPr>
          <w:lang w:val="fr-FR"/>
        </w:rPr>
        <w:t>a décision</w:t>
      </w:r>
      <w:r w:rsidR="00361132" w:rsidRPr="005671A1">
        <w:rPr>
          <w:lang w:val="fr-FR"/>
        </w:rPr>
        <w:t> IPBES-4/4</w:t>
      </w:r>
      <w:r w:rsidRPr="005671A1">
        <w:rPr>
          <w:lang w:val="fr-FR"/>
        </w:rPr>
        <w:t xml:space="preserve">, la Plénière a demandé </w:t>
      </w:r>
      <w:r w:rsidR="00AA3CB4" w:rsidRPr="005671A1">
        <w:rPr>
          <w:lang w:val="fr-FR"/>
        </w:rPr>
        <w:t>au</w:t>
      </w:r>
      <w:r w:rsidRPr="005671A1">
        <w:rPr>
          <w:lang w:val="fr-FR"/>
        </w:rPr>
        <w:t xml:space="preserve"> Secrétaire exécuti</w:t>
      </w:r>
      <w:r w:rsidR="00AA3CB4" w:rsidRPr="005671A1">
        <w:rPr>
          <w:lang w:val="fr-FR"/>
        </w:rPr>
        <w:t>f</w:t>
      </w:r>
      <w:r w:rsidRPr="005671A1">
        <w:rPr>
          <w:lang w:val="fr-FR"/>
        </w:rPr>
        <w:t xml:space="preserve"> de finaliser les mémorandums de coopération avec les secrétariats des accords multilatéraux sur l</w:t>
      </w:r>
      <w:r w:rsidR="008E1649" w:rsidRPr="005671A1">
        <w:rPr>
          <w:lang w:val="fr-FR"/>
        </w:rPr>
        <w:t>’</w:t>
      </w:r>
      <w:r w:rsidRPr="005671A1">
        <w:rPr>
          <w:lang w:val="fr-FR"/>
        </w:rPr>
        <w:t xml:space="preserve">environnement relatifs à la biodiversité et aux services écosystémiques et le secrétariat de la Plateforme. </w:t>
      </w:r>
    </w:p>
    <w:p w:rsidR="00801DEB" w:rsidRPr="005671A1" w:rsidRDefault="00801DEB" w:rsidP="009C30FC">
      <w:pPr>
        <w:pStyle w:val="Normalnumber"/>
        <w:numPr>
          <w:ilvl w:val="0"/>
          <w:numId w:val="43"/>
        </w:numPr>
        <w:tabs>
          <w:tab w:val="clear" w:pos="567"/>
          <w:tab w:val="clear" w:pos="624"/>
        </w:tabs>
        <w:rPr>
          <w:rFonts w:eastAsia="Gulim"/>
          <w:color w:val="000000"/>
          <w:lang w:val="fr-FR"/>
        </w:rPr>
      </w:pPr>
      <w:r w:rsidRPr="005671A1">
        <w:rPr>
          <w:lang w:val="fr-FR"/>
        </w:rPr>
        <w:t>La Plénière sera invitée à prendre note des progrès accomplis dans la mise en œuvre des stratégies de communication, de sensibilisation et d</w:t>
      </w:r>
      <w:r w:rsidR="008E1649" w:rsidRPr="005671A1">
        <w:rPr>
          <w:lang w:val="fr-FR"/>
        </w:rPr>
        <w:t>’</w:t>
      </w:r>
      <w:r w:rsidRPr="005671A1">
        <w:rPr>
          <w:lang w:val="fr-FR"/>
        </w:rPr>
        <w:t>association des parties prenantes, ainsi que des activités prévues jusqu</w:t>
      </w:r>
      <w:r w:rsidR="008E1649" w:rsidRPr="005671A1">
        <w:rPr>
          <w:lang w:val="fr-FR"/>
        </w:rPr>
        <w:t>’</w:t>
      </w:r>
      <w:r w:rsidRPr="005671A1">
        <w:rPr>
          <w:lang w:val="fr-FR"/>
        </w:rPr>
        <w:t>à la fin du prem</w:t>
      </w:r>
      <w:r w:rsidR="00AA3CB4" w:rsidRPr="005671A1">
        <w:rPr>
          <w:lang w:val="fr-FR"/>
        </w:rPr>
        <w:t>ier programme de travail figurant</w:t>
      </w:r>
      <w:r w:rsidRPr="005671A1">
        <w:rPr>
          <w:lang w:val="fr-FR"/>
        </w:rPr>
        <w:t xml:space="preserve"> dans la note du secrétariat sur la communication, l</w:t>
      </w:r>
      <w:r w:rsidR="008E1649" w:rsidRPr="005671A1">
        <w:rPr>
          <w:lang w:val="fr-FR"/>
        </w:rPr>
        <w:t>’</w:t>
      </w:r>
      <w:r w:rsidRPr="005671A1">
        <w:rPr>
          <w:lang w:val="fr-FR"/>
        </w:rPr>
        <w:t>association des parties prenantes et les partenariats stratégiques (IPBES/5/9). Des</w:t>
      </w:r>
      <w:r w:rsidR="00361132" w:rsidRPr="005671A1">
        <w:rPr>
          <w:lang w:val="fr-FR"/>
        </w:rPr>
        <w:t> </w:t>
      </w:r>
      <w:r w:rsidRPr="005671A1">
        <w:rPr>
          <w:lang w:val="fr-FR"/>
        </w:rPr>
        <w:t>informations supplémentaires sont disponibles concernant la communication et la sensibilisation (IPBES/5/INF/15), l</w:t>
      </w:r>
      <w:r w:rsidR="008E1649" w:rsidRPr="005671A1">
        <w:rPr>
          <w:lang w:val="fr-FR"/>
        </w:rPr>
        <w:t>’</w:t>
      </w:r>
      <w:r w:rsidRPr="005671A1">
        <w:rPr>
          <w:lang w:val="fr-FR"/>
        </w:rPr>
        <w:t>association des parties prenantes (IPBES/5/INF/16), ainsi que l</w:t>
      </w:r>
      <w:r w:rsidR="008E1649" w:rsidRPr="005671A1">
        <w:rPr>
          <w:lang w:val="fr-FR"/>
        </w:rPr>
        <w:t>’</w:t>
      </w:r>
      <w:r w:rsidRPr="005671A1">
        <w:rPr>
          <w:lang w:val="fr-FR"/>
        </w:rPr>
        <w:t>établissement de mémorandums de coopération avec chacun des secrétariats des accords multilatéraux sur l</w:t>
      </w:r>
      <w:r w:rsidR="008E1649" w:rsidRPr="005671A1">
        <w:rPr>
          <w:lang w:val="fr-FR"/>
        </w:rPr>
        <w:t>’</w:t>
      </w:r>
      <w:r w:rsidRPr="005671A1">
        <w:rPr>
          <w:lang w:val="fr-FR"/>
        </w:rPr>
        <w:t>environnement, la collaboration avec d</w:t>
      </w:r>
      <w:r w:rsidR="008E1649" w:rsidRPr="005671A1">
        <w:rPr>
          <w:lang w:val="fr-FR"/>
        </w:rPr>
        <w:t>’</w:t>
      </w:r>
      <w:r w:rsidRPr="005671A1">
        <w:rPr>
          <w:lang w:val="fr-FR"/>
        </w:rPr>
        <w:t>autres partenaires stratégiques et les dispositifs relatifs à l</w:t>
      </w:r>
      <w:r w:rsidR="008E1649" w:rsidRPr="005671A1">
        <w:rPr>
          <w:lang w:val="fr-FR"/>
        </w:rPr>
        <w:t>’</w:t>
      </w:r>
      <w:r w:rsidRPr="005671A1">
        <w:rPr>
          <w:lang w:val="fr-FR"/>
        </w:rPr>
        <w:t>appui technique (IPBES/5/INF/17).</w:t>
      </w:r>
    </w:p>
    <w:p w:rsidR="00801DEB" w:rsidRPr="005671A1" w:rsidRDefault="001B3263" w:rsidP="006D501F">
      <w:pPr>
        <w:pStyle w:val="CH2"/>
        <w:spacing w:before="240"/>
        <w:ind w:left="1248" w:hanging="624"/>
        <w:rPr>
          <w:lang w:val="fr-FR"/>
        </w:rPr>
      </w:pPr>
      <w:r w:rsidRPr="005671A1">
        <w:rPr>
          <w:lang w:val="fr-FR"/>
        </w:rPr>
        <w:lastRenderedPageBreak/>
        <w:t>Point </w:t>
      </w:r>
      <w:r w:rsidR="00801DEB" w:rsidRPr="005671A1">
        <w:rPr>
          <w:lang w:val="fr-FR"/>
        </w:rPr>
        <w:t>7</w:t>
      </w:r>
    </w:p>
    <w:p w:rsidR="00801DEB" w:rsidRPr="005671A1" w:rsidRDefault="00801DEB" w:rsidP="006D501F">
      <w:pPr>
        <w:pStyle w:val="CH2"/>
        <w:ind w:left="624" w:firstLine="0"/>
        <w:rPr>
          <w:lang w:val="fr-FR"/>
        </w:rPr>
      </w:pPr>
      <w:r w:rsidRPr="005671A1">
        <w:rPr>
          <w:lang w:val="fr-FR"/>
        </w:rPr>
        <w:t>Dispositifs financiers et budgétaires pour la Plateforme</w:t>
      </w:r>
    </w:p>
    <w:p w:rsidR="00801DEB" w:rsidRPr="005671A1" w:rsidRDefault="00CA6E32" w:rsidP="006D501F">
      <w:pPr>
        <w:pStyle w:val="CH3"/>
        <w:rPr>
          <w:lang w:val="fr-FR"/>
        </w:rPr>
      </w:pPr>
      <w:r w:rsidRPr="005671A1">
        <w:rPr>
          <w:lang w:val="fr-FR"/>
        </w:rPr>
        <w:tab/>
        <w:t>a)</w:t>
      </w:r>
      <w:r w:rsidRPr="005671A1">
        <w:rPr>
          <w:lang w:val="fr-FR"/>
        </w:rPr>
        <w:tab/>
        <w:t xml:space="preserve">Budget et dépenses pour la période 2014-2018 </w:t>
      </w:r>
    </w:p>
    <w:p w:rsidR="00801DEB" w:rsidRPr="005671A1" w:rsidRDefault="00801DEB" w:rsidP="006D501F">
      <w:pPr>
        <w:pStyle w:val="Normalnumber"/>
        <w:keepNext/>
        <w:keepLines/>
        <w:numPr>
          <w:ilvl w:val="0"/>
          <w:numId w:val="43"/>
        </w:numPr>
        <w:tabs>
          <w:tab w:val="clear" w:pos="567"/>
          <w:tab w:val="clear" w:pos="624"/>
        </w:tabs>
        <w:rPr>
          <w:lang w:val="fr-FR"/>
        </w:rPr>
      </w:pPr>
      <w:r w:rsidRPr="005671A1">
        <w:rPr>
          <w:lang w:val="fr-FR"/>
        </w:rPr>
        <w:t>En réponse à la décision</w:t>
      </w:r>
      <w:r w:rsidR="00655A35" w:rsidRPr="005671A1">
        <w:rPr>
          <w:lang w:val="fr-FR"/>
        </w:rPr>
        <w:t> </w:t>
      </w:r>
      <w:r w:rsidRPr="005671A1">
        <w:rPr>
          <w:lang w:val="fr-FR"/>
        </w:rPr>
        <w:t>IPBES-4/2 sur les dispositions financières et budgétaires, la Plénière sera invitée à examiner une note du secrétariat sur le budget et les dépenses pour 2014-2019 (IPBES/5/10), qui fournit des informations sur l</w:t>
      </w:r>
      <w:r w:rsidR="008E1649" w:rsidRPr="005671A1">
        <w:rPr>
          <w:lang w:val="fr-FR"/>
        </w:rPr>
        <w:t>’</w:t>
      </w:r>
      <w:r w:rsidRPr="005671A1">
        <w:rPr>
          <w:lang w:val="fr-FR"/>
        </w:rPr>
        <w:t>état des contribution</w:t>
      </w:r>
      <w:r w:rsidR="00AA3CB4" w:rsidRPr="005671A1">
        <w:rPr>
          <w:lang w:val="fr-FR"/>
        </w:rPr>
        <w:t>s en espèces et en nature à la P</w:t>
      </w:r>
      <w:r w:rsidRPr="005671A1">
        <w:rPr>
          <w:lang w:val="fr-FR"/>
        </w:rPr>
        <w:t>lateforme et sur les dépenses pour l</w:t>
      </w:r>
      <w:r w:rsidR="008E1649" w:rsidRPr="005671A1">
        <w:rPr>
          <w:lang w:val="fr-FR"/>
        </w:rPr>
        <w:t>’</w:t>
      </w:r>
      <w:r w:rsidRPr="005671A1">
        <w:rPr>
          <w:lang w:val="fr-FR"/>
        </w:rPr>
        <w:t>exercice biennal 2015-2016, et propose un budget révisé pour l</w:t>
      </w:r>
      <w:r w:rsidR="008E1649" w:rsidRPr="005671A1">
        <w:rPr>
          <w:lang w:val="fr-FR"/>
        </w:rPr>
        <w:t>’</w:t>
      </w:r>
      <w:r w:rsidRPr="005671A1">
        <w:rPr>
          <w:lang w:val="fr-FR"/>
        </w:rPr>
        <w:t xml:space="preserve">exercice biennal 2017-2018, pour </w:t>
      </w:r>
      <w:r w:rsidR="00AA3CB4" w:rsidRPr="005671A1">
        <w:rPr>
          <w:lang w:val="fr-FR"/>
        </w:rPr>
        <w:t xml:space="preserve">examen et </w:t>
      </w:r>
      <w:r w:rsidRPr="005671A1">
        <w:rPr>
          <w:lang w:val="fr-FR"/>
        </w:rPr>
        <w:t>adoption éventuelle, ainsi qu</w:t>
      </w:r>
      <w:r w:rsidR="008E1649" w:rsidRPr="005671A1">
        <w:rPr>
          <w:lang w:val="fr-FR"/>
        </w:rPr>
        <w:t>’</w:t>
      </w:r>
      <w:r w:rsidRPr="005671A1">
        <w:rPr>
          <w:lang w:val="fr-FR"/>
        </w:rPr>
        <w:t>un budget indicatif révisé pour 2019</w:t>
      </w:r>
      <w:r w:rsidR="00AA3CB4" w:rsidRPr="005671A1">
        <w:rPr>
          <w:lang w:val="fr-FR"/>
        </w:rPr>
        <w:t xml:space="preserve">, pour </w:t>
      </w:r>
      <w:r w:rsidR="00C76D92" w:rsidRPr="005671A1">
        <w:rPr>
          <w:lang w:val="fr-FR"/>
        </w:rPr>
        <w:t>examen</w:t>
      </w:r>
      <w:r w:rsidRPr="005671A1">
        <w:rPr>
          <w:lang w:val="fr-FR"/>
        </w:rPr>
        <w:t xml:space="preserve">. </w:t>
      </w:r>
    </w:p>
    <w:p w:rsidR="00801DEB" w:rsidRPr="005671A1" w:rsidRDefault="00CA6E32" w:rsidP="009C30FC">
      <w:pPr>
        <w:pStyle w:val="CH3"/>
        <w:rPr>
          <w:lang w:val="fr-FR"/>
        </w:rPr>
      </w:pPr>
      <w:r w:rsidRPr="005671A1">
        <w:rPr>
          <w:lang w:val="fr-FR"/>
        </w:rPr>
        <w:tab/>
        <w:t>b)</w:t>
      </w:r>
      <w:r w:rsidRPr="005671A1">
        <w:rPr>
          <w:lang w:val="fr-FR"/>
        </w:rPr>
        <w:tab/>
        <w:t>Fonds d</w:t>
      </w:r>
      <w:r w:rsidR="008E1649" w:rsidRPr="005671A1">
        <w:rPr>
          <w:lang w:val="fr-FR"/>
        </w:rPr>
        <w:t>’</w:t>
      </w:r>
      <w:r w:rsidRPr="005671A1">
        <w:rPr>
          <w:lang w:val="fr-FR"/>
        </w:rPr>
        <w:t xml:space="preserve">affectation spéciale </w:t>
      </w:r>
    </w:p>
    <w:p w:rsidR="00801DEB" w:rsidRPr="005671A1" w:rsidRDefault="006034F0" w:rsidP="009C30FC">
      <w:pPr>
        <w:pStyle w:val="Normalnumber"/>
        <w:numPr>
          <w:ilvl w:val="0"/>
          <w:numId w:val="43"/>
        </w:numPr>
        <w:tabs>
          <w:tab w:val="clear" w:pos="567"/>
        </w:tabs>
        <w:rPr>
          <w:lang w:val="fr-FR"/>
        </w:rPr>
      </w:pPr>
      <w:r w:rsidRPr="005671A1">
        <w:rPr>
          <w:lang w:val="fr-FR"/>
        </w:rPr>
        <w:t xml:space="preserve">Au </w:t>
      </w:r>
      <w:r w:rsidR="00801DEB" w:rsidRPr="005671A1">
        <w:rPr>
          <w:lang w:val="fr-FR"/>
        </w:rPr>
        <w:t>paragraphe</w:t>
      </w:r>
      <w:r w:rsidR="00655A35" w:rsidRPr="005671A1">
        <w:rPr>
          <w:lang w:val="fr-FR"/>
        </w:rPr>
        <w:t> </w:t>
      </w:r>
      <w:r w:rsidR="00801DEB" w:rsidRPr="005671A1">
        <w:rPr>
          <w:lang w:val="fr-FR"/>
        </w:rPr>
        <w:t>6 de sa décision</w:t>
      </w:r>
      <w:r w:rsidR="00655A35" w:rsidRPr="005671A1">
        <w:rPr>
          <w:lang w:val="fr-FR"/>
        </w:rPr>
        <w:t> </w:t>
      </w:r>
      <w:r w:rsidR="00801DEB" w:rsidRPr="005671A1">
        <w:rPr>
          <w:lang w:val="fr-FR"/>
        </w:rPr>
        <w:t>IPBES-4/2, la Plénière a prié l</w:t>
      </w:r>
      <w:r w:rsidRPr="005671A1">
        <w:rPr>
          <w:lang w:val="fr-FR"/>
        </w:rPr>
        <w:t xml:space="preserve">e Secrétaire exécutif </w:t>
      </w:r>
      <w:r w:rsidR="00801DEB" w:rsidRPr="005671A1">
        <w:rPr>
          <w:lang w:val="fr-FR"/>
        </w:rPr>
        <w:t>de chercher activement des sources de financement, d</w:t>
      </w:r>
      <w:r w:rsidR="008E1649" w:rsidRPr="005671A1">
        <w:rPr>
          <w:lang w:val="fr-FR"/>
        </w:rPr>
        <w:t>’</w:t>
      </w:r>
      <w:r w:rsidR="00801DEB" w:rsidRPr="005671A1">
        <w:rPr>
          <w:lang w:val="fr-FR"/>
        </w:rPr>
        <w:t>améliorer constamment l</w:t>
      </w:r>
      <w:r w:rsidR="008E1649" w:rsidRPr="005671A1">
        <w:rPr>
          <w:lang w:val="fr-FR"/>
        </w:rPr>
        <w:t>’</w:t>
      </w:r>
      <w:r w:rsidR="00801DEB" w:rsidRPr="005671A1">
        <w:rPr>
          <w:lang w:val="fr-FR"/>
        </w:rPr>
        <w:t>efficacité du fonctionnement de la Plateforme et d</w:t>
      </w:r>
      <w:r w:rsidR="008E1649" w:rsidRPr="005671A1">
        <w:rPr>
          <w:lang w:val="fr-FR"/>
        </w:rPr>
        <w:t>’</w:t>
      </w:r>
      <w:r w:rsidR="00801DEB" w:rsidRPr="005671A1">
        <w:rPr>
          <w:lang w:val="fr-FR"/>
        </w:rPr>
        <w:t>élaborer une stratégie en matière de collecte de fonds, qu</w:t>
      </w:r>
      <w:r w:rsidR="008E1649" w:rsidRPr="005671A1">
        <w:rPr>
          <w:lang w:val="fr-FR"/>
        </w:rPr>
        <w:t>’</w:t>
      </w:r>
      <w:r w:rsidR="00801DEB" w:rsidRPr="005671A1">
        <w:rPr>
          <w:lang w:val="fr-FR"/>
        </w:rPr>
        <w:t xml:space="preserve">elle examinera à sa cinquième session. La Plénière sera donc invitée à examiner la stratégie de </w:t>
      </w:r>
      <w:r w:rsidR="00C76D92" w:rsidRPr="005671A1">
        <w:rPr>
          <w:lang w:val="fr-FR"/>
        </w:rPr>
        <w:t xml:space="preserve">mobilisation de fonds </w:t>
      </w:r>
      <w:r w:rsidR="00801DEB" w:rsidRPr="005671A1">
        <w:rPr>
          <w:lang w:val="fr-FR"/>
        </w:rPr>
        <w:t>(IPBES/5/10, annexe).</w:t>
      </w:r>
    </w:p>
    <w:p w:rsidR="00801DEB" w:rsidRPr="005671A1" w:rsidRDefault="00801DEB" w:rsidP="009C30FC">
      <w:pPr>
        <w:pStyle w:val="CH2"/>
        <w:keepLines w:val="0"/>
        <w:spacing w:before="240"/>
        <w:ind w:left="1238" w:right="288" w:hanging="619"/>
        <w:rPr>
          <w:lang w:val="fr-FR"/>
        </w:rPr>
      </w:pPr>
      <w:r w:rsidRPr="005671A1">
        <w:rPr>
          <w:lang w:val="fr-FR"/>
        </w:rPr>
        <w:t>Point</w:t>
      </w:r>
      <w:r w:rsidR="00C76D92" w:rsidRPr="005671A1">
        <w:rPr>
          <w:lang w:val="fr-FR"/>
        </w:rPr>
        <w:t> </w:t>
      </w:r>
      <w:r w:rsidRPr="005671A1">
        <w:rPr>
          <w:lang w:val="fr-FR"/>
        </w:rPr>
        <w:t>8</w:t>
      </w:r>
    </w:p>
    <w:p w:rsidR="00801DEB" w:rsidRPr="005671A1" w:rsidRDefault="00801DEB" w:rsidP="009C30FC">
      <w:pPr>
        <w:pStyle w:val="CH2"/>
        <w:ind w:left="624" w:firstLine="0"/>
        <w:rPr>
          <w:lang w:val="fr-FR"/>
        </w:rPr>
      </w:pPr>
      <w:r w:rsidRPr="005671A1">
        <w:rPr>
          <w:lang w:val="fr-FR"/>
        </w:rPr>
        <w:t>Examen de la Plateforme</w:t>
      </w:r>
    </w:p>
    <w:p w:rsidR="00801DEB" w:rsidRPr="005671A1" w:rsidRDefault="00801DEB" w:rsidP="009C30FC">
      <w:pPr>
        <w:pStyle w:val="Normalnumber"/>
        <w:numPr>
          <w:ilvl w:val="0"/>
          <w:numId w:val="43"/>
        </w:numPr>
        <w:tabs>
          <w:tab w:val="clear" w:pos="567"/>
        </w:tabs>
        <w:rPr>
          <w:rFonts w:eastAsia="Calibri"/>
          <w:lang w:val="fr-FR"/>
        </w:rPr>
      </w:pPr>
      <w:r w:rsidRPr="005671A1">
        <w:rPr>
          <w:lang w:val="fr-FR"/>
        </w:rPr>
        <w:t>Dans la section</w:t>
      </w:r>
      <w:r w:rsidR="00655A35" w:rsidRPr="005671A1">
        <w:rPr>
          <w:lang w:val="fr-FR"/>
        </w:rPr>
        <w:t> IX de sa décision </w:t>
      </w:r>
      <w:r w:rsidRPr="005671A1">
        <w:rPr>
          <w:lang w:val="fr-FR"/>
        </w:rPr>
        <w:t>IPBES-2/5, la Plénière a prié le Groupe d</w:t>
      </w:r>
      <w:r w:rsidR="008E1649" w:rsidRPr="005671A1">
        <w:rPr>
          <w:lang w:val="fr-FR"/>
        </w:rPr>
        <w:t>’</w:t>
      </w:r>
      <w:r w:rsidRPr="005671A1">
        <w:rPr>
          <w:lang w:val="fr-FR"/>
        </w:rPr>
        <w:t>experts multidisciplinaire, en consultation avec le Bureau, de préparer une procédure pour l</w:t>
      </w:r>
      <w:r w:rsidR="008E1649" w:rsidRPr="005671A1">
        <w:rPr>
          <w:lang w:val="fr-FR"/>
        </w:rPr>
        <w:t>’</w:t>
      </w:r>
      <w:r w:rsidRPr="005671A1">
        <w:rPr>
          <w:lang w:val="fr-FR"/>
        </w:rPr>
        <w:t>examen indépendant de l</w:t>
      </w:r>
      <w:r w:rsidR="008E1649" w:rsidRPr="005671A1">
        <w:rPr>
          <w:lang w:val="fr-FR"/>
        </w:rPr>
        <w:t>’</w:t>
      </w:r>
      <w:r w:rsidRPr="005671A1">
        <w:rPr>
          <w:lang w:val="fr-FR"/>
        </w:rPr>
        <w:t>efficacité des fonctions administratives et scientifiques de la Plateforme. À</w:t>
      </w:r>
      <w:r w:rsidR="00361132" w:rsidRPr="005671A1">
        <w:rPr>
          <w:lang w:val="fr-FR"/>
        </w:rPr>
        <w:t> </w:t>
      </w:r>
      <w:r w:rsidRPr="005671A1">
        <w:rPr>
          <w:lang w:val="fr-FR"/>
        </w:rPr>
        <w:t>sa</w:t>
      </w:r>
      <w:r w:rsidR="00361132" w:rsidRPr="005671A1">
        <w:rPr>
          <w:lang w:val="fr-FR"/>
        </w:rPr>
        <w:t> </w:t>
      </w:r>
      <w:r w:rsidRPr="005671A1">
        <w:rPr>
          <w:lang w:val="fr-FR"/>
        </w:rPr>
        <w:t>quatrième session, dans l</w:t>
      </w:r>
      <w:r w:rsidR="00655A35" w:rsidRPr="005671A1">
        <w:rPr>
          <w:lang w:val="fr-FR"/>
        </w:rPr>
        <w:t>a section </w:t>
      </w:r>
      <w:r w:rsidRPr="005671A1">
        <w:rPr>
          <w:lang w:val="fr-FR"/>
        </w:rPr>
        <w:t>VII de sa décision</w:t>
      </w:r>
      <w:r w:rsidR="00655A35" w:rsidRPr="005671A1">
        <w:rPr>
          <w:lang w:val="fr-FR"/>
        </w:rPr>
        <w:t> </w:t>
      </w:r>
      <w:r w:rsidRPr="005671A1">
        <w:rPr>
          <w:lang w:val="fr-FR"/>
        </w:rPr>
        <w:t>IPBES-4/1, elle a invité les gouvernements et les parties prenantes à soumettre d</w:t>
      </w:r>
      <w:r w:rsidR="008E1649" w:rsidRPr="005671A1">
        <w:rPr>
          <w:lang w:val="fr-FR"/>
        </w:rPr>
        <w:t>’</w:t>
      </w:r>
      <w:r w:rsidRPr="005671A1">
        <w:rPr>
          <w:lang w:val="fr-FR"/>
        </w:rPr>
        <w:t>autres points de vue sur le projet de cadre de référence pour l</w:t>
      </w:r>
      <w:r w:rsidR="008E1649" w:rsidRPr="005671A1">
        <w:rPr>
          <w:lang w:val="fr-FR"/>
        </w:rPr>
        <w:t>’</w:t>
      </w:r>
      <w:r w:rsidRPr="005671A1">
        <w:rPr>
          <w:lang w:val="fr-FR"/>
        </w:rPr>
        <w:t>examen final figurant à l</w:t>
      </w:r>
      <w:r w:rsidR="008E1649" w:rsidRPr="005671A1">
        <w:rPr>
          <w:lang w:val="fr-FR"/>
        </w:rPr>
        <w:t>’</w:t>
      </w:r>
      <w:r w:rsidR="00655A35" w:rsidRPr="005671A1">
        <w:rPr>
          <w:lang w:val="fr-FR"/>
        </w:rPr>
        <w:t>annexe </w:t>
      </w:r>
      <w:r w:rsidRPr="005671A1">
        <w:rPr>
          <w:lang w:val="fr-FR"/>
        </w:rPr>
        <w:t xml:space="preserve">VII </w:t>
      </w:r>
      <w:r w:rsidR="00C76D92" w:rsidRPr="005671A1">
        <w:rPr>
          <w:lang w:val="fr-FR"/>
        </w:rPr>
        <w:t>de cette</w:t>
      </w:r>
      <w:r w:rsidRPr="005671A1">
        <w:rPr>
          <w:lang w:val="fr-FR"/>
        </w:rPr>
        <w:t xml:space="preserve"> décision, en tenant compte de la nécessité d</w:t>
      </w:r>
      <w:r w:rsidR="008E1649" w:rsidRPr="005671A1">
        <w:rPr>
          <w:lang w:val="fr-FR"/>
        </w:rPr>
        <w:t>’</w:t>
      </w:r>
      <w:r w:rsidRPr="005671A1">
        <w:rPr>
          <w:lang w:val="fr-FR"/>
        </w:rPr>
        <w:t>intégrer les éléments internes et externes de l</w:t>
      </w:r>
      <w:r w:rsidR="008E1649" w:rsidRPr="005671A1">
        <w:rPr>
          <w:lang w:val="fr-FR"/>
        </w:rPr>
        <w:t>’</w:t>
      </w:r>
      <w:r w:rsidRPr="005671A1">
        <w:rPr>
          <w:lang w:val="fr-FR"/>
        </w:rPr>
        <w:t>examen. La Plénière a prié le Groupe d</w:t>
      </w:r>
      <w:r w:rsidR="008E1649" w:rsidRPr="005671A1">
        <w:rPr>
          <w:lang w:val="fr-FR"/>
        </w:rPr>
        <w:t>’</w:t>
      </w:r>
      <w:r w:rsidRPr="005671A1">
        <w:rPr>
          <w:lang w:val="fr-FR"/>
        </w:rPr>
        <w:t>experts multidisciplinaire de continuer d</w:t>
      </w:r>
      <w:r w:rsidR="008E1649" w:rsidRPr="005671A1">
        <w:rPr>
          <w:lang w:val="fr-FR"/>
        </w:rPr>
        <w:t>’</w:t>
      </w:r>
      <w:r w:rsidRPr="005671A1">
        <w:rPr>
          <w:lang w:val="fr-FR"/>
        </w:rPr>
        <w:t>affiner, en consultation avec le Bureau, la portée et le cadre de référence de l</w:t>
      </w:r>
      <w:r w:rsidR="008E1649" w:rsidRPr="005671A1">
        <w:rPr>
          <w:lang w:val="fr-FR"/>
        </w:rPr>
        <w:t>’</w:t>
      </w:r>
      <w:r w:rsidRPr="005671A1">
        <w:rPr>
          <w:lang w:val="fr-FR"/>
        </w:rPr>
        <w:t xml:space="preserve">examen final, compte tenu des contributions susmentionnées. </w:t>
      </w:r>
    </w:p>
    <w:p w:rsidR="00801DEB" w:rsidRPr="005671A1" w:rsidRDefault="00801DEB" w:rsidP="009C30FC">
      <w:pPr>
        <w:pStyle w:val="Normalnumber"/>
        <w:numPr>
          <w:ilvl w:val="0"/>
          <w:numId w:val="43"/>
        </w:numPr>
        <w:tabs>
          <w:tab w:val="clear" w:pos="567"/>
        </w:tabs>
        <w:rPr>
          <w:rFonts w:eastAsia="Gulim"/>
          <w:color w:val="000000"/>
          <w:lang w:val="fr-FR"/>
        </w:rPr>
      </w:pPr>
      <w:r w:rsidRPr="005671A1">
        <w:rPr>
          <w:lang w:val="fr-FR"/>
        </w:rPr>
        <w:t>La Plénière sera invitée à examiner, pour adoption, la version révisée du cadre de référence et du questionnaire pour l</w:t>
      </w:r>
      <w:r w:rsidR="008E1649" w:rsidRPr="005671A1">
        <w:rPr>
          <w:lang w:val="fr-FR"/>
        </w:rPr>
        <w:t>’</w:t>
      </w:r>
      <w:r w:rsidRPr="005671A1">
        <w:rPr>
          <w:lang w:val="fr-FR"/>
        </w:rPr>
        <w:t>examen de la Plateforme, comme inscrit dans la note du secrétariat sur la procédure pour l</w:t>
      </w:r>
      <w:r w:rsidR="008E1649" w:rsidRPr="005671A1">
        <w:rPr>
          <w:lang w:val="fr-FR"/>
        </w:rPr>
        <w:t>’</w:t>
      </w:r>
      <w:r w:rsidRPr="005671A1">
        <w:rPr>
          <w:lang w:val="fr-FR"/>
        </w:rPr>
        <w:t>examen de l</w:t>
      </w:r>
      <w:r w:rsidR="008E1649" w:rsidRPr="005671A1">
        <w:rPr>
          <w:lang w:val="fr-FR"/>
        </w:rPr>
        <w:t>’</w:t>
      </w:r>
      <w:r w:rsidRPr="005671A1">
        <w:rPr>
          <w:lang w:val="fr-FR"/>
        </w:rPr>
        <w:t>efficacité des fonctions administratives et scientifiques de la Plateforme (IPBES/5/11).</w:t>
      </w:r>
    </w:p>
    <w:p w:rsidR="00801DEB" w:rsidRPr="005671A1" w:rsidRDefault="009C30FC" w:rsidP="009C30FC">
      <w:pPr>
        <w:pStyle w:val="CH2"/>
        <w:keepNext w:val="0"/>
        <w:keepLines w:val="0"/>
        <w:spacing w:before="240"/>
        <w:ind w:left="1248" w:hanging="624"/>
        <w:rPr>
          <w:lang w:val="fr-FR"/>
        </w:rPr>
      </w:pPr>
      <w:r w:rsidRPr="005671A1">
        <w:rPr>
          <w:lang w:val="fr-FR"/>
        </w:rPr>
        <w:t>Point </w:t>
      </w:r>
      <w:r w:rsidR="00801DEB" w:rsidRPr="005671A1">
        <w:rPr>
          <w:lang w:val="fr-FR"/>
        </w:rPr>
        <w:t>9</w:t>
      </w:r>
    </w:p>
    <w:p w:rsidR="00C17BC7" w:rsidRPr="005671A1" w:rsidRDefault="00C17BC7" w:rsidP="009C30FC">
      <w:pPr>
        <w:pStyle w:val="CH2"/>
        <w:ind w:left="624" w:firstLine="0"/>
        <w:rPr>
          <w:lang w:val="fr-FR"/>
        </w:rPr>
      </w:pPr>
      <w:r w:rsidRPr="005671A1">
        <w:rPr>
          <w:lang w:val="fr-FR"/>
        </w:rPr>
        <w:t>Planification des futures sessions de la Plénière</w:t>
      </w:r>
    </w:p>
    <w:p w:rsidR="00C17BC7" w:rsidRPr="005671A1" w:rsidRDefault="000E2505" w:rsidP="009C30FC">
      <w:pPr>
        <w:pStyle w:val="CH3"/>
        <w:rPr>
          <w:lang w:val="fr-FR"/>
        </w:rPr>
      </w:pPr>
      <w:r w:rsidRPr="005671A1">
        <w:rPr>
          <w:lang w:val="fr-FR"/>
        </w:rPr>
        <w:tab/>
        <w:t>a)</w:t>
      </w:r>
      <w:r w:rsidRPr="005671A1">
        <w:rPr>
          <w:lang w:val="fr-FR"/>
        </w:rPr>
        <w:tab/>
        <w:t xml:space="preserve">Ordre du jour provisoire, organisation des travaux, date </w:t>
      </w:r>
      <w:r w:rsidR="004C4F01" w:rsidRPr="005671A1">
        <w:rPr>
          <w:lang w:val="fr-FR"/>
        </w:rPr>
        <w:t>et lieu</w:t>
      </w:r>
      <w:r w:rsidR="00710A3C">
        <w:rPr>
          <w:lang w:val="fr-FR"/>
        </w:rPr>
        <w:t xml:space="preserve"> des </w:t>
      </w:r>
      <w:r w:rsidR="00152C7B" w:rsidRPr="005671A1">
        <w:rPr>
          <w:lang w:val="fr-FR"/>
        </w:rPr>
        <w:t>sixième</w:t>
      </w:r>
      <w:r w:rsidR="006034F0" w:rsidRPr="005671A1">
        <w:rPr>
          <w:lang w:val="fr-FR"/>
        </w:rPr>
        <w:t> </w:t>
      </w:r>
      <w:r w:rsidR="00152C7B" w:rsidRPr="005671A1">
        <w:rPr>
          <w:lang w:val="fr-FR"/>
        </w:rPr>
        <w:t>et </w:t>
      </w:r>
      <w:r w:rsidR="004C4F01" w:rsidRPr="005671A1">
        <w:rPr>
          <w:lang w:val="fr-FR"/>
        </w:rPr>
        <w:t>septième </w:t>
      </w:r>
      <w:r w:rsidRPr="005671A1">
        <w:rPr>
          <w:lang w:val="fr-FR"/>
        </w:rPr>
        <w:t xml:space="preserve">sessions de la Plénière </w:t>
      </w:r>
    </w:p>
    <w:p w:rsidR="00C17BC7" w:rsidRPr="005671A1" w:rsidRDefault="00C17BC7" w:rsidP="009C30FC">
      <w:pPr>
        <w:pStyle w:val="Normalnumber"/>
        <w:numPr>
          <w:ilvl w:val="0"/>
          <w:numId w:val="43"/>
        </w:numPr>
        <w:tabs>
          <w:tab w:val="clear" w:pos="567"/>
        </w:tabs>
        <w:rPr>
          <w:lang w:val="fr-FR"/>
        </w:rPr>
      </w:pPr>
      <w:r w:rsidRPr="005671A1">
        <w:rPr>
          <w:lang w:val="fr-FR"/>
        </w:rPr>
        <w:t>Au vu de l</w:t>
      </w:r>
      <w:r w:rsidR="008E1649" w:rsidRPr="005671A1">
        <w:rPr>
          <w:lang w:val="fr-FR"/>
        </w:rPr>
        <w:t>’</w:t>
      </w:r>
      <w:r w:rsidRPr="005671A1">
        <w:rPr>
          <w:lang w:val="fr-FR"/>
        </w:rPr>
        <w:t>importante charge de travail prévue pour la Plé</w:t>
      </w:r>
      <w:r w:rsidR="00655A35" w:rsidRPr="005671A1">
        <w:rPr>
          <w:lang w:val="fr-FR"/>
        </w:rPr>
        <w:t>nière à ses sixième et septième </w:t>
      </w:r>
      <w:r w:rsidRPr="005671A1">
        <w:rPr>
          <w:lang w:val="fr-FR"/>
        </w:rPr>
        <w:t>sessions, celle-ci sera invitée à examiner les projets d</w:t>
      </w:r>
      <w:r w:rsidR="008E1649" w:rsidRPr="005671A1">
        <w:rPr>
          <w:lang w:val="fr-FR"/>
        </w:rPr>
        <w:t>’</w:t>
      </w:r>
      <w:r w:rsidRPr="005671A1">
        <w:rPr>
          <w:lang w:val="fr-FR"/>
        </w:rPr>
        <w:t>ordres du jour provisoires, l</w:t>
      </w:r>
      <w:r w:rsidR="008E1649" w:rsidRPr="005671A1">
        <w:rPr>
          <w:lang w:val="fr-FR"/>
        </w:rPr>
        <w:t>’</w:t>
      </w:r>
      <w:r w:rsidRPr="005671A1">
        <w:rPr>
          <w:lang w:val="fr-FR"/>
        </w:rPr>
        <w:t>organisation des travaux et les dates et lieux de ces sessions. Des informations sur ce sujet figurent dans la note du secrétariat sur l</w:t>
      </w:r>
      <w:r w:rsidR="008E1649" w:rsidRPr="005671A1">
        <w:rPr>
          <w:lang w:val="fr-FR"/>
        </w:rPr>
        <w:t>’</w:t>
      </w:r>
      <w:r w:rsidRPr="005671A1">
        <w:rPr>
          <w:lang w:val="fr-FR"/>
        </w:rPr>
        <w:t>organisation des sixième et septième sessions de la Plénière et l</w:t>
      </w:r>
      <w:r w:rsidR="008E1649" w:rsidRPr="005671A1">
        <w:rPr>
          <w:lang w:val="fr-FR"/>
        </w:rPr>
        <w:t>’</w:t>
      </w:r>
      <w:r w:rsidRPr="005671A1">
        <w:rPr>
          <w:lang w:val="fr-FR"/>
        </w:rPr>
        <w:t>élaboration d</w:t>
      </w:r>
      <w:r w:rsidR="00C76D92" w:rsidRPr="005671A1">
        <w:rPr>
          <w:lang w:val="fr-FR"/>
        </w:rPr>
        <w:t>u</w:t>
      </w:r>
      <w:r w:rsidRPr="005671A1">
        <w:rPr>
          <w:lang w:val="fr-FR"/>
        </w:rPr>
        <w:t xml:space="preserve"> de</w:t>
      </w:r>
      <w:r w:rsidR="00C76D92" w:rsidRPr="005671A1">
        <w:rPr>
          <w:lang w:val="fr-FR"/>
        </w:rPr>
        <w:t>uxième programme de travail de</w:t>
      </w:r>
      <w:r w:rsidRPr="005671A1">
        <w:rPr>
          <w:lang w:val="fr-FR"/>
        </w:rPr>
        <w:t xml:space="preserve"> la Plateforme (IPBES/5/12). Les gouvernements qui souhaiteraient accueillir la sixième ou la septième session de la Plénière sont invités à en informer le secrétariat avant ou pendant la cinquième session.</w:t>
      </w:r>
    </w:p>
    <w:p w:rsidR="00C17BC7" w:rsidRPr="005671A1" w:rsidRDefault="000E2505" w:rsidP="009C30FC">
      <w:pPr>
        <w:pStyle w:val="CH3"/>
        <w:ind w:left="0" w:firstLine="0"/>
        <w:rPr>
          <w:lang w:val="fr-FR"/>
        </w:rPr>
      </w:pPr>
      <w:r w:rsidRPr="005671A1">
        <w:rPr>
          <w:lang w:val="fr-FR"/>
        </w:rPr>
        <w:tab/>
        <w:t>b)</w:t>
      </w:r>
      <w:r w:rsidRPr="005671A1">
        <w:rPr>
          <w:lang w:val="fr-FR"/>
        </w:rPr>
        <w:tab/>
        <w:t>Procédure d</w:t>
      </w:r>
      <w:r w:rsidR="008E1649" w:rsidRPr="005671A1">
        <w:rPr>
          <w:lang w:val="fr-FR"/>
        </w:rPr>
        <w:t>’</w:t>
      </w:r>
      <w:r w:rsidRPr="005671A1">
        <w:rPr>
          <w:lang w:val="fr-FR"/>
        </w:rPr>
        <w:t xml:space="preserve">établissement du deuxième programme de travail de la Plateforme </w:t>
      </w:r>
    </w:p>
    <w:p w:rsidR="00C17BC7" w:rsidRPr="005671A1" w:rsidRDefault="00C17BC7" w:rsidP="009C30FC">
      <w:pPr>
        <w:pStyle w:val="Normalnumber"/>
        <w:numPr>
          <w:ilvl w:val="0"/>
          <w:numId w:val="43"/>
        </w:numPr>
        <w:rPr>
          <w:lang w:val="fr-FR"/>
        </w:rPr>
      </w:pPr>
      <w:r w:rsidRPr="005671A1">
        <w:rPr>
          <w:lang w:val="fr-FR"/>
        </w:rPr>
        <w:t>Le premier programme de travail de la Plateforme s</w:t>
      </w:r>
      <w:r w:rsidR="008E1649" w:rsidRPr="005671A1">
        <w:rPr>
          <w:lang w:val="fr-FR"/>
        </w:rPr>
        <w:t>’</w:t>
      </w:r>
      <w:r w:rsidRPr="005671A1">
        <w:rPr>
          <w:lang w:val="fr-FR"/>
        </w:rPr>
        <w:t>achèvera avec l</w:t>
      </w:r>
      <w:r w:rsidR="008E1649" w:rsidRPr="005671A1">
        <w:rPr>
          <w:lang w:val="fr-FR"/>
        </w:rPr>
        <w:t>’</w:t>
      </w:r>
      <w:r w:rsidRPr="005671A1">
        <w:rPr>
          <w:lang w:val="fr-FR"/>
        </w:rPr>
        <w:t>examen de l</w:t>
      </w:r>
      <w:r w:rsidR="008E1649" w:rsidRPr="005671A1">
        <w:rPr>
          <w:lang w:val="fr-FR"/>
        </w:rPr>
        <w:t>’</w:t>
      </w:r>
      <w:r w:rsidRPr="005671A1">
        <w:rPr>
          <w:lang w:val="fr-FR"/>
        </w:rPr>
        <w:t>évaluation mondiale de la biodiversité et des services écosystémiques par la Plénière à sa septième session à la mi-2019. Afin d</w:t>
      </w:r>
      <w:r w:rsidR="008E1649" w:rsidRPr="005671A1">
        <w:rPr>
          <w:lang w:val="fr-FR"/>
        </w:rPr>
        <w:t>’</w:t>
      </w:r>
      <w:r w:rsidRPr="005671A1">
        <w:rPr>
          <w:lang w:val="fr-FR"/>
        </w:rPr>
        <w:t xml:space="preserve">assurer la continuité des travaux de la Plateforme et de permettre à la Plénière de mettre à profit </w:t>
      </w:r>
      <w:r w:rsidR="006034F0" w:rsidRPr="005671A1">
        <w:rPr>
          <w:lang w:val="fr-FR"/>
        </w:rPr>
        <w:t xml:space="preserve">l’expérience acquise dans le cadre </w:t>
      </w:r>
      <w:r w:rsidRPr="005671A1">
        <w:rPr>
          <w:lang w:val="fr-FR"/>
        </w:rPr>
        <w:t>de la mise en œuvre du premier programme de travail, cette dernière sera invitée à examiner, pour adoption, les prochaines étapes dans l</w:t>
      </w:r>
      <w:r w:rsidR="008E1649" w:rsidRPr="005671A1">
        <w:rPr>
          <w:lang w:val="fr-FR"/>
        </w:rPr>
        <w:t>’</w:t>
      </w:r>
      <w:r w:rsidRPr="005671A1">
        <w:rPr>
          <w:lang w:val="fr-FR"/>
        </w:rPr>
        <w:t>établissement d</w:t>
      </w:r>
      <w:r w:rsidR="00C76D92" w:rsidRPr="005671A1">
        <w:rPr>
          <w:lang w:val="fr-FR"/>
        </w:rPr>
        <w:t>u</w:t>
      </w:r>
      <w:r w:rsidRPr="005671A1">
        <w:rPr>
          <w:lang w:val="fr-FR"/>
        </w:rPr>
        <w:t xml:space="preserve"> deuxième programme de travail </w:t>
      </w:r>
      <w:r w:rsidR="00C76D92" w:rsidRPr="005671A1">
        <w:rPr>
          <w:lang w:val="fr-FR"/>
        </w:rPr>
        <w:t>figurant dans</w:t>
      </w:r>
      <w:r w:rsidRPr="005671A1">
        <w:rPr>
          <w:lang w:val="fr-FR"/>
        </w:rPr>
        <w:t xml:space="preserve"> la note du secrétariat sur l</w:t>
      </w:r>
      <w:r w:rsidR="008E1649" w:rsidRPr="005671A1">
        <w:rPr>
          <w:lang w:val="fr-FR"/>
        </w:rPr>
        <w:t>’</w:t>
      </w:r>
      <w:r w:rsidRPr="005671A1">
        <w:rPr>
          <w:lang w:val="fr-FR"/>
        </w:rPr>
        <w:t>organisation des sixième et septième sessions de la Plénière et l</w:t>
      </w:r>
      <w:r w:rsidR="008E1649" w:rsidRPr="005671A1">
        <w:rPr>
          <w:lang w:val="fr-FR"/>
        </w:rPr>
        <w:t>’</w:t>
      </w:r>
      <w:r w:rsidRPr="005671A1">
        <w:rPr>
          <w:lang w:val="fr-FR"/>
        </w:rPr>
        <w:t>élaboration du deuxième programme de travail de la Plateforme (IPBES/5/12).</w:t>
      </w:r>
    </w:p>
    <w:p w:rsidR="00801DEB" w:rsidRPr="005671A1" w:rsidRDefault="004C4F01" w:rsidP="009C30FC">
      <w:pPr>
        <w:pStyle w:val="CH2"/>
        <w:keepLines w:val="0"/>
        <w:spacing w:before="240"/>
        <w:ind w:left="1238" w:right="288" w:hanging="619"/>
        <w:rPr>
          <w:lang w:val="fr-FR"/>
        </w:rPr>
      </w:pPr>
      <w:r w:rsidRPr="005671A1">
        <w:rPr>
          <w:lang w:val="fr-FR"/>
        </w:rPr>
        <w:lastRenderedPageBreak/>
        <w:t>Point </w:t>
      </w:r>
      <w:r w:rsidR="00801DEB" w:rsidRPr="005671A1">
        <w:rPr>
          <w:lang w:val="fr-FR"/>
        </w:rPr>
        <w:t>10</w:t>
      </w:r>
    </w:p>
    <w:p w:rsidR="00801DEB" w:rsidRPr="005671A1" w:rsidRDefault="00801DEB" w:rsidP="009C30FC">
      <w:pPr>
        <w:pStyle w:val="CH2"/>
        <w:ind w:left="624" w:firstLine="0"/>
        <w:rPr>
          <w:lang w:val="fr-FR"/>
        </w:rPr>
      </w:pPr>
      <w:r w:rsidRPr="005671A1">
        <w:rPr>
          <w:lang w:val="fr-FR"/>
        </w:rPr>
        <w:t>Dispositions institutionnelles : dispositions</w:t>
      </w:r>
      <w:r w:rsidR="004C4F01" w:rsidRPr="005671A1">
        <w:rPr>
          <w:lang w:val="fr-FR"/>
        </w:rPr>
        <w:t xml:space="preserve"> concernant les partenariats de </w:t>
      </w:r>
      <w:r w:rsidRPr="005671A1">
        <w:rPr>
          <w:lang w:val="fr-FR"/>
        </w:rPr>
        <w:t>collaboration des Nations Unies pour les tra</w:t>
      </w:r>
      <w:r w:rsidR="004C4F01" w:rsidRPr="005671A1">
        <w:rPr>
          <w:lang w:val="fr-FR"/>
        </w:rPr>
        <w:t>vaux de la Plateforme et de son </w:t>
      </w:r>
      <w:r w:rsidRPr="005671A1">
        <w:rPr>
          <w:lang w:val="fr-FR"/>
        </w:rPr>
        <w:t>secrétariat</w:t>
      </w:r>
    </w:p>
    <w:p w:rsidR="00801DEB" w:rsidRPr="005671A1" w:rsidRDefault="00801DEB" w:rsidP="009C30FC">
      <w:pPr>
        <w:pStyle w:val="Normalnumber"/>
        <w:numPr>
          <w:ilvl w:val="0"/>
          <w:numId w:val="43"/>
        </w:numPr>
        <w:tabs>
          <w:tab w:val="clear" w:pos="567"/>
        </w:tabs>
        <w:rPr>
          <w:lang w:val="fr-FR"/>
        </w:rPr>
      </w:pPr>
      <w:r w:rsidRPr="005671A1">
        <w:rPr>
          <w:lang w:val="fr-FR"/>
        </w:rPr>
        <w:t>Comme suite à l</w:t>
      </w:r>
      <w:r w:rsidR="008E1649" w:rsidRPr="005671A1">
        <w:rPr>
          <w:lang w:val="fr-FR"/>
        </w:rPr>
        <w:t>’</w:t>
      </w:r>
      <w:r w:rsidRPr="005671A1">
        <w:rPr>
          <w:lang w:val="fr-FR"/>
        </w:rPr>
        <w:t>adoption par la Plénière, dans sa décision</w:t>
      </w:r>
      <w:r w:rsidR="00655A35" w:rsidRPr="005671A1">
        <w:rPr>
          <w:lang w:val="fr-FR"/>
        </w:rPr>
        <w:t> </w:t>
      </w:r>
      <w:r w:rsidRPr="005671A1">
        <w:rPr>
          <w:lang w:val="fr-FR"/>
        </w:rPr>
        <w:t>IPBES-2/8, du partenariat de collaboration visant à établir un lien institution</w:t>
      </w:r>
      <w:r w:rsidR="00C76D92" w:rsidRPr="005671A1">
        <w:rPr>
          <w:lang w:val="fr-FR"/>
        </w:rPr>
        <w:t>nel entre la Plénière et le Programme des Nations Unies pour l’environnement</w:t>
      </w:r>
      <w:r w:rsidRPr="005671A1">
        <w:rPr>
          <w:lang w:val="fr-FR"/>
        </w:rPr>
        <w:t>, l</w:t>
      </w:r>
      <w:r w:rsidR="008E1649" w:rsidRPr="005671A1">
        <w:rPr>
          <w:lang w:val="fr-FR"/>
        </w:rPr>
        <w:t>’</w:t>
      </w:r>
      <w:r w:rsidR="00C76D92" w:rsidRPr="005671A1">
        <w:rPr>
          <w:lang w:val="fr-FR"/>
        </w:rPr>
        <w:t>Organisation des Nations Unies pour l’éducation, la science et la culture</w:t>
      </w:r>
      <w:r w:rsidRPr="005671A1">
        <w:rPr>
          <w:lang w:val="fr-FR"/>
        </w:rPr>
        <w:t>, l</w:t>
      </w:r>
      <w:r w:rsidR="00C76D92" w:rsidRPr="005671A1">
        <w:rPr>
          <w:lang w:val="fr-FR"/>
        </w:rPr>
        <w:t>’Organisation des Nations Unies pour l’alimentation et l’agriculture et le Programme des Nations</w:t>
      </w:r>
      <w:r w:rsidR="00361132" w:rsidRPr="005671A1">
        <w:rPr>
          <w:lang w:val="fr-FR"/>
        </w:rPr>
        <w:t> </w:t>
      </w:r>
      <w:r w:rsidR="00C76D92" w:rsidRPr="005671A1">
        <w:rPr>
          <w:lang w:val="fr-FR"/>
        </w:rPr>
        <w:t>Unies pour le développement</w:t>
      </w:r>
      <w:r w:rsidRPr="005671A1">
        <w:rPr>
          <w:lang w:val="fr-FR"/>
        </w:rPr>
        <w:t xml:space="preserve">, un rapport intérimaire sur ce partenariat est présenté à la Plénière pour information dans une note du secrétariat (IPBES/5/INF/18). </w:t>
      </w:r>
    </w:p>
    <w:p w:rsidR="00801DEB" w:rsidRPr="005671A1" w:rsidRDefault="004C4F01" w:rsidP="009C30FC">
      <w:pPr>
        <w:pStyle w:val="CH2"/>
        <w:keepNext w:val="0"/>
        <w:keepLines w:val="0"/>
        <w:spacing w:before="240"/>
        <w:ind w:left="1248" w:hanging="624"/>
        <w:rPr>
          <w:lang w:val="fr-FR"/>
        </w:rPr>
      </w:pPr>
      <w:r w:rsidRPr="005671A1">
        <w:rPr>
          <w:lang w:val="fr-FR"/>
        </w:rPr>
        <w:t>Point </w:t>
      </w:r>
      <w:r w:rsidR="00801DEB" w:rsidRPr="005671A1">
        <w:rPr>
          <w:lang w:val="fr-FR"/>
        </w:rPr>
        <w:t>11</w:t>
      </w:r>
    </w:p>
    <w:p w:rsidR="00801DEB" w:rsidRPr="005671A1" w:rsidRDefault="00801DEB" w:rsidP="009C30FC">
      <w:pPr>
        <w:pStyle w:val="CH2"/>
        <w:ind w:left="624" w:firstLine="0"/>
        <w:rPr>
          <w:lang w:val="fr-FR"/>
        </w:rPr>
      </w:pPr>
      <w:r w:rsidRPr="005671A1">
        <w:rPr>
          <w:lang w:val="fr-FR"/>
        </w:rPr>
        <w:t>Adoption des décisions et du rapport de la session</w:t>
      </w:r>
    </w:p>
    <w:p w:rsidR="00801DEB" w:rsidRPr="005671A1" w:rsidRDefault="00801DEB" w:rsidP="009C30FC">
      <w:pPr>
        <w:pStyle w:val="Normalnumber"/>
        <w:numPr>
          <w:ilvl w:val="0"/>
          <w:numId w:val="43"/>
        </w:numPr>
        <w:tabs>
          <w:tab w:val="clear" w:pos="567"/>
        </w:tabs>
        <w:rPr>
          <w:lang w:val="fr-FR"/>
        </w:rPr>
      </w:pPr>
      <w:r w:rsidRPr="005671A1">
        <w:rPr>
          <w:lang w:val="fr-FR"/>
        </w:rPr>
        <w:t>Après avoir examiné les questions ci-dessus et reçu le rapport du Bureau sur les pouvoirs des représentants, la Plénière souhaitera peut-être envisager d</w:t>
      </w:r>
      <w:r w:rsidR="008E1649" w:rsidRPr="005671A1">
        <w:rPr>
          <w:lang w:val="fr-FR"/>
        </w:rPr>
        <w:t>’</w:t>
      </w:r>
      <w:r w:rsidRPr="005671A1">
        <w:rPr>
          <w:lang w:val="fr-FR"/>
        </w:rPr>
        <w:t>adopter des projets de décision fondés sur les résultats des débats de la session. Elle pourrait également souhaiter adopter le projet de rapport sur les travaux de la session</w:t>
      </w:r>
      <w:r w:rsidR="00C76D92" w:rsidRPr="005671A1">
        <w:rPr>
          <w:lang w:val="fr-FR"/>
        </w:rPr>
        <w:t>, préparé par le Rapporteur. Une compilation</w:t>
      </w:r>
      <w:r w:rsidRPr="005671A1">
        <w:rPr>
          <w:lang w:val="fr-FR"/>
        </w:rPr>
        <w:t xml:space="preserve"> des projets de décision pour la cinquième sessio</w:t>
      </w:r>
      <w:r w:rsidR="00C76D92" w:rsidRPr="005671A1">
        <w:rPr>
          <w:lang w:val="fr-FR"/>
        </w:rPr>
        <w:t>n de la Plénière figure dans la</w:t>
      </w:r>
      <w:r w:rsidRPr="005671A1">
        <w:rPr>
          <w:lang w:val="fr-FR"/>
        </w:rPr>
        <w:t xml:space="preserve"> note du secrétariat sur </w:t>
      </w:r>
      <w:r w:rsidR="00C76D92" w:rsidRPr="005671A1">
        <w:rPr>
          <w:lang w:val="fr-FR"/>
        </w:rPr>
        <w:t>la question</w:t>
      </w:r>
      <w:r w:rsidRPr="005671A1">
        <w:rPr>
          <w:lang w:val="fr-FR"/>
        </w:rPr>
        <w:t xml:space="preserve"> (IPBES/5/1/Add.2). </w:t>
      </w:r>
    </w:p>
    <w:p w:rsidR="00801DEB" w:rsidRPr="005671A1" w:rsidRDefault="004C4F01" w:rsidP="009C30FC">
      <w:pPr>
        <w:pStyle w:val="CH2"/>
        <w:spacing w:before="240"/>
        <w:ind w:left="1248" w:hanging="624"/>
        <w:rPr>
          <w:lang w:val="fr-FR"/>
        </w:rPr>
      </w:pPr>
      <w:r w:rsidRPr="005671A1">
        <w:rPr>
          <w:lang w:val="fr-FR"/>
        </w:rPr>
        <w:t>Point </w:t>
      </w:r>
      <w:r w:rsidR="00801DEB" w:rsidRPr="005671A1">
        <w:rPr>
          <w:lang w:val="fr-FR"/>
        </w:rPr>
        <w:t>12</w:t>
      </w:r>
    </w:p>
    <w:p w:rsidR="00801DEB" w:rsidRPr="005671A1" w:rsidRDefault="00801DEB" w:rsidP="009C30FC">
      <w:pPr>
        <w:pStyle w:val="CH2"/>
        <w:ind w:left="624" w:firstLine="0"/>
        <w:rPr>
          <w:lang w:val="fr-FR"/>
        </w:rPr>
      </w:pPr>
      <w:r w:rsidRPr="005671A1">
        <w:rPr>
          <w:lang w:val="fr-FR"/>
        </w:rPr>
        <w:t>Clôture de la session</w:t>
      </w:r>
    </w:p>
    <w:p w:rsidR="00801DEB" w:rsidRPr="005671A1" w:rsidRDefault="00801DEB" w:rsidP="009C30FC">
      <w:pPr>
        <w:pStyle w:val="Normalnumber"/>
        <w:numPr>
          <w:ilvl w:val="0"/>
          <w:numId w:val="43"/>
        </w:numPr>
        <w:tabs>
          <w:tab w:val="clear" w:pos="567"/>
        </w:tabs>
        <w:rPr>
          <w:lang w:val="fr-FR"/>
        </w:rPr>
      </w:pPr>
      <w:r w:rsidRPr="005671A1">
        <w:rPr>
          <w:lang w:val="fr-FR"/>
        </w:rPr>
        <w:t>Le Président de la Plénière devrait, en principe, prononcer la clôture de la sessio</w:t>
      </w:r>
      <w:r w:rsidR="00655A35" w:rsidRPr="005671A1">
        <w:rPr>
          <w:lang w:val="fr-FR"/>
        </w:rPr>
        <w:t>n le</w:t>
      </w:r>
      <w:r w:rsidR="00361132" w:rsidRPr="005671A1">
        <w:rPr>
          <w:lang w:val="fr-FR"/>
        </w:rPr>
        <w:t> </w:t>
      </w:r>
      <w:r w:rsidR="00655A35" w:rsidRPr="005671A1">
        <w:rPr>
          <w:lang w:val="fr-FR"/>
        </w:rPr>
        <w:t>vendredi</w:t>
      </w:r>
      <w:r w:rsidR="00361132" w:rsidRPr="005671A1">
        <w:rPr>
          <w:lang w:val="fr-FR"/>
        </w:rPr>
        <w:t> </w:t>
      </w:r>
      <w:r w:rsidR="00655A35" w:rsidRPr="005671A1">
        <w:rPr>
          <w:lang w:val="fr-FR"/>
        </w:rPr>
        <w:t>10 mars 2017 à 18 </w:t>
      </w:r>
      <w:r w:rsidRPr="005671A1">
        <w:rPr>
          <w:lang w:val="fr-FR"/>
        </w:rPr>
        <w:t>heures.</w:t>
      </w:r>
    </w:p>
    <w:p w:rsidR="00801DEB" w:rsidRPr="005671A1" w:rsidRDefault="00801DEB" w:rsidP="00EA7A5B">
      <w:pPr>
        <w:pStyle w:val="Normalnumber"/>
        <w:numPr>
          <w:ilvl w:val="0"/>
          <w:numId w:val="0"/>
        </w:numPr>
        <w:spacing w:line="480" w:lineRule="auto"/>
        <w:rPr>
          <w:lang w:val="fr-FR"/>
        </w:rPr>
        <w:sectPr w:rsidR="00801DEB" w:rsidRPr="005671A1" w:rsidSect="0050520F">
          <w:headerReference w:type="even" r:id="rId16"/>
          <w:headerReference w:type="default" r:id="rId17"/>
          <w:footerReference w:type="even" r:id="rId18"/>
          <w:footerReference w:type="default" r:id="rId19"/>
          <w:footerReference w:type="first" r:id="rId20"/>
          <w:type w:val="continuous"/>
          <w:pgSz w:w="11907" w:h="16840" w:code="9"/>
          <w:pgMar w:top="907" w:right="992" w:bottom="1418" w:left="1418" w:header="539" w:footer="975" w:gutter="0"/>
          <w:cols w:space="539"/>
          <w:titlePg/>
          <w:docGrid w:linePitch="360"/>
        </w:sectPr>
      </w:pPr>
    </w:p>
    <w:p w:rsidR="00801DEB" w:rsidRPr="005671A1" w:rsidRDefault="00801DEB" w:rsidP="004C4F01">
      <w:pPr>
        <w:pStyle w:val="ZZAnxheader"/>
        <w:rPr>
          <w:rFonts w:eastAsia="Calibri"/>
          <w:lang w:val="fr-FR"/>
        </w:rPr>
      </w:pPr>
      <w:r w:rsidRPr="005671A1">
        <w:rPr>
          <w:lang w:val="fr-FR"/>
        </w:rPr>
        <w:lastRenderedPageBreak/>
        <w:t>Annexe I</w:t>
      </w:r>
    </w:p>
    <w:p w:rsidR="00801DEB" w:rsidRPr="005671A1" w:rsidRDefault="00801DEB" w:rsidP="00EF2252">
      <w:pPr>
        <w:pStyle w:val="ZZAnxtitle"/>
        <w:spacing w:before="200"/>
        <w:ind w:left="1253"/>
        <w:rPr>
          <w:lang w:val="fr-FR"/>
        </w:rPr>
      </w:pPr>
      <w:r w:rsidRPr="005671A1">
        <w:rPr>
          <w:lang w:val="fr-FR"/>
        </w:rPr>
        <w:t>Proposition d</w:t>
      </w:r>
      <w:r w:rsidR="008E1649" w:rsidRPr="005671A1">
        <w:rPr>
          <w:lang w:val="fr-FR"/>
        </w:rPr>
        <w:t>’</w:t>
      </w:r>
      <w:r w:rsidRPr="005671A1">
        <w:rPr>
          <w:lang w:val="fr-FR"/>
        </w:rPr>
        <w:t xml:space="preserve">organisation des travaux </w:t>
      </w:r>
    </w:p>
    <w:tbl>
      <w:tblPr>
        <w:tblpPr w:leftFromText="180" w:rightFromText="180" w:vertAnchor="text" w:tblpX="899" w:tblpY="1"/>
        <w:tblOverlap w:val="never"/>
        <w:tblW w:w="4668" w:type="pct"/>
        <w:tblLayout w:type="fixed"/>
        <w:tblLook w:val="06A0" w:firstRow="1" w:lastRow="0" w:firstColumn="1" w:lastColumn="0" w:noHBand="1" w:noVBand="1"/>
      </w:tblPr>
      <w:tblGrid>
        <w:gridCol w:w="1953"/>
        <w:gridCol w:w="1756"/>
        <w:gridCol w:w="2081"/>
        <w:gridCol w:w="1343"/>
        <w:gridCol w:w="1367"/>
        <w:gridCol w:w="1367"/>
        <w:gridCol w:w="22"/>
        <w:gridCol w:w="1559"/>
        <w:gridCol w:w="1135"/>
        <w:gridCol w:w="1091"/>
      </w:tblGrid>
      <w:tr w:rsidR="0050520F" w:rsidRPr="005671A1" w:rsidTr="00EF2252">
        <w:trPr>
          <w:trHeight w:val="315"/>
          <w:tblHeader/>
        </w:trPr>
        <w:tc>
          <w:tcPr>
            <w:tcW w:w="71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1DEB" w:rsidRPr="005671A1" w:rsidRDefault="00801DEB" w:rsidP="004C4F01">
            <w:pPr>
              <w:jc w:val="center"/>
              <w:rPr>
                <w:rFonts w:eastAsia="Times New Roman"/>
                <w:bCs/>
                <w:i/>
                <w:iCs/>
                <w:color w:val="000000"/>
                <w:sz w:val="18"/>
                <w:szCs w:val="18"/>
                <w:lang w:val="fr-FR"/>
              </w:rPr>
            </w:pPr>
            <w:r w:rsidRPr="005671A1">
              <w:rPr>
                <w:i/>
                <w:sz w:val="18"/>
                <w:szCs w:val="18"/>
                <w:lang w:val="fr-FR"/>
              </w:rPr>
              <w:t>Horaire</w:t>
            </w:r>
          </w:p>
        </w:tc>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bCs/>
                <w:i/>
                <w:iCs/>
                <w:color w:val="000000"/>
                <w:sz w:val="18"/>
                <w:szCs w:val="18"/>
                <w:lang w:val="fr-FR"/>
              </w:rPr>
            </w:pPr>
            <w:r w:rsidRPr="005671A1">
              <w:rPr>
                <w:i/>
                <w:sz w:val="18"/>
                <w:szCs w:val="18"/>
                <w:lang w:val="fr-FR"/>
              </w:rPr>
              <w:t>Lundi</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bCs/>
                <w:i/>
                <w:iCs/>
                <w:color w:val="000000"/>
                <w:sz w:val="18"/>
                <w:szCs w:val="18"/>
                <w:lang w:val="fr-FR"/>
              </w:rPr>
            </w:pPr>
            <w:r w:rsidRPr="005671A1">
              <w:rPr>
                <w:i/>
                <w:sz w:val="18"/>
                <w:szCs w:val="18"/>
                <w:lang w:val="fr-FR"/>
              </w:rPr>
              <w:t>Mardi</w:t>
            </w:r>
          </w:p>
        </w:tc>
        <w:tc>
          <w:tcPr>
            <w:tcW w:w="9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bCs/>
                <w:i/>
                <w:iCs/>
                <w:color w:val="000000"/>
                <w:sz w:val="18"/>
                <w:szCs w:val="18"/>
                <w:lang w:val="fr-FR"/>
              </w:rPr>
            </w:pPr>
            <w:r w:rsidRPr="005671A1">
              <w:rPr>
                <w:i/>
                <w:sz w:val="18"/>
                <w:szCs w:val="18"/>
                <w:lang w:val="fr-FR"/>
              </w:rPr>
              <w:t>Mercredi</w:t>
            </w:r>
          </w:p>
        </w:tc>
        <w:tc>
          <w:tcPr>
            <w:tcW w:w="107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bCs/>
                <w:i/>
                <w:iCs/>
                <w:color w:val="000000"/>
                <w:sz w:val="18"/>
                <w:szCs w:val="18"/>
                <w:lang w:val="fr-FR"/>
              </w:rPr>
            </w:pPr>
            <w:r w:rsidRPr="005671A1">
              <w:rPr>
                <w:i/>
                <w:sz w:val="18"/>
                <w:szCs w:val="18"/>
                <w:lang w:val="fr-FR"/>
              </w:rPr>
              <w:t>Jeudi</w:t>
            </w:r>
          </w:p>
        </w:tc>
        <w:tc>
          <w:tcPr>
            <w:tcW w:w="81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bCs/>
                <w:i/>
                <w:iCs/>
                <w:color w:val="000000"/>
                <w:sz w:val="18"/>
                <w:szCs w:val="18"/>
                <w:lang w:val="fr-FR"/>
              </w:rPr>
            </w:pPr>
            <w:r w:rsidRPr="005671A1">
              <w:rPr>
                <w:i/>
                <w:sz w:val="18"/>
                <w:szCs w:val="18"/>
                <w:lang w:val="fr-FR"/>
              </w:rPr>
              <w:t>Vendredi</w:t>
            </w:r>
          </w:p>
        </w:tc>
      </w:tr>
      <w:tr w:rsidR="0050520F" w:rsidRPr="005671A1" w:rsidTr="00EF2252">
        <w:trPr>
          <w:trHeight w:val="70"/>
          <w:tblHeader/>
        </w:trPr>
        <w:tc>
          <w:tcPr>
            <w:tcW w:w="714" w:type="pct"/>
            <w:vMerge/>
            <w:tcBorders>
              <w:top w:val="single" w:sz="4" w:space="0" w:color="auto"/>
              <w:left w:val="single" w:sz="4" w:space="0" w:color="auto"/>
              <w:bottom w:val="single" w:sz="4" w:space="0" w:color="auto"/>
              <w:right w:val="single" w:sz="4" w:space="0" w:color="auto"/>
            </w:tcBorders>
            <w:vAlign w:val="center"/>
            <w:hideMark/>
          </w:tcPr>
          <w:p w:rsidR="00801DEB" w:rsidRPr="005671A1" w:rsidRDefault="00801DEB" w:rsidP="004C4F01">
            <w:pPr>
              <w:rPr>
                <w:rFonts w:eastAsia="Times New Roman"/>
                <w:bCs/>
                <w:i/>
                <w:iCs/>
                <w:color w:val="000000"/>
                <w:sz w:val="18"/>
                <w:szCs w:val="18"/>
                <w:lang w:val="fr-FR" w:eastAsia="en-GB"/>
              </w:rPr>
            </w:pPr>
          </w:p>
        </w:tc>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bCs/>
                <w:i/>
                <w:iCs/>
                <w:color w:val="000000"/>
                <w:sz w:val="18"/>
                <w:szCs w:val="18"/>
                <w:lang w:val="fr-FR"/>
              </w:rPr>
            </w:pPr>
            <w:r w:rsidRPr="005671A1">
              <w:rPr>
                <w:i/>
                <w:sz w:val="18"/>
                <w:szCs w:val="18"/>
                <w:lang w:val="fr-FR"/>
              </w:rPr>
              <w:t>6 mars 2017</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bCs/>
                <w:i/>
                <w:iCs/>
                <w:color w:val="000000"/>
                <w:sz w:val="18"/>
                <w:szCs w:val="18"/>
                <w:lang w:val="fr-FR"/>
              </w:rPr>
            </w:pPr>
            <w:r w:rsidRPr="005671A1">
              <w:rPr>
                <w:i/>
                <w:sz w:val="18"/>
                <w:szCs w:val="18"/>
                <w:lang w:val="fr-FR"/>
              </w:rPr>
              <w:t>7 mars 2017</w:t>
            </w:r>
          </w:p>
        </w:tc>
        <w:tc>
          <w:tcPr>
            <w:tcW w:w="9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bCs/>
                <w:i/>
                <w:iCs/>
                <w:color w:val="000000"/>
                <w:sz w:val="18"/>
                <w:szCs w:val="18"/>
                <w:lang w:val="fr-FR"/>
              </w:rPr>
            </w:pPr>
            <w:r w:rsidRPr="005671A1">
              <w:rPr>
                <w:i/>
                <w:sz w:val="18"/>
                <w:szCs w:val="18"/>
                <w:lang w:val="fr-FR"/>
              </w:rPr>
              <w:t>8 mars 2017</w:t>
            </w:r>
          </w:p>
        </w:tc>
        <w:tc>
          <w:tcPr>
            <w:tcW w:w="107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bCs/>
                <w:i/>
                <w:iCs/>
                <w:color w:val="000000"/>
                <w:sz w:val="18"/>
                <w:szCs w:val="18"/>
                <w:lang w:val="fr-FR"/>
              </w:rPr>
            </w:pPr>
            <w:r w:rsidRPr="005671A1">
              <w:rPr>
                <w:i/>
                <w:sz w:val="18"/>
                <w:szCs w:val="18"/>
                <w:lang w:val="fr-FR"/>
              </w:rPr>
              <w:t>9 mars 2017</w:t>
            </w:r>
          </w:p>
        </w:tc>
        <w:tc>
          <w:tcPr>
            <w:tcW w:w="81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bCs/>
                <w:i/>
                <w:iCs/>
                <w:color w:val="000000"/>
                <w:sz w:val="18"/>
                <w:szCs w:val="18"/>
                <w:lang w:val="fr-FR"/>
              </w:rPr>
            </w:pPr>
            <w:r w:rsidRPr="005671A1">
              <w:rPr>
                <w:i/>
                <w:sz w:val="18"/>
                <w:szCs w:val="18"/>
                <w:lang w:val="fr-FR"/>
              </w:rPr>
              <w:t>10 mars 2017</w:t>
            </w:r>
          </w:p>
        </w:tc>
      </w:tr>
      <w:tr w:rsidR="0050520F" w:rsidRPr="00A02F67" w:rsidTr="00C9684B">
        <w:trPr>
          <w:trHeight w:val="550"/>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color w:val="000000"/>
                <w:sz w:val="18"/>
                <w:szCs w:val="18"/>
                <w:lang w:val="fr-FR"/>
              </w:rPr>
            </w:pPr>
            <w:r w:rsidRPr="005671A1">
              <w:rPr>
                <w:sz w:val="18"/>
                <w:szCs w:val="18"/>
                <w:lang w:val="fr-FR"/>
              </w:rPr>
              <w:t>8 heures-10 heures</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EF2252" w:rsidP="004C4F01">
            <w:pPr>
              <w:jc w:val="center"/>
              <w:rPr>
                <w:rFonts w:eastAsia="Times New Roman"/>
                <w:color w:val="000000"/>
                <w:sz w:val="18"/>
                <w:szCs w:val="18"/>
                <w:lang w:val="fr-FR"/>
              </w:rPr>
            </w:pPr>
            <w:r w:rsidRPr="005671A1">
              <w:rPr>
                <w:sz w:val="18"/>
                <w:szCs w:val="18"/>
                <w:lang w:val="fr-FR"/>
              </w:rPr>
              <w:t>Consultations régionales/</w:t>
            </w:r>
            <w:r w:rsidR="005F64B1" w:rsidRPr="005671A1">
              <w:rPr>
                <w:sz w:val="18"/>
                <w:szCs w:val="18"/>
                <w:lang w:val="fr-FR"/>
              </w:rPr>
              <w:t>C</w:t>
            </w:r>
            <w:r w:rsidR="00801DEB" w:rsidRPr="005671A1">
              <w:rPr>
                <w:sz w:val="18"/>
                <w:szCs w:val="18"/>
                <w:lang w:val="fr-FR"/>
              </w:rPr>
              <w:t>onsulta</w:t>
            </w:r>
            <w:r w:rsidRPr="005671A1">
              <w:rPr>
                <w:sz w:val="18"/>
                <w:szCs w:val="18"/>
                <w:lang w:val="fr-FR"/>
              </w:rPr>
              <w:t>-</w:t>
            </w:r>
            <w:r w:rsidR="00801DEB" w:rsidRPr="005671A1">
              <w:rPr>
                <w:sz w:val="18"/>
                <w:szCs w:val="18"/>
                <w:lang w:val="fr-FR"/>
              </w:rPr>
              <w:t>tions des parties prenantes</w:t>
            </w:r>
          </w:p>
          <w:p w:rsidR="00801DEB" w:rsidRPr="005671A1" w:rsidRDefault="00801DEB" w:rsidP="004C4F01">
            <w:pPr>
              <w:jc w:val="center"/>
              <w:rPr>
                <w:rFonts w:eastAsia="Times New Roman"/>
                <w:color w:val="000000"/>
                <w:sz w:val="18"/>
                <w:szCs w:val="18"/>
                <w:lang w:val="fr-FR" w:eastAsia="en-GB"/>
              </w:rPr>
            </w:pPr>
            <w:r w:rsidRPr="005671A1">
              <w:rPr>
                <w:rFonts w:eastAsia="Times New Roman"/>
                <w:i/>
                <w:iCs/>
                <w:color w:val="000000"/>
                <w:sz w:val="18"/>
                <w:szCs w:val="18"/>
                <w:lang w:val="fr-FR" w:eastAsia="en-GB"/>
              </w:rPr>
              <w:t> </w:t>
            </w:r>
          </w:p>
        </w:tc>
        <w:tc>
          <w:tcPr>
            <w:tcW w:w="76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01DEB" w:rsidRPr="005671A1" w:rsidRDefault="00C76D92" w:rsidP="00EF2252">
            <w:pPr>
              <w:jc w:val="center"/>
              <w:rPr>
                <w:rFonts w:eastAsia="Times New Roman"/>
                <w:color w:val="000000"/>
                <w:sz w:val="18"/>
                <w:szCs w:val="18"/>
                <w:lang w:val="fr-FR"/>
              </w:rPr>
            </w:pPr>
            <w:r w:rsidRPr="005671A1">
              <w:rPr>
                <w:sz w:val="18"/>
                <w:szCs w:val="18"/>
                <w:lang w:val="fr-FR"/>
              </w:rPr>
              <w:t>Consultations régionales/ C</w:t>
            </w:r>
            <w:r w:rsidR="00801DEB" w:rsidRPr="005671A1">
              <w:rPr>
                <w:sz w:val="18"/>
                <w:szCs w:val="18"/>
                <w:lang w:val="fr-FR"/>
              </w:rPr>
              <w:t>onsultations des parties prenantes</w:t>
            </w:r>
          </w:p>
        </w:tc>
        <w:tc>
          <w:tcPr>
            <w:tcW w:w="99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01DEB" w:rsidRPr="005671A1" w:rsidRDefault="00C76D92" w:rsidP="00EF2252">
            <w:pPr>
              <w:jc w:val="center"/>
              <w:rPr>
                <w:rFonts w:eastAsia="Times New Roman"/>
                <w:color w:val="000000"/>
                <w:sz w:val="18"/>
                <w:szCs w:val="18"/>
                <w:lang w:val="fr-FR"/>
              </w:rPr>
            </w:pPr>
            <w:r w:rsidRPr="005671A1">
              <w:rPr>
                <w:sz w:val="18"/>
                <w:szCs w:val="18"/>
                <w:lang w:val="fr-FR"/>
              </w:rPr>
              <w:t>Consultations régionales/ C</w:t>
            </w:r>
            <w:r w:rsidR="00801DEB" w:rsidRPr="005671A1">
              <w:rPr>
                <w:sz w:val="18"/>
                <w:szCs w:val="18"/>
                <w:lang w:val="fr-FR"/>
              </w:rPr>
              <w:t>onsultations des parties prenantes</w:t>
            </w:r>
          </w:p>
        </w:tc>
        <w:tc>
          <w:tcPr>
            <w:tcW w:w="1078"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801DEB" w:rsidRPr="005671A1" w:rsidRDefault="00C76D92" w:rsidP="00EF2252">
            <w:pPr>
              <w:jc w:val="center"/>
              <w:rPr>
                <w:rFonts w:eastAsia="Times New Roman"/>
                <w:color w:val="000000"/>
                <w:sz w:val="18"/>
                <w:szCs w:val="18"/>
                <w:lang w:val="fr-FR"/>
              </w:rPr>
            </w:pPr>
            <w:r w:rsidRPr="005671A1">
              <w:rPr>
                <w:sz w:val="18"/>
                <w:szCs w:val="18"/>
                <w:lang w:val="fr-FR"/>
              </w:rPr>
              <w:t>Consultations régionales/ C</w:t>
            </w:r>
            <w:r w:rsidR="00801DEB" w:rsidRPr="005671A1">
              <w:rPr>
                <w:sz w:val="18"/>
                <w:szCs w:val="18"/>
                <w:lang w:val="fr-FR"/>
              </w:rPr>
              <w:t>onsultations des parties prenantes</w:t>
            </w:r>
          </w:p>
        </w:tc>
        <w:tc>
          <w:tcPr>
            <w:tcW w:w="814"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01DEB" w:rsidRPr="005671A1" w:rsidRDefault="00C76D92" w:rsidP="00EF2252">
            <w:pPr>
              <w:jc w:val="center"/>
              <w:rPr>
                <w:rFonts w:eastAsia="Times New Roman"/>
                <w:color w:val="000000"/>
                <w:sz w:val="18"/>
                <w:szCs w:val="18"/>
                <w:lang w:val="fr-FR"/>
              </w:rPr>
            </w:pPr>
            <w:r w:rsidRPr="005671A1">
              <w:rPr>
                <w:sz w:val="18"/>
                <w:szCs w:val="18"/>
                <w:lang w:val="fr-FR"/>
              </w:rPr>
              <w:t>Consultations régionales/ C</w:t>
            </w:r>
            <w:r w:rsidR="00801DEB" w:rsidRPr="005671A1">
              <w:rPr>
                <w:sz w:val="18"/>
                <w:szCs w:val="18"/>
                <w:lang w:val="fr-FR"/>
              </w:rPr>
              <w:t>onsultations des parties prenantes</w:t>
            </w:r>
          </w:p>
        </w:tc>
      </w:tr>
      <w:tr w:rsidR="00F973DE" w:rsidRPr="005671A1" w:rsidTr="002C084D">
        <w:trPr>
          <w:trHeight w:val="319"/>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3DE" w:rsidRPr="005671A1" w:rsidRDefault="00F973DE" w:rsidP="004C4F01">
            <w:pPr>
              <w:jc w:val="center"/>
              <w:rPr>
                <w:rFonts w:eastAsia="Times New Roman"/>
                <w:bCs/>
                <w:color w:val="000000"/>
                <w:sz w:val="18"/>
                <w:szCs w:val="18"/>
                <w:lang w:val="fr-FR"/>
              </w:rPr>
            </w:pPr>
            <w:r w:rsidRPr="005671A1">
              <w:rPr>
                <w:sz w:val="18"/>
                <w:szCs w:val="18"/>
                <w:lang w:val="fr-FR"/>
              </w:rPr>
              <w:t>10 heures-10 h 30</w:t>
            </w:r>
          </w:p>
        </w:tc>
        <w:tc>
          <w:tcPr>
            <w:tcW w:w="64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73DE" w:rsidRPr="005671A1" w:rsidRDefault="00F973DE" w:rsidP="004C4F01">
            <w:pPr>
              <w:jc w:val="center"/>
              <w:rPr>
                <w:rFonts w:eastAsia="Times New Roman"/>
                <w:color w:val="000000"/>
                <w:sz w:val="18"/>
                <w:szCs w:val="18"/>
                <w:lang w:val="fr-FR" w:eastAsia="en-GB"/>
              </w:rPr>
            </w:pPr>
          </w:p>
        </w:tc>
        <w:tc>
          <w:tcPr>
            <w:tcW w:w="761" w:type="pct"/>
            <w:vMerge w:val="restart"/>
            <w:tcBorders>
              <w:top w:val="single" w:sz="4" w:space="0" w:color="auto"/>
              <w:left w:val="single" w:sz="4" w:space="0" w:color="auto"/>
              <w:right w:val="single" w:sz="4" w:space="0" w:color="auto"/>
            </w:tcBorders>
            <w:shd w:val="clear" w:color="000000" w:fill="FFF2CC"/>
            <w:vAlign w:val="center"/>
            <w:hideMark/>
          </w:tcPr>
          <w:p w:rsidR="00F973DE" w:rsidRPr="00F973DE" w:rsidRDefault="00F973DE" w:rsidP="005F64B1">
            <w:pPr>
              <w:jc w:val="center"/>
              <w:rPr>
                <w:b/>
                <w:i/>
                <w:color w:val="040404"/>
                <w:sz w:val="18"/>
                <w:szCs w:val="18"/>
                <w:lang w:val="fr-FR"/>
              </w:rPr>
            </w:pPr>
            <w:r w:rsidRPr="00A02F67">
              <w:rPr>
                <w:b/>
                <w:i/>
                <w:sz w:val="18"/>
                <w:szCs w:val="18"/>
                <w:lang w:val="fr-FR"/>
              </w:rPr>
              <w:t>Plénière</w:t>
            </w:r>
          </w:p>
          <w:p w:rsidR="00F973DE" w:rsidRPr="00F973DE" w:rsidRDefault="00F973DE" w:rsidP="005F64B1">
            <w:pPr>
              <w:jc w:val="center"/>
              <w:rPr>
                <w:rFonts w:eastAsia="Times New Roman"/>
                <w:b/>
                <w:i/>
                <w:color w:val="FFFF00"/>
                <w:sz w:val="18"/>
                <w:szCs w:val="18"/>
                <w:lang w:val="fr-FR"/>
              </w:rPr>
            </w:pPr>
            <w:r>
              <w:rPr>
                <w:i/>
                <w:sz w:val="18"/>
                <w:szCs w:val="18"/>
                <w:lang w:val="fr-FR"/>
              </w:rPr>
              <w:t>Points 1, 2, 3, 4, </w:t>
            </w:r>
            <w:r w:rsidRPr="00A02F67">
              <w:rPr>
                <w:i/>
                <w:sz w:val="18"/>
                <w:szCs w:val="18"/>
                <w:lang w:val="fr-FR"/>
              </w:rPr>
              <w:t xml:space="preserve">5 </w:t>
            </w:r>
          </w:p>
        </w:tc>
        <w:tc>
          <w:tcPr>
            <w:tcW w:w="991" w:type="pct"/>
            <w:gridSpan w:val="2"/>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rsidR="00F973DE" w:rsidRPr="00F973DE" w:rsidRDefault="00F973DE" w:rsidP="004C4F01">
            <w:pPr>
              <w:jc w:val="center"/>
              <w:rPr>
                <w:b/>
                <w:i/>
                <w:sz w:val="18"/>
                <w:szCs w:val="18"/>
                <w:lang w:val="fr-FR"/>
              </w:rPr>
            </w:pPr>
            <w:r w:rsidRPr="00F973DE">
              <w:rPr>
                <w:b/>
                <w:i/>
                <w:sz w:val="18"/>
                <w:szCs w:val="18"/>
                <w:lang w:val="fr-FR"/>
              </w:rPr>
              <w:t>Plénière</w:t>
            </w:r>
          </w:p>
          <w:p w:rsidR="00F973DE" w:rsidRPr="00710A3C" w:rsidRDefault="00F973DE" w:rsidP="004C4F01">
            <w:pPr>
              <w:jc w:val="center"/>
              <w:rPr>
                <w:rFonts w:eastAsia="Times New Roman"/>
                <w:i/>
                <w:color w:val="000000"/>
                <w:sz w:val="18"/>
                <w:szCs w:val="18"/>
                <w:lang w:val="fr-FR"/>
              </w:rPr>
            </w:pPr>
            <w:r w:rsidRPr="00710A3C">
              <w:rPr>
                <w:i/>
                <w:sz w:val="18"/>
                <w:szCs w:val="18"/>
                <w:lang w:val="fr-FR"/>
              </w:rPr>
              <w:t>Points 6, 8, 9, 10</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F973DE" w:rsidRPr="005671A1" w:rsidRDefault="00F973DE" w:rsidP="004C4F01">
            <w:pPr>
              <w:jc w:val="center"/>
              <w:rPr>
                <w:rFonts w:eastAsia="Times New Roman"/>
                <w:b/>
                <w:color w:val="000000"/>
                <w:sz w:val="18"/>
                <w:szCs w:val="18"/>
                <w:lang w:val="fr-FR"/>
              </w:rPr>
            </w:pPr>
            <w:r w:rsidRPr="005671A1">
              <w:rPr>
                <w:b/>
                <w:sz w:val="18"/>
                <w:szCs w:val="18"/>
                <w:lang w:val="fr-FR"/>
              </w:rPr>
              <w:t>Groupe 1</w:t>
            </w:r>
          </w:p>
          <w:p w:rsidR="00F973DE" w:rsidRPr="005671A1" w:rsidRDefault="00F973DE" w:rsidP="004C4F01">
            <w:pPr>
              <w:jc w:val="center"/>
              <w:rPr>
                <w:rFonts w:eastAsia="Times New Roman"/>
                <w:color w:val="000000"/>
                <w:sz w:val="18"/>
                <w:szCs w:val="18"/>
                <w:lang w:val="fr-FR"/>
              </w:rPr>
            </w:pPr>
            <w:r>
              <w:rPr>
                <w:sz w:val="18"/>
                <w:szCs w:val="18"/>
                <w:lang w:val="fr-FR"/>
              </w:rPr>
              <w:t>Points 8 et </w:t>
            </w:r>
            <w:r w:rsidRPr="005671A1">
              <w:rPr>
                <w:sz w:val="18"/>
                <w:szCs w:val="18"/>
                <w:lang w:val="fr-FR"/>
              </w:rPr>
              <w:t>9</w:t>
            </w:r>
          </w:p>
          <w:p w:rsidR="00F973DE" w:rsidRPr="005671A1" w:rsidRDefault="00F973DE" w:rsidP="004C4F01">
            <w:pPr>
              <w:jc w:val="center"/>
              <w:rPr>
                <w:rFonts w:eastAsia="Times New Roman"/>
                <w:color w:val="000000"/>
                <w:sz w:val="18"/>
                <w:szCs w:val="18"/>
                <w:lang w:val="fr-FR"/>
              </w:rPr>
            </w:pPr>
            <w:r w:rsidRPr="005671A1">
              <w:rPr>
                <w:sz w:val="18"/>
                <w:szCs w:val="18"/>
                <w:lang w:val="fr-FR"/>
              </w:rPr>
              <w:t xml:space="preserve">Examen de la Plateforme; planification des futures sessions de la Plénière </w:t>
            </w:r>
          </w:p>
        </w:tc>
        <w:tc>
          <w:tcPr>
            <w:tcW w:w="578" w:type="pct"/>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973DE" w:rsidRPr="005671A1" w:rsidRDefault="00F973DE" w:rsidP="004C4F01">
            <w:pPr>
              <w:jc w:val="center"/>
              <w:rPr>
                <w:rFonts w:eastAsia="Times New Roman"/>
                <w:b/>
                <w:color w:val="000000"/>
                <w:sz w:val="18"/>
                <w:szCs w:val="18"/>
                <w:lang w:val="fr-FR"/>
              </w:rPr>
            </w:pPr>
            <w:r w:rsidRPr="005671A1">
              <w:rPr>
                <w:b/>
                <w:sz w:val="18"/>
                <w:szCs w:val="18"/>
                <w:lang w:val="fr-FR"/>
              </w:rPr>
              <w:t>Groupe 2</w:t>
            </w:r>
          </w:p>
          <w:p w:rsidR="00F973DE" w:rsidRPr="005671A1" w:rsidRDefault="00F973DE" w:rsidP="004C4F01">
            <w:pPr>
              <w:jc w:val="center"/>
              <w:rPr>
                <w:rFonts w:eastAsia="Times New Roman"/>
                <w:color w:val="000000"/>
                <w:sz w:val="18"/>
                <w:szCs w:val="18"/>
                <w:lang w:val="fr-FR"/>
              </w:rPr>
            </w:pPr>
            <w:r>
              <w:rPr>
                <w:sz w:val="18"/>
                <w:szCs w:val="18"/>
                <w:lang w:val="fr-FR"/>
              </w:rPr>
              <w:t>Point </w:t>
            </w:r>
            <w:r w:rsidRPr="005671A1">
              <w:rPr>
                <w:sz w:val="18"/>
                <w:szCs w:val="18"/>
                <w:lang w:val="fr-FR"/>
              </w:rPr>
              <w:t xml:space="preserve">6 a) </w:t>
            </w:r>
            <w:r>
              <w:rPr>
                <w:sz w:val="18"/>
                <w:szCs w:val="18"/>
                <w:lang w:val="fr-FR"/>
              </w:rPr>
              <w:t xml:space="preserve">et g) </w:t>
            </w:r>
            <w:r w:rsidRPr="005671A1">
              <w:rPr>
                <w:sz w:val="18"/>
                <w:szCs w:val="18"/>
                <w:lang w:val="fr-FR"/>
              </w:rPr>
              <w:t>Renforcement des capacités</w:t>
            </w:r>
            <w:r>
              <w:rPr>
                <w:sz w:val="18"/>
                <w:szCs w:val="18"/>
                <w:lang w:val="fr-FR"/>
              </w:rPr>
              <w:t>;</w:t>
            </w:r>
            <w:r w:rsidRPr="005671A1">
              <w:rPr>
                <w:sz w:val="18"/>
                <w:szCs w:val="18"/>
                <w:lang w:val="fr-FR"/>
              </w:rPr>
              <w:t xml:space="preserve"> </w:t>
            </w:r>
            <w:r>
              <w:rPr>
                <w:sz w:val="18"/>
                <w:szCs w:val="18"/>
                <w:lang w:val="fr-FR"/>
              </w:rPr>
              <w:t>outils et méthodes d’appui à l’élaboration des pratiques</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973DE" w:rsidRPr="00710A3C" w:rsidRDefault="00F973DE" w:rsidP="004C4F01">
            <w:pPr>
              <w:jc w:val="center"/>
              <w:rPr>
                <w:rFonts w:eastAsia="Times New Roman"/>
                <w:i/>
                <w:color w:val="000000"/>
                <w:sz w:val="18"/>
                <w:szCs w:val="18"/>
                <w:lang w:val="fr-FR"/>
              </w:rPr>
            </w:pPr>
            <w:r w:rsidRPr="00710A3C">
              <w:rPr>
                <w:i/>
                <w:sz w:val="18"/>
                <w:szCs w:val="18"/>
                <w:lang w:val="fr-FR"/>
              </w:rPr>
              <w:t>Points en suspens</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73DE" w:rsidRPr="00710A3C" w:rsidRDefault="00F973DE" w:rsidP="005145CE">
            <w:pPr>
              <w:jc w:val="center"/>
              <w:rPr>
                <w:rFonts w:eastAsia="Times New Roman"/>
                <w:i/>
                <w:color w:val="000000"/>
                <w:sz w:val="18"/>
                <w:szCs w:val="18"/>
                <w:lang w:val="fr-FR"/>
              </w:rPr>
            </w:pPr>
            <w:r w:rsidRPr="00710A3C">
              <w:rPr>
                <w:i/>
                <w:sz w:val="18"/>
                <w:szCs w:val="18"/>
                <w:lang w:val="fr-FR"/>
              </w:rPr>
              <w:t>Points en suspens</w:t>
            </w:r>
          </w:p>
        </w:tc>
      </w:tr>
      <w:tr w:rsidR="00F973DE" w:rsidRPr="005671A1" w:rsidTr="002C084D">
        <w:trPr>
          <w:trHeight w:val="380"/>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3DE" w:rsidRPr="005671A1" w:rsidRDefault="00F973DE" w:rsidP="004C4F01">
            <w:pPr>
              <w:jc w:val="center"/>
              <w:rPr>
                <w:rFonts w:eastAsia="Times New Roman"/>
                <w:color w:val="000000"/>
                <w:sz w:val="18"/>
                <w:szCs w:val="18"/>
                <w:lang w:val="fr-FR"/>
              </w:rPr>
            </w:pPr>
            <w:r w:rsidRPr="005671A1">
              <w:rPr>
                <w:sz w:val="18"/>
                <w:szCs w:val="18"/>
                <w:lang w:val="fr-FR"/>
              </w:rPr>
              <w:t>10 h 30-11 heures</w:t>
            </w:r>
          </w:p>
        </w:tc>
        <w:tc>
          <w:tcPr>
            <w:tcW w:w="642" w:type="pct"/>
            <w:vMerge/>
            <w:tcBorders>
              <w:top w:val="single" w:sz="4" w:space="0" w:color="auto"/>
              <w:left w:val="single" w:sz="4" w:space="0" w:color="auto"/>
              <w:right w:val="single" w:sz="4" w:space="0" w:color="auto"/>
            </w:tcBorders>
            <w:shd w:val="clear" w:color="auto" w:fill="D9D9D9" w:themeFill="background1" w:themeFillShade="D9"/>
            <w:vAlign w:val="center"/>
            <w:hideMark/>
          </w:tcPr>
          <w:p w:rsidR="00F973DE" w:rsidRPr="005671A1" w:rsidRDefault="00F973DE" w:rsidP="004C4F01">
            <w:pPr>
              <w:jc w:val="center"/>
              <w:rPr>
                <w:rFonts w:eastAsia="Times New Roman"/>
                <w:color w:val="000000"/>
                <w:sz w:val="18"/>
                <w:szCs w:val="18"/>
                <w:lang w:val="fr-FR" w:eastAsia="en-GB"/>
              </w:rPr>
            </w:pPr>
          </w:p>
        </w:tc>
        <w:tc>
          <w:tcPr>
            <w:tcW w:w="761" w:type="pct"/>
            <w:vMerge/>
            <w:tcBorders>
              <w:left w:val="single" w:sz="4" w:space="0" w:color="auto"/>
              <w:right w:val="single" w:sz="4" w:space="0" w:color="auto"/>
            </w:tcBorders>
            <w:vAlign w:val="center"/>
            <w:hideMark/>
          </w:tcPr>
          <w:p w:rsidR="00F973DE" w:rsidRPr="005671A1" w:rsidRDefault="00F973DE" w:rsidP="004C4F01">
            <w:pPr>
              <w:rPr>
                <w:rFonts w:eastAsia="Times New Roman"/>
                <w:color w:val="000000"/>
                <w:sz w:val="18"/>
                <w:szCs w:val="18"/>
                <w:lang w:val="fr-FR" w:eastAsia="en-GB"/>
              </w:rPr>
            </w:pPr>
          </w:p>
        </w:tc>
        <w:tc>
          <w:tcPr>
            <w:tcW w:w="991" w:type="pct"/>
            <w:gridSpan w:val="2"/>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F973DE" w:rsidRPr="005671A1" w:rsidRDefault="00F973DE" w:rsidP="004C4F01">
            <w:pPr>
              <w:rPr>
                <w:rFonts w:eastAsia="Times New Roman"/>
                <w:color w:val="000000"/>
                <w:sz w:val="18"/>
                <w:szCs w:val="18"/>
                <w:lang w:val="fr-FR" w:eastAsia="en-GB"/>
              </w:rPr>
            </w:pPr>
          </w:p>
        </w:tc>
        <w:tc>
          <w:tcPr>
            <w:tcW w:w="500" w:type="pct"/>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F973DE" w:rsidRPr="005671A1" w:rsidRDefault="00F973DE" w:rsidP="004C4F01">
            <w:pPr>
              <w:rPr>
                <w:rFonts w:eastAsia="Times New Roman"/>
                <w:color w:val="000000"/>
                <w:sz w:val="18"/>
                <w:szCs w:val="18"/>
                <w:lang w:val="fr-FR" w:eastAsia="en-GB"/>
              </w:rPr>
            </w:pPr>
          </w:p>
        </w:tc>
        <w:tc>
          <w:tcPr>
            <w:tcW w:w="578" w:type="pct"/>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973DE" w:rsidRPr="005671A1" w:rsidRDefault="00F973DE" w:rsidP="004C4F01">
            <w:pPr>
              <w:rPr>
                <w:rFonts w:eastAsia="Times New Roman"/>
                <w:color w:val="000000"/>
                <w:sz w:val="18"/>
                <w:szCs w:val="18"/>
                <w:lang w:val="fr-FR" w:eastAsia="en-GB"/>
              </w:rPr>
            </w:pPr>
          </w:p>
        </w:tc>
        <w:tc>
          <w:tcPr>
            <w:tcW w:w="415"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973DE" w:rsidRPr="005671A1" w:rsidRDefault="00F973DE" w:rsidP="004C4F01">
            <w:pPr>
              <w:rPr>
                <w:rFonts w:eastAsia="Times New Roman"/>
                <w:color w:val="000000"/>
                <w:sz w:val="18"/>
                <w:szCs w:val="18"/>
                <w:lang w:val="fr-FR" w:eastAsia="en-GB"/>
              </w:rPr>
            </w:pPr>
          </w:p>
        </w:tc>
        <w:tc>
          <w:tcPr>
            <w:tcW w:w="39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73DE" w:rsidRPr="005671A1" w:rsidRDefault="00F973DE" w:rsidP="004C4F01">
            <w:pPr>
              <w:rPr>
                <w:rFonts w:eastAsia="Times New Roman"/>
                <w:color w:val="000000"/>
                <w:sz w:val="18"/>
                <w:szCs w:val="18"/>
                <w:lang w:val="fr-FR" w:eastAsia="en-GB"/>
              </w:rPr>
            </w:pPr>
          </w:p>
        </w:tc>
      </w:tr>
      <w:tr w:rsidR="00F973DE" w:rsidRPr="005671A1" w:rsidTr="002C084D">
        <w:trPr>
          <w:trHeight w:val="300"/>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3DE" w:rsidRPr="005671A1" w:rsidRDefault="00F973DE" w:rsidP="004C4F01">
            <w:pPr>
              <w:jc w:val="center"/>
              <w:rPr>
                <w:rFonts w:eastAsia="Times New Roman"/>
                <w:color w:val="000000"/>
                <w:sz w:val="18"/>
                <w:szCs w:val="18"/>
                <w:lang w:val="fr-FR"/>
              </w:rPr>
            </w:pPr>
            <w:r w:rsidRPr="005671A1">
              <w:rPr>
                <w:sz w:val="18"/>
                <w:szCs w:val="18"/>
                <w:lang w:val="fr-FR"/>
              </w:rPr>
              <w:t>11 heures-11 h 30</w:t>
            </w:r>
          </w:p>
        </w:tc>
        <w:tc>
          <w:tcPr>
            <w:tcW w:w="642" w:type="pct"/>
            <w:vMerge/>
            <w:tcBorders>
              <w:left w:val="single" w:sz="4" w:space="0" w:color="auto"/>
              <w:right w:val="single" w:sz="4" w:space="0" w:color="auto"/>
            </w:tcBorders>
            <w:shd w:val="clear" w:color="auto" w:fill="D9D9D9" w:themeFill="background1" w:themeFillShade="D9"/>
            <w:vAlign w:val="center"/>
            <w:hideMark/>
          </w:tcPr>
          <w:p w:rsidR="00F973DE" w:rsidRPr="005671A1" w:rsidRDefault="00F973DE" w:rsidP="004C4F01">
            <w:pPr>
              <w:jc w:val="center"/>
              <w:rPr>
                <w:rFonts w:eastAsia="Times New Roman"/>
                <w:color w:val="000000"/>
                <w:sz w:val="18"/>
                <w:szCs w:val="18"/>
                <w:lang w:val="fr-FR" w:eastAsia="en-GB"/>
              </w:rPr>
            </w:pPr>
          </w:p>
        </w:tc>
        <w:tc>
          <w:tcPr>
            <w:tcW w:w="761" w:type="pct"/>
            <w:vMerge/>
            <w:tcBorders>
              <w:left w:val="single" w:sz="4" w:space="0" w:color="auto"/>
              <w:right w:val="single" w:sz="4" w:space="0" w:color="auto"/>
            </w:tcBorders>
            <w:shd w:val="clear" w:color="000000" w:fill="FFF2CC"/>
            <w:vAlign w:val="center"/>
            <w:hideMark/>
          </w:tcPr>
          <w:p w:rsidR="00F973DE" w:rsidRPr="005671A1" w:rsidRDefault="00F973DE" w:rsidP="004C4F01">
            <w:pPr>
              <w:rPr>
                <w:rFonts w:eastAsia="Times New Roman"/>
                <w:color w:val="000000"/>
                <w:sz w:val="18"/>
                <w:szCs w:val="18"/>
                <w:lang w:val="fr-FR" w:eastAsia="en-GB"/>
              </w:rPr>
            </w:pPr>
          </w:p>
        </w:tc>
        <w:tc>
          <w:tcPr>
            <w:tcW w:w="991" w:type="pct"/>
            <w:gridSpan w:val="2"/>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F973DE" w:rsidRPr="005671A1" w:rsidRDefault="00F973DE" w:rsidP="004C4F01">
            <w:pPr>
              <w:rPr>
                <w:rFonts w:eastAsia="Times New Roman"/>
                <w:color w:val="000000"/>
                <w:sz w:val="18"/>
                <w:szCs w:val="18"/>
                <w:lang w:val="fr-FR" w:eastAsia="en-GB"/>
              </w:rPr>
            </w:pPr>
          </w:p>
        </w:tc>
        <w:tc>
          <w:tcPr>
            <w:tcW w:w="500" w:type="pct"/>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F973DE" w:rsidRPr="005671A1" w:rsidRDefault="00F973DE" w:rsidP="004C4F01">
            <w:pPr>
              <w:rPr>
                <w:rFonts w:eastAsia="Times New Roman"/>
                <w:color w:val="000000"/>
                <w:sz w:val="18"/>
                <w:szCs w:val="18"/>
                <w:lang w:val="fr-FR" w:eastAsia="en-GB"/>
              </w:rPr>
            </w:pPr>
          </w:p>
        </w:tc>
        <w:tc>
          <w:tcPr>
            <w:tcW w:w="578" w:type="pct"/>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973DE" w:rsidRPr="005671A1" w:rsidRDefault="00F973DE" w:rsidP="004C4F01">
            <w:pPr>
              <w:rPr>
                <w:rFonts w:eastAsia="Times New Roman"/>
                <w:color w:val="000000"/>
                <w:sz w:val="18"/>
                <w:szCs w:val="18"/>
                <w:lang w:val="fr-FR" w:eastAsia="en-GB"/>
              </w:rPr>
            </w:pPr>
          </w:p>
        </w:tc>
        <w:tc>
          <w:tcPr>
            <w:tcW w:w="415"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973DE" w:rsidRPr="005671A1" w:rsidRDefault="00F973DE" w:rsidP="004C4F01">
            <w:pPr>
              <w:rPr>
                <w:rFonts w:eastAsia="Times New Roman"/>
                <w:color w:val="000000"/>
                <w:sz w:val="18"/>
                <w:szCs w:val="18"/>
                <w:lang w:val="fr-FR" w:eastAsia="en-GB"/>
              </w:rPr>
            </w:pPr>
          </w:p>
        </w:tc>
        <w:tc>
          <w:tcPr>
            <w:tcW w:w="39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73DE" w:rsidRPr="005671A1" w:rsidRDefault="00F973DE" w:rsidP="004C4F01">
            <w:pPr>
              <w:rPr>
                <w:rFonts w:eastAsia="Times New Roman"/>
                <w:color w:val="000000"/>
                <w:sz w:val="18"/>
                <w:szCs w:val="18"/>
                <w:lang w:val="fr-FR" w:eastAsia="en-GB"/>
              </w:rPr>
            </w:pPr>
          </w:p>
        </w:tc>
      </w:tr>
      <w:tr w:rsidR="00F973DE" w:rsidRPr="005671A1" w:rsidTr="002C084D">
        <w:trPr>
          <w:trHeight w:val="300"/>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3DE" w:rsidRPr="005671A1" w:rsidRDefault="00F973DE" w:rsidP="004C4F01">
            <w:pPr>
              <w:jc w:val="center"/>
              <w:rPr>
                <w:rFonts w:eastAsia="Times New Roman"/>
                <w:color w:val="000000"/>
                <w:sz w:val="18"/>
                <w:szCs w:val="18"/>
                <w:lang w:val="fr-FR"/>
              </w:rPr>
            </w:pPr>
            <w:r w:rsidRPr="005671A1">
              <w:rPr>
                <w:sz w:val="18"/>
                <w:szCs w:val="18"/>
                <w:lang w:val="fr-FR"/>
              </w:rPr>
              <w:t>11 h 30-12 heures</w:t>
            </w:r>
          </w:p>
        </w:tc>
        <w:tc>
          <w:tcPr>
            <w:tcW w:w="642" w:type="pct"/>
            <w:vMerge/>
            <w:tcBorders>
              <w:left w:val="single" w:sz="4" w:space="0" w:color="auto"/>
              <w:right w:val="single" w:sz="4" w:space="0" w:color="auto"/>
            </w:tcBorders>
            <w:shd w:val="clear" w:color="auto" w:fill="D9D9D9" w:themeFill="background1" w:themeFillShade="D9"/>
            <w:vAlign w:val="center"/>
            <w:hideMark/>
          </w:tcPr>
          <w:p w:rsidR="00F973DE" w:rsidRPr="005671A1" w:rsidRDefault="00F973DE" w:rsidP="004C4F01">
            <w:pPr>
              <w:jc w:val="center"/>
              <w:rPr>
                <w:rFonts w:eastAsia="Times New Roman"/>
                <w:color w:val="000000"/>
                <w:sz w:val="18"/>
                <w:szCs w:val="18"/>
                <w:lang w:val="fr-FR" w:eastAsia="en-GB"/>
              </w:rPr>
            </w:pPr>
          </w:p>
        </w:tc>
        <w:tc>
          <w:tcPr>
            <w:tcW w:w="761" w:type="pct"/>
            <w:vMerge/>
            <w:tcBorders>
              <w:left w:val="single" w:sz="4" w:space="0" w:color="auto"/>
              <w:right w:val="single" w:sz="4" w:space="0" w:color="auto"/>
            </w:tcBorders>
            <w:vAlign w:val="center"/>
            <w:hideMark/>
          </w:tcPr>
          <w:p w:rsidR="00F973DE" w:rsidRPr="005671A1" w:rsidRDefault="00F973DE" w:rsidP="004C4F01">
            <w:pPr>
              <w:rPr>
                <w:rFonts w:eastAsia="Times New Roman"/>
                <w:color w:val="000000"/>
                <w:sz w:val="18"/>
                <w:szCs w:val="18"/>
                <w:lang w:val="fr-FR" w:eastAsia="en-GB"/>
              </w:rPr>
            </w:pPr>
          </w:p>
        </w:tc>
        <w:tc>
          <w:tcPr>
            <w:tcW w:w="991" w:type="pct"/>
            <w:gridSpan w:val="2"/>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F973DE" w:rsidRPr="005671A1" w:rsidRDefault="00F973DE" w:rsidP="004C4F01">
            <w:pPr>
              <w:rPr>
                <w:rFonts w:eastAsia="Times New Roman"/>
                <w:color w:val="000000"/>
                <w:sz w:val="18"/>
                <w:szCs w:val="18"/>
                <w:lang w:val="fr-FR" w:eastAsia="en-GB"/>
              </w:rPr>
            </w:pPr>
          </w:p>
        </w:tc>
        <w:tc>
          <w:tcPr>
            <w:tcW w:w="500" w:type="pct"/>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F973DE" w:rsidRPr="005671A1" w:rsidRDefault="00F973DE" w:rsidP="004C4F01">
            <w:pPr>
              <w:rPr>
                <w:rFonts w:eastAsia="Times New Roman"/>
                <w:color w:val="000000"/>
                <w:sz w:val="18"/>
                <w:szCs w:val="18"/>
                <w:lang w:val="fr-FR" w:eastAsia="en-GB"/>
              </w:rPr>
            </w:pPr>
          </w:p>
        </w:tc>
        <w:tc>
          <w:tcPr>
            <w:tcW w:w="578" w:type="pct"/>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973DE" w:rsidRPr="005671A1" w:rsidRDefault="00F973DE" w:rsidP="004C4F01">
            <w:pPr>
              <w:rPr>
                <w:rFonts w:eastAsia="Times New Roman"/>
                <w:color w:val="000000"/>
                <w:sz w:val="18"/>
                <w:szCs w:val="18"/>
                <w:lang w:val="fr-FR" w:eastAsia="en-GB"/>
              </w:rPr>
            </w:pPr>
          </w:p>
        </w:tc>
        <w:tc>
          <w:tcPr>
            <w:tcW w:w="415"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973DE" w:rsidRPr="005671A1" w:rsidRDefault="00F973DE" w:rsidP="004C4F01">
            <w:pPr>
              <w:rPr>
                <w:rFonts w:eastAsia="Times New Roman"/>
                <w:color w:val="000000"/>
                <w:sz w:val="18"/>
                <w:szCs w:val="18"/>
                <w:lang w:val="fr-FR" w:eastAsia="en-GB"/>
              </w:rPr>
            </w:pPr>
          </w:p>
        </w:tc>
        <w:tc>
          <w:tcPr>
            <w:tcW w:w="39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73DE" w:rsidRPr="005671A1" w:rsidRDefault="00F973DE" w:rsidP="004C4F01">
            <w:pPr>
              <w:rPr>
                <w:rFonts w:eastAsia="Times New Roman"/>
                <w:color w:val="000000"/>
                <w:sz w:val="18"/>
                <w:szCs w:val="18"/>
                <w:lang w:val="fr-FR" w:eastAsia="en-GB"/>
              </w:rPr>
            </w:pPr>
          </w:p>
        </w:tc>
      </w:tr>
      <w:tr w:rsidR="00F973DE" w:rsidRPr="005671A1" w:rsidTr="002C084D">
        <w:trPr>
          <w:trHeight w:val="315"/>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3DE" w:rsidRPr="005671A1" w:rsidRDefault="00F973DE" w:rsidP="004C4F01">
            <w:pPr>
              <w:jc w:val="center"/>
              <w:rPr>
                <w:rFonts w:eastAsia="Times New Roman"/>
                <w:color w:val="000000"/>
                <w:sz w:val="18"/>
                <w:szCs w:val="18"/>
                <w:lang w:val="fr-FR"/>
              </w:rPr>
            </w:pPr>
            <w:r w:rsidRPr="005671A1">
              <w:rPr>
                <w:sz w:val="18"/>
                <w:szCs w:val="18"/>
                <w:lang w:val="fr-FR"/>
              </w:rPr>
              <w:t>12 heures-12 h 30</w:t>
            </w:r>
          </w:p>
        </w:tc>
        <w:tc>
          <w:tcPr>
            <w:tcW w:w="642" w:type="pct"/>
            <w:vMerge/>
            <w:tcBorders>
              <w:left w:val="single" w:sz="4" w:space="0" w:color="auto"/>
              <w:right w:val="single" w:sz="4" w:space="0" w:color="auto"/>
            </w:tcBorders>
            <w:shd w:val="clear" w:color="auto" w:fill="D9D9D9" w:themeFill="background1" w:themeFillShade="D9"/>
            <w:vAlign w:val="center"/>
            <w:hideMark/>
          </w:tcPr>
          <w:p w:rsidR="00F973DE" w:rsidRPr="005671A1" w:rsidRDefault="00F973DE" w:rsidP="004C4F01">
            <w:pPr>
              <w:jc w:val="center"/>
              <w:rPr>
                <w:rFonts w:eastAsia="Times New Roman"/>
                <w:color w:val="000000"/>
                <w:sz w:val="18"/>
                <w:szCs w:val="18"/>
                <w:lang w:val="fr-FR" w:eastAsia="en-GB"/>
              </w:rPr>
            </w:pPr>
          </w:p>
        </w:tc>
        <w:tc>
          <w:tcPr>
            <w:tcW w:w="761" w:type="pct"/>
            <w:vMerge/>
            <w:tcBorders>
              <w:left w:val="single" w:sz="4" w:space="0" w:color="auto"/>
              <w:right w:val="single" w:sz="4" w:space="0" w:color="auto"/>
            </w:tcBorders>
            <w:vAlign w:val="center"/>
            <w:hideMark/>
          </w:tcPr>
          <w:p w:rsidR="00F973DE" w:rsidRPr="005671A1" w:rsidRDefault="00F973DE" w:rsidP="004C4F01">
            <w:pPr>
              <w:rPr>
                <w:rFonts w:eastAsia="Times New Roman"/>
                <w:color w:val="000000"/>
                <w:sz w:val="18"/>
                <w:szCs w:val="18"/>
                <w:lang w:val="fr-FR" w:eastAsia="en-GB"/>
              </w:rPr>
            </w:pPr>
          </w:p>
        </w:tc>
        <w:tc>
          <w:tcPr>
            <w:tcW w:w="991" w:type="pct"/>
            <w:gridSpan w:val="2"/>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F973DE" w:rsidRPr="005671A1" w:rsidRDefault="00F973DE" w:rsidP="004C4F01">
            <w:pPr>
              <w:rPr>
                <w:rFonts w:eastAsia="Times New Roman"/>
                <w:color w:val="000000"/>
                <w:sz w:val="18"/>
                <w:szCs w:val="18"/>
                <w:lang w:val="fr-FR" w:eastAsia="en-GB"/>
              </w:rPr>
            </w:pPr>
          </w:p>
        </w:tc>
        <w:tc>
          <w:tcPr>
            <w:tcW w:w="500" w:type="pct"/>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F973DE" w:rsidRPr="005671A1" w:rsidRDefault="00F973DE" w:rsidP="004C4F01">
            <w:pPr>
              <w:rPr>
                <w:rFonts w:eastAsia="Times New Roman"/>
                <w:color w:val="000000"/>
                <w:sz w:val="18"/>
                <w:szCs w:val="18"/>
                <w:lang w:val="fr-FR" w:eastAsia="en-GB"/>
              </w:rPr>
            </w:pPr>
          </w:p>
        </w:tc>
        <w:tc>
          <w:tcPr>
            <w:tcW w:w="578" w:type="pct"/>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973DE" w:rsidRPr="005671A1" w:rsidRDefault="00F973DE" w:rsidP="004C4F01">
            <w:pPr>
              <w:rPr>
                <w:rFonts w:eastAsia="Times New Roman"/>
                <w:color w:val="000000"/>
                <w:sz w:val="18"/>
                <w:szCs w:val="18"/>
                <w:lang w:val="fr-FR" w:eastAsia="en-GB"/>
              </w:rPr>
            </w:pPr>
          </w:p>
        </w:tc>
        <w:tc>
          <w:tcPr>
            <w:tcW w:w="415"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973DE" w:rsidRPr="005671A1" w:rsidRDefault="00F973DE" w:rsidP="004C4F01">
            <w:pPr>
              <w:rPr>
                <w:rFonts w:eastAsia="Times New Roman"/>
                <w:color w:val="000000"/>
                <w:sz w:val="18"/>
                <w:szCs w:val="18"/>
                <w:lang w:val="fr-FR" w:eastAsia="en-GB"/>
              </w:rPr>
            </w:pPr>
          </w:p>
        </w:tc>
        <w:tc>
          <w:tcPr>
            <w:tcW w:w="39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73DE" w:rsidRPr="005671A1" w:rsidRDefault="00F973DE" w:rsidP="004C4F01">
            <w:pPr>
              <w:rPr>
                <w:rFonts w:eastAsia="Times New Roman"/>
                <w:color w:val="000000"/>
                <w:sz w:val="18"/>
                <w:szCs w:val="18"/>
                <w:lang w:val="fr-FR" w:eastAsia="en-GB"/>
              </w:rPr>
            </w:pPr>
          </w:p>
        </w:tc>
      </w:tr>
      <w:tr w:rsidR="00F973DE" w:rsidRPr="005671A1" w:rsidTr="002C084D">
        <w:trPr>
          <w:trHeight w:val="58"/>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3DE" w:rsidRPr="005671A1" w:rsidRDefault="00F973DE" w:rsidP="004C4F01">
            <w:pPr>
              <w:jc w:val="center"/>
              <w:rPr>
                <w:rFonts w:eastAsia="Times New Roman"/>
                <w:color w:val="000000"/>
                <w:sz w:val="18"/>
                <w:szCs w:val="18"/>
                <w:lang w:val="fr-FR"/>
              </w:rPr>
            </w:pPr>
            <w:r w:rsidRPr="005671A1">
              <w:rPr>
                <w:sz w:val="18"/>
                <w:szCs w:val="18"/>
                <w:lang w:val="fr-FR"/>
              </w:rPr>
              <w:t>12 h 30-13 heures</w:t>
            </w:r>
          </w:p>
        </w:tc>
        <w:tc>
          <w:tcPr>
            <w:tcW w:w="642" w:type="pct"/>
            <w:vMerge/>
            <w:tcBorders>
              <w:left w:val="single" w:sz="4" w:space="0" w:color="auto"/>
              <w:right w:val="single" w:sz="4" w:space="0" w:color="auto"/>
            </w:tcBorders>
            <w:shd w:val="clear" w:color="auto" w:fill="D9D9D9" w:themeFill="background1" w:themeFillShade="D9"/>
            <w:vAlign w:val="center"/>
            <w:hideMark/>
          </w:tcPr>
          <w:p w:rsidR="00F973DE" w:rsidRPr="005671A1" w:rsidRDefault="00F973DE" w:rsidP="004C4F01">
            <w:pPr>
              <w:jc w:val="center"/>
              <w:rPr>
                <w:rFonts w:eastAsia="Times New Roman"/>
                <w:color w:val="000000"/>
                <w:sz w:val="18"/>
                <w:szCs w:val="18"/>
                <w:lang w:val="fr-FR" w:eastAsia="en-GB"/>
              </w:rPr>
            </w:pPr>
          </w:p>
        </w:tc>
        <w:tc>
          <w:tcPr>
            <w:tcW w:w="761" w:type="pct"/>
            <w:vMerge/>
            <w:tcBorders>
              <w:left w:val="single" w:sz="4" w:space="0" w:color="auto"/>
              <w:bottom w:val="single" w:sz="4" w:space="0" w:color="auto"/>
              <w:right w:val="single" w:sz="4" w:space="0" w:color="auto"/>
            </w:tcBorders>
            <w:vAlign w:val="center"/>
            <w:hideMark/>
          </w:tcPr>
          <w:p w:rsidR="00F973DE" w:rsidRPr="005671A1" w:rsidRDefault="00F973DE" w:rsidP="004C4F01">
            <w:pPr>
              <w:rPr>
                <w:rFonts w:eastAsia="Times New Roman"/>
                <w:color w:val="000000"/>
                <w:sz w:val="18"/>
                <w:szCs w:val="18"/>
                <w:lang w:val="fr-FR" w:eastAsia="en-GB"/>
              </w:rPr>
            </w:pPr>
          </w:p>
        </w:tc>
        <w:tc>
          <w:tcPr>
            <w:tcW w:w="991" w:type="pct"/>
            <w:gridSpan w:val="2"/>
            <w:vMerge/>
            <w:tcBorders>
              <w:top w:val="single" w:sz="4" w:space="0" w:color="auto"/>
              <w:left w:val="single" w:sz="4" w:space="0" w:color="auto"/>
              <w:bottom w:val="single" w:sz="4" w:space="0" w:color="auto"/>
              <w:right w:val="single" w:sz="4" w:space="0" w:color="auto"/>
            </w:tcBorders>
            <w:shd w:val="clear" w:color="auto" w:fill="FFFFCC"/>
            <w:vAlign w:val="center"/>
            <w:hideMark/>
          </w:tcPr>
          <w:p w:rsidR="00F973DE" w:rsidRPr="005671A1" w:rsidRDefault="00F973DE" w:rsidP="004C4F01">
            <w:pPr>
              <w:rPr>
                <w:rFonts w:eastAsia="Times New Roman"/>
                <w:color w:val="000000"/>
                <w:sz w:val="18"/>
                <w:szCs w:val="18"/>
                <w:lang w:val="fr-FR" w:eastAsia="en-GB"/>
              </w:rPr>
            </w:pPr>
          </w:p>
        </w:tc>
        <w:tc>
          <w:tcPr>
            <w:tcW w:w="500" w:type="pct"/>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F973DE" w:rsidRPr="005671A1" w:rsidRDefault="00F973DE" w:rsidP="004C4F01">
            <w:pPr>
              <w:rPr>
                <w:rFonts w:eastAsia="Times New Roman"/>
                <w:color w:val="000000"/>
                <w:sz w:val="18"/>
                <w:szCs w:val="18"/>
                <w:lang w:val="fr-FR" w:eastAsia="en-GB"/>
              </w:rPr>
            </w:pPr>
          </w:p>
        </w:tc>
        <w:tc>
          <w:tcPr>
            <w:tcW w:w="578" w:type="pct"/>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973DE" w:rsidRPr="005671A1" w:rsidRDefault="00F973DE" w:rsidP="004C4F01">
            <w:pPr>
              <w:rPr>
                <w:rFonts w:eastAsia="Times New Roman"/>
                <w:color w:val="000000"/>
                <w:sz w:val="18"/>
                <w:szCs w:val="18"/>
                <w:lang w:val="fr-FR" w:eastAsia="en-GB"/>
              </w:rPr>
            </w:pPr>
          </w:p>
        </w:tc>
        <w:tc>
          <w:tcPr>
            <w:tcW w:w="415"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973DE" w:rsidRPr="005671A1" w:rsidRDefault="00F973DE" w:rsidP="004C4F01">
            <w:pPr>
              <w:rPr>
                <w:rFonts w:eastAsia="Times New Roman"/>
                <w:color w:val="000000"/>
                <w:sz w:val="18"/>
                <w:szCs w:val="18"/>
                <w:lang w:val="fr-FR" w:eastAsia="en-GB"/>
              </w:rPr>
            </w:pPr>
          </w:p>
        </w:tc>
        <w:tc>
          <w:tcPr>
            <w:tcW w:w="39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73DE" w:rsidRPr="005671A1" w:rsidRDefault="00F973DE" w:rsidP="004C4F01">
            <w:pPr>
              <w:rPr>
                <w:rFonts w:eastAsia="Times New Roman"/>
                <w:color w:val="000000"/>
                <w:sz w:val="18"/>
                <w:szCs w:val="18"/>
                <w:lang w:val="fr-FR" w:eastAsia="en-GB"/>
              </w:rPr>
            </w:pPr>
          </w:p>
        </w:tc>
      </w:tr>
      <w:tr w:rsidR="00116048" w:rsidRPr="005671A1" w:rsidTr="00EF2252">
        <w:trPr>
          <w:trHeight w:val="315"/>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color w:val="000000"/>
                <w:sz w:val="18"/>
                <w:szCs w:val="18"/>
                <w:lang w:val="fr-FR"/>
              </w:rPr>
            </w:pPr>
            <w:r w:rsidRPr="005671A1">
              <w:rPr>
                <w:sz w:val="18"/>
                <w:szCs w:val="18"/>
                <w:lang w:val="fr-FR"/>
              </w:rPr>
              <w:t>13 heures-13 h 30</w:t>
            </w:r>
          </w:p>
        </w:tc>
        <w:tc>
          <w:tcPr>
            <w:tcW w:w="642" w:type="pct"/>
            <w:vMerge/>
            <w:tcBorders>
              <w:left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jc w:val="center"/>
              <w:rPr>
                <w:rFonts w:eastAsia="Times New Roman"/>
                <w:i/>
                <w:iCs/>
                <w:color w:val="000000"/>
                <w:sz w:val="18"/>
                <w:szCs w:val="18"/>
                <w:lang w:val="fr-FR" w:eastAsia="en-GB"/>
              </w:rPr>
            </w:pPr>
          </w:p>
        </w:tc>
        <w:tc>
          <w:tcPr>
            <w:tcW w:w="761" w:type="pct"/>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801DEB" w:rsidRPr="005671A1" w:rsidRDefault="00801DEB" w:rsidP="004C4F01">
            <w:pPr>
              <w:jc w:val="center"/>
              <w:rPr>
                <w:rFonts w:eastAsia="Times New Roman"/>
                <w:i/>
                <w:iCs/>
                <w:color w:val="000000"/>
                <w:sz w:val="18"/>
                <w:szCs w:val="18"/>
                <w:lang w:val="fr-FR" w:eastAsia="en-GB"/>
              </w:rPr>
            </w:pPr>
            <w:r w:rsidRPr="005671A1">
              <w:rPr>
                <w:rFonts w:eastAsia="Times New Roman"/>
                <w:i/>
                <w:iCs/>
                <w:color w:val="000000"/>
                <w:sz w:val="18"/>
                <w:szCs w:val="18"/>
                <w:lang w:val="fr-FR" w:eastAsia="en-GB"/>
              </w:rPr>
              <w:t> </w:t>
            </w:r>
          </w:p>
        </w:tc>
        <w:tc>
          <w:tcPr>
            <w:tcW w:w="991" w:type="pct"/>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20C77" w:rsidRPr="005671A1" w:rsidRDefault="00F973DE" w:rsidP="004C4F01">
            <w:pPr>
              <w:shd w:val="clear" w:color="auto" w:fill="B8CCE4" w:themeFill="accent1" w:themeFillTint="66"/>
              <w:jc w:val="center"/>
              <w:rPr>
                <w:rFonts w:eastAsia="Times New Roman"/>
                <w:b/>
                <w:color w:val="000000"/>
                <w:sz w:val="18"/>
                <w:szCs w:val="18"/>
                <w:lang w:val="fr-FR"/>
              </w:rPr>
            </w:pPr>
            <w:r>
              <w:rPr>
                <w:b/>
                <w:sz w:val="18"/>
                <w:szCs w:val="18"/>
                <w:lang w:val="fr-FR"/>
              </w:rPr>
              <w:t>Groupe </w:t>
            </w:r>
            <w:r w:rsidR="00801DEB" w:rsidRPr="005671A1">
              <w:rPr>
                <w:b/>
                <w:sz w:val="18"/>
                <w:szCs w:val="18"/>
                <w:lang w:val="fr-FR"/>
              </w:rPr>
              <w:t>3</w:t>
            </w:r>
          </w:p>
          <w:p w:rsidR="00801DEB" w:rsidRPr="005671A1" w:rsidRDefault="00801DEB" w:rsidP="004C4F01">
            <w:pPr>
              <w:shd w:val="clear" w:color="auto" w:fill="B8CCE4" w:themeFill="accent1" w:themeFillTint="66"/>
              <w:jc w:val="center"/>
              <w:rPr>
                <w:rFonts w:eastAsia="Times New Roman"/>
                <w:b/>
                <w:color w:val="000000"/>
                <w:sz w:val="18"/>
                <w:szCs w:val="18"/>
                <w:lang w:val="fr-FR"/>
              </w:rPr>
            </w:pPr>
            <w:r w:rsidRPr="005671A1">
              <w:rPr>
                <w:b/>
                <w:sz w:val="18"/>
                <w:szCs w:val="18"/>
                <w:lang w:val="fr-FR"/>
              </w:rPr>
              <w:t>Budget</w:t>
            </w:r>
          </w:p>
          <w:p w:rsidR="00801DEB" w:rsidRPr="005671A1" w:rsidRDefault="00F973DE" w:rsidP="004C4F01">
            <w:pPr>
              <w:jc w:val="center"/>
              <w:rPr>
                <w:rFonts w:eastAsia="Times New Roman"/>
                <w:i/>
                <w:iCs/>
                <w:color w:val="000000"/>
                <w:sz w:val="18"/>
                <w:szCs w:val="18"/>
                <w:lang w:val="fr-FR"/>
              </w:rPr>
            </w:pPr>
            <w:r>
              <w:rPr>
                <w:sz w:val="18"/>
                <w:szCs w:val="18"/>
                <w:lang w:val="fr-FR"/>
              </w:rPr>
              <w:t>Point </w:t>
            </w:r>
            <w:r w:rsidR="00801DEB" w:rsidRPr="005671A1">
              <w:rPr>
                <w:sz w:val="18"/>
                <w:szCs w:val="18"/>
                <w:lang w:val="fr-FR"/>
              </w:rPr>
              <w:t>7</w:t>
            </w:r>
          </w:p>
        </w:tc>
        <w:tc>
          <w:tcPr>
            <w:tcW w:w="1078" w:type="pct"/>
            <w:gridSpan w:val="3"/>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20C77" w:rsidRPr="005671A1" w:rsidRDefault="00F973DE" w:rsidP="004C4F01">
            <w:pPr>
              <w:shd w:val="clear" w:color="auto" w:fill="B8CCE4" w:themeFill="accent1" w:themeFillTint="66"/>
              <w:jc w:val="center"/>
              <w:rPr>
                <w:rFonts w:eastAsia="Times New Roman"/>
                <w:b/>
                <w:color w:val="000000"/>
                <w:sz w:val="18"/>
                <w:szCs w:val="18"/>
                <w:lang w:val="fr-FR"/>
              </w:rPr>
            </w:pPr>
            <w:r>
              <w:rPr>
                <w:b/>
                <w:sz w:val="18"/>
                <w:szCs w:val="18"/>
                <w:lang w:val="fr-FR"/>
              </w:rPr>
              <w:t>Groupe </w:t>
            </w:r>
            <w:r w:rsidR="00801DEB" w:rsidRPr="005671A1">
              <w:rPr>
                <w:b/>
                <w:sz w:val="18"/>
                <w:szCs w:val="18"/>
                <w:lang w:val="fr-FR"/>
              </w:rPr>
              <w:t xml:space="preserve">3 </w:t>
            </w:r>
          </w:p>
          <w:p w:rsidR="00801DEB" w:rsidRPr="005671A1" w:rsidRDefault="00801DEB" w:rsidP="004C4F01">
            <w:pPr>
              <w:shd w:val="clear" w:color="auto" w:fill="B8CCE4" w:themeFill="accent1" w:themeFillTint="66"/>
              <w:jc w:val="center"/>
              <w:rPr>
                <w:rFonts w:eastAsia="Times New Roman"/>
                <w:b/>
                <w:color w:val="000000"/>
                <w:sz w:val="18"/>
                <w:szCs w:val="18"/>
                <w:lang w:val="fr-FR"/>
              </w:rPr>
            </w:pPr>
            <w:r w:rsidRPr="005671A1">
              <w:rPr>
                <w:b/>
                <w:sz w:val="18"/>
                <w:szCs w:val="18"/>
                <w:lang w:val="fr-FR"/>
              </w:rPr>
              <w:t>Budget</w:t>
            </w:r>
          </w:p>
          <w:p w:rsidR="00801DEB" w:rsidRPr="005671A1" w:rsidRDefault="00F973DE" w:rsidP="004C4F01">
            <w:pPr>
              <w:shd w:val="clear" w:color="auto" w:fill="B8CCE4" w:themeFill="accent1" w:themeFillTint="66"/>
              <w:jc w:val="center"/>
              <w:rPr>
                <w:rFonts w:eastAsia="Times New Roman"/>
                <w:color w:val="000000"/>
                <w:sz w:val="18"/>
                <w:szCs w:val="18"/>
                <w:lang w:val="fr-FR"/>
              </w:rPr>
            </w:pPr>
            <w:r>
              <w:rPr>
                <w:sz w:val="18"/>
                <w:szCs w:val="18"/>
                <w:lang w:val="fr-FR"/>
              </w:rPr>
              <w:t>Point </w:t>
            </w:r>
            <w:r w:rsidR="00801DEB" w:rsidRPr="005671A1">
              <w:rPr>
                <w:sz w:val="18"/>
                <w:szCs w:val="18"/>
                <w:lang w:val="fr-FR"/>
              </w:rPr>
              <w:t xml:space="preserve">7 </w:t>
            </w:r>
          </w:p>
        </w:tc>
        <w:tc>
          <w:tcPr>
            <w:tcW w:w="814"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01DEB" w:rsidRPr="005671A1" w:rsidRDefault="00801DEB" w:rsidP="004C4F01">
            <w:pPr>
              <w:rPr>
                <w:rFonts w:eastAsia="Times New Roman"/>
                <w:color w:val="000000"/>
                <w:sz w:val="18"/>
                <w:szCs w:val="18"/>
                <w:lang w:val="fr-FR" w:eastAsia="en-GB"/>
              </w:rPr>
            </w:pPr>
            <w:r w:rsidRPr="005671A1">
              <w:rPr>
                <w:rFonts w:eastAsia="Times New Roman"/>
                <w:color w:val="000000"/>
                <w:sz w:val="18"/>
                <w:szCs w:val="18"/>
                <w:lang w:val="fr-FR" w:eastAsia="en-GB"/>
              </w:rPr>
              <w:t> </w:t>
            </w:r>
          </w:p>
        </w:tc>
      </w:tr>
      <w:tr w:rsidR="0050520F" w:rsidRPr="005671A1" w:rsidTr="00EF2252">
        <w:trPr>
          <w:trHeight w:val="315"/>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color w:val="000000"/>
                <w:sz w:val="18"/>
                <w:szCs w:val="18"/>
                <w:lang w:val="fr-FR"/>
              </w:rPr>
            </w:pPr>
            <w:r w:rsidRPr="005671A1">
              <w:rPr>
                <w:sz w:val="18"/>
                <w:szCs w:val="18"/>
                <w:lang w:val="fr-FR"/>
              </w:rPr>
              <w:t>13 h 30-14 heures</w:t>
            </w:r>
          </w:p>
        </w:tc>
        <w:tc>
          <w:tcPr>
            <w:tcW w:w="642" w:type="pct"/>
            <w:vMerge/>
            <w:tcBorders>
              <w:left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i/>
                <w:iCs/>
                <w:color w:val="000000"/>
                <w:sz w:val="18"/>
                <w:szCs w:val="18"/>
                <w:lang w:val="fr-FR" w:eastAsia="en-GB"/>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01DEB" w:rsidRPr="005671A1" w:rsidRDefault="00801DEB" w:rsidP="004C4F01">
            <w:pPr>
              <w:rPr>
                <w:rFonts w:eastAsia="Times New Roman"/>
                <w:i/>
                <w:iCs/>
                <w:color w:val="000000"/>
                <w:sz w:val="18"/>
                <w:szCs w:val="18"/>
                <w:lang w:val="fr-FR" w:eastAsia="en-GB"/>
              </w:rPr>
            </w:pPr>
          </w:p>
        </w:tc>
        <w:tc>
          <w:tcPr>
            <w:tcW w:w="991" w:type="pct"/>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01DEB" w:rsidRPr="005671A1" w:rsidRDefault="00801DEB" w:rsidP="004C4F01">
            <w:pPr>
              <w:rPr>
                <w:rFonts w:eastAsia="Times New Roman"/>
                <w:i/>
                <w:iCs/>
                <w:color w:val="000000"/>
                <w:sz w:val="18"/>
                <w:szCs w:val="18"/>
                <w:lang w:val="fr-FR" w:eastAsia="en-GB"/>
              </w:rPr>
            </w:pPr>
          </w:p>
        </w:tc>
        <w:tc>
          <w:tcPr>
            <w:tcW w:w="1078" w:type="pct"/>
            <w:gridSpan w:val="3"/>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01DEB" w:rsidRPr="005671A1" w:rsidRDefault="00801DEB" w:rsidP="004C4F01">
            <w:pPr>
              <w:rPr>
                <w:rFonts w:eastAsia="Times New Roman"/>
                <w:color w:val="000000"/>
                <w:sz w:val="18"/>
                <w:szCs w:val="18"/>
                <w:lang w:val="fr-FR" w:eastAsia="en-GB"/>
              </w:rPr>
            </w:pPr>
          </w:p>
        </w:tc>
        <w:tc>
          <w:tcPr>
            <w:tcW w:w="814" w:type="pct"/>
            <w:gridSpan w:val="2"/>
            <w:vMerge/>
            <w:tcBorders>
              <w:top w:val="single" w:sz="4" w:space="0" w:color="auto"/>
              <w:left w:val="single" w:sz="4" w:space="0" w:color="auto"/>
              <w:bottom w:val="single" w:sz="4" w:space="0" w:color="auto"/>
              <w:right w:val="single" w:sz="4" w:space="0" w:color="auto"/>
            </w:tcBorders>
            <w:vAlign w:val="center"/>
            <w:hideMark/>
          </w:tcPr>
          <w:p w:rsidR="00801DEB" w:rsidRPr="005671A1" w:rsidRDefault="00801DEB" w:rsidP="004C4F01">
            <w:pPr>
              <w:rPr>
                <w:rFonts w:eastAsia="Times New Roman"/>
                <w:color w:val="000000"/>
                <w:sz w:val="18"/>
                <w:szCs w:val="18"/>
                <w:lang w:val="fr-FR" w:eastAsia="en-GB"/>
              </w:rPr>
            </w:pPr>
          </w:p>
        </w:tc>
      </w:tr>
      <w:tr w:rsidR="0050520F" w:rsidRPr="005671A1" w:rsidTr="00EF2252">
        <w:trPr>
          <w:trHeight w:val="315"/>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color w:val="000000"/>
                <w:sz w:val="18"/>
                <w:szCs w:val="18"/>
                <w:lang w:val="fr-FR"/>
              </w:rPr>
            </w:pPr>
            <w:r w:rsidRPr="005671A1">
              <w:rPr>
                <w:sz w:val="18"/>
                <w:szCs w:val="18"/>
                <w:lang w:val="fr-FR"/>
              </w:rPr>
              <w:t>14 heures-14 h 30</w:t>
            </w:r>
          </w:p>
        </w:tc>
        <w:tc>
          <w:tcPr>
            <w:tcW w:w="642" w:type="pct"/>
            <w:vMerge/>
            <w:tcBorders>
              <w:left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i/>
                <w:iCs/>
                <w:color w:val="000000"/>
                <w:sz w:val="18"/>
                <w:szCs w:val="18"/>
                <w:lang w:val="fr-FR" w:eastAsia="en-GB"/>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01DEB" w:rsidRPr="005671A1" w:rsidRDefault="00801DEB" w:rsidP="004C4F01">
            <w:pPr>
              <w:rPr>
                <w:rFonts w:eastAsia="Times New Roman"/>
                <w:i/>
                <w:iCs/>
                <w:color w:val="000000"/>
                <w:sz w:val="18"/>
                <w:szCs w:val="18"/>
                <w:lang w:val="fr-FR" w:eastAsia="en-GB"/>
              </w:rPr>
            </w:pPr>
          </w:p>
        </w:tc>
        <w:tc>
          <w:tcPr>
            <w:tcW w:w="991" w:type="pct"/>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01DEB" w:rsidRPr="005671A1" w:rsidRDefault="00801DEB" w:rsidP="004C4F01">
            <w:pPr>
              <w:rPr>
                <w:rFonts w:eastAsia="Times New Roman"/>
                <w:i/>
                <w:iCs/>
                <w:color w:val="000000"/>
                <w:sz w:val="18"/>
                <w:szCs w:val="18"/>
                <w:lang w:val="fr-FR" w:eastAsia="en-GB"/>
              </w:rPr>
            </w:pPr>
          </w:p>
        </w:tc>
        <w:tc>
          <w:tcPr>
            <w:tcW w:w="1078" w:type="pct"/>
            <w:gridSpan w:val="3"/>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01DEB" w:rsidRPr="005671A1" w:rsidRDefault="00801DEB" w:rsidP="004C4F01">
            <w:pPr>
              <w:rPr>
                <w:rFonts w:eastAsia="Times New Roman"/>
                <w:color w:val="000000"/>
                <w:sz w:val="18"/>
                <w:szCs w:val="18"/>
                <w:lang w:val="fr-FR" w:eastAsia="en-GB"/>
              </w:rPr>
            </w:pPr>
          </w:p>
        </w:tc>
        <w:tc>
          <w:tcPr>
            <w:tcW w:w="814" w:type="pct"/>
            <w:gridSpan w:val="2"/>
            <w:vMerge/>
            <w:tcBorders>
              <w:top w:val="single" w:sz="4" w:space="0" w:color="auto"/>
              <w:left w:val="single" w:sz="4" w:space="0" w:color="auto"/>
              <w:bottom w:val="single" w:sz="4" w:space="0" w:color="auto"/>
              <w:right w:val="single" w:sz="4" w:space="0" w:color="auto"/>
            </w:tcBorders>
            <w:vAlign w:val="center"/>
            <w:hideMark/>
          </w:tcPr>
          <w:p w:rsidR="00801DEB" w:rsidRPr="005671A1" w:rsidRDefault="00801DEB" w:rsidP="004C4F01">
            <w:pPr>
              <w:rPr>
                <w:rFonts w:eastAsia="Times New Roman"/>
                <w:color w:val="000000"/>
                <w:sz w:val="18"/>
                <w:szCs w:val="18"/>
                <w:lang w:val="fr-FR" w:eastAsia="en-GB"/>
              </w:rPr>
            </w:pPr>
          </w:p>
        </w:tc>
      </w:tr>
      <w:tr w:rsidR="0050520F" w:rsidRPr="005671A1" w:rsidTr="00EF2252">
        <w:trPr>
          <w:trHeight w:val="315"/>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color w:val="000000"/>
                <w:sz w:val="18"/>
                <w:szCs w:val="18"/>
                <w:lang w:val="fr-FR"/>
              </w:rPr>
            </w:pPr>
            <w:r w:rsidRPr="005671A1">
              <w:rPr>
                <w:sz w:val="18"/>
                <w:szCs w:val="18"/>
                <w:lang w:val="fr-FR"/>
              </w:rPr>
              <w:t>14 h 30-15 heures</w:t>
            </w:r>
          </w:p>
        </w:tc>
        <w:tc>
          <w:tcPr>
            <w:tcW w:w="642" w:type="pct"/>
            <w:vMerge/>
            <w:tcBorders>
              <w:left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i/>
                <w:iCs/>
                <w:color w:val="000000"/>
                <w:sz w:val="18"/>
                <w:szCs w:val="18"/>
                <w:lang w:val="fr-FR" w:eastAsia="en-GB"/>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01DEB" w:rsidRPr="005671A1" w:rsidRDefault="00801DEB" w:rsidP="004C4F01">
            <w:pPr>
              <w:rPr>
                <w:rFonts w:eastAsia="Times New Roman"/>
                <w:i/>
                <w:iCs/>
                <w:color w:val="000000"/>
                <w:sz w:val="18"/>
                <w:szCs w:val="18"/>
                <w:lang w:val="fr-FR" w:eastAsia="en-GB"/>
              </w:rPr>
            </w:pPr>
          </w:p>
        </w:tc>
        <w:tc>
          <w:tcPr>
            <w:tcW w:w="991" w:type="pct"/>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01DEB" w:rsidRPr="005671A1" w:rsidRDefault="00801DEB" w:rsidP="004C4F01">
            <w:pPr>
              <w:rPr>
                <w:rFonts w:eastAsia="Times New Roman"/>
                <w:i/>
                <w:iCs/>
                <w:color w:val="000000"/>
                <w:sz w:val="18"/>
                <w:szCs w:val="18"/>
                <w:lang w:val="fr-FR" w:eastAsia="en-GB"/>
              </w:rPr>
            </w:pPr>
          </w:p>
        </w:tc>
        <w:tc>
          <w:tcPr>
            <w:tcW w:w="1078" w:type="pct"/>
            <w:gridSpan w:val="3"/>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01DEB" w:rsidRPr="005671A1" w:rsidRDefault="00801DEB" w:rsidP="004C4F01">
            <w:pPr>
              <w:rPr>
                <w:rFonts w:eastAsia="Times New Roman"/>
                <w:color w:val="000000"/>
                <w:sz w:val="18"/>
                <w:szCs w:val="18"/>
                <w:lang w:val="fr-FR" w:eastAsia="en-GB"/>
              </w:rPr>
            </w:pPr>
          </w:p>
        </w:tc>
        <w:tc>
          <w:tcPr>
            <w:tcW w:w="814" w:type="pct"/>
            <w:gridSpan w:val="2"/>
            <w:vMerge/>
            <w:tcBorders>
              <w:top w:val="single" w:sz="4" w:space="0" w:color="auto"/>
              <w:left w:val="single" w:sz="4" w:space="0" w:color="auto"/>
              <w:bottom w:val="single" w:sz="4" w:space="0" w:color="auto"/>
              <w:right w:val="single" w:sz="4" w:space="0" w:color="auto"/>
            </w:tcBorders>
            <w:vAlign w:val="center"/>
            <w:hideMark/>
          </w:tcPr>
          <w:p w:rsidR="00801DEB" w:rsidRPr="005671A1" w:rsidRDefault="00801DEB" w:rsidP="004C4F01">
            <w:pPr>
              <w:rPr>
                <w:rFonts w:eastAsia="Times New Roman"/>
                <w:color w:val="000000"/>
                <w:sz w:val="18"/>
                <w:szCs w:val="18"/>
                <w:lang w:val="fr-FR" w:eastAsia="en-GB"/>
              </w:rPr>
            </w:pPr>
          </w:p>
        </w:tc>
      </w:tr>
      <w:tr w:rsidR="005C5634" w:rsidRPr="00A02F67" w:rsidTr="00EF2252">
        <w:trPr>
          <w:trHeight w:val="319"/>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bCs/>
                <w:color w:val="000000"/>
                <w:sz w:val="18"/>
                <w:szCs w:val="18"/>
                <w:lang w:val="fr-FR"/>
              </w:rPr>
            </w:pPr>
            <w:r w:rsidRPr="005671A1">
              <w:rPr>
                <w:sz w:val="18"/>
                <w:szCs w:val="18"/>
                <w:lang w:val="fr-FR"/>
              </w:rPr>
              <w:t>15 heures-15 h 30</w:t>
            </w:r>
          </w:p>
        </w:tc>
        <w:tc>
          <w:tcPr>
            <w:tcW w:w="642" w:type="pct"/>
            <w:vMerge/>
            <w:tcBorders>
              <w:left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jc w:val="center"/>
              <w:rPr>
                <w:rFonts w:eastAsia="Times New Roman"/>
                <w:color w:val="000000"/>
                <w:sz w:val="18"/>
                <w:szCs w:val="18"/>
                <w:lang w:val="fr-FR" w:eastAsia="en-GB"/>
              </w:rPr>
            </w:pPr>
          </w:p>
        </w:tc>
        <w:tc>
          <w:tcPr>
            <w:tcW w:w="761"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03AFC" w:rsidRPr="005671A1" w:rsidRDefault="00203AFC" w:rsidP="004C4F01">
            <w:pPr>
              <w:jc w:val="center"/>
              <w:rPr>
                <w:b/>
                <w:sz w:val="18"/>
                <w:szCs w:val="18"/>
                <w:lang w:val="fr-FR"/>
              </w:rPr>
            </w:pPr>
            <w:r w:rsidRPr="005671A1">
              <w:rPr>
                <w:b/>
                <w:sz w:val="18"/>
                <w:szCs w:val="18"/>
                <w:lang w:val="fr-FR"/>
              </w:rPr>
              <w:t>Plénière</w:t>
            </w:r>
          </w:p>
          <w:p w:rsidR="00801DEB" w:rsidRPr="005671A1" w:rsidRDefault="00F973DE" w:rsidP="00884356">
            <w:pPr>
              <w:jc w:val="center"/>
              <w:rPr>
                <w:rFonts w:eastAsia="Times New Roman"/>
                <w:b/>
                <w:color w:val="000000"/>
                <w:sz w:val="18"/>
                <w:szCs w:val="18"/>
                <w:lang w:val="fr-FR"/>
              </w:rPr>
            </w:pPr>
            <w:r>
              <w:rPr>
                <w:sz w:val="18"/>
                <w:szCs w:val="18"/>
                <w:lang w:val="fr-FR"/>
              </w:rPr>
              <w:t>Points </w:t>
            </w:r>
            <w:r w:rsidR="00884356" w:rsidRPr="005671A1">
              <w:rPr>
                <w:sz w:val="18"/>
                <w:szCs w:val="18"/>
                <w:lang w:val="fr-FR"/>
              </w:rPr>
              <w:t>7</w:t>
            </w:r>
            <w:r w:rsidR="00203AFC" w:rsidRPr="005671A1">
              <w:rPr>
                <w:sz w:val="18"/>
                <w:szCs w:val="18"/>
                <w:lang w:val="fr-FR"/>
              </w:rPr>
              <w:t>,</w:t>
            </w:r>
            <w:r>
              <w:rPr>
                <w:sz w:val="18"/>
                <w:szCs w:val="18"/>
                <w:lang w:val="fr-FR"/>
              </w:rPr>
              <w:t> </w:t>
            </w:r>
            <w:r w:rsidR="00884356" w:rsidRPr="005671A1">
              <w:rPr>
                <w:sz w:val="18"/>
                <w:szCs w:val="18"/>
                <w:lang w:val="fr-FR"/>
              </w:rPr>
              <w:t>6</w:t>
            </w:r>
            <w:r w:rsidR="00203AFC" w:rsidRPr="005671A1">
              <w:rPr>
                <w:sz w:val="18"/>
                <w:szCs w:val="18"/>
                <w:lang w:val="fr-FR"/>
              </w:rPr>
              <w:t xml:space="preserve"> </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801DEB" w:rsidRPr="005671A1" w:rsidRDefault="00801DEB" w:rsidP="004C4F01">
            <w:pPr>
              <w:jc w:val="center"/>
              <w:rPr>
                <w:rFonts w:eastAsia="Times New Roman"/>
                <w:b/>
                <w:color w:val="000000"/>
                <w:sz w:val="18"/>
                <w:szCs w:val="18"/>
                <w:lang w:val="fr-FR"/>
              </w:rPr>
            </w:pPr>
            <w:r w:rsidRPr="005671A1">
              <w:rPr>
                <w:b/>
                <w:sz w:val="18"/>
                <w:szCs w:val="18"/>
                <w:lang w:val="fr-FR"/>
              </w:rPr>
              <w:t>Groupe 1</w:t>
            </w:r>
          </w:p>
          <w:p w:rsidR="00920C77" w:rsidRPr="005671A1" w:rsidRDefault="00F973DE" w:rsidP="004C4F01">
            <w:pPr>
              <w:jc w:val="center"/>
              <w:rPr>
                <w:rFonts w:eastAsia="Times New Roman"/>
                <w:color w:val="000000"/>
                <w:sz w:val="18"/>
                <w:szCs w:val="18"/>
                <w:lang w:val="fr-FR"/>
              </w:rPr>
            </w:pPr>
            <w:r>
              <w:rPr>
                <w:sz w:val="18"/>
                <w:szCs w:val="18"/>
                <w:lang w:val="fr-FR"/>
              </w:rPr>
              <w:t>Point </w:t>
            </w:r>
            <w:r w:rsidR="00801DEB" w:rsidRPr="005671A1">
              <w:rPr>
                <w:sz w:val="18"/>
                <w:szCs w:val="18"/>
                <w:lang w:val="fr-FR"/>
              </w:rPr>
              <w:t xml:space="preserve">6 </w:t>
            </w:r>
            <w:r w:rsidR="00884356">
              <w:rPr>
                <w:sz w:val="18"/>
                <w:szCs w:val="18"/>
                <w:lang w:val="fr-FR"/>
              </w:rPr>
              <w:t>b</w:t>
            </w:r>
            <w:r w:rsidR="00801DEB" w:rsidRPr="005671A1">
              <w:rPr>
                <w:sz w:val="18"/>
                <w:szCs w:val="18"/>
                <w:lang w:val="fr-FR"/>
              </w:rPr>
              <w:t xml:space="preserve">) </w:t>
            </w:r>
          </w:p>
          <w:p w:rsidR="00801DEB" w:rsidRPr="005671A1" w:rsidRDefault="00884356" w:rsidP="004C4F01">
            <w:pPr>
              <w:jc w:val="center"/>
              <w:rPr>
                <w:rFonts w:eastAsia="Times New Roman"/>
                <w:color w:val="000000"/>
                <w:sz w:val="18"/>
                <w:szCs w:val="18"/>
                <w:lang w:val="fr-FR"/>
              </w:rPr>
            </w:pPr>
            <w:r>
              <w:rPr>
                <w:sz w:val="18"/>
                <w:szCs w:val="18"/>
                <w:lang w:val="fr-FR"/>
              </w:rPr>
              <w:t>Systèmes de savoirs autochtones et locaux</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1DEB" w:rsidRPr="005671A1" w:rsidRDefault="00801DEB" w:rsidP="004C4F01">
            <w:pPr>
              <w:jc w:val="center"/>
              <w:rPr>
                <w:rFonts w:eastAsia="Times New Roman"/>
                <w:b/>
                <w:color w:val="000000"/>
                <w:sz w:val="18"/>
                <w:szCs w:val="18"/>
                <w:lang w:val="fr-FR"/>
              </w:rPr>
            </w:pPr>
            <w:r w:rsidRPr="005671A1">
              <w:rPr>
                <w:b/>
                <w:sz w:val="18"/>
                <w:szCs w:val="18"/>
                <w:lang w:val="fr-FR"/>
              </w:rPr>
              <w:t>Groupe 2</w:t>
            </w:r>
          </w:p>
          <w:p w:rsidR="00801DEB" w:rsidRPr="005671A1" w:rsidRDefault="00F973DE" w:rsidP="00710A3C">
            <w:pPr>
              <w:jc w:val="center"/>
              <w:rPr>
                <w:rFonts w:eastAsia="Times New Roman"/>
                <w:color w:val="000000"/>
                <w:sz w:val="18"/>
                <w:szCs w:val="18"/>
                <w:lang w:val="fr-FR"/>
              </w:rPr>
            </w:pPr>
            <w:r>
              <w:rPr>
                <w:sz w:val="18"/>
                <w:szCs w:val="18"/>
                <w:lang w:val="fr-FR"/>
              </w:rPr>
              <w:t>Point </w:t>
            </w:r>
            <w:r w:rsidR="005F64B1" w:rsidRPr="005671A1">
              <w:rPr>
                <w:sz w:val="18"/>
                <w:szCs w:val="18"/>
                <w:lang w:val="fr-FR"/>
              </w:rPr>
              <w:t xml:space="preserve">6 </w:t>
            </w:r>
            <w:r w:rsidR="00801DEB" w:rsidRPr="005671A1">
              <w:rPr>
                <w:sz w:val="18"/>
                <w:szCs w:val="18"/>
                <w:lang w:val="fr-FR"/>
              </w:rPr>
              <w:t xml:space="preserve">f) </w:t>
            </w:r>
            <w:r w:rsidR="00884356">
              <w:rPr>
                <w:sz w:val="18"/>
                <w:szCs w:val="18"/>
                <w:lang w:val="fr-FR"/>
              </w:rPr>
              <w:t>Utilisation durable de la biodiversité</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801DEB" w:rsidRPr="005671A1" w:rsidRDefault="00F973DE" w:rsidP="004C4F01">
            <w:pPr>
              <w:jc w:val="center"/>
              <w:rPr>
                <w:rFonts w:eastAsia="Times New Roman"/>
                <w:b/>
                <w:color w:val="000000"/>
                <w:sz w:val="18"/>
                <w:szCs w:val="18"/>
                <w:lang w:val="fr-FR"/>
              </w:rPr>
            </w:pPr>
            <w:r>
              <w:rPr>
                <w:b/>
                <w:sz w:val="18"/>
                <w:szCs w:val="18"/>
                <w:lang w:val="fr-FR"/>
              </w:rPr>
              <w:t>Groupe </w:t>
            </w:r>
            <w:r w:rsidR="00801DEB" w:rsidRPr="005671A1">
              <w:rPr>
                <w:b/>
                <w:sz w:val="18"/>
                <w:szCs w:val="18"/>
                <w:lang w:val="fr-FR"/>
              </w:rPr>
              <w:t>1</w:t>
            </w:r>
          </w:p>
          <w:p w:rsidR="00801DEB" w:rsidRPr="00710A3C" w:rsidRDefault="00884356" w:rsidP="004C4F01">
            <w:pPr>
              <w:jc w:val="center"/>
              <w:rPr>
                <w:rFonts w:eastAsia="Times New Roman"/>
                <w:i/>
                <w:color w:val="000000"/>
                <w:sz w:val="18"/>
                <w:szCs w:val="18"/>
                <w:lang w:val="fr-FR"/>
              </w:rPr>
            </w:pPr>
            <w:r w:rsidRPr="00710A3C">
              <w:rPr>
                <w:i/>
                <w:sz w:val="18"/>
                <w:szCs w:val="18"/>
                <w:lang w:val="fr-FR"/>
              </w:rPr>
              <w:t>Points en suspens</w:t>
            </w:r>
          </w:p>
        </w:tc>
        <w:tc>
          <w:tcPr>
            <w:tcW w:w="578" w:type="pct"/>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1DEB" w:rsidRPr="005671A1" w:rsidRDefault="00F973DE" w:rsidP="004C4F01">
            <w:pPr>
              <w:jc w:val="center"/>
              <w:rPr>
                <w:rFonts w:eastAsia="Times New Roman"/>
                <w:b/>
                <w:color w:val="000000"/>
                <w:sz w:val="18"/>
                <w:szCs w:val="18"/>
                <w:lang w:val="fr-FR"/>
              </w:rPr>
            </w:pPr>
            <w:r>
              <w:rPr>
                <w:b/>
                <w:sz w:val="18"/>
                <w:szCs w:val="18"/>
                <w:lang w:val="fr-FR"/>
              </w:rPr>
              <w:t>Groupe </w:t>
            </w:r>
            <w:r w:rsidR="00801DEB" w:rsidRPr="005671A1">
              <w:rPr>
                <w:b/>
                <w:sz w:val="18"/>
                <w:szCs w:val="18"/>
                <w:lang w:val="fr-FR"/>
              </w:rPr>
              <w:t>2</w:t>
            </w:r>
          </w:p>
          <w:p w:rsidR="00920C77" w:rsidRPr="005671A1" w:rsidRDefault="00F973DE" w:rsidP="004C4F01">
            <w:pPr>
              <w:jc w:val="center"/>
              <w:rPr>
                <w:rFonts w:eastAsia="Times New Roman"/>
                <w:color w:val="000000"/>
                <w:sz w:val="18"/>
                <w:szCs w:val="18"/>
                <w:lang w:val="fr-FR"/>
              </w:rPr>
            </w:pPr>
            <w:r>
              <w:rPr>
                <w:sz w:val="18"/>
                <w:szCs w:val="18"/>
                <w:lang w:val="fr-FR"/>
              </w:rPr>
              <w:t>Point </w:t>
            </w:r>
            <w:r w:rsidR="00801DEB" w:rsidRPr="005671A1">
              <w:rPr>
                <w:sz w:val="18"/>
                <w:szCs w:val="18"/>
                <w:lang w:val="fr-FR"/>
              </w:rPr>
              <w:t>6</w:t>
            </w:r>
            <w:r w:rsidR="00710A3C">
              <w:rPr>
                <w:sz w:val="18"/>
                <w:szCs w:val="18"/>
                <w:lang w:val="fr-FR"/>
              </w:rPr>
              <w:t xml:space="preserve"> d) à</w:t>
            </w:r>
            <w:r w:rsidR="00801DEB" w:rsidRPr="005671A1">
              <w:rPr>
                <w:sz w:val="18"/>
                <w:szCs w:val="18"/>
                <w:lang w:val="fr-FR"/>
              </w:rPr>
              <w:t xml:space="preserve"> </w:t>
            </w:r>
            <w:r w:rsidR="00884356">
              <w:rPr>
                <w:sz w:val="18"/>
                <w:szCs w:val="18"/>
                <w:lang w:val="fr-FR"/>
              </w:rPr>
              <w:t>f</w:t>
            </w:r>
            <w:r w:rsidR="00801DEB" w:rsidRPr="005671A1">
              <w:rPr>
                <w:sz w:val="18"/>
                <w:szCs w:val="18"/>
                <w:lang w:val="fr-FR"/>
              </w:rPr>
              <w:t>)</w:t>
            </w:r>
          </w:p>
          <w:p w:rsidR="00801DEB" w:rsidRPr="005671A1" w:rsidRDefault="00884356" w:rsidP="004C4F01">
            <w:pPr>
              <w:jc w:val="center"/>
              <w:rPr>
                <w:rFonts w:eastAsia="Times New Roman"/>
                <w:color w:val="000000"/>
                <w:sz w:val="18"/>
                <w:szCs w:val="18"/>
                <w:lang w:val="fr-FR"/>
              </w:rPr>
            </w:pPr>
            <w:r>
              <w:rPr>
                <w:sz w:val="18"/>
                <w:szCs w:val="18"/>
                <w:lang w:val="fr-FR"/>
              </w:rPr>
              <w:t xml:space="preserve">Évaluations supplémentaires; </w:t>
            </w:r>
            <w:r w:rsidRPr="00710A3C">
              <w:rPr>
                <w:i/>
                <w:sz w:val="18"/>
                <w:szCs w:val="18"/>
                <w:lang w:val="fr-FR"/>
              </w:rPr>
              <w:t>points en suspens</w:t>
            </w:r>
          </w:p>
        </w:tc>
        <w:tc>
          <w:tcPr>
            <w:tcW w:w="814" w:type="pct"/>
            <w:gridSpan w:val="2"/>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5F64B1" w:rsidRPr="005671A1" w:rsidRDefault="005F64B1" w:rsidP="004C4F01">
            <w:pPr>
              <w:jc w:val="center"/>
              <w:rPr>
                <w:b/>
                <w:sz w:val="18"/>
                <w:szCs w:val="18"/>
                <w:lang w:val="fr-FR"/>
              </w:rPr>
            </w:pPr>
            <w:r w:rsidRPr="005671A1">
              <w:rPr>
                <w:b/>
                <w:sz w:val="18"/>
                <w:szCs w:val="18"/>
                <w:lang w:val="fr-FR"/>
              </w:rPr>
              <w:t>Plénière</w:t>
            </w:r>
          </w:p>
          <w:p w:rsidR="00920C77" w:rsidRPr="005671A1" w:rsidRDefault="00F973DE" w:rsidP="004C4F01">
            <w:pPr>
              <w:jc w:val="center"/>
              <w:rPr>
                <w:rFonts w:eastAsia="Times New Roman"/>
                <w:color w:val="000000"/>
                <w:sz w:val="18"/>
                <w:szCs w:val="18"/>
                <w:lang w:val="fr-FR"/>
              </w:rPr>
            </w:pPr>
            <w:r>
              <w:rPr>
                <w:sz w:val="18"/>
                <w:szCs w:val="18"/>
                <w:lang w:val="fr-FR"/>
              </w:rPr>
              <w:t>Points 11 et </w:t>
            </w:r>
            <w:r w:rsidR="00801DEB" w:rsidRPr="005671A1">
              <w:rPr>
                <w:sz w:val="18"/>
                <w:szCs w:val="18"/>
                <w:lang w:val="fr-FR"/>
              </w:rPr>
              <w:t xml:space="preserve">12 </w:t>
            </w:r>
          </w:p>
          <w:p w:rsidR="00801DEB" w:rsidRPr="005671A1" w:rsidRDefault="00920C77" w:rsidP="004C4F01">
            <w:pPr>
              <w:jc w:val="center"/>
              <w:rPr>
                <w:rFonts w:eastAsia="Times New Roman"/>
                <w:color w:val="000000"/>
                <w:sz w:val="18"/>
                <w:szCs w:val="18"/>
                <w:lang w:val="fr-FR"/>
              </w:rPr>
            </w:pPr>
            <w:r w:rsidRPr="005671A1">
              <w:rPr>
                <w:sz w:val="18"/>
                <w:szCs w:val="18"/>
                <w:lang w:val="fr-FR"/>
              </w:rPr>
              <w:t>Adoption des décisions et du rapport de la session; clôture de la session</w:t>
            </w:r>
          </w:p>
        </w:tc>
      </w:tr>
      <w:tr w:rsidR="005C5634" w:rsidRPr="005671A1" w:rsidTr="00EF2252">
        <w:trPr>
          <w:trHeight w:val="315"/>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color w:val="000000"/>
                <w:sz w:val="18"/>
                <w:szCs w:val="18"/>
                <w:lang w:val="fr-FR"/>
              </w:rPr>
            </w:pPr>
            <w:r w:rsidRPr="005671A1">
              <w:rPr>
                <w:sz w:val="18"/>
                <w:szCs w:val="18"/>
                <w:lang w:val="fr-FR"/>
              </w:rPr>
              <w:t>15 h 30-16 heures</w:t>
            </w:r>
          </w:p>
        </w:tc>
        <w:tc>
          <w:tcPr>
            <w:tcW w:w="642" w:type="pct"/>
            <w:vMerge/>
            <w:tcBorders>
              <w:left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761" w:type="pct"/>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01DEB" w:rsidRPr="005671A1" w:rsidRDefault="00801DEB" w:rsidP="004C4F01">
            <w:pPr>
              <w:rPr>
                <w:rFonts w:eastAsia="Times New Roman"/>
                <w:color w:val="000000"/>
                <w:sz w:val="18"/>
                <w:szCs w:val="18"/>
                <w:lang w:val="fr-FR" w:eastAsia="en-GB"/>
              </w:rPr>
            </w:pPr>
          </w:p>
        </w:tc>
        <w:tc>
          <w:tcPr>
            <w:tcW w:w="491" w:type="pct"/>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01DEB" w:rsidRPr="005671A1" w:rsidRDefault="00801DEB" w:rsidP="004C4F01">
            <w:pPr>
              <w:rPr>
                <w:rFonts w:eastAsia="Times New Roman"/>
                <w:color w:val="000000"/>
                <w:sz w:val="18"/>
                <w:szCs w:val="18"/>
                <w:lang w:val="fr-FR" w:eastAsia="en-GB"/>
              </w:rPr>
            </w:pPr>
          </w:p>
        </w:tc>
        <w:tc>
          <w:tcPr>
            <w:tcW w:w="500" w:type="pct"/>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1DEB" w:rsidRPr="005671A1" w:rsidRDefault="00801DEB" w:rsidP="004C4F01">
            <w:pPr>
              <w:rPr>
                <w:rFonts w:eastAsia="Times New Roman"/>
                <w:color w:val="000000"/>
                <w:sz w:val="18"/>
                <w:szCs w:val="18"/>
                <w:lang w:val="fr-FR" w:eastAsia="en-GB"/>
              </w:rPr>
            </w:pPr>
          </w:p>
        </w:tc>
        <w:tc>
          <w:tcPr>
            <w:tcW w:w="500" w:type="pct"/>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01DEB" w:rsidRPr="005671A1" w:rsidRDefault="00801DEB" w:rsidP="004C4F01">
            <w:pPr>
              <w:rPr>
                <w:rFonts w:eastAsia="Times New Roman"/>
                <w:color w:val="000000"/>
                <w:sz w:val="18"/>
                <w:szCs w:val="18"/>
                <w:lang w:val="fr-FR" w:eastAsia="en-GB"/>
              </w:rPr>
            </w:pPr>
          </w:p>
        </w:tc>
        <w:tc>
          <w:tcPr>
            <w:tcW w:w="578" w:type="pct"/>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1DEB" w:rsidRPr="005671A1" w:rsidRDefault="00801DEB" w:rsidP="004C4F01">
            <w:pPr>
              <w:rPr>
                <w:rFonts w:eastAsia="Times New Roman"/>
                <w:color w:val="000000"/>
                <w:sz w:val="18"/>
                <w:szCs w:val="18"/>
                <w:lang w:val="fr-FR" w:eastAsia="en-GB"/>
              </w:rPr>
            </w:pPr>
          </w:p>
        </w:tc>
        <w:tc>
          <w:tcPr>
            <w:tcW w:w="814" w:type="pct"/>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01DEB" w:rsidRPr="005671A1" w:rsidRDefault="00801DEB" w:rsidP="004C4F01">
            <w:pPr>
              <w:rPr>
                <w:rFonts w:eastAsia="Times New Roman"/>
                <w:color w:val="000000"/>
                <w:sz w:val="18"/>
                <w:szCs w:val="18"/>
                <w:lang w:val="fr-FR" w:eastAsia="en-GB"/>
              </w:rPr>
            </w:pPr>
          </w:p>
        </w:tc>
      </w:tr>
      <w:tr w:rsidR="005C5634" w:rsidRPr="005671A1" w:rsidTr="00EF2252">
        <w:trPr>
          <w:trHeight w:val="315"/>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color w:val="000000"/>
                <w:sz w:val="18"/>
                <w:szCs w:val="18"/>
                <w:lang w:val="fr-FR"/>
              </w:rPr>
            </w:pPr>
            <w:r w:rsidRPr="005671A1">
              <w:rPr>
                <w:sz w:val="18"/>
                <w:szCs w:val="18"/>
                <w:lang w:val="fr-FR"/>
              </w:rPr>
              <w:t>16 heures-16 h 30</w:t>
            </w:r>
          </w:p>
        </w:tc>
        <w:tc>
          <w:tcPr>
            <w:tcW w:w="642"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761" w:type="pct"/>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01DEB" w:rsidRPr="005671A1" w:rsidRDefault="00801DEB" w:rsidP="004C4F01">
            <w:pPr>
              <w:rPr>
                <w:rFonts w:eastAsia="Times New Roman"/>
                <w:color w:val="000000"/>
                <w:sz w:val="18"/>
                <w:szCs w:val="18"/>
                <w:lang w:val="fr-FR" w:eastAsia="en-GB"/>
              </w:rPr>
            </w:pPr>
          </w:p>
        </w:tc>
        <w:tc>
          <w:tcPr>
            <w:tcW w:w="491" w:type="pct"/>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01DEB" w:rsidRPr="005671A1" w:rsidRDefault="00801DEB" w:rsidP="004C4F01">
            <w:pPr>
              <w:rPr>
                <w:rFonts w:eastAsia="Times New Roman"/>
                <w:color w:val="000000"/>
                <w:sz w:val="18"/>
                <w:szCs w:val="18"/>
                <w:lang w:val="fr-FR" w:eastAsia="en-GB"/>
              </w:rPr>
            </w:pPr>
          </w:p>
        </w:tc>
        <w:tc>
          <w:tcPr>
            <w:tcW w:w="500" w:type="pct"/>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1DEB" w:rsidRPr="005671A1" w:rsidRDefault="00801DEB" w:rsidP="004C4F01">
            <w:pPr>
              <w:rPr>
                <w:rFonts w:eastAsia="Times New Roman"/>
                <w:color w:val="000000"/>
                <w:sz w:val="18"/>
                <w:szCs w:val="18"/>
                <w:lang w:val="fr-FR" w:eastAsia="en-GB"/>
              </w:rPr>
            </w:pPr>
          </w:p>
        </w:tc>
        <w:tc>
          <w:tcPr>
            <w:tcW w:w="500" w:type="pct"/>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01DEB" w:rsidRPr="005671A1" w:rsidRDefault="00801DEB" w:rsidP="004C4F01">
            <w:pPr>
              <w:rPr>
                <w:rFonts w:eastAsia="Times New Roman"/>
                <w:color w:val="000000"/>
                <w:sz w:val="18"/>
                <w:szCs w:val="18"/>
                <w:lang w:val="fr-FR" w:eastAsia="en-GB"/>
              </w:rPr>
            </w:pPr>
          </w:p>
        </w:tc>
        <w:tc>
          <w:tcPr>
            <w:tcW w:w="578" w:type="pct"/>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1DEB" w:rsidRPr="005671A1" w:rsidRDefault="00801DEB" w:rsidP="004C4F01">
            <w:pPr>
              <w:rPr>
                <w:rFonts w:eastAsia="Times New Roman"/>
                <w:color w:val="000000"/>
                <w:sz w:val="18"/>
                <w:szCs w:val="18"/>
                <w:lang w:val="fr-FR" w:eastAsia="en-GB"/>
              </w:rPr>
            </w:pPr>
          </w:p>
        </w:tc>
        <w:tc>
          <w:tcPr>
            <w:tcW w:w="814" w:type="pct"/>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01DEB" w:rsidRPr="005671A1" w:rsidRDefault="00801DEB" w:rsidP="004C4F01">
            <w:pPr>
              <w:rPr>
                <w:rFonts w:eastAsia="Times New Roman"/>
                <w:color w:val="000000"/>
                <w:sz w:val="18"/>
                <w:szCs w:val="18"/>
                <w:lang w:val="fr-FR" w:eastAsia="en-GB"/>
              </w:rPr>
            </w:pPr>
          </w:p>
        </w:tc>
      </w:tr>
      <w:tr w:rsidR="005C5634" w:rsidRPr="005671A1" w:rsidTr="00EF2252">
        <w:trPr>
          <w:trHeight w:val="315"/>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color w:val="000000"/>
                <w:sz w:val="18"/>
                <w:szCs w:val="18"/>
                <w:lang w:val="fr-FR"/>
              </w:rPr>
            </w:pPr>
            <w:r w:rsidRPr="005671A1">
              <w:rPr>
                <w:sz w:val="18"/>
                <w:szCs w:val="18"/>
                <w:lang w:val="fr-FR"/>
              </w:rPr>
              <w:t>16 h 30-17 heures</w:t>
            </w:r>
          </w:p>
        </w:tc>
        <w:tc>
          <w:tcPr>
            <w:tcW w:w="64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761" w:type="pct"/>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01DEB" w:rsidRPr="005671A1" w:rsidRDefault="00801DEB" w:rsidP="004C4F01">
            <w:pPr>
              <w:rPr>
                <w:rFonts w:eastAsia="Times New Roman"/>
                <w:color w:val="000000"/>
                <w:sz w:val="18"/>
                <w:szCs w:val="18"/>
                <w:lang w:val="fr-FR" w:eastAsia="en-GB"/>
              </w:rPr>
            </w:pPr>
          </w:p>
        </w:tc>
        <w:tc>
          <w:tcPr>
            <w:tcW w:w="491" w:type="pct"/>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01DEB" w:rsidRPr="005671A1" w:rsidRDefault="00801DEB" w:rsidP="004C4F01">
            <w:pPr>
              <w:rPr>
                <w:rFonts w:eastAsia="Times New Roman"/>
                <w:color w:val="000000"/>
                <w:sz w:val="18"/>
                <w:szCs w:val="18"/>
                <w:lang w:val="fr-FR" w:eastAsia="en-GB"/>
              </w:rPr>
            </w:pPr>
          </w:p>
        </w:tc>
        <w:tc>
          <w:tcPr>
            <w:tcW w:w="500" w:type="pct"/>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1DEB" w:rsidRPr="005671A1" w:rsidRDefault="00801DEB" w:rsidP="004C4F01">
            <w:pPr>
              <w:rPr>
                <w:rFonts w:eastAsia="Times New Roman"/>
                <w:color w:val="000000"/>
                <w:sz w:val="18"/>
                <w:szCs w:val="18"/>
                <w:lang w:val="fr-FR" w:eastAsia="en-GB"/>
              </w:rPr>
            </w:pPr>
          </w:p>
        </w:tc>
        <w:tc>
          <w:tcPr>
            <w:tcW w:w="500" w:type="pct"/>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01DEB" w:rsidRPr="005671A1" w:rsidRDefault="00801DEB" w:rsidP="004C4F01">
            <w:pPr>
              <w:rPr>
                <w:rFonts w:eastAsia="Times New Roman"/>
                <w:color w:val="000000"/>
                <w:sz w:val="18"/>
                <w:szCs w:val="18"/>
                <w:lang w:val="fr-FR" w:eastAsia="en-GB"/>
              </w:rPr>
            </w:pPr>
          </w:p>
        </w:tc>
        <w:tc>
          <w:tcPr>
            <w:tcW w:w="578" w:type="pct"/>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1DEB" w:rsidRPr="005671A1" w:rsidRDefault="00801DEB" w:rsidP="004C4F01">
            <w:pPr>
              <w:rPr>
                <w:rFonts w:eastAsia="Times New Roman"/>
                <w:color w:val="000000"/>
                <w:sz w:val="18"/>
                <w:szCs w:val="18"/>
                <w:lang w:val="fr-FR" w:eastAsia="en-GB"/>
              </w:rPr>
            </w:pPr>
          </w:p>
        </w:tc>
        <w:tc>
          <w:tcPr>
            <w:tcW w:w="814" w:type="pct"/>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01DEB" w:rsidRPr="005671A1" w:rsidRDefault="00801DEB" w:rsidP="004C4F01">
            <w:pPr>
              <w:rPr>
                <w:rFonts w:eastAsia="Times New Roman"/>
                <w:color w:val="000000"/>
                <w:sz w:val="18"/>
                <w:szCs w:val="18"/>
                <w:lang w:val="fr-FR" w:eastAsia="en-GB"/>
              </w:rPr>
            </w:pPr>
          </w:p>
        </w:tc>
      </w:tr>
      <w:tr w:rsidR="005C5634" w:rsidRPr="005671A1" w:rsidTr="00EF2252">
        <w:trPr>
          <w:trHeight w:val="315"/>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color w:val="000000"/>
                <w:sz w:val="18"/>
                <w:szCs w:val="18"/>
                <w:lang w:val="fr-FR"/>
              </w:rPr>
            </w:pPr>
            <w:r w:rsidRPr="005671A1">
              <w:rPr>
                <w:sz w:val="18"/>
                <w:szCs w:val="18"/>
                <w:lang w:val="fr-FR"/>
              </w:rPr>
              <w:t>17 heures-17 h 30</w:t>
            </w:r>
          </w:p>
        </w:tc>
        <w:tc>
          <w:tcPr>
            <w:tcW w:w="64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761" w:type="pct"/>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01DEB" w:rsidRPr="005671A1" w:rsidRDefault="00801DEB" w:rsidP="004C4F01">
            <w:pPr>
              <w:rPr>
                <w:rFonts w:eastAsia="Times New Roman"/>
                <w:color w:val="000000"/>
                <w:sz w:val="18"/>
                <w:szCs w:val="18"/>
                <w:lang w:val="fr-FR" w:eastAsia="en-GB"/>
              </w:rPr>
            </w:pPr>
          </w:p>
        </w:tc>
        <w:tc>
          <w:tcPr>
            <w:tcW w:w="491" w:type="pct"/>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01DEB" w:rsidRPr="005671A1" w:rsidRDefault="00801DEB" w:rsidP="004C4F01">
            <w:pPr>
              <w:rPr>
                <w:rFonts w:eastAsia="Times New Roman"/>
                <w:color w:val="000000"/>
                <w:sz w:val="18"/>
                <w:szCs w:val="18"/>
                <w:lang w:val="fr-FR" w:eastAsia="en-GB"/>
              </w:rPr>
            </w:pPr>
          </w:p>
        </w:tc>
        <w:tc>
          <w:tcPr>
            <w:tcW w:w="500" w:type="pct"/>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1DEB" w:rsidRPr="005671A1" w:rsidRDefault="00801DEB" w:rsidP="004C4F01">
            <w:pPr>
              <w:rPr>
                <w:rFonts w:eastAsia="Times New Roman"/>
                <w:color w:val="000000"/>
                <w:sz w:val="18"/>
                <w:szCs w:val="18"/>
                <w:lang w:val="fr-FR" w:eastAsia="en-GB"/>
              </w:rPr>
            </w:pPr>
          </w:p>
        </w:tc>
        <w:tc>
          <w:tcPr>
            <w:tcW w:w="500" w:type="pct"/>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01DEB" w:rsidRPr="005671A1" w:rsidRDefault="00801DEB" w:rsidP="004C4F01">
            <w:pPr>
              <w:rPr>
                <w:rFonts w:eastAsia="Times New Roman"/>
                <w:color w:val="000000"/>
                <w:sz w:val="18"/>
                <w:szCs w:val="18"/>
                <w:lang w:val="fr-FR" w:eastAsia="en-GB"/>
              </w:rPr>
            </w:pPr>
          </w:p>
        </w:tc>
        <w:tc>
          <w:tcPr>
            <w:tcW w:w="578" w:type="pct"/>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1DEB" w:rsidRPr="005671A1" w:rsidRDefault="00801DEB" w:rsidP="004C4F01">
            <w:pPr>
              <w:rPr>
                <w:rFonts w:eastAsia="Times New Roman"/>
                <w:color w:val="000000"/>
                <w:sz w:val="18"/>
                <w:szCs w:val="18"/>
                <w:lang w:val="fr-FR" w:eastAsia="en-GB"/>
              </w:rPr>
            </w:pPr>
          </w:p>
        </w:tc>
        <w:tc>
          <w:tcPr>
            <w:tcW w:w="814" w:type="pct"/>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01DEB" w:rsidRPr="005671A1" w:rsidRDefault="00801DEB" w:rsidP="004C4F01">
            <w:pPr>
              <w:rPr>
                <w:rFonts w:eastAsia="Times New Roman"/>
                <w:color w:val="000000"/>
                <w:sz w:val="18"/>
                <w:szCs w:val="18"/>
                <w:lang w:val="fr-FR" w:eastAsia="en-GB"/>
              </w:rPr>
            </w:pPr>
          </w:p>
        </w:tc>
      </w:tr>
      <w:tr w:rsidR="005C5634" w:rsidRPr="005671A1" w:rsidTr="00EF2252">
        <w:trPr>
          <w:trHeight w:val="315"/>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color w:val="000000"/>
                <w:sz w:val="18"/>
                <w:szCs w:val="18"/>
                <w:lang w:val="fr-FR"/>
              </w:rPr>
            </w:pPr>
            <w:r w:rsidRPr="005671A1">
              <w:rPr>
                <w:sz w:val="18"/>
                <w:szCs w:val="18"/>
                <w:lang w:val="fr-FR"/>
              </w:rPr>
              <w:t>17 h 30-18 heures</w:t>
            </w:r>
          </w:p>
        </w:tc>
        <w:tc>
          <w:tcPr>
            <w:tcW w:w="64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761" w:type="pct"/>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01DEB" w:rsidRPr="005671A1" w:rsidRDefault="00801DEB" w:rsidP="004C4F01">
            <w:pPr>
              <w:rPr>
                <w:rFonts w:eastAsia="Times New Roman"/>
                <w:color w:val="000000"/>
                <w:sz w:val="18"/>
                <w:szCs w:val="18"/>
                <w:lang w:val="fr-FR" w:eastAsia="en-GB"/>
              </w:rPr>
            </w:pPr>
          </w:p>
        </w:tc>
        <w:tc>
          <w:tcPr>
            <w:tcW w:w="491" w:type="pct"/>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01DEB" w:rsidRPr="005671A1" w:rsidRDefault="00801DEB" w:rsidP="004C4F01">
            <w:pPr>
              <w:rPr>
                <w:rFonts w:eastAsia="Times New Roman"/>
                <w:color w:val="000000"/>
                <w:sz w:val="18"/>
                <w:szCs w:val="18"/>
                <w:lang w:val="fr-FR" w:eastAsia="en-GB"/>
              </w:rPr>
            </w:pPr>
          </w:p>
        </w:tc>
        <w:tc>
          <w:tcPr>
            <w:tcW w:w="500" w:type="pct"/>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1DEB" w:rsidRPr="005671A1" w:rsidRDefault="00801DEB" w:rsidP="004C4F01">
            <w:pPr>
              <w:rPr>
                <w:rFonts w:eastAsia="Times New Roman"/>
                <w:color w:val="000000"/>
                <w:sz w:val="18"/>
                <w:szCs w:val="18"/>
                <w:lang w:val="fr-FR" w:eastAsia="en-GB"/>
              </w:rPr>
            </w:pPr>
          </w:p>
        </w:tc>
        <w:tc>
          <w:tcPr>
            <w:tcW w:w="500" w:type="pct"/>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01DEB" w:rsidRPr="005671A1" w:rsidRDefault="00801DEB" w:rsidP="004C4F01">
            <w:pPr>
              <w:rPr>
                <w:rFonts w:eastAsia="Times New Roman"/>
                <w:color w:val="000000"/>
                <w:sz w:val="18"/>
                <w:szCs w:val="18"/>
                <w:lang w:val="fr-FR" w:eastAsia="en-GB"/>
              </w:rPr>
            </w:pPr>
          </w:p>
        </w:tc>
        <w:tc>
          <w:tcPr>
            <w:tcW w:w="578" w:type="pct"/>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01DEB" w:rsidRPr="005671A1" w:rsidRDefault="00801DEB" w:rsidP="004C4F01">
            <w:pPr>
              <w:rPr>
                <w:rFonts w:eastAsia="Times New Roman"/>
                <w:color w:val="000000"/>
                <w:sz w:val="18"/>
                <w:szCs w:val="18"/>
                <w:lang w:val="fr-FR" w:eastAsia="en-GB"/>
              </w:rPr>
            </w:pPr>
          </w:p>
        </w:tc>
        <w:tc>
          <w:tcPr>
            <w:tcW w:w="814" w:type="pct"/>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01DEB" w:rsidRPr="005671A1" w:rsidRDefault="00801DEB" w:rsidP="004C4F01">
            <w:pPr>
              <w:rPr>
                <w:rFonts w:eastAsia="Times New Roman"/>
                <w:color w:val="000000"/>
                <w:sz w:val="18"/>
                <w:szCs w:val="18"/>
                <w:lang w:val="fr-FR" w:eastAsia="en-GB"/>
              </w:rPr>
            </w:pPr>
          </w:p>
        </w:tc>
      </w:tr>
      <w:tr w:rsidR="0050520F" w:rsidRPr="005671A1" w:rsidTr="00EF2252">
        <w:trPr>
          <w:trHeight w:val="335"/>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keepNext/>
              <w:keepLines/>
              <w:jc w:val="center"/>
              <w:rPr>
                <w:rFonts w:eastAsia="Times New Roman"/>
                <w:color w:val="000000"/>
                <w:sz w:val="18"/>
                <w:szCs w:val="18"/>
                <w:lang w:val="fr-FR"/>
              </w:rPr>
            </w:pPr>
            <w:r w:rsidRPr="005671A1">
              <w:rPr>
                <w:sz w:val="18"/>
                <w:szCs w:val="18"/>
                <w:lang w:val="fr-FR"/>
              </w:rPr>
              <w:t>18 heures-19 h 30</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keepNext/>
              <w:keepLines/>
              <w:jc w:val="center"/>
              <w:rPr>
                <w:rFonts w:eastAsia="Times New Roman"/>
                <w:color w:val="000000"/>
                <w:sz w:val="18"/>
                <w:szCs w:val="18"/>
                <w:lang w:val="fr-FR" w:eastAsia="en-GB"/>
              </w:rPr>
            </w:pPr>
          </w:p>
        </w:tc>
        <w:tc>
          <w:tcPr>
            <w:tcW w:w="76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01DEB" w:rsidRPr="005671A1" w:rsidRDefault="00801DEB" w:rsidP="004C4F01">
            <w:pPr>
              <w:keepNext/>
              <w:keepLines/>
              <w:jc w:val="center"/>
              <w:rPr>
                <w:rFonts w:eastAsia="Times New Roman"/>
                <w:b/>
                <w:color w:val="000000"/>
                <w:sz w:val="18"/>
                <w:szCs w:val="18"/>
                <w:lang w:val="fr-FR"/>
              </w:rPr>
            </w:pPr>
            <w:r w:rsidRPr="005671A1">
              <w:rPr>
                <w:b/>
                <w:sz w:val="18"/>
                <w:szCs w:val="18"/>
                <w:lang w:val="fr-FR"/>
              </w:rPr>
              <w:t>Réception</w:t>
            </w:r>
          </w:p>
        </w:tc>
        <w:tc>
          <w:tcPr>
            <w:tcW w:w="991"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01DEB" w:rsidRPr="005671A1" w:rsidRDefault="00801DEB" w:rsidP="004C4F01">
            <w:pPr>
              <w:keepNext/>
              <w:keepLines/>
              <w:rPr>
                <w:rFonts w:eastAsia="Times New Roman"/>
                <w:color w:val="000000"/>
                <w:sz w:val="18"/>
                <w:szCs w:val="18"/>
                <w:lang w:val="fr-FR" w:eastAsia="en-GB"/>
              </w:rPr>
            </w:pPr>
          </w:p>
        </w:tc>
        <w:tc>
          <w:tcPr>
            <w:tcW w:w="1078"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01DEB" w:rsidRPr="005671A1" w:rsidRDefault="00801DEB" w:rsidP="004C4F01">
            <w:pPr>
              <w:keepNext/>
              <w:keepLines/>
              <w:rPr>
                <w:rFonts w:eastAsia="Times New Roman"/>
                <w:color w:val="000000"/>
                <w:sz w:val="18"/>
                <w:szCs w:val="18"/>
                <w:lang w:val="fr-FR" w:eastAsia="en-GB"/>
              </w:rPr>
            </w:pPr>
          </w:p>
        </w:tc>
        <w:tc>
          <w:tcPr>
            <w:tcW w:w="814"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01DEB" w:rsidRPr="005671A1" w:rsidRDefault="00801DEB" w:rsidP="004C4F01">
            <w:pPr>
              <w:keepNext/>
              <w:keepLines/>
              <w:rPr>
                <w:rFonts w:eastAsia="Times New Roman"/>
                <w:color w:val="000000"/>
                <w:sz w:val="18"/>
                <w:szCs w:val="18"/>
                <w:lang w:val="fr-FR" w:eastAsia="en-GB"/>
              </w:rPr>
            </w:pPr>
          </w:p>
        </w:tc>
      </w:tr>
      <w:tr w:rsidR="00F60781" w:rsidRPr="005671A1" w:rsidTr="00710A3C">
        <w:trPr>
          <w:trHeight w:val="319"/>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keepNext/>
              <w:keepLines/>
              <w:jc w:val="center"/>
              <w:rPr>
                <w:rFonts w:eastAsia="Times New Roman"/>
                <w:bCs/>
                <w:color w:val="000000"/>
                <w:sz w:val="18"/>
                <w:szCs w:val="18"/>
                <w:lang w:val="fr-FR"/>
              </w:rPr>
            </w:pPr>
            <w:r w:rsidRPr="005671A1">
              <w:rPr>
                <w:sz w:val="18"/>
                <w:szCs w:val="18"/>
                <w:lang w:val="fr-FR"/>
              </w:rPr>
              <w:t>19 h 30-20 heures</w:t>
            </w:r>
          </w:p>
        </w:tc>
        <w:tc>
          <w:tcPr>
            <w:tcW w:w="64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keepNext/>
              <w:keepLines/>
              <w:rPr>
                <w:rFonts w:eastAsia="Times New Roman"/>
                <w:color w:val="000000"/>
                <w:sz w:val="18"/>
                <w:szCs w:val="18"/>
                <w:lang w:val="fr-FR" w:eastAsia="en-GB"/>
              </w:rPr>
            </w:pPr>
          </w:p>
        </w:tc>
        <w:tc>
          <w:tcPr>
            <w:tcW w:w="76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keepNext/>
              <w:keepLines/>
              <w:jc w:val="center"/>
              <w:rPr>
                <w:rFonts w:eastAsia="Times New Roman"/>
                <w:color w:val="000000"/>
                <w:sz w:val="18"/>
                <w:szCs w:val="18"/>
                <w:lang w:val="fr-FR" w:eastAsia="en-GB"/>
              </w:rPr>
            </w:pPr>
          </w:p>
        </w:tc>
        <w:tc>
          <w:tcPr>
            <w:tcW w:w="991" w:type="pct"/>
            <w:gridSpan w:val="2"/>
            <w:vMerge/>
            <w:tcBorders>
              <w:top w:val="single" w:sz="4" w:space="0" w:color="auto"/>
              <w:left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keepNext/>
              <w:keepLines/>
              <w:jc w:val="center"/>
              <w:rPr>
                <w:rFonts w:eastAsia="Times New Roman"/>
                <w:color w:val="000000"/>
                <w:sz w:val="18"/>
                <w:szCs w:val="18"/>
                <w:lang w:val="fr-FR" w:eastAsia="en-GB"/>
              </w:rPr>
            </w:pPr>
          </w:p>
        </w:tc>
        <w:tc>
          <w:tcPr>
            <w:tcW w:w="508"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710A3C" w:rsidRDefault="005F64B1" w:rsidP="005145CE">
            <w:pPr>
              <w:keepNext/>
              <w:keepLines/>
              <w:jc w:val="center"/>
              <w:rPr>
                <w:rFonts w:eastAsia="Times New Roman"/>
                <w:i/>
                <w:color w:val="000000"/>
                <w:sz w:val="18"/>
                <w:szCs w:val="18"/>
                <w:lang w:val="fr-FR"/>
              </w:rPr>
            </w:pPr>
            <w:r w:rsidRPr="00710A3C">
              <w:rPr>
                <w:i/>
                <w:sz w:val="18"/>
                <w:szCs w:val="18"/>
                <w:lang w:val="fr-FR"/>
              </w:rPr>
              <w:t>Points en</w:t>
            </w:r>
            <w:r w:rsidR="005145CE" w:rsidRPr="00710A3C">
              <w:rPr>
                <w:i/>
                <w:sz w:val="18"/>
                <w:szCs w:val="18"/>
                <w:lang w:val="fr-FR"/>
              </w:rPr>
              <w:t> </w:t>
            </w:r>
            <w:r w:rsidRPr="00710A3C">
              <w:rPr>
                <w:i/>
                <w:sz w:val="18"/>
                <w:szCs w:val="18"/>
                <w:lang w:val="fr-FR"/>
              </w:rPr>
              <w:t>suspens</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1DEB" w:rsidRPr="00710A3C" w:rsidRDefault="005F64B1" w:rsidP="004C4F01">
            <w:pPr>
              <w:keepNext/>
              <w:keepLines/>
              <w:jc w:val="center"/>
              <w:rPr>
                <w:rFonts w:eastAsia="Times New Roman"/>
                <w:i/>
                <w:color w:val="000000"/>
                <w:sz w:val="18"/>
                <w:szCs w:val="18"/>
                <w:lang w:val="fr-FR"/>
              </w:rPr>
            </w:pPr>
            <w:r w:rsidRPr="00710A3C">
              <w:rPr>
                <w:i/>
                <w:sz w:val="18"/>
                <w:szCs w:val="18"/>
                <w:lang w:val="fr-FR"/>
              </w:rPr>
              <w:t>Points en suspens</w:t>
            </w:r>
            <w:r w:rsidR="00801DEB" w:rsidRPr="00710A3C">
              <w:rPr>
                <w:i/>
                <w:sz w:val="18"/>
                <w:szCs w:val="18"/>
                <w:lang w:val="fr-FR"/>
              </w:rPr>
              <w:t xml:space="preserve"> </w:t>
            </w:r>
          </w:p>
        </w:tc>
        <w:tc>
          <w:tcPr>
            <w:tcW w:w="814"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1DEB" w:rsidRPr="005671A1" w:rsidRDefault="00801DEB" w:rsidP="004C4F01">
            <w:pPr>
              <w:keepNext/>
              <w:keepLines/>
              <w:jc w:val="center"/>
              <w:rPr>
                <w:rFonts w:eastAsia="Times New Roman"/>
                <w:color w:val="000000"/>
                <w:sz w:val="18"/>
                <w:szCs w:val="18"/>
                <w:lang w:val="fr-FR" w:eastAsia="en-GB"/>
              </w:rPr>
            </w:pPr>
          </w:p>
        </w:tc>
      </w:tr>
      <w:tr w:rsidR="00F60781" w:rsidRPr="005671A1" w:rsidTr="00710A3C">
        <w:trPr>
          <w:trHeight w:val="315"/>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color w:val="000000"/>
                <w:sz w:val="18"/>
                <w:szCs w:val="18"/>
                <w:lang w:val="fr-FR"/>
              </w:rPr>
            </w:pPr>
            <w:r w:rsidRPr="005671A1">
              <w:rPr>
                <w:sz w:val="18"/>
                <w:szCs w:val="18"/>
                <w:lang w:val="fr-FR"/>
              </w:rPr>
              <w:t>20 heures-20 h 30</w:t>
            </w:r>
          </w:p>
        </w:tc>
        <w:tc>
          <w:tcPr>
            <w:tcW w:w="64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76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991" w:type="pct"/>
            <w:gridSpan w:val="2"/>
            <w:vMerge/>
            <w:tcBorders>
              <w:left w:val="single" w:sz="4" w:space="0" w:color="auto"/>
              <w:right w:val="single" w:sz="4" w:space="0" w:color="auto"/>
            </w:tcBorders>
            <w:vAlign w:val="center"/>
            <w:hideMark/>
          </w:tcPr>
          <w:p w:rsidR="00801DEB" w:rsidRPr="005671A1" w:rsidRDefault="00801DEB" w:rsidP="004C4F01">
            <w:pPr>
              <w:rPr>
                <w:rFonts w:eastAsia="Times New Roman"/>
                <w:color w:val="000000"/>
                <w:sz w:val="18"/>
                <w:szCs w:val="18"/>
                <w:lang w:val="fr-FR" w:eastAsia="en-GB"/>
              </w:rPr>
            </w:pPr>
          </w:p>
        </w:tc>
        <w:tc>
          <w:tcPr>
            <w:tcW w:w="508"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57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1DEB" w:rsidRPr="005671A1" w:rsidRDefault="00801DEB" w:rsidP="004C4F01">
            <w:pPr>
              <w:rPr>
                <w:rFonts w:eastAsia="Times New Roman"/>
                <w:color w:val="000000"/>
                <w:sz w:val="18"/>
                <w:szCs w:val="18"/>
                <w:lang w:val="fr-FR" w:eastAsia="en-GB"/>
              </w:rPr>
            </w:pPr>
          </w:p>
        </w:tc>
        <w:tc>
          <w:tcPr>
            <w:tcW w:w="814"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1DEB" w:rsidRPr="005671A1" w:rsidRDefault="00801DEB" w:rsidP="004C4F01">
            <w:pPr>
              <w:rPr>
                <w:rFonts w:eastAsia="Times New Roman"/>
                <w:color w:val="000000"/>
                <w:sz w:val="18"/>
                <w:szCs w:val="18"/>
                <w:lang w:val="fr-FR" w:eastAsia="en-GB"/>
              </w:rPr>
            </w:pPr>
          </w:p>
        </w:tc>
      </w:tr>
      <w:tr w:rsidR="00F60781" w:rsidRPr="005671A1" w:rsidTr="00710A3C">
        <w:trPr>
          <w:trHeight w:val="315"/>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color w:val="000000"/>
                <w:sz w:val="18"/>
                <w:szCs w:val="18"/>
                <w:lang w:val="fr-FR"/>
              </w:rPr>
            </w:pPr>
            <w:r w:rsidRPr="005671A1">
              <w:rPr>
                <w:sz w:val="18"/>
                <w:szCs w:val="18"/>
                <w:lang w:val="fr-FR"/>
              </w:rPr>
              <w:t>20 h 30-21 heures</w:t>
            </w:r>
          </w:p>
        </w:tc>
        <w:tc>
          <w:tcPr>
            <w:tcW w:w="64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76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991" w:type="pct"/>
            <w:gridSpan w:val="2"/>
            <w:vMerge/>
            <w:tcBorders>
              <w:left w:val="single" w:sz="4" w:space="0" w:color="auto"/>
              <w:right w:val="single" w:sz="4" w:space="0" w:color="auto"/>
            </w:tcBorders>
            <w:vAlign w:val="center"/>
            <w:hideMark/>
          </w:tcPr>
          <w:p w:rsidR="00801DEB" w:rsidRPr="005671A1" w:rsidRDefault="00801DEB" w:rsidP="004C4F01">
            <w:pPr>
              <w:rPr>
                <w:rFonts w:eastAsia="Times New Roman"/>
                <w:color w:val="000000"/>
                <w:sz w:val="18"/>
                <w:szCs w:val="18"/>
                <w:lang w:val="fr-FR" w:eastAsia="en-GB"/>
              </w:rPr>
            </w:pPr>
          </w:p>
        </w:tc>
        <w:tc>
          <w:tcPr>
            <w:tcW w:w="508"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57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1DEB" w:rsidRPr="005671A1" w:rsidRDefault="00801DEB" w:rsidP="004C4F01">
            <w:pPr>
              <w:rPr>
                <w:rFonts w:eastAsia="Times New Roman"/>
                <w:color w:val="000000"/>
                <w:sz w:val="18"/>
                <w:szCs w:val="18"/>
                <w:lang w:val="fr-FR" w:eastAsia="en-GB"/>
              </w:rPr>
            </w:pPr>
          </w:p>
        </w:tc>
        <w:tc>
          <w:tcPr>
            <w:tcW w:w="814"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1DEB" w:rsidRPr="005671A1" w:rsidRDefault="00801DEB" w:rsidP="004C4F01">
            <w:pPr>
              <w:rPr>
                <w:rFonts w:eastAsia="Times New Roman"/>
                <w:color w:val="000000"/>
                <w:sz w:val="18"/>
                <w:szCs w:val="18"/>
                <w:lang w:val="fr-FR" w:eastAsia="en-GB"/>
              </w:rPr>
            </w:pPr>
          </w:p>
        </w:tc>
      </w:tr>
      <w:tr w:rsidR="00F60781" w:rsidRPr="005671A1" w:rsidTr="00710A3C">
        <w:trPr>
          <w:trHeight w:val="315"/>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color w:val="000000"/>
                <w:sz w:val="18"/>
                <w:szCs w:val="18"/>
                <w:lang w:val="fr-FR"/>
              </w:rPr>
            </w:pPr>
            <w:r w:rsidRPr="005671A1">
              <w:rPr>
                <w:sz w:val="18"/>
                <w:szCs w:val="18"/>
                <w:lang w:val="fr-FR"/>
              </w:rPr>
              <w:t>21 heures-21 h 30</w:t>
            </w:r>
          </w:p>
        </w:tc>
        <w:tc>
          <w:tcPr>
            <w:tcW w:w="64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76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991" w:type="pct"/>
            <w:gridSpan w:val="2"/>
            <w:vMerge/>
            <w:tcBorders>
              <w:left w:val="single" w:sz="4" w:space="0" w:color="auto"/>
              <w:right w:val="single" w:sz="4" w:space="0" w:color="auto"/>
            </w:tcBorders>
            <w:vAlign w:val="center"/>
            <w:hideMark/>
          </w:tcPr>
          <w:p w:rsidR="00801DEB" w:rsidRPr="005671A1" w:rsidRDefault="00801DEB" w:rsidP="004C4F01">
            <w:pPr>
              <w:rPr>
                <w:rFonts w:eastAsia="Times New Roman"/>
                <w:color w:val="000000"/>
                <w:sz w:val="18"/>
                <w:szCs w:val="18"/>
                <w:lang w:val="fr-FR" w:eastAsia="en-GB"/>
              </w:rPr>
            </w:pPr>
          </w:p>
        </w:tc>
        <w:tc>
          <w:tcPr>
            <w:tcW w:w="508"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57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1DEB" w:rsidRPr="005671A1" w:rsidRDefault="00801DEB" w:rsidP="004C4F01">
            <w:pPr>
              <w:rPr>
                <w:rFonts w:eastAsia="Times New Roman"/>
                <w:color w:val="000000"/>
                <w:sz w:val="18"/>
                <w:szCs w:val="18"/>
                <w:lang w:val="fr-FR" w:eastAsia="en-GB"/>
              </w:rPr>
            </w:pPr>
          </w:p>
        </w:tc>
        <w:tc>
          <w:tcPr>
            <w:tcW w:w="814"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1DEB" w:rsidRPr="005671A1" w:rsidRDefault="00801DEB" w:rsidP="004C4F01">
            <w:pPr>
              <w:rPr>
                <w:rFonts w:eastAsia="Times New Roman"/>
                <w:color w:val="000000"/>
                <w:sz w:val="18"/>
                <w:szCs w:val="18"/>
                <w:lang w:val="fr-FR" w:eastAsia="en-GB"/>
              </w:rPr>
            </w:pPr>
          </w:p>
        </w:tc>
      </w:tr>
      <w:tr w:rsidR="00F60781" w:rsidRPr="005671A1" w:rsidTr="00710A3C">
        <w:trPr>
          <w:trHeight w:val="315"/>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color w:val="000000"/>
                <w:sz w:val="18"/>
                <w:szCs w:val="18"/>
                <w:lang w:val="fr-FR"/>
              </w:rPr>
            </w:pPr>
            <w:r w:rsidRPr="005671A1">
              <w:rPr>
                <w:sz w:val="18"/>
                <w:szCs w:val="18"/>
                <w:lang w:val="fr-FR"/>
              </w:rPr>
              <w:t>21 h 30-22 heures</w:t>
            </w:r>
          </w:p>
        </w:tc>
        <w:tc>
          <w:tcPr>
            <w:tcW w:w="64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76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991" w:type="pct"/>
            <w:gridSpan w:val="2"/>
            <w:vMerge/>
            <w:tcBorders>
              <w:left w:val="single" w:sz="4" w:space="0" w:color="auto"/>
              <w:right w:val="single" w:sz="4" w:space="0" w:color="auto"/>
            </w:tcBorders>
            <w:vAlign w:val="center"/>
            <w:hideMark/>
          </w:tcPr>
          <w:p w:rsidR="00801DEB" w:rsidRPr="005671A1" w:rsidRDefault="00801DEB" w:rsidP="004C4F01">
            <w:pPr>
              <w:rPr>
                <w:rFonts w:eastAsia="Times New Roman"/>
                <w:color w:val="000000"/>
                <w:sz w:val="18"/>
                <w:szCs w:val="18"/>
                <w:lang w:val="fr-FR" w:eastAsia="en-GB"/>
              </w:rPr>
            </w:pPr>
          </w:p>
        </w:tc>
        <w:tc>
          <w:tcPr>
            <w:tcW w:w="508"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57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1DEB" w:rsidRPr="005671A1" w:rsidRDefault="00801DEB" w:rsidP="004C4F01">
            <w:pPr>
              <w:rPr>
                <w:rFonts w:eastAsia="Times New Roman"/>
                <w:color w:val="000000"/>
                <w:sz w:val="18"/>
                <w:szCs w:val="18"/>
                <w:lang w:val="fr-FR" w:eastAsia="en-GB"/>
              </w:rPr>
            </w:pPr>
          </w:p>
        </w:tc>
        <w:tc>
          <w:tcPr>
            <w:tcW w:w="814"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1DEB" w:rsidRPr="005671A1" w:rsidRDefault="00801DEB" w:rsidP="004C4F01">
            <w:pPr>
              <w:rPr>
                <w:rFonts w:eastAsia="Times New Roman"/>
                <w:color w:val="000000"/>
                <w:sz w:val="18"/>
                <w:szCs w:val="18"/>
                <w:lang w:val="fr-FR" w:eastAsia="en-GB"/>
              </w:rPr>
            </w:pPr>
          </w:p>
        </w:tc>
      </w:tr>
      <w:tr w:rsidR="00F60781" w:rsidRPr="005671A1" w:rsidTr="00710A3C">
        <w:trPr>
          <w:trHeight w:val="208"/>
        </w:trPr>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1DEB" w:rsidRPr="005671A1" w:rsidRDefault="00801DEB" w:rsidP="004C4F01">
            <w:pPr>
              <w:jc w:val="center"/>
              <w:rPr>
                <w:rFonts w:eastAsia="Times New Roman"/>
                <w:color w:val="000000"/>
                <w:sz w:val="18"/>
                <w:szCs w:val="18"/>
                <w:lang w:val="fr-FR"/>
              </w:rPr>
            </w:pPr>
            <w:r w:rsidRPr="005671A1">
              <w:rPr>
                <w:sz w:val="18"/>
                <w:szCs w:val="18"/>
                <w:lang w:val="fr-FR"/>
              </w:rPr>
              <w:t>22 heures-22 h 30</w:t>
            </w:r>
          </w:p>
        </w:tc>
        <w:tc>
          <w:tcPr>
            <w:tcW w:w="64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76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991" w:type="pct"/>
            <w:gridSpan w:val="2"/>
            <w:vMerge/>
            <w:tcBorders>
              <w:left w:val="single" w:sz="4" w:space="0" w:color="auto"/>
              <w:bottom w:val="single" w:sz="4" w:space="0" w:color="auto"/>
              <w:right w:val="single" w:sz="4" w:space="0" w:color="auto"/>
            </w:tcBorders>
            <w:vAlign w:val="center"/>
            <w:hideMark/>
          </w:tcPr>
          <w:p w:rsidR="00801DEB" w:rsidRPr="005671A1" w:rsidRDefault="00801DEB" w:rsidP="004C4F01">
            <w:pPr>
              <w:rPr>
                <w:rFonts w:eastAsia="Times New Roman"/>
                <w:color w:val="000000"/>
                <w:sz w:val="18"/>
                <w:szCs w:val="18"/>
                <w:lang w:val="fr-FR" w:eastAsia="en-GB"/>
              </w:rPr>
            </w:pPr>
          </w:p>
        </w:tc>
        <w:tc>
          <w:tcPr>
            <w:tcW w:w="508"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1DEB" w:rsidRPr="005671A1" w:rsidRDefault="00801DEB" w:rsidP="004C4F01">
            <w:pPr>
              <w:rPr>
                <w:rFonts w:eastAsia="Times New Roman"/>
                <w:color w:val="000000"/>
                <w:sz w:val="18"/>
                <w:szCs w:val="18"/>
                <w:lang w:val="fr-FR" w:eastAsia="en-GB"/>
              </w:rPr>
            </w:pPr>
          </w:p>
        </w:tc>
        <w:tc>
          <w:tcPr>
            <w:tcW w:w="57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1DEB" w:rsidRPr="005671A1" w:rsidRDefault="00801DEB" w:rsidP="004C4F01">
            <w:pPr>
              <w:rPr>
                <w:rFonts w:eastAsia="Times New Roman"/>
                <w:color w:val="000000"/>
                <w:sz w:val="18"/>
                <w:szCs w:val="18"/>
                <w:lang w:val="fr-FR" w:eastAsia="en-GB"/>
              </w:rPr>
            </w:pPr>
          </w:p>
        </w:tc>
        <w:tc>
          <w:tcPr>
            <w:tcW w:w="814"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1DEB" w:rsidRPr="005671A1" w:rsidRDefault="00801DEB" w:rsidP="004C4F01">
            <w:pPr>
              <w:rPr>
                <w:rFonts w:eastAsia="Times New Roman"/>
                <w:color w:val="000000"/>
                <w:sz w:val="18"/>
                <w:szCs w:val="18"/>
                <w:lang w:val="fr-FR" w:eastAsia="en-GB"/>
              </w:rPr>
            </w:pPr>
          </w:p>
        </w:tc>
      </w:tr>
    </w:tbl>
    <w:p w:rsidR="00801DEB" w:rsidRPr="005671A1" w:rsidRDefault="00801DEB" w:rsidP="00EA7A5B">
      <w:pPr>
        <w:pStyle w:val="NormalPlain"/>
        <w:spacing w:line="480" w:lineRule="auto"/>
        <w:ind w:left="0"/>
        <w:rPr>
          <w:lang w:val="fr-FR"/>
        </w:rPr>
        <w:sectPr w:rsidR="00801DEB" w:rsidRPr="005671A1" w:rsidSect="0050520F">
          <w:headerReference w:type="even" r:id="rId21"/>
          <w:headerReference w:type="default" r:id="rId22"/>
          <w:headerReference w:type="first" r:id="rId23"/>
          <w:footerReference w:type="first" r:id="rId24"/>
          <w:pgSz w:w="16840" w:h="11907" w:orient="landscape" w:code="9"/>
          <w:pgMar w:top="907" w:right="992" w:bottom="1418" w:left="1418" w:header="533" w:footer="975" w:gutter="0"/>
          <w:cols w:space="539"/>
          <w:titlePg/>
          <w:docGrid w:linePitch="360"/>
        </w:sectPr>
      </w:pPr>
    </w:p>
    <w:p w:rsidR="00801DEB" w:rsidRPr="005671A1" w:rsidRDefault="00801DEB" w:rsidP="004C4F01">
      <w:pPr>
        <w:pStyle w:val="ZZAnxheader"/>
        <w:rPr>
          <w:lang w:val="fr-FR"/>
        </w:rPr>
      </w:pPr>
      <w:r w:rsidRPr="005671A1">
        <w:rPr>
          <w:lang w:val="fr-FR"/>
        </w:rPr>
        <w:t>Annexe II</w:t>
      </w:r>
    </w:p>
    <w:p w:rsidR="00801DEB" w:rsidRPr="005671A1" w:rsidRDefault="00801DEB" w:rsidP="004C4F01">
      <w:pPr>
        <w:pStyle w:val="ZZAnxtitle"/>
        <w:spacing w:before="240"/>
        <w:rPr>
          <w:lang w:val="fr-FR"/>
        </w:rPr>
      </w:pPr>
      <w:r w:rsidRPr="005671A1">
        <w:rPr>
          <w:lang w:val="fr-FR"/>
        </w:rPr>
        <w:t xml:space="preserve">Liste des documents de travail </w:t>
      </w:r>
    </w:p>
    <w:tbl>
      <w:tblPr>
        <w:tblW w:w="8222" w:type="dxa"/>
        <w:tblInd w:w="1384" w:type="dxa"/>
        <w:tblLayout w:type="fixed"/>
        <w:tblLook w:val="04A0" w:firstRow="1" w:lastRow="0" w:firstColumn="1" w:lastColumn="0" w:noHBand="0" w:noVBand="1"/>
      </w:tblPr>
      <w:tblGrid>
        <w:gridCol w:w="2694"/>
        <w:gridCol w:w="4265"/>
        <w:gridCol w:w="1263"/>
      </w:tblGrid>
      <w:tr w:rsidR="00CD385D" w:rsidRPr="00A02F67" w:rsidTr="009B3139">
        <w:tc>
          <w:tcPr>
            <w:tcW w:w="2694" w:type="dxa"/>
            <w:tcBorders>
              <w:top w:val="single" w:sz="4" w:space="0" w:color="auto"/>
              <w:bottom w:val="single" w:sz="12" w:space="0" w:color="auto"/>
            </w:tcBorders>
            <w:shd w:val="clear" w:color="auto" w:fill="auto"/>
            <w:vAlign w:val="bottom"/>
          </w:tcPr>
          <w:p w:rsidR="00801DEB" w:rsidRPr="005671A1" w:rsidRDefault="00801DEB" w:rsidP="004C4F01">
            <w:pPr>
              <w:spacing w:before="40" w:after="40"/>
              <w:rPr>
                <w:i/>
                <w:sz w:val="18"/>
                <w:szCs w:val="18"/>
                <w:lang w:val="fr-FR"/>
              </w:rPr>
            </w:pPr>
            <w:r w:rsidRPr="005671A1">
              <w:rPr>
                <w:i/>
                <w:sz w:val="18"/>
                <w:szCs w:val="18"/>
                <w:lang w:val="fr-FR"/>
              </w:rPr>
              <w:t>Cote</w:t>
            </w:r>
          </w:p>
        </w:tc>
        <w:tc>
          <w:tcPr>
            <w:tcW w:w="4265" w:type="dxa"/>
            <w:tcBorders>
              <w:top w:val="single" w:sz="4" w:space="0" w:color="auto"/>
              <w:bottom w:val="single" w:sz="12" w:space="0" w:color="auto"/>
            </w:tcBorders>
            <w:shd w:val="clear" w:color="auto" w:fill="auto"/>
            <w:vAlign w:val="bottom"/>
          </w:tcPr>
          <w:p w:rsidR="00801DEB" w:rsidRPr="005671A1" w:rsidRDefault="00801DEB" w:rsidP="004C4F01">
            <w:pPr>
              <w:spacing w:before="40" w:after="40"/>
              <w:rPr>
                <w:i/>
                <w:sz w:val="18"/>
                <w:szCs w:val="18"/>
                <w:lang w:val="fr-FR"/>
              </w:rPr>
            </w:pPr>
            <w:r w:rsidRPr="005671A1">
              <w:rPr>
                <w:i/>
                <w:sz w:val="18"/>
                <w:szCs w:val="18"/>
                <w:lang w:val="fr-FR"/>
              </w:rPr>
              <w:t>Titre</w:t>
            </w:r>
          </w:p>
        </w:tc>
        <w:tc>
          <w:tcPr>
            <w:tcW w:w="1263" w:type="dxa"/>
            <w:tcBorders>
              <w:top w:val="single" w:sz="4" w:space="0" w:color="auto"/>
              <w:bottom w:val="single" w:sz="12" w:space="0" w:color="auto"/>
            </w:tcBorders>
            <w:shd w:val="clear" w:color="auto" w:fill="auto"/>
            <w:vAlign w:val="bottom"/>
          </w:tcPr>
          <w:p w:rsidR="00801DEB" w:rsidRPr="005671A1" w:rsidRDefault="00801DEB" w:rsidP="004C4F01">
            <w:pPr>
              <w:spacing w:before="40" w:after="40"/>
              <w:rPr>
                <w:i/>
                <w:sz w:val="18"/>
                <w:szCs w:val="18"/>
                <w:lang w:val="fr-FR"/>
              </w:rPr>
            </w:pPr>
            <w:r w:rsidRPr="005671A1">
              <w:rPr>
                <w:i/>
                <w:sz w:val="18"/>
                <w:szCs w:val="18"/>
                <w:lang w:val="fr-FR"/>
              </w:rPr>
              <w:t>Point de l</w:t>
            </w:r>
            <w:r w:rsidR="008E1649" w:rsidRPr="005671A1">
              <w:rPr>
                <w:i/>
                <w:sz w:val="18"/>
                <w:szCs w:val="18"/>
                <w:lang w:val="fr-FR"/>
              </w:rPr>
              <w:t>’</w:t>
            </w:r>
            <w:r w:rsidRPr="005671A1">
              <w:rPr>
                <w:i/>
                <w:sz w:val="18"/>
                <w:szCs w:val="18"/>
                <w:lang w:val="fr-FR"/>
              </w:rPr>
              <w:t>ordre du jour</w:t>
            </w:r>
          </w:p>
        </w:tc>
      </w:tr>
      <w:tr w:rsidR="00CD385D" w:rsidRPr="005671A1" w:rsidTr="009B3139">
        <w:tc>
          <w:tcPr>
            <w:tcW w:w="2694" w:type="dxa"/>
            <w:tcBorders>
              <w:top w:val="single" w:sz="12" w:space="0" w:color="auto"/>
            </w:tcBorders>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IPBES/5/1</w:t>
            </w:r>
            <w:r w:rsidR="00EF2252" w:rsidRPr="005671A1">
              <w:rPr>
                <w:sz w:val="18"/>
                <w:szCs w:val="18"/>
                <w:lang w:val="fr-FR"/>
              </w:rPr>
              <w:t>/Rev.1</w:t>
            </w:r>
          </w:p>
        </w:tc>
        <w:tc>
          <w:tcPr>
            <w:tcW w:w="4265" w:type="dxa"/>
            <w:tcBorders>
              <w:top w:val="single" w:sz="12" w:space="0" w:color="auto"/>
            </w:tcBorders>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Ordre du jour provisoire</w:t>
            </w:r>
          </w:p>
        </w:tc>
        <w:tc>
          <w:tcPr>
            <w:tcW w:w="1263" w:type="dxa"/>
            <w:tcBorders>
              <w:top w:val="single" w:sz="12" w:space="0" w:color="auto"/>
              <w:left w:val="nil"/>
            </w:tcBorders>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2 a)</w:t>
            </w:r>
          </w:p>
        </w:tc>
      </w:tr>
      <w:tr w:rsidR="00CD385D" w:rsidRPr="005671A1" w:rsidTr="009B3139">
        <w:tc>
          <w:tcPr>
            <w:tcW w:w="2694" w:type="dxa"/>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IPBES/5/1/</w:t>
            </w:r>
            <w:r w:rsidR="00710A3C">
              <w:rPr>
                <w:sz w:val="18"/>
                <w:szCs w:val="18"/>
                <w:lang w:val="fr-FR"/>
              </w:rPr>
              <w:t>Rev.1/</w:t>
            </w:r>
            <w:r w:rsidRPr="005671A1">
              <w:rPr>
                <w:sz w:val="18"/>
                <w:szCs w:val="18"/>
                <w:lang w:val="fr-FR"/>
              </w:rPr>
              <w:t>Add.1</w:t>
            </w:r>
            <w:r w:rsidR="009B3139">
              <w:rPr>
                <w:sz w:val="18"/>
                <w:szCs w:val="18"/>
                <w:lang w:val="fr-FR"/>
              </w:rPr>
              <w:t>/Rev.1</w:t>
            </w:r>
          </w:p>
        </w:tc>
        <w:tc>
          <w:tcPr>
            <w:tcW w:w="4265" w:type="dxa"/>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Ordre du jour provisoire annoté</w:t>
            </w:r>
          </w:p>
        </w:tc>
        <w:tc>
          <w:tcPr>
            <w:tcW w:w="1263" w:type="dxa"/>
            <w:tcBorders>
              <w:left w:val="nil"/>
            </w:tcBorders>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2 a)</w:t>
            </w:r>
          </w:p>
        </w:tc>
      </w:tr>
      <w:tr w:rsidR="00CD385D" w:rsidRPr="005671A1" w:rsidTr="009B3139">
        <w:tc>
          <w:tcPr>
            <w:tcW w:w="2694" w:type="dxa"/>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IPBES/5/1/Add.2</w:t>
            </w:r>
          </w:p>
        </w:tc>
        <w:tc>
          <w:tcPr>
            <w:tcW w:w="4265" w:type="dxa"/>
            <w:shd w:val="clear" w:color="auto" w:fill="auto"/>
          </w:tcPr>
          <w:p w:rsidR="00801DEB" w:rsidRPr="005671A1" w:rsidRDefault="00801DEB" w:rsidP="00EF2252">
            <w:pPr>
              <w:spacing w:before="40" w:after="40"/>
              <w:rPr>
                <w:rFonts w:eastAsia="Times New Roman"/>
                <w:sz w:val="18"/>
                <w:szCs w:val="18"/>
                <w:lang w:val="fr-FR"/>
              </w:rPr>
            </w:pPr>
            <w:r w:rsidRPr="005671A1">
              <w:rPr>
                <w:sz w:val="18"/>
                <w:szCs w:val="18"/>
                <w:lang w:val="fr-FR"/>
              </w:rPr>
              <w:t>Projets de déc</w:t>
            </w:r>
            <w:r w:rsidR="00535797" w:rsidRPr="005671A1">
              <w:rPr>
                <w:sz w:val="18"/>
                <w:szCs w:val="18"/>
                <w:lang w:val="fr-FR"/>
              </w:rPr>
              <w:t>ision</w:t>
            </w:r>
            <w:r w:rsidRPr="005671A1">
              <w:rPr>
                <w:sz w:val="18"/>
                <w:szCs w:val="18"/>
                <w:lang w:val="fr-FR"/>
              </w:rPr>
              <w:t xml:space="preserve"> pour la cinquième session de la Plénière de</w:t>
            </w:r>
            <w:r w:rsidR="00EF2252" w:rsidRPr="005671A1">
              <w:rPr>
                <w:sz w:val="18"/>
                <w:szCs w:val="18"/>
                <w:lang w:val="fr-FR"/>
              </w:rPr>
              <w:t> </w:t>
            </w:r>
            <w:r w:rsidRPr="005671A1">
              <w:rPr>
                <w:sz w:val="18"/>
                <w:szCs w:val="18"/>
                <w:lang w:val="fr-FR"/>
              </w:rPr>
              <w:t>la</w:t>
            </w:r>
            <w:r w:rsidR="00EF2252" w:rsidRPr="005671A1">
              <w:rPr>
                <w:sz w:val="18"/>
                <w:szCs w:val="18"/>
                <w:lang w:val="fr-FR"/>
              </w:rPr>
              <w:t> </w:t>
            </w:r>
            <w:r w:rsidRPr="005671A1">
              <w:rPr>
                <w:sz w:val="18"/>
                <w:szCs w:val="18"/>
                <w:lang w:val="fr-FR"/>
              </w:rPr>
              <w:t>Plateforme intergouvernementale scientifique et politique sur la</w:t>
            </w:r>
            <w:r w:rsidR="00EF2252" w:rsidRPr="005671A1">
              <w:rPr>
                <w:sz w:val="18"/>
                <w:szCs w:val="18"/>
                <w:lang w:val="fr-FR"/>
              </w:rPr>
              <w:t> </w:t>
            </w:r>
            <w:r w:rsidRPr="005671A1">
              <w:rPr>
                <w:sz w:val="18"/>
                <w:szCs w:val="18"/>
                <w:lang w:val="fr-FR"/>
              </w:rPr>
              <w:t>biodiversité et les services écosystémiques</w:t>
            </w:r>
          </w:p>
        </w:tc>
        <w:tc>
          <w:tcPr>
            <w:tcW w:w="1263" w:type="dxa"/>
            <w:tcBorders>
              <w:left w:val="nil"/>
            </w:tcBorders>
            <w:shd w:val="clear" w:color="auto" w:fill="auto"/>
          </w:tcPr>
          <w:p w:rsidR="00801DEB" w:rsidRPr="005671A1" w:rsidRDefault="00EF2252" w:rsidP="004C4F01">
            <w:pPr>
              <w:spacing w:before="40" w:after="40"/>
              <w:rPr>
                <w:rFonts w:eastAsia="Times New Roman"/>
                <w:sz w:val="18"/>
                <w:szCs w:val="18"/>
                <w:lang w:val="fr-FR"/>
              </w:rPr>
            </w:pPr>
            <w:r w:rsidRPr="005671A1">
              <w:rPr>
                <w:rFonts w:eastAsia="Times New Roman"/>
                <w:sz w:val="18"/>
                <w:szCs w:val="18"/>
                <w:lang w:val="fr-FR"/>
              </w:rPr>
              <w:t>11</w:t>
            </w:r>
          </w:p>
        </w:tc>
      </w:tr>
      <w:tr w:rsidR="00CD385D" w:rsidRPr="005671A1" w:rsidTr="009B3139">
        <w:tc>
          <w:tcPr>
            <w:tcW w:w="2694" w:type="dxa"/>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IPBES/5/2</w:t>
            </w:r>
          </w:p>
        </w:tc>
        <w:tc>
          <w:tcPr>
            <w:tcW w:w="4265" w:type="dxa"/>
            <w:shd w:val="clear" w:color="auto" w:fill="auto"/>
          </w:tcPr>
          <w:p w:rsidR="002510FD" w:rsidRPr="005671A1" w:rsidRDefault="002510FD" w:rsidP="004C4F01">
            <w:pPr>
              <w:spacing w:before="40" w:after="40"/>
              <w:rPr>
                <w:sz w:val="18"/>
                <w:szCs w:val="18"/>
                <w:lang w:val="fr-FR"/>
              </w:rPr>
            </w:pPr>
            <w:r w:rsidRPr="005671A1">
              <w:rPr>
                <w:sz w:val="18"/>
                <w:szCs w:val="18"/>
                <w:lang w:val="fr-FR"/>
              </w:rPr>
              <w:t xml:space="preserve">Mise en œuvre du programme de travail initial </w:t>
            </w:r>
          </w:p>
          <w:p w:rsidR="00801DEB" w:rsidRPr="005671A1" w:rsidRDefault="002510FD" w:rsidP="004C4F01">
            <w:pPr>
              <w:spacing w:before="40" w:after="40"/>
              <w:rPr>
                <w:rFonts w:eastAsia="Times New Roman"/>
                <w:sz w:val="18"/>
                <w:szCs w:val="18"/>
                <w:lang w:val="fr-FR"/>
              </w:rPr>
            </w:pPr>
            <w:r w:rsidRPr="005671A1">
              <w:rPr>
                <w:sz w:val="18"/>
                <w:szCs w:val="18"/>
                <w:lang w:val="fr-FR"/>
              </w:rPr>
              <w:t>de la Plateforme intergouvernementale scientifique et politique sur la biodiversité et les services écosystémiques</w:t>
            </w:r>
            <w:r w:rsidR="00EF6CE3" w:rsidRPr="005671A1">
              <w:rPr>
                <w:sz w:val="18"/>
                <w:szCs w:val="18"/>
                <w:lang w:val="fr-FR"/>
              </w:rPr>
              <w:t xml:space="preserve"> : </w:t>
            </w:r>
            <w:r w:rsidR="00EF2252" w:rsidRPr="005671A1">
              <w:rPr>
                <w:sz w:val="18"/>
                <w:szCs w:val="18"/>
                <w:lang w:val="fr-FR"/>
              </w:rPr>
              <w:t>rapport du Secrétaire exécutif</w:t>
            </w:r>
          </w:p>
        </w:tc>
        <w:tc>
          <w:tcPr>
            <w:tcW w:w="1263" w:type="dxa"/>
            <w:tcBorders>
              <w:left w:val="nil"/>
            </w:tcBorders>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5</w:t>
            </w:r>
          </w:p>
        </w:tc>
      </w:tr>
      <w:tr w:rsidR="00CD385D" w:rsidRPr="005671A1" w:rsidTr="009B3139">
        <w:tc>
          <w:tcPr>
            <w:tcW w:w="2694" w:type="dxa"/>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IPBES/5/3</w:t>
            </w:r>
          </w:p>
        </w:tc>
        <w:tc>
          <w:tcPr>
            <w:tcW w:w="4265" w:type="dxa"/>
            <w:shd w:val="clear" w:color="auto" w:fill="auto"/>
          </w:tcPr>
          <w:p w:rsidR="00801DEB" w:rsidRPr="005671A1" w:rsidRDefault="002510FD" w:rsidP="00EF2252">
            <w:pPr>
              <w:spacing w:before="40" w:after="40"/>
              <w:rPr>
                <w:rFonts w:eastAsia="Times New Roman"/>
                <w:sz w:val="18"/>
                <w:szCs w:val="18"/>
                <w:lang w:val="fr-FR"/>
              </w:rPr>
            </w:pPr>
            <w:r w:rsidRPr="005671A1">
              <w:rPr>
                <w:sz w:val="18"/>
                <w:szCs w:val="18"/>
                <w:lang w:val="fr-FR"/>
              </w:rPr>
              <w:t>Travaux sur le renforcement des capacités (produits 1 a) et 1 b))</w:t>
            </w:r>
          </w:p>
        </w:tc>
        <w:tc>
          <w:tcPr>
            <w:tcW w:w="1263" w:type="dxa"/>
            <w:tcBorders>
              <w:left w:val="nil"/>
            </w:tcBorders>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6 a)</w:t>
            </w:r>
          </w:p>
        </w:tc>
      </w:tr>
      <w:tr w:rsidR="00CD385D" w:rsidRPr="005671A1" w:rsidTr="009B3139">
        <w:tc>
          <w:tcPr>
            <w:tcW w:w="2694" w:type="dxa"/>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IPBES/5/4</w:t>
            </w:r>
          </w:p>
        </w:tc>
        <w:tc>
          <w:tcPr>
            <w:tcW w:w="4265" w:type="dxa"/>
            <w:shd w:val="clear" w:color="auto" w:fill="auto"/>
          </w:tcPr>
          <w:p w:rsidR="00801DEB" w:rsidRPr="005671A1" w:rsidRDefault="002510FD" w:rsidP="004C4F01">
            <w:pPr>
              <w:spacing w:before="40" w:after="40"/>
              <w:rPr>
                <w:rFonts w:eastAsia="Times New Roman"/>
                <w:sz w:val="18"/>
                <w:szCs w:val="18"/>
                <w:lang w:val="fr-FR"/>
              </w:rPr>
            </w:pPr>
            <w:r w:rsidRPr="005671A1">
              <w:rPr>
                <w:sz w:val="18"/>
                <w:szCs w:val="18"/>
                <w:lang w:val="fr-FR"/>
              </w:rPr>
              <w:t>Systèmes de savoirs autochtones et locaux (produit 1 c))</w:t>
            </w:r>
          </w:p>
        </w:tc>
        <w:tc>
          <w:tcPr>
            <w:tcW w:w="1263" w:type="dxa"/>
            <w:tcBorders>
              <w:left w:val="nil"/>
            </w:tcBorders>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6 b)</w:t>
            </w:r>
          </w:p>
        </w:tc>
      </w:tr>
      <w:tr w:rsidR="00CD385D" w:rsidRPr="005671A1" w:rsidTr="009B3139">
        <w:tc>
          <w:tcPr>
            <w:tcW w:w="2694" w:type="dxa"/>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IPBES/5/5</w:t>
            </w:r>
          </w:p>
        </w:tc>
        <w:tc>
          <w:tcPr>
            <w:tcW w:w="4265" w:type="dxa"/>
            <w:shd w:val="clear" w:color="auto" w:fill="auto"/>
          </w:tcPr>
          <w:p w:rsidR="00801DEB" w:rsidRPr="005671A1" w:rsidRDefault="002510FD" w:rsidP="004C4F01">
            <w:pPr>
              <w:spacing w:before="40" w:after="40"/>
              <w:rPr>
                <w:rFonts w:eastAsia="Times New Roman"/>
                <w:sz w:val="18"/>
                <w:szCs w:val="18"/>
                <w:lang w:val="fr-FR"/>
              </w:rPr>
            </w:pPr>
            <w:r w:rsidRPr="005671A1">
              <w:rPr>
                <w:sz w:val="18"/>
                <w:szCs w:val="18"/>
                <w:lang w:val="fr-FR"/>
              </w:rPr>
              <w:t>Travaux sur les connaissances et les données (produits 1 d) et 4 b))</w:t>
            </w:r>
          </w:p>
        </w:tc>
        <w:tc>
          <w:tcPr>
            <w:tcW w:w="1263" w:type="dxa"/>
            <w:tcBorders>
              <w:left w:val="nil"/>
            </w:tcBorders>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6 c)</w:t>
            </w:r>
          </w:p>
        </w:tc>
      </w:tr>
      <w:tr w:rsidR="00CD385D" w:rsidRPr="005671A1" w:rsidTr="009B3139">
        <w:tc>
          <w:tcPr>
            <w:tcW w:w="2694" w:type="dxa"/>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IPBES/5/6</w:t>
            </w:r>
          </w:p>
        </w:tc>
        <w:tc>
          <w:tcPr>
            <w:tcW w:w="4265" w:type="dxa"/>
            <w:shd w:val="clear" w:color="auto" w:fill="auto"/>
          </w:tcPr>
          <w:p w:rsidR="00801DEB" w:rsidRPr="005671A1" w:rsidRDefault="002510FD" w:rsidP="00EF2252">
            <w:pPr>
              <w:spacing w:before="40" w:after="40"/>
              <w:rPr>
                <w:rFonts w:eastAsia="Times New Roman"/>
                <w:sz w:val="18"/>
                <w:szCs w:val="18"/>
                <w:lang w:val="fr-FR"/>
              </w:rPr>
            </w:pPr>
            <w:r w:rsidRPr="005671A1">
              <w:rPr>
                <w:sz w:val="18"/>
                <w:szCs w:val="18"/>
                <w:lang w:val="fr-FR"/>
              </w:rPr>
              <w:t>Considérations relatives à la réalisation de deux évaluations thématiques et d</w:t>
            </w:r>
            <w:r w:rsidR="008E1649" w:rsidRPr="005671A1">
              <w:rPr>
                <w:sz w:val="18"/>
                <w:szCs w:val="18"/>
                <w:lang w:val="fr-FR"/>
              </w:rPr>
              <w:t>’</w:t>
            </w:r>
            <w:r w:rsidRPr="005671A1">
              <w:rPr>
                <w:sz w:val="18"/>
                <w:szCs w:val="18"/>
                <w:lang w:val="fr-FR"/>
              </w:rPr>
              <w:t>une évaluation méthodologique (produits 3 b) ii), 3</w:t>
            </w:r>
            <w:r w:rsidR="00EF2252" w:rsidRPr="005671A1">
              <w:rPr>
                <w:sz w:val="18"/>
                <w:szCs w:val="18"/>
                <w:lang w:val="fr-FR"/>
              </w:rPr>
              <w:t> </w:t>
            </w:r>
            <w:r w:rsidRPr="005671A1">
              <w:rPr>
                <w:sz w:val="18"/>
                <w:szCs w:val="18"/>
                <w:lang w:val="fr-FR"/>
              </w:rPr>
              <w:t>b) iii) et 3 d))</w:t>
            </w:r>
          </w:p>
        </w:tc>
        <w:tc>
          <w:tcPr>
            <w:tcW w:w="1263" w:type="dxa"/>
            <w:tcBorders>
              <w:left w:val="nil"/>
            </w:tcBorders>
            <w:shd w:val="clear" w:color="auto" w:fill="auto"/>
          </w:tcPr>
          <w:p w:rsidR="00801DEB" w:rsidRPr="005671A1" w:rsidRDefault="00801DEB" w:rsidP="00EF2252">
            <w:pPr>
              <w:spacing w:before="40" w:after="40"/>
              <w:rPr>
                <w:rFonts w:eastAsia="Times New Roman"/>
                <w:sz w:val="18"/>
                <w:szCs w:val="18"/>
                <w:lang w:val="fr-FR"/>
              </w:rPr>
            </w:pPr>
            <w:r w:rsidRPr="005671A1">
              <w:rPr>
                <w:sz w:val="18"/>
                <w:szCs w:val="18"/>
                <w:lang w:val="fr-FR"/>
              </w:rPr>
              <w:t>6 d)</w:t>
            </w:r>
            <w:r w:rsidR="00EF2252" w:rsidRPr="005671A1">
              <w:rPr>
                <w:sz w:val="18"/>
                <w:szCs w:val="18"/>
                <w:lang w:val="fr-FR"/>
              </w:rPr>
              <w:t xml:space="preserve"> à </w:t>
            </w:r>
            <w:r w:rsidRPr="005671A1">
              <w:rPr>
                <w:sz w:val="18"/>
                <w:szCs w:val="18"/>
                <w:lang w:val="fr-FR"/>
              </w:rPr>
              <w:t>f)</w:t>
            </w:r>
          </w:p>
        </w:tc>
      </w:tr>
      <w:tr w:rsidR="00CD385D" w:rsidRPr="005671A1" w:rsidTr="009B3139">
        <w:tc>
          <w:tcPr>
            <w:tcW w:w="2694" w:type="dxa"/>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IPBES/5/7</w:t>
            </w:r>
          </w:p>
        </w:tc>
        <w:tc>
          <w:tcPr>
            <w:tcW w:w="4265" w:type="dxa"/>
            <w:shd w:val="clear" w:color="auto" w:fill="auto"/>
          </w:tcPr>
          <w:p w:rsidR="00801DEB" w:rsidRPr="005671A1" w:rsidRDefault="002510FD" w:rsidP="004C4F01">
            <w:pPr>
              <w:spacing w:before="40" w:after="40"/>
              <w:rPr>
                <w:rFonts w:eastAsia="Times New Roman"/>
                <w:sz w:val="18"/>
                <w:szCs w:val="18"/>
                <w:lang w:val="fr-FR"/>
              </w:rPr>
            </w:pPr>
            <w:r w:rsidRPr="005671A1">
              <w:rPr>
                <w:sz w:val="18"/>
                <w:szCs w:val="18"/>
                <w:lang w:val="fr-FR"/>
              </w:rPr>
              <w:t>Étude de cadrage pour une évaluation thématique de l</w:t>
            </w:r>
            <w:r w:rsidR="008E1649" w:rsidRPr="005671A1">
              <w:rPr>
                <w:sz w:val="18"/>
                <w:szCs w:val="18"/>
                <w:lang w:val="fr-FR"/>
              </w:rPr>
              <w:t>’</w:t>
            </w:r>
            <w:r w:rsidRPr="005671A1">
              <w:rPr>
                <w:sz w:val="18"/>
                <w:szCs w:val="18"/>
                <w:lang w:val="fr-FR"/>
              </w:rPr>
              <w:t>utilisation durable de la biodiversité (produit 3 b) iii))</w:t>
            </w:r>
          </w:p>
        </w:tc>
        <w:tc>
          <w:tcPr>
            <w:tcW w:w="1263" w:type="dxa"/>
            <w:tcBorders>
              <w:left w:val="nil"/>
            </w:tcBorders>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6 f)</w:t>
            </w:r>
          </w:p>
        </w:tc>
      </w:tr>
      <w:tr w:rsidR="00CD385D" w:rsidRPr="005671A1" w:rsidTr="009B3139">
        <w:tc>
          <w:tcPr>
            <w:tcW w:w="2694" w:type="dxa"/>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IPBES/5/8</w:t>
            </w:r>
          </w:p>
        </w:tc>
        <w:tc>
          <w:tcPr>
            <w:tcW w:w="4265" w:type="dxa"/>
            <w:shd w:val="clear" w:color="auto" w:fill="auto"/>
          </w:tcPr>
          <w:p w:rsidR="00801DEB" w:rsidRPr="005671A1" w:rsidRDefault="002510FD" w:rsidP="004C4F01">
            <w:pPr>
              <w:spacing w:before="40" w:after="40"/>
              <w:rPr>
                <w:rFonts w:eastAsia="Times New Roman"/>
                <w:sz w:val="18"/>
                <w:szCs w:val="18"/>
                <w:lang w:val="fr-FR"/>
              </w:rPr>
            </w:pPr>
            <w:r w:rsidRPr="005671A1">
              <w:rPr>
                <w:sz w:val="18"/>
                <w:szCs w:val="18"/>
                <w:lang w:val="fr-FR"/>
              </w:rPr>
              <w:t>Travaux sur les outils et méthodes d</w:t>
            </w:r>
            <w:r w:rsidR="008E1649" w:rsidRPr="005671A1">
              <w:rPr>
                <w:sz w:val="18"/>
                <w:szCs w:val="18"/>
                <w:lang w:val="fr-FR"/>
              </w:rPr>
              <w:t>’</w:t>
            </w:r>
            <w:r w:rsidRPr="005671A1">
              <w:rPr>
                <w:sz w:val="18"/>
                <w:szCs w:val="18"/>
                <w:lang w:val="fr-FR"/>
              </w:rPr>
              <w:t>appui à l</w:t>
            </w:r>
            <w:r w:rsidR="008E1649" w:rsidRPr="005671A1">
              <w:rPr>
                <w:sz w:val="18"/>
                <w:szCs w:val="18"/>
                <w:lang w:val="fr-FR"/>
              </w:rPr>
              <w:t>’</w:t>
            </w:r>
            <w:r w:rsidRPr="005671A1">
              <w:rPr>
                <w:sz w:val="18"/>
                <w:szCs w:val="18"/>
                <w:lang w:val="fr-FR"/>
              </w:rPr>
              <w:t>élaboration des politiques (produit 4 c))</w:t>
            </w:r>
          </w:p>
        </w:tc>
        <w:tc>
          <w:tcPr>
            <w:tcW w:w="1263" w:type="dxa"/>
            <w:tcBorders>
              <w:left w:val="nil"/>
            </w:tcBorders>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6 g)</w:t>
            </w:r>
          </w:p>
        </w:tc>
      </w:tr>
      <w:tr w:rsidR="00CD385D" w:rsidRPr="005671A1" w:rsidTr="009B3139">
        <w:tc>
          <w:tcPr>
            <w:tcW w:w="2694" w:type="dxa"/>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IPBES/5/9</w:t>
            </w:r>
          </w:p>
        </w:tc>
        <w:tc>
          <w:tcPr>
            <w:tcW w:w="4265" w:type="dxa"/>
            <w:shd w:val="clear" w:color="auto" w:fill="auto"/>
          </w:tcPr>
          <w:p w:rsidR="00801DEB" w:rsidRPr="005671A1" w:rsidRDefault="002510FD" w:rsidP="00EF2252">
            <w:pPr>
              <w:spacing w:before="40" w:after="40"/>
              <w:rPr>
                <w:rFonts w:eastAsia="Times New Roman"/>
                <w:sz w:val="18"/>
                <w:szCs w:val="18"/>
                <w:lang w:val="fr-FR"/>
              </w:rPr>
            </w:pPr>
            <w:r w:rsidRPr="005671A1">
              <w:rPr>
                <w:sz w:val="18"/>
                <w:szCs w:val="18"/>
                <w:lang w:val="fr-FR"/>
              </w:rPr>
              <w:t>Communication, association des parties prenantes et partenariats stratégiques (produit 4 d))</w:t>
            </w:r>
            <w:r w:rsidR="00801DEB" w:rsidRPr="005671A1">
              <w:rPr>
                <w:sz w:val="18"/>
                <w:szCs w:val="18"/>
                <w:lang w:val="fr-FR"/>
              </w:rPr>
              <w:t xml:space="preserve"> </w:t>
            </w:r>
          </w:p>
        </w:tc>
        <w:tc>
          <w:tcPr>
            <w:tcW w:w="1263" w:type="dxa"/>
            <w:tcBorders>
              <w:left w:val="nil"/>
            </w:tcBorders>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6 h)</w:t>
            </w:r>
          </w:p>
        </w:tc>
      </w:tr>
      <w:tr w:rsidR="00CD385D" w:rsidRPr="005671A1" w:rsidTr="009B3139">
        <w:tc>
          <w:tcPr>
            <w:tcW w:w="2694" w:type="dxa"/>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IPBES/5/10</w:t>
            </w:r>
          </w:p>
        </w:tc>
        <w:tc>
          <w:tcPr>
            <w:tcW w:w="4265" w:type="dxa"/>
            <w:shd w:val="clear" w:color="auto" w:fill="auto"/>
          </w:tcPr>
          <w:p w:rsidR="00801DEB" w:rsidRPr="005671A1" w:rsidRDefault="00FA29BA" w:rsidP="004C4F01">
            <w:pPr>
              <w:spacing w:before="40" w:after="40"/>
              <w:rPr>
                <w:rFonts w:eastAsia="Times New Roman"/>
                <w:sz w:val="18"/>
                <w:szCs w:val="18"/>
                <w:lang w:val="fr-FR"/>
              </w:rPr>
            </w:pPr>
            <w:r w:rsidRPr="005671A1">
              <w:rPr>
                <w:sz w:val="18"/>
                <w:szCs w:val="18"/>
                <w:lang w:val="fr-FR"/>
              </w:rPr>
              <w:t>Budget et dépenses pour la période 2014-2018</w:t>
            </w:r>
          </w:p>
        </w:tc>
        <w:tc>
          <w:tcPr>
            <w:tcW w:w="1263" w:type="dxa"/>
            <w:tcBorders>
              <w:left w:val="nil"/>
            </w:tcBorders>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7</w:t>
            </w:r>
          </w:p>
        </w:tc>
      </w:tr>
      <w:tr w:rsidR="00CD385D" w:rsidRPr="005671A1" w:rsidTr="009B3139">
        <w:tc>
          <w:tcPr>
            <w:tcW w:w="2694" w:type="dxa"/>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IPBES/5/11</w:t>
            </w:r>
          </w:p>
        </w:tc>
        <w:tc>
          <w:tcPr>
            <w:tcW w:w="4265" w:type="dxa"/>
            <w:shd w:val="clear" w:color="auto" w:fill="auto"/>
          </w:tcPr>
          <w:p w:rsidR="00801DEB" w:rsidRPr="005671A1" w:rsidRDefault="002510FD" w:rsidP="004C4F01">
            <w:pPr>
              <w:spacing w:before="40" w:after="40"/>
              <w:rPr>
                <w:rFonts w:eastAsia="Times New Roman"/>
                <w:sz w:val="18"/>
                <w:szCs w:val="18"/>
                <w:lang w:val="fr-FR"/>
              </w:rPr>
            </w:pPr>
            <w:r w:rsidRPr="005671A1">
              <w:rPr>
                <w:sz w:val="18"/>
                <w:szCs w:val="18"/>
                <w:lang w:val="fr-FR"/>
              </w:rPr>
              <w:t>Procédure pour l</w:t>
            </w:r>
            <w:r w:rsidR="008E1649" w:rsidRPr="005671A1">
              <w:rPr>
                <w:sz w:val="18"/>
                <w:szCs w:val="18"/>
                <w:lang w:val="fr-FR"/>
              </w:rPr>
              <w:t>’</w:t>
            </w:r>
            <w:r w:rsidRPr="005671A1">
              <w:rPr>
                <w:sz w:val="18"/>
                <w:szCs w:val="18"/>
                <w:lang w:val="fr-FR"/>
              </w:rPr>
              <w:t>examen de l</w:t>
            </w:r>
            <w:r w:rsidR="008E1649" w:rsidRPr="005671A1">
              <w:rPr>
                <w:sz w:val="18"/>
                <w:szCs w:val="18"/>
                <w:lang w:val="fr-FR"/>
              </w:rPr>
              <w:t>’</w:t>
            </w:r>
            <w:r w:rsidRPr="005671A1">
              <w:rPr>
                <w:sz w:val="18"/>
                <w:szCs w:val="18"/>
                <w:lang w:val="fr-FR"/>
              </w:rPr>
              <w:t>efficacité des fonctions administratives et scientifiques de la Plateforme (produit 4 e))</w:t>
            </w:r>
          </w:p>
        </w:tc>
        <w:tc>
          <w:tcPr>
            <w:tcW w:w="1263" w:type="dxa"/>
            <w:tcBorders>
              <w:left w:val="nil"/>
            </w:tcBorders>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8</w:t>
            </w:r>
          </w:p>
        </w:tc>
      </w:tr>
      <w:tr w:rsidR="00CD385D" w:rsidRPr="005671A1" w:rsidTr="009B3139">
        <w:tc>
          <w:tcPr>
            <w:tcW w:w="2694" w:type="dxa"/>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IPBES/5/12</w:t>
            </w:r>
          </w:p>
        </w:tc>
        <w:tc>
          <w:tcPr>
            <w:tcW w:w="4265" w:type="dxa"/>
            <w:shd w:val="clear" w:color="auto" w:fill="auto"/>
          </w:tcPr>
          <w:p w:rsidR="002510FD" w:rsidRPr="005671A1" w:rsidRDefault="002510FD" w:rsidP="004C4F01">
            <w:pPr>
              <w:spacing w:before="40" w:after="40"/>
              <w:rPr>
                <w:sz w:val="18"/>
                <w:szCs w:val="18"/>
                <w:lang w:val="fr-FR"/>
              </w:rPr>
            </w:pPr>
            <w:r w:rsidRPr="005671A1">
              <w:rPr>
                <w:sz w:val="18"/>
                <w:szCs w:val="18"/>
                <w:lang w:val="fr-FR"/>
              </w:rPr>
              <w:t xml:space="preserve">Organisation des sixième et septième sessions de la Plénière et élaboration du deuxième programme de travail de la Plateforme intergouvernementale scientifique et </w:t>
            </w:r>
          </w:p>
          <w:p w:rsidR="00801DEB" w:rsidRPr="005671A1" w:rsidRDefault="002510FD" w:rsidP="004C4F01">
            <w:pPr>
              <w:spacing w:before="40" w:after="40"/>
              <w:rPr>
                <w:rFonts w:eastAsia="Times New Roman"/>
                <w:sz w:val="18"/>
                <w:szCs w:val="18"/>
                <w:lang w:val="fr-FR"/>
              </w:rPr>
            </w:pPr>
            <w:r w:rsidRPr="005671A1">
              <w:rPr>
                <w:sz w:val="18"/>
                <w:szCs w:val="18"/>
                <w:lang w:val="fr-FR"/>
              </w:rPr>
              <w:t>politique sur la biodiversité et les services écosystémiques</w:t>
            </w:r>
          </w:p>
        </w:tc>
        <w:tc>
          <w:tcPr>
            <w:tcW w:w="1263" w:type="dxa"/>
            <w:tcBorders>
              <w:left w:val="nil"/>
            </w:tcBorders>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9</w:t>
            </w:r>
          </w:p>
        </w:tc>
      </w:tr>
      <w:tr w:rsidR="00CD385D" w:rsidRPr="005671A1" w:rsidTr="009B3139">
        <w:tc>
          <w:tcPr>
            <w:tcW w:w="2694" w:type="dxa"/>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IPBES/5/13</w:t>
            </w:r>
          </w:p>
        </w:tc>
        <w:tc>
          <w:tcPr>
            <w:tcW w:w="4265" w:type="dxa"/>
            <w:shd w:val="clear" w:color="auto" w:fill="auto"/>
          </w:tcPr>
          <w:p w:rsidR="00801DEB" w:rsidRPr="005671A1" w:rsidRDefault="002510FD" w:rsidP="004C4F01">
            <w:pPr>
              <w:spacing w:before="40" w:after="40"/>
              <w:rPr>
                <w:rFonts w:eastAsia="Times New Roman"/>
                <w:sz w:val="18"/>
                <w:szCs w:val="18"/>
                <w:lang w:val="fr-FR"/>
              </w:rPr>
            </w:pPr>
            <w:r w:rsidRPr="005671A1">
              <w:rPr>
                <w:sz w:val="18"/>
                <w:szCs w:val="18"/>
                <w:lang w:val="fr-FR"/>
              </w:rPr>
              <w:t>Groupe d</w:t>
            </w:r>
            <w:r w:rsidR="008E1649" w:rsidRPr="005671A1">
              <w:rPr>
                <w:sz w:val="18"/>
                <w:szCs w:val="18"/>
                <w:lang w:val="fr-FR"/>
              </w:rPr>
              <w:t>’</w:t>
            </w:r>
            <w:r w:rsidRPr="005671A1">
              <w:rPr>
                <w:sz w:val="18"/>
                <w:szCs w:val="18"/>
                <w:lang w:val="fr-FR"/>
              </w:rPr>
              <w:t>experts multidisciplinaire : nominations en vue du remplacement des membres ayant démissionné</w:t>
            </w:r>
          </w:p>
        </w:tc>
        <w:tc>
          <w:tcPr>
            <w:tcW w:w="1263" w:type="dxa"/>
            <w:tcBorders>
              <w:left w:val="nil"/>
            </w:tcBorders>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2 c)</w:t>
            </w:r>
          </w:p>
        </w:tc>
      </w:tr>
      <w:tr w:rsidR="00CD385D" w:rsidRPr="005671A1" w:rsidTr="009B3139">
        <w:tc>
          <w:tcPr>
            <w:tcW w:w="2694" w:type="dxa"/>
            <w:tcBorders>
              <w:bottom w:val="single" w:sz="12" w:space="0" w:color="auto"/>
            </w:tcBorders>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IPBES/5/14</w:t>
            </w:r>
          </w:p>
        </w:tc>
        <w:tc>
          <w:tcPr>
            <w:tcW w:w="4265" w:type="dxa"/>
            <w:tcBorders>
              <w:bottom w:val="single" w:sz="12" w:space="0" w:color="auto"/>
            </w:tcBorders>
            <w:shd w:val="clear" w:color="auto" w:fill="auto"/>
          </w:tcPr>
          <w:p w:rsidR="00801DEB" w:rsidRPr="005671A1" w:rsidRDefault="002510FD" w:rsidP="004C4F01">
            <w:pPr>
              <w:spacing w:before="40" w:after="40"/>
              <w:rPr>
                <w:rFonts w:eastAsia="Times New Roman"/>
                <w:sz w:val="18"/>
                <w:szCs w:val="18"/>
                <w:lang w:val="fr-FR"/>
              </w:rPr>
            </w:pPr>
            <w:r w:rsidRPr="005671A1">
              <w:rPr>
                <w:sz w:val="18"/>
                <w:szCs w:val="18"/>
                <w:lang w:val="fr-FR"/>
              </w:rPr>
              <w:t>Projet de politique et de procédures d</w:t>
            </w:r>
            <w:r w:rsidR="008E1649" w:rsidRPr="005671A1">
              <w:rPr>
                <w:sz w:val="18"/>
                <w:szCs w:val="18"/>
                <w:lang w:val="fr-FR"/>
              </w:rPr>
              <w:t>’</w:t>
            </w:r>
            <w:r w:rsidRPr="005671A1">
              <w:rPr>
                <w:sz w:val="18"/>
                <w:szCs w:val="18"/>
                <w:lang w:val="fr-FR"/>
              </w:rPr>
              <w:t>admission des observateurs</w:t>
            </w:r>
          </w:p>
        </w:tc>
        <w:tc>
          <w:tcPr>
            <w:tcW w:w="1263" w:type="dxa"/>
            <w:tcBorders>
              <w:left w:val="nil"/>
              <w:bottom w:val="single" w:sz="12" w:space="0" w:color="auto"/>
            </w:tcBorders>
            <w:shd w:val="clear" w:color="auto" w:fill="auto"/>
          </w:tcPr>
          <w:p w:rsidR="00801DEB" w:rsidRPr="005671A1" w:rsidRDefault="00801DEB" w:rsidP="004C4F01">
            <w:pPr>
              <w:spacing w:before="40" w:after="40"/>
              <w:rPr>
                <w:rFonts w:eastAsia="Times New Roman"/>
                <w:sz w:val="18"/>
                <w:szCs w:val="18"/>
                <w:lang w:val="fr-FR"/>
              </w:rPr>
            </w:pPr>
            <w:r w:rsidRPr="005671A1">
              <w:rPr>
                <w:sz w:val="18"/>
                <w:szCs w:val="18"/>
                <w:lang w:val="fr-FR"/>
              </w:rPr>
              <w:t>3</w:t>
            </w:r>
          </w:p>
        </w:tc>
      </w:tr>
    </w:tbl>
    <w:p w:rsidR="00DC20F5" w:rsidRPr="005671A1" w:rsidRDefault="00DC20F5" w:rsidP="004C4F01">
      <w:pPr>
        <w:pStyle w:val="Normal-pool"/>
        <w:rPr>
          <w:lang w:val="fr-FR"/>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DC20F5" w:rsidRPr="005671A1" w:rsidTr="0050520F">
        <w:tc>
          <w:tcPr>
            <w:tcW w:w="1942" w:type="dxa"/>
          </w:tcPr>
          <w:p w:rsidR="00DC20F5" w:rsidRPr="005671A1" w:rsidRDefault="00DC20F5" w:rsidP="004C4F01">
            <w:pPr>
              <w:pStyle w:val="Normal-pool"/>
              <w:spacing w:before="520"/>
              <w:rPr>
                <w:rFonts w:eastAsia="MS Mincho"/>
                <w:sz w:val="20"/>
                <w:szCs w:val="20"/>
                <w:lang w:val="fr-FR"/>
              </w:rPr>
            </w:pPr>
          </w:p>
        </w:tc>
        <w:tc>
          <w:tcPr>
            <w:tcW w:w="1942" w:type="dxa"/>
          </w:tcPr>
          <w:p w:rsidR="00DC20F5" w:rsidRPr="005671A1" w:rsidRDefault="00DC20F5" w:rsidP="004C4F01">
            <w:pPr>
              <w:pStyle w:val="Normal-pool"/>
              <w:spacing w:before="520"/>
              <w:rPr>
                <w:rFonts w:eastAsia="MS Mincho"/>
                <w:sz w:val="20"/>
                <w:szCs w:val="20"/>
                <w:lang w:val="fr-FR"/>
              </w:rPr>
            </w:pPr>
          </w:p>
        </w:tc>
        <w:tc>
          <w:tcPr>
            <w:tcW w:w="1942" w:type="dxa"/>
            <w:tcBorders>
              <w:bottom w:val="single" w:sz="4" w:space="0" w:color="auto"/>
            </w:tcBorders>
          </w:tcPr>
          <w:p w:rsidR="00DC20F5" w:rsidRPr="005671A1" w:rsidRDefault="00DC20F5" w:rsidP="004C4F01">
            <w:pPr>
              <w:pStyle w:val="Normal-pool"/>
              <w:spacing w:before="520"/>
              <w:rPr>
                <w:rFonts w:eastAsia="MS Mincho"/>
                <w:sz w:val="20"/>
                <w:szCs w:val="20"/>
                <w:lang w:val="fr-FR"/>
              </w:rPr>
            </w:pPr>
          </w:p>
        </w:tc>
        <w:tc>
          <w:tcPr>
            <w:tcW w:w="1943" w:type="dxa"/>
          </w:tcPr>
          <w:p w:rsidR="00DC20F5" w:rsidRPr="005671A1" w:rsidRDefault="00DC20F5" w:rsidP="004C4F01">
            <w:pPr>
              <w:pStyle w:val="Normal-pool"/>
              <w:spacing w:before="520"/>
              <w:rPr>
                <w:rFonts w:eastAsia="MS Mincho"/>
                <w:sz w:val="20"/>
                <w:szCs w:val="20"/>
                <w:lang w:val="fr-FR"/>
              </w:rPr>
            </w:pPr>
          </w:p>
        </w:tc>
        <w:tc>
          <w:tcPr>
            <w:tcW w:w="1943" w:type="dxa"/>
          </w:tcPr>
          <w:p w:rsidR="00DC20F5" w:rsidRPr="005671A1" w:rsidRDefault="00DC20F5" w:rsidP="004C4F01">
            <w:pPr>
              <w:pStyle w:val="Normal-pool"/>
              <w:spacing w:before="520"/>
              <w:rPr>
                <w:rFonts w:eastAsia="MS Mincho"/>
                <w:sz w:val="20"/>
                <w:szCs w:val="20"/>
                <w:lang w:val="fr-FR"/>
              </w:rPr>
            </w:pPr>
          </w:p>
        </w:tc>
      </w:tr>
    </w:tbl>
    <w:p w:rsidR="00B27589" w:rsidRPr="005671A1" w:rsidRDefault="00B27589" w:rsidP="00EF2252">
      <w:pPr>
        <w:pStyle w:val="Normalnumber"/>
        <w:numPr>
          <w:ilvl w:val="0"/>
          <w:numId w:val="0"/>
        </w:numPr>
        <w:rPr>
          <w:lang w:val="fr-FR"/>
        </w:rPr>
      </w:pPr>
    </w:p>
    <w:sectPr w:rsidR="00B27589" w:rsidRPr="005671A1" w:rsidSect="0050520F">
      <w:headerReference w:type="even" r:id="rId25"/>
      <w:headerReference w:type="default" r:id="rId26"/>
      <w:footerReference w:type="even" r:id="rId27"/>
      <w:footerReference w:type="default" r:id="rId28"/>
      <w:headerReference w:type="first" r:id="rId29"/>
      <w:footerReference w:type="first" r:id="rId30"/>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34" w:rsidRDefault="00491C34">
      <w:r>
        <w:separator/>
      </w:r>
    </w:p>
  </w:endnote>
  <w:endnote w:type="continuationSeparator" w:id="0">
    <w:p w:rsidR="00491C34" w:rsidRDefault="0049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C4" w:rsidRDefault="00A037C4" w:rsidP="0050520F">
    <w:pPr>
      <w:pStyle w:val="Normal-pool"/>
    </w:pPr>
    <w:r>
      <w:rPr>
        <w:rStyle w:val="PageNumber"/>
      </w:rPr>
      <w:fldChar w:fldCharType="begin"/>
    </w:r>
    <w:r>
      <w:rPr>
        <w:rStyle w:val="PageNumber"/>
      </w:rPr>
      <w:instrText xml:space="preserve"> PAGE </w:instrText>
    </w:r>
    <w:r>
      <w:rPr>
        <w:rStyle w:val="PageNumber"/>
      </w:rPr>
      <w:fldChar w:fldCharType="separate"/>
    </w:r>
    <w:r w:rsidR="004B79BF">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C4" w:rsidRDefault="00A037C4" w:rsidP="0050520F">
    <w:pPr>
      <w:pStyle w:val="Normal-pool"/>
      <w:jc w:val="right"/>
    </w:pPr>
    <w:r>
      <w:rPr>
        <w:rStyle w:val="PageNumber"/>
      </w:rPr>
      <w:fldChar w:fldCharType="begin"/>
    </w:r>
    <w:r>
      <w:rPr>
        <w:rStyle w:val="PageNumber"/>
      </w:rPr>
      <w:instrText xml:space="preserve"> PAGE </w:instrText>
    </w:r>
    <w:r>
      <w:rPr>
        <w:rStyle w:val="PageNumber"/>
      </w:rPr>
      <w:fldChar w:fldCharType="separate"/>
    </w:r>
    <w:r w:rsidR="004B79BF">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C4" w:rsidRPr="0050520F" w:rsidRDefault="00055D54" w:rsidP="0050520F">
    <w:pPr>
      <w:pStyle w:val="Normal-pool"/>
      <w:rPr>
        <w:color w:val="000000" w:themeColor="text1"/>
      </w:rPr>
    </w:pPr>
    <w:r>
      <w:rPr>
        <w:lang w:val="fr-FR"/>
      </w:rPr>
      <w:t>K1701228</w:t>
    </w:r>
    <w:r w:rsidR="00A037C4">
      <w:rPr>
        <w:lang w:val="fr-FR"/>
      </w:rPr>
      <w:tab/>
    </w:r>
    <w:r w:rsidR="00710A3C">
      <w:rPr>
        <w:lang w:val="fr-FR"/>
      </w:rPr>
      <w:t>2</w:t>
    </w:r>
    <w:r w:rsidR="000D77FE">
      <w:rPr>
        <w:lang w:val="fr-FR"/>
      </w:rPr>
      <w:t>8</w:t>
    </w:r>
    <w:r>
      <w:rPr>
        <w:lang w:val="fr-FR"/>
      </w:rPr>
      <w:t>02</w:t>
    </w:r>
    <w:r w:rsidR="00A037C4">
      <w:rPr>
        <w:lang w:val="fr-FR"/>
      </w:rPr>
      <w:t>17</w:t>
    </w:r>
  </w:p>
  <w:p w:rsidR="000D77FE" w:rsidRDefault="000D77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223015"/>
      <w:docPartObj>
        <w:docPartGallery w:val="Page Numbers (Bottom of Page)"/>
        <w:docPartUnique/>
      </w:docPartObj>
    </w:sdtPr>
    <w:sdtEndPr>
      <w:rPr>
        <w:b/>
        <w:noProof/>
      </w:rPr>
    </w:sdtEndPr>
    <w:sdtContent>
      <w:p w:rsidR="00A037C4" w:rsidRPr="0050520F" w:rsidRDefault="00A037C4">
        <w:pPr>
          <w:pStyle w:val="Footer"/>
          <w:rPr>
            <w:b/>
          </w:rPr>
        </w:pPr>
        <w:r w:rsidRPr="0050520F">
          <w:rPr>
            <w:b/>
          </w:rPr>
          <w:fldChar w:fldCharType="begin"/>
        </w:r>
        <w:r w:rsidRPr="0050520F">
          <w:rPr>
            <w:b/>
          </w:rPr>
          <w:instrText xml:space="preserve"> PAGE   \* MERGEFORMAT </w:instrText>
        </w:r>
        <w:r w:rsidRPr="0050520F">
          <w:rPr>
            <w:b/>
          </w:rPr>
          <w:fldChar w:fldCharType="separate"/>
        </w:r>
        <w:r w:rsidR="009063DE">
          <w:rPr>
            <w:b/>
            <w:noProof/>
          </w:rPr>
          <w:t>9</w:t>
        </w:r>
        <w:r w:rsidRPr="0050520F">
          <w:rPr>
            <w:b/>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C4" w:rsidRDefault="00A037C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C4" w:rsidRDefault="00A037C4"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772460"/>
      <w:docPartObj>
        <w:docPartGallery w:val="Page Numbers (Bottom of Page)"/>
        <w:docPartUnique/>
      </w:docPartObj>
    </w:sdtPr>
    <w:sdtEndPr>
      <w:rPr>
        <w:b/>
        <w:noProof/>
      </w:rPr>
    </w:sdtEndPr>
    <w:sdtContent>
      <w:p w:rsidR="00A037C4" w:rsidRPr="0050520F" w:rsidRDefault="00A037C4" w:rsidP="00C54749">
        <w:pPr>
          <w:pStyle w:val="Footer"/>
          <w:jc w:val="right"/>
          <w:rPr>
            <w:b/>
          </w:rPr>
        </w:pPr>
        <w:r w:rsidRPr="0050520F">
          <w:rPr>
            <w:b/>
          </w:rPr>
          <w:fldChar w:fldCharType="begin"/>
        </w:r>
        <w:r w:rsidRPr="0050520F">
          <w:rPr>
            <w:b/>
          </w:rPr>
          <w:instrText xml:space="preserve"> PAGE   \* MERGEFORMAT </w:instrText>
        </w:r>
        <w:r w:rsidRPr="0050520F">
          <w:rPr>
            <w:b/>
          </w:rPr>
          <w:fldChar w:fldCharType="separate"/>
        </w:r>
        <w:r w:rsidR="009063DE">
          <w:rPr>
            <w:b/>
            <w:noProof/>
          </w:rPr>
          <w:t>10</w:t>
        </w:r>
        <w:r w:rsidRPr="0050520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34" w:rsidRPr="0050520F" w:rsidRDefault="00491C34" w:rsidP="0050520F">
      <w:pPr>
        <w:tabs>
          <w:tab w:val="left" w:pos="624"/>
        </w:tabs>
        <w:spacing w:before="60"/>
        <w:ind w:left="624"/>
        <w:rPr>
          <w:sz w:val="18"/>
          <w:szCs w:val="18"/>
        </w:rPr>
      </w:pPr>
      <w:r w:rsidRPr="0050520F">
        <w:rPr>
          <w:sz w:val="18"/>
          <w:szCs w:val="18"/>
        </w:rPr>
        <w:separator/>
      </w:r>
    </w:p>
  </w:footnote>
  <w:footnote w:type="continuationSeparator" w:id="0">
    <w:p w:rsidR="00491C34" w:rsidRDefault="00491C34">
      <w:r>
        <w:continuationSeparator/>
      </w:r>
    </w:p>
  </w:footnote>
  <w:footnote w:id="1">
    <w:p w:rsidR="00A037C4" w:rsidRPr="0050520F" w:rsidRDefault="00A037C4" w:rsidP="0050520F">
      <w:pPr>
        <w:pStyle w:val="FootnoteText"/>
        <w:tabs>
          <w:tab w:val="clear" w:pos="2381"/>
          <w:tab w:val="clear" w:pos="2948"/>
          <w:tab w:val="clear" w:pos="3515"/>
          <w:tab w:val="left" w:pos="624"/>
          <w:tab w:val="right" w:pos="1195"/>
          <w:tab w:val="left" w:pos="1742"/>
          <w:tab w:val="left" w:pos="2218"/>
          <w:tab w:val="left" w:pos="4240"/>
        </w:tabs>
        <w:rPr>
          <w:szCs w:val="18"/>
        </w:rPr>
      </w:pPr>
      <w:r>
        <w:t>* IPBES/5/1/Rev.1.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C4" w:rsidRDefault="00A037C4" w:rsidP="0050520F">
    <w:pPr>
      <w:pStyle w:val="Header"/>
    </w:pPr>
    <w:r w:rsidRPr="00CF0B9D">
      <w:rPr>
        <w:szCs w:val="18"/>
      </w:rPr>
      <w:t>IPBES/</w:t>
    </w:r>
    <w:r w:rsidRPr="00CF0B9D">
      <w:rPr>
        <w:szCs w:val="18"/>
        <w:lang w:eastAsia="ja-JP"/>
      </w:rPr>
      <w:t>5/1</w:t>
    </w:r>
    <w:r w:rsidR="00055D54">
      <w:rPr>
        <w:szCs w:val="18"/>
        <w:lang w:eastAsia="ja-JP"/>
      </w:rPr>
      <w:t>/Rev.1</w:t>
    </w:r>
    <w:r w:rsidRPr="00CF0B9D">
      <w:rPr>
        <w:szCs w:val="18"/>
        <w:lang w:eastAsia="ja-JP"/>
      </w:rPr>
      <w:t>/Add.1</w:t>
    </w:r>
    <w:r w:rsidR="00055D54">
      <w:rPr>
        <w:szCs w:val="18"/>
        <w:lang w:eastAsia="ja-JP"/>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C4" w:rsidRDefault="00A037C4" w:rsidP="0050520F">
    <w:pPr>
      <w:pStyle w:val="Header"/>
      <w:jc w:val="right"/>
    </w:pPr>
    <w:r w:rsidRPr="00C0058D">
      <w:rPr>
        <w:szCs w:val="18"/>
      </w:rPr>
      <w:t>IPBES/</w:t>
    </w:r>
    <w:r>
      <w:rPr>
        <w:szCs w:val="18"/>
        <w:lang w:eastAsia="ja-JP"/>
      </w:rPr>
      <w:t>5/1/</w:t>
    </w:r>
    <w:r w:rsidR="00055D54">
      <w:rPr>
        <w:szCs w:val="18"/>
        <w:lang w:eastAsia="ja-JP"/>
      </w:rPr>
      <w:t>Rev.1</w:t>
    </w:r>
    <w:r>
      <w:rPr>
        <w:szCs w:val="18"/>
        <w:lang w:eastAsia="ja-JP"/>
      </w:rPr>
      <w:t>Add.1</w:t>
    </w:r>
    <w:r w:rsidR="00055D54">
      <w:rPr>
        <w:szCs w:val="18"/>
        <w:lang w:eastAsia="ja-JP"/>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C4" w:rsidRDefault="00A037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C4" w:rsidRDefault="00491C34">
    <w:pPr>
      <w:pStyle w:val="Header"/>
    </w:pPr>
    <w:r>
      <w:rPr>
        <w:noProof/>
      </w:rPr>
      <w:pict w14:anchorId="30F50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857" o:spid="_x0000_s2054" type="#_x0000_t136" style="position:absolute;margin-left:0;margin-top:0;width:538.95pt;height:153.95pt;rotation:315;z-index:-25164697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C4" w:rsidRPr="00494455" w:rsidRDefault="00A037C4" w:rsidP="0050520F">
    <w:pPr>
      <w:pStyle w:val="Header"/>
      <w:widowControl w:val="0"/>
      <w:rPr>
        <w:szCs w:val="18"/>
      </w:rPr>
    </w:pPr>
    <w:r w:rsidRPr="00C0058D">
      <w:rPr>
        <w:szCs w:val="18"/>
      </w:rPr>
      <w:t>IPBES/</w:t>
    </w:r>
    <w:r>
      <w:rPr>
        <w:szCs w:val="18"/>
        <w:lang w:eastAsia="ja-JP"/>
      </w:rPr>
      <w:t>5/1</w:t>
    </w:r>
    <w:r w:rsidR="00360F84">
      <w:rPr>
        <w:szCs w:val="18"/>
        <w:lang w:eastAsia="ja-JP"/>
      </w:rPr>
      <w:t>/Rev.1</w:t>
    </w:r>
    <w:r>
      <w:rPr>
        <w:szCs w:val="18"/>
        <w:lang w:eastAsia="ja-JP"/>
      </w:rPr>
      <w:t>/Add.1</w:t>
    </w:r>
    <w:r w:rsidR="00360F84">
      <w:rPr>
        <w:szCs w:val="18"/>
        <w:lang w:eastAsia="ja-JP"/>
      </w:rPr>
      <w:t>/Rev.1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C4" w:rsidRDefault="00491C34">
    <w:pPr>
      <w:pStyle w:val="Header"/>
    </w:pPr>
    <w:r>
      <w:rPr>
        <w:noProof/>
      </w:rPr>
      <w:pict w14:anchorId="1E292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859" o:spid="_x0000_s2056" type="#_x0000_t136" style="position:absolute;margin-left:0;margin-top:0;width:538.95pt;height:153.95pt;rotation:315;z-index:-25164288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A037C4">
      <w:t>UNON/DCS/ELU/TEMPLATE.1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C4" w:rsidRDefault="00491C34" w:rsidP="00035EDE">
    <w:pPr>
      <w:pStyle w:val="Header"/>
      <w:jc w:val="right"/>
    </w:pPr>
    <w:r>
      <w:rPr>
        <w:noProof/>
      </w:rPr>
      <w:pict w14:anchorId="08EAB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860" o:spid="_x0000_s2057" type="#_x0000_t136" style="position:absolute;left:0;text-align:left;margin-left:0;margin-top:0;width:538.95pt;height:153.95pt;rotation:315;z-index:-25164083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A037C4">
      <w:t>UNON/DCS/ELU/TEMPLATE.1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C4" w:rsidRDefault="00A037C4" w:rsidP="0050520F">
    <w:pPr>
      <w:pStyle w:val="Header"/>
      <w:jc w:val="right"/>
    </w:pPr>
    <w:r w:rsidRPr="00C0058D">
      <w:rPr>
        <w:szCs w:val="18"/>
      </w:rPr>
      <w:t>IPBES/</w:t>
    </w:r>
    <w:r>
      <w:rPr>
        <w:szCs w:val="18"/>
        <w:lang w:eastAsia="ja-JP"/>
      </w:rPr>
      <w:t>5/1</w:t>
    </w:r>
    <w:r w:rsidR="00C16104">
      <w:rPr>
        <w:szCs w:val="18"/>
        <w:lang w:eastAsia="ja-JP"/>
      </w:rPr>
      <w:t>/Rev.1</w:t>
    </w:r>
    <w:r>
      <w:rPr>
        <w:szCs w:val="18"/>
        <w:lang w:eastAsia="ja-JP"/>
      </w:rPr>
      <w:t>/Add.1</w:t>
    </w:r>
    <w:r w:rsidR="00C16104">
      <w:rPr>
        <w:szCs w:val="18"/>
        <w:lang w:eastAsia="ja-JP"/>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540"/>
    <w:multiLevelType w:val="hybridMultilevel"/>
    <w:tmpl w:val="2D961BE2"/>
    <w:lvl w:ilvl="0" w:tplc="27544952">
      <w:start w:val="1"/>
      <w:numFmt w:val="lowerLetter"/>
      <w:lvlText w:val="(%1)"/>
      <w:lvlJc w:val="left"/>
      <w:pPr>
        <w:ind w:left="1245" w:hanging="615"/>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171113A7"/>
    <w:multiLevelType w:val="multilevel"/>
    <w:tmpl w:val="ACEC74E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9B96ADA"/>
    <w:multiLevelType w:val="hybridMultilevel"/>
    <w:tmpl w:val="3C04E46A"/>
    <w:lvl w:ilvl="0" w:tplc="0409000F">
      <w:start w:val="1"/>
      <w:numFmt w:val="decimal"/>
      <w:lvlText w:val="%1."/>
      <w:lvlJc w:val="left"/>
      <w:pPr>
        <w:ind w:left="1855"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3EF4587F"/>
    <w:multiLevelType w:val="hybridMultilevel"/>
    <w:tmpl w:val="2D961BE2"/>
    <w:lvl w:ilvl="0" w:tplc="27544952">
      <w:start w:val="1"/>
      <w:numFmt w:val="lowerLetter"/>
      <w:lvlText w:val="(%1)"/>
      <w:lvlJc w:val="left"/>
      <w:pPr>
        <w:ind w:left="1245" w:hanging="615"/>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15:restartNumberingAfterBreak="0">
    <w:nsid w:val="45DC5881"/>
    <w:multiLevelType w:val="hybridMultilevel"/>
    <w:tmpl w:val="2D961BE2"/>
    <w:lvl w:ilvl="0" w:tplc="27544952">
      <w:start w:val="1"/>
      <w:numFmt w:val="lowerLetter"/>
      <w:lvlText w:val="(%1)"/>
      <w:lvlJc w:val="left"/>
      <w:pPr>
        <w:ind w:left="1245" w:hanging="615"/>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15:restartNumberingAfterBreak="0">
    <w:nsid w:val="52A66A9D"/>
    <w:multiLevelType w:val="multilevel"/>
    <w:tmpl w:val="BBF07266"/>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62291BF8"/>
    <w:multiLevelType w:val="multilevel"/>
    <w:tmpl w:val="BBF07266"/>
    <w:numStyleLink w:val="Normallist"/>
  </w:abstractNum>
  <w:abstractNum w:abstractNumId="9" w15:restartNumberingAfterBreak="0">
    <w:nsid w:val="74720EB3"/>
    <w:multiLevelType w:val="multilevel"/>
    <w:tmpl w:val="ACEC74E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2"/>
  </w:num>
  <w:num w:numId="2">
    <w:abstractNumId w:val="4"/>
  </w:num>
  <w:num w:numId="3">
    <w:abstractNumId w:val="7"/>
  </w:num>
  <w:num w:numId="4">
    <w:abstractNumId w:val="8"/>
  </w:num>
  <w:num w:numId="5">
    <w:abstractNumId w:val="2"/>
  </w:num>
  <w:num w:numId="6">
    <w:abstractNumId w:val="4"/>
  </w:num>
  <w:num w:numId="7">
    <w:abstractNumId w:val="7"/>
  </w:num>
  <w:num w:numId="8">
    <w:abstractNumId w:val="8"/>
  </w:num>
  <w:num w:numId="9">
    <w:abstractNumId w:val="2"/>
  </w:num>
  <w:num w:numId="10">
    <w:abstractNumId w:val="4"/>
  </w:num>
  <w:num w:numId="11">
    <w:abstractNumId w:val="7"/>
  </w:num>
  <w:num w:numId="12">
    <w:abstractNumId w:val="8"/>
  </w:num>
  <w:num w:numId="13">
    <w:abstractNumId w:val="7"/>
  </w:num>
  <w:num w:numId="14">
    <w:abstractNumId w:val="8"/>
  </w:num>
  <w:num w:numId="15">
    <w:abstractNumId w:val="2"/>
  </w:num>
  <w:num w:numId="16">
    <w:abstractNumId w:val="4"/>
  </w:num>
  <w:num w:numId="17">
    <w:abstractNumId w:val="7"/>
  </w:num>
  <w:num w:numId="18">
    <w:abstractNumId w:val="8"/>
  </w:num>
  <w:num w:numId="19">
    <w:abstractNumId w:val="2"/>
  </w:num>
  <w:num w:numId="20">
    <w:abstractNumId w:val="4"/>
  </w:num>
  <w:num w:numId="21">
    <w:abstractNumId w:val="7"/>
  </w:num>
  <w:num w:numId="22">
    <w:abstractNumId w:val="8"/>
  </w:num>
  <w:num w:numId="23">
    <w:abstractNumId w:val="2"/>
  </w:num>
  <w:num w:numId="24">
    <w:abstractNumId w:val="4"/>
  </w:num>
  <w:num w:numId="25">
    <w:abstractNumId w:val="7"/>
  </w:num>
  <w:num w:numId="26">
    <w:abstractNumId w:val="8"/>
  </w:num>
  <w:num w:numId="27">
    <w:abstractNumId w:val="2"/>
  </w:num>
  <w:num w:numId="28">
    <w:abstractNumId w:val="4"/>
  </w:num>
  <w:num w:numId="29">
    <w:abstractNumId w:val="7"/>
  </w:num>
  <w:num w:numId="30">
    <w:abstractNumId w:val="8"/>
  </w:num>
  <w:num w:numId="31">
    <w:abstractNumId w:val="2"/>
  </w:num>
  <w:num w:numId="32">
    <w:abstractNumId w:val="4"/>
  </w:num>
  <w:num w:numId="33">
    <w:abstractNumId w:val="7"/>
  </w:num>
  <w:num w:numId="34">
    <w:abstractNumId w:val="8"/>
  </w:num>
  <w:num w:numId="35">
    <w:abstractNumId w:val="7"/>
  </w:num>
  <w:num w:numId="36">
    <w:abstractNumId w:val="8"/>
  </w:num>
  <w:num w:numId="37">
    <w:abstractNumId w:val="7"/>
  </w:num>
  <w:num w:numId="38">
    <w:abstractNumId w:val="7"/>
  </w:num>
  <w:num w:numId="39">
    <w:abstractNumId w:val="7"/>
  </w:num>
  <w:num w:numId="40">
    <w:abstractNumId w:val="7"/>
  </w:num>
  <w:num w:numId="41">
    <w:abstractNumId w:val="7"/>
  </w:num>
  <w:num w:numId="42">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1"/>
    <w:lvlOverride w:ilvl="0">
      <w:lvl w:ilvl="0">
        <w:start w:val="1"/>
        <w:numFmt w:val="decimal"/>
        <w:lvlText w:val="%1."/>
        <w:lvlJc w:val="left"/>
        <w:pPr>
          <w:tabs>
            <w:tab w:val="num" w:pos="567"/>
          </w:tabs>
          <w:ind w:left="1247" w:firstLine="0"/>
        </w:pPr>
        <w:rPr>
          <w:rFonts w:hint="default"/>
          <w:i w:val="0"/>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6"/>
  </w:num>
  <w:num w:numId="45">
    <w:abstractNumId w:val="0"/>
  </w:num>
  <w:num w:numId="46">
    <w:abstractNumId w:val="3"/>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9"/>
  </w:num>
  <w:num w:numId="79">
    <w:abstractNumId w:val="5"/>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7"/>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7"/>
  </w:num>
  <w:num w:numId="96">
    <w:abstractNumId w:val="7"/>
  </w:num>
  <w:num w:numId="97">
    <w:abstractNumId w:val="7"/>
  </w:num>
  <w:num w:numId="98">
    <w:abstractNumId w:val="7"/>
  </w:num>
  <w:num w:numId="99">
    <w:abstractNumId w:val="7"/>
  </w:num>
  <w:num w:numId="100">
    <w:abstractNumId w:val="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7"/>
  </w:num>
  <w:num w:numId="109">
    <w:abstractNumId w:val="7"/>
  </w:num>
  <w:num w:numId="110">
    <w:abstractNumId w:val="7"/>
  </w:num>
  <w:num w:numId="111">
    <w:abstractNumId w:val="7"/>
  </w:num>
  <w:num w:numId="112">
    <w:abstractNumId w:val="7"/>
  </w:num>
  <w:num w:numId="113">
    <w:abstractNumId w:val="7"/>
  </w:num>
  <w:num w:numId="114">
    <w:abstractNumId w:val="7"/>
  </w:num>
  <w:num w:numId="115">
    <w:abstractNumId w:val="7"/>
  </w:num>
  <w:num w:numId="116">
    <w:abstractNumId w:val="7"/>
  </w:num>
  <w:num w:numId="117">
    <w:abstractNumId w:val="7"/>
  </w:num>
  <w:num w:numId="118">
    <w:abstractNumId w:val="7"/>
  </w:num>
  <w:num w:numId="119">
    <w:abstractNumId w:val="7"/>
  </w:num>
  <w:num w:numId="120">
    <w:abstractNumId w:val="7"/>
  </w:num>
  <w:num w:numId="121">
    <w:abstractNumId w:val="7"/>
  </w:num>
  <w:num w:numId="122">
    <w:abstractNumId w:val="7"/>
  </w:num>
  <w:num w:numId="123">
    <w:abstractNumId w:val="7"/>
  </w:num>
  <w:num w:numId="124">
    <w:abstractNumId w:val="7"/>
  </w:num>
  <w:num w:numId="125">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6">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7">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67"/>
    <w:rsid w:val="000149E6"/>
    <w:rsid w:val="000247B0"/>
    <w:rsid w:val="00026997"/>
    <w:rsid w:val="00033E0B"/>
    <w:rsid w:val="00035EDE"/>
    <w:rsid w:val="000409B0"/>
    <w:rsid w:val="000509B4"/>
    <w:rsid w:val="00055D54"/>
    <w:rsid w:val="0006035B"/>
    <w:rsid w:val="00063F01"/>
    <w:rsid w:val="00071886"/>
    <w:rsid w:val="000742BC"/>
    <w:rsid w:val="00075E50"/>
    <w:rsid w:val="00082A0C"/>
    <w:rsid w:val="00083504"/>
    <w:rsid w:val="00086333"/>
    <w:rsid w:val="00091D20"/>
    <w:rsid w:val="0009640C"/>
    <w:rsid w:val="000B22A2"/>
    <w:rsid w:val="000C2A52"/>
    <w:rsid w:val="000D33C0"/>
    <w:rsid w:val="000D6941"/>
    <w:rsid w:val="000D7104"/>
    <w:rsid w:val="000D77FE"/>
    <w:rsid w:val="000D7C31"/>
    <w:rsid w:val="000E2505"/>
    <w:rsid w:val="000E7417"/>
    <w:rsid w:val="000F56F5"/>
    <w:rsid w:val="0011097D"/>
    <w:rsid w:val="00116048"/>
    <w:rsid w:val="001202E3"/>
    <w:rsid w:val="001224F2"/>
    <w:rsid w:val="00123699"/>
    <w:rsid w:val="0013059D"/>
    <w:rsid w:val="001400E8"/>
    <w:rsid w:val="00141A55"/>
    <w:rsid w:val="00142F13"/>
    <w:rsid w:val="001446A3"/>
    <w:rsid w:val="00152C7B"/>
    <w:rsid w:val="00155395"/>
    <w:rsid w:val="00160D74"/>
    <w:rsid w:val="00167D02"/>
    <w:rsid w:val="00175636"/>
    <w:rsid w:val="00180060"/>
    <w:rsid w:val="00181EC8"/>
    <w:rsid w:val="0018221B"/>
    <w:rsid w:val="00184349"/>
    <w:rsid w:val="00195F33"/>
    <w:rsid w:val="001B1617"/>
    <w:rsid w:val="001B3263"/>
    <w:rsid w:val="001B504B"/>
    <w:rsid w:val="001D3874"/>
    <w:rsid w:val="001D7E75"/>
    <w:rsid w:val="001E56D2"/>
    <w:rsid w:val="001E7D56"/>
    <w:rsid w:val="001F0349"/>
    <w:rsid w:val="001F75DE"/>
    <w:rsid w:val="00200D58"/>
    <w:rsid w:val="002013BE"/>
    <w:rsid w:val="00203AFC"/>
    <w:rsid w:val="00204E12"/>
    <w:rsid w:val="002063A4"/>
    <w:rsid w:val="002104F0"/>
    <w:rsid w:val="0021145B"/>
    <w:rsid w:val="00243D36"/>
    <w:rsid w:val="00247707"/>
    <w:rsid w:val="002510FD"/>
    <w:rsid w:val="002549BF"/>
    <w:rsid w:val="0026018E"/>
    <w:rsid w:val="00285A12"/>
    <w:rsid w:val="00286740"/>
    <w:rsid w:val="002929D8"/>
    <w:rsid w:val="00296436"/>
    <w:rsid w:val="002A237D"/>
    <w:rsid w:val="002A4C53"/>
    <w:rsid w:val="002A7EC6"/>
    <w:rsid w:val="002B0672"/>
    <w:rsid w:val="002B247F"/>
    <w:rsid w:val="002C084D"/>
    <w:rsid w:val="002C145D"/>
    <w:rsid w:val="002C2C3E"/>
    <w:rsid w:val="002C533E"/>
    <w:rsid w:val="002D027F"/>
    <w:rsid w:val="002D7A85"/>
    <w:rsid w:val="002D7B60"/>
    <w:rsid w:val="002E2090"/>
    <w:rsid w:val="002F4761"/>
    <w:rsid w:val="002F5C79"/>
    <w:rsid w:val="003019E2"/>
    <w:rsid w:val="00301BA3"/>
    <w:rsid w:val="0031413F"/>
    <w:rsid w:val="003148BB"/>
    <w:rsid w:val="00317976"/>
    <w:rsid w:val="0035539C"/>
    <w:rsid w:val="00355EA9"/>
    <w:rsid w:val="003578DE"/>
    <w:rsid w:val="00360F84"/>
    <w:rsid w:val="00361132"/>
    <w:rsid w:val="00380582"/>
    <w:rsid w:val="00396257"/>
    <w:rsid w:val="00396976"/>
    <w:rsid w:val="00397EB8"/>
    <w:rsid w:val="003A2ADD"/>
    <w:rsid w:val="003A4FD0"/>
    <w:rsid w:val="003A69D1"/>
    <w:rsid w:val="003A7705"/>
    <w:rsid w:val="003A77F1"/>
    <w:rsid w:val="003B1545"/>
    <w:rsid w:val="003C409D"/>
    <w:rsid w:val="003C5BA6"/>
    <w:rsid w:val="003E0EF1"/>
    <w:rsid w:val="003F0E85"/>
    <w:rsid w:val="003F46B8"/>
    <w:rsid w:val="00410C55"/>
    <w:rsid w:val="00416854"/>
    <w:rsid w:val="00417725"/>
    <w:rsid w:val="00426C25"/>
    <w:rsid w:val="00430DDB"/>
    <w:rsid w:val="00437F26"/>
    <w:rsid w:val="00444097"/>
    <w:rsid w:val="00445487"/>
    <w:rsid w:val="00454769"/>
    <w:rsid w:val="00461346"/>
    <w:rsid w:val="00466991"/>
    <w:rsid w:val="0047064C"/>
    <w:rsid w:val="0048702B"/>
    <w:rsid w:val="004877B0"/>
    <w:rsid w:val="00491C34"/>
    <w:rsid w:val="004A42E1"/>
    <w:rsid w:val="004B162C"/>
    <w:rsid w:val="004B79BF"/>
    <w:rsid w:val="004C3DBE"/>
    <w:rsid w:val="004C4F01"/>
    <w:rsid w:val="004C5438"/>
    <w:rsid w:val="004C5C96"/>
    <w:rsid w:val="004D06A4"/>
    <w:rsid w:val="004D2B32"/>
    <w:rsid w:val="004E7D81"/>
    <w:rsid w:val="004F184C"/>
    <w:rsid w:val="004F1A81"/>
    <w:rsid w:val="00500C17"/>
    <w:rsid w:val="0050520F"/>
    <w:rsid w:val="00505CA3"/>
    <w:rsid w:val="005145CE"/>
    <w:rsid w:val="005218D9"/>
    <w:rsid w:val="00535797"/>
    <w:rsid w:val="00536186"/>
    <w:rsid w:val="00544CBB"/>
    <w:rsid w:val="00551C4D"/>
    <w:rsid w:val="005671A1"/>
    <w:rsid w:val="0057315F"/>
    <w:rsid w:val="00576104"/>
    <w:rsid w:val="005A353A"/>
    <w:rsid w:val="005C5634"/>
    <w:rsid w:val="005C67C8"/>
    <w:rsid w:val="005D0249"/>
    <w:rsid w:val="005D6E8C"/>
    <w:rsid w:val="005E0363"/>
    <w:rsid w:val="005E1203"/>
    <w:rsid w:val="005E4552"/>
    <w:rsid w:val="005F00AD"/>
    <w:rsid w:val="005F100C"/>
    <w:rsid w:val="005F64B1"/>
    <w:rsid w:val="005F68DA"/>
    <w:rsid w:val="006034F0"/>
    <w:rsid w:val="0060773B"/>
    <w:rsid w:val="006157B5"/>
    <w:rsid w:val="00626FC6"/>
    <w:rsid w:val="006303B4"/>
    <w:rsid w:val="00632E76"/>
    <w:rsid w:val="00633D3D"/>
    <w:rsid w:val="00641703"/>
    <w:rsid w:val="006431A6"/>
    <w:rsid w:val="006459F6"/>
    <w:rsid w:val="006501AD"/>
    <w:rsid w:val="00651BFA"/>
    <w:rsid w:val="00654475"/>
    <w:rsid w:val="00655A35"/>
    <w:rsid w:val="0065752F"/>
    <w:rsid w:val="00662F81"/>
    <w:rsid w:val="00663DE7"/>
    <w:rsid w:val="00665A4B"/>
    <w:rsid w:val="00672781"/>
    <w:rsid w:val="00675AAB"/>
    <w:rsid w:val="0068438F"/>
    <w:rsid w:val="00686277"/>
    <w:rsid w:val="00692E2A"/>
    <w:rsid w:val="006A30FE"/>
    <w:rsid w:val="006A35A6"/>
    <w:rsid w:val="006A427C"/>
    <w:rsid w:val="006A76F2"/>
    <w:rsid w:val="006D501F"/>
    <w:rsid w:val="006D7EFB"/>
    <w:rsid w:val="006E3588"/>
    <w:rsid w:val="006E6672"/>
    <w:rsid w:val="006E6722"/>
    <w:rsid w:val="006F24EB"/>
    <w:rsid w:val="006F5C8D"/>
    <w:rsid w:val="007027B9"/>
    <w:rsid w:val="00710A3C"/>
    <w:rsid w:val="00711F20"/>
    <w:rsid w:val="00715E88"/>
    <w:rsid w:val="007253DE"/>
    <w:rsid w:val="00734CAA"/>
    <w:rsid w:val="00736513"/>
    <w:rsid w:val="007401C3"/>
    <w:rsid w:val="007474A5"/>
    <w:rsid w:val="007508AC"/>
    <w:rsid w:val="0075533C"/>
    <w:rsid w:val="00757581"/>
    <w:rsid w:val="007611A0"/>
    <w:rsid w:val="00766DD2"/>
    <w:rsid w:val="00780362"/>
    <w:rsid w:val="00796D3F"/>
    <w:rsid w:val="007A1683"/>
    <w:rsid w:val="007A229A"/>
    <w:rsid w:val="007A3BBB"/>
    <w:rsid w:val="007A5C12"/>
    <w:rsid w:val="007A7CB0"/>
    <w:rsid w:val="007B64C2"/>
    <w:rsid w:val="007B68A3"/>
    <w:rsid w:val="007C2541"/>
    <w:rsid w:val="007C50AE"/>
    <w:rsid w:val="007D66A8"/>
    <w:rsid w:val="007D6813"/>
    <w:rsid w:val="007E003F"/>
    <w:rsid w:val="007E734A"/>
    <w:rsid w:val="007F78CB"/>
    <w:rsid w:val="00801DEB"/>
    <w:rsid w:val="008164F2"/>
    <w:rsid w:val="00821395"/>
    <w:rsid w:val="00830E26"/>
    <w:rsid w:val="00843576"/>
    <w:rsid w:val="00843B64"/>
    <w:rsid w:val="008478FC"/>
    <w:rsid w:val="00851F35"/>
    <w:rsid w:val="00867BFF"/>
    <w:rsid w:val="00883123"/>
    <w:rsid w:val="00884356"/>
    <w:rsid w:val="0088480A"/>
    <w:rsid w:val="0088757A"/>
    <w:rsid w:val="008957DD"/>
    <w:rsid w:val="00897D98"/>
    <w:rsid w:val="008A6DF2"/>
    <w:rsid w:val="008A7807"/>
    <w:rsid w:val="008B398B"/>
    <w:rsid w:val="008B4CC9"/>
    <w:rsid w:val="008D7C99"/>
    <w:rsid w:val="008E0FCB"/>
    <w:rsid w:val="008E1649"/>
    <w:rsid w:val="009029B1"/>
    <w:rsid w:val="009063DE"/>
    <w:rsid w:val="00910BC9"/>
    <w:rsid w:val="00920C77"/>
    <w:rsid w:val="0092178C"/>
    <w:rsid w:val="00922452"/>
    <w:rsid w:val="00922D5E"/>
    <w:rsid w:val="00930B88"/>
    <w:rsid w:val="00936667"/>
    <w:rsid w:val="00940DCC"/>
    <w:rsid w:val="00940ECA"/>
    <w:rsid w:val="0094179A"/>
    <w:rsid w:val="0094459E"/>
    <w:rsid w:val="00944DBC"/>
    <w:rsid w:val="00950977"/>
    <w:rsid w:val="00951A7B"/>
    <w:rsid w:val="00952F18"/>
    <w:rsid w:val="00955BF0"/>
    <w:rsid w:val="009564A6"/>
    <w:rsid w:val="00957DC1"/>
    <w:rsid w:val="00967621"/>
    <w:rsid w:val="00967E6A"/>
    <w:rsid w:val="00987574"/>
    <w:rsid w:val="009B3139"/>
    <w:rsid w:val="009B4A0F"/>
    <w:rsid w:val="009B77BA"/>
    <w:rsid w:val="009C11D2"/>
    <w:rsid w:val="009C30FC"/>
    <w:rsid w:val="009C5B84"/>
    <w:rsid w:val="009C6C70"/>
    <w:rsid w:val="009D0B63"/>
    <w:rsid w:val="009E307E"/>
    <w:rsid w:val="00A02F67"/>
    <w:rsid w:val="00A037C4"/>
    <w:rsid w:val="00A07870"/>
    <w:rsid w:val="00A07F19"/>
    <w:rsid w:val="00A1348D"/>
    <w:rsid w:val="00A1405F"/>
    <w:rsid w:val="00A213C4"/>
    <w:rsid w:val="00A232EE"/>
    <w:rsid w:val="00A23434"/>
    <w:rsid w:val="00A26A62"/>
    <w:rsid w:val="00A3171B"/>
    <w:rsid w:val="00A4175F"/>
    <w:rsid w:val="00A44411"/>
    <w:rsid w:val="00A469FA"/>
    <w:rsid w:val="00A55B01"/>
    <w:rsid w:val="00A56B5B"/>
    <w:rsid w:val="00A56FD3"/>
    <w:rsid w:val="00A603FF"/>
    <w:rsid w:val="00A63FBA"/>
    <w:rsid w:val="00A657DD"/>
    <w:rsid w:val="00A666A6"/>
    <w:rsid w:val="00A675FD"/>
    <w:rsid w:val="00A72437"/>
    <w:rsid w:val="00A80611"/>
    <w:rsid w:val="00A87030"/>
    <w:rsid w:val="00A90290"/>
    <w:rsid w:val="00AA3CB4"/>
    <w:rsid w:val="00AA4B68"/>
    <w:rsid w:val="00AB08A7"/>
    <w:rsid w:val="00AB104F"/>
    <w:rsid w:val="00AB5340"/>
    <w:rsid w:val="00AC0A89"/>
    <w:rsid w:val="00AC7C96"/>
    <w:rsid w:val="00AE237D"/>
    <w:rsid w:val="00AE502A"/>
    <w:rsid w:val="00AF7C07"/>
    <w:rsid w:val="00B22C93"/>
    <w:rsid w:val="00B23BB8"/>
    <w:rsid w:val="00B27589"/>
    <w:rsid w:val="00B405B7"/>
    <w:rsid w:val="00B52222"/>
    <w:rsid w:val="00B54FE7"/>
    <w:rsid w:val="00B613B8"/>
    <w:rsid w:val="00B66901"/>
    <w:rsid w:val="00B71E6D"/>
    <w:rsid w:val="00B72070"/>
    <w:rsid w:val="00B76BFA"/>
    <w:rsid w:val="00B779E1"/>
    <w:rsid w:val="00B77D6C"/>
    <w:rsid w:val="00B91EE1"/>
    <w:rsid w:val="00B947B6"/>
    <w:rsid w:val="00BA0090"/>
    <w:rsid w:val="00BA1A67"/>
    <w:rsid w:val="00BB3793"/>
    <w:rsid w:val="00BB7007"/>
    <w:rsid w:val="00BC5C15"/>
    <w:rsid w:val="00BE5B5F"/>
    <w:rsid w:val="00BF6B9C"/>
    <w:rsid w:val="00C070BC"/>
    <w:rsid w:val="00C1289D"/>
    <w:rsid w:val="00C16104"/>
    <w:rsid w:val="00C179E7"/>
    <w:rsid w:val="00C17BC7"/>
    <w:rsid w:val="00C26F55"/>
    <w:rsid w:val="00C30C63"/>
    <w:rsid w:val="00C36B8B"/>
    <w:rsid w:val="00C415C1"/>
    <w:rsid w:val="00C47DBF"/>
    <w:rsid w:val="00C54749"/>
    <w:rsid w:val="00C552FF"/>
    <w:rsid w:val="00C558DA"/>
    <w:rsid w:val="00C55AF3"/>
    <w:rsid w:val="00C67D7E"/>
    <w:rsid w:val="00C76D92"/>
    <w:rsid w:val="00C84759"/>
    <w:rsid w:val="00C9684B"/>
    <w:rsid w:val="00CA6C7F"/>
    <w:rsid w:val="00CA6E32"/>
    <w:rsid w:val="00CB44FC"/>
    <w:rsid w:val="00CB4DAE"/>
    <w:rsid w:val="00CC10A6"/>
    <w:rsid w:val="00CC44C5"/>
    <w:rsid w:val="00CD385D"/>
    <w:rsid w:val="00CD5EB8"/>
    <w:rsid w:val="00CD7044"/>
    <w:rsid w:val="00CD72D8"/>
    <w:rsid w:val="00CE08B9"/>
    <w:rsid w:val="00CE524C"/>
    <w:rsid w:val="00CF141F"/>
    <w:rsid w:val="00CF4777"/>
    <w:rsid w:val="00CF4C76"/>
    <w:rsid w:val="00CF7CA3"/>
    <w:rsid w:val="00D067BB"/>
    <w:rsid w:val="00D1352A"/>
    <w:rsid w:val="00D169AF"/>
    <w:rsid w:val="00D25249"/>
    <w:rsid w:val="00D35B61"/>
    <w:rsid w:val="00D4071A"/>
    <w:rsid w:val="00D4140C"/>
    <w:rsid w:val="00D4164C"/>
    <w:rsid w:val="00D44172"/>
    <w:rsid w:val="00D63B8C"/>
    <w:rsid w:val="00D714C6"/>
    <w:rsid w:val="00D739CC"/>
    <w:rsid w:val="00D8093D"/>
    <w:rsid w:val="00D8108C"/>
    <w:rsid w:val="00D842AE"/>
    <w:rsid w:val="00D9211C"/>
    <w:rsid w:val="00D92569"/>
    <w:rsid w:val="00D92DE0"/>
    <w:rsid w:val="00D92FEF"/>
    <w:rsid w:val="00D93A0F"/>
    <w:rsid w:val="00D97F2A"/>
    <w:rsid w:val="00DA1BCA"/>
    <w:rsid w:val="00DA7B13"/>
    <w:rsid w:val="00DC20F5"/>
    <w:rsid w:val="00DC46FF"/>
    <w:rsid w:val="00DC5254"/>
    <w:rsid w:val="00DD1A4F"/>
    <w:rsid w:val="00DD3107"/>
    <w:rsid w:val="00DD345E"/>
    <w:rsid w:val="00DD7C2C"/>
    <w:rsid w:val="00E06797"/>
    <w:rsid w:val="00E1265B"/>
    <w:rsid w:val="00E13B48"/>
    <w:rsid w:val="00E1404F"/>
    <w:rsid w:val="00E21C83"/>
    <w:rsid w:val="00E22D90"/>
    <w:rsid w:val="00E24ADA"/>
    <w:rsid w:val="00E30E62"/>
    <w:rsid w:val="00E32F59"/>
    <w:rsid w:val="00E426C4"/>
    <w:rsid w:val="00E46D9A"/>
    <w:rsid w:val="00E53D8B"/>
    <w:rsid w:val="00E565FF"/>
    <w:rsid w:val="00E65388"/>
    <w:rsid w:val="00E67A72"/>
    <w:rsid w:val="00E85B7D"/>
    <w:rsid w:val="00E9121B"/>
    <w:rsid w:val="00EA0AE2"/>
    <w:rsid w:val="00EA20A3"/>
    <w:rsid w:val="00EA39E5"/>
    <w:rsid w:val="00EA7A5B"/>
    <w:rsid w:val="00EB1633"/>
    <w:rsid w:val="00EB520D"/>
    <w:rsid w:val="00EB6ED2"/>
    <w:rsid w:val="00EC0CE2"/>
    <w:rsid w:val="00EC5A46"/>
    <w:rsid w:val="00EC63E2"/>
    <w:rsid w:val="00EF2252"/>
    <w:rsid w:val="00EF22B3"/>
    <w:rsid w:val="00EF5967"/>
    <w:rsid w:val="00EF6CE3"/>
    <w:rsid w:val="00EF7C1D"/>
    <w:rsid w:val="00F01ECB"/>
    <w:rsid w:val="00F03B69"/>
    <w:rsid w:val="00F07A50"/>
    <w:rsid w:val="00F113DA"/>
    <w:rsid w:val="00F37DC8"/>
    <w:rsid w:val="00F439B3"/>
    <w:rsid w:val="00F60781"/>
    <w:rsid w:val="00F650C3"/>
    <w:rsid w:val="00F65D85"/>
    <w:rsid w:val="00F76825"/>
    <w:rsid w:val="00F776F4"/>
    <w:rsid w:val="00F8091E"/>
    <w:rsid w:val="00F8615C"/>
    <w:rsid w:val="00F969E5"/>
    <w:rsid w:val="00F973DE"/>
    <w:rsid w:val="00FA29BA"/>
    <w:rsid w:val="00FA2B54"/>
    <w:rsid w:val="00FA6BB0"/>
    <w:rsid w:val="00FC5894"/>
    <w:rsid w:val="00FD5860"/>
    <w:rsid w:val="00FE352D"/>
    <w:rsid w:val="00FE40EB"/>
    <w:rsid w:val="00FE4D02"/>
    <w:rsid w:val="00FE7D62"/>
    <w:rsid w:val="00FF3563"/>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339C625D-B211-43AB-9BA6-9A6B9ACC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01DEB"/>
    <w:rPr>
      <w:rFonts w:eastAsia="MS Mincho"/>
      <w:lang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character" w:customStyle="1" w:styleId="NormalnumberChar">
    <w:name w:val="Normal_number Char"/>
    <w:link w:val="Normalnumber"/>
    <w:rsid w:val="00675AAB"/>
    <w:rPr>
      <w:lang w:eastAsia="en-US"/>
    </w:rPr>
  </w:style>
  <w:style w:type="character" w:customStyle="1" w:styleId="Normal-poolChar">
    <w:name w:val="Normal-pool Char"/>
    <w:link w:val="Normal-pool"/>
    <w:rsid w:val="00801DEB"/>
    <w:rPr>
      <w:lang w:eastAsia="en-US"/>
    </w:rPr>
  </w:style>
  <w:style w:type="character" w:customStyle="1" w:styleId="CH2Char">
    <w:name w:val="CH2 Char"/>
    <w:link w:val="CH2"/>
    <w:rsid w:val="00801DEB"/>
    <w:rPr>
      <w:b/>
      <w:sz w:val="24"/>
      <w:szCs w:val="24"/>
      <w:lang w:eastAsia="en-US"/>
    </w:rPr>
  </w:style>
  <w:style w:type="character" w:customStyle="1" w:styleId="HeaderChar">
    <w:name w:val="Header Char"/>
    <w:link w:val="Header"/>
    <w:uiPriority w:val="99"/>
    <w:rsid w:val="00801DEB"/>
    <w:rPr>
      <w:b/>
      <w:sz w:val="18"/>
      <w:lang w:val="fr-FR" w:eastAsia="en-US"/>
    </w:rPr>
  </w:style>
  <w:style w:type="character" w:customStyle="1" w:styleId="FooterChar">
    <w:name w:val="Footer Char"/>
    <w:link w:val="Footer"/>
    <w:uiPriority w:val="99"/>
    <w:rsid w:val="00801DEB"/>
    <w:rPr>
      <w:sz w:val="18"/>
      <w:lang w:val="fr-FR" w:eastAsia="en-US"/>
    </w:rPr>
  </w:style>
  <w:style w:type="paragraph" w:styleId="Title">
    <w:name w:val="Title"/>
    <w:basedOn w:val="BBTitle"/>
    <w:next w:val="Normal"/>
    <w:link w:val="TitleChar"/>
    <w:qFormat/>
    <w:rsid w:val="00801DEB"/>
    <w:pPr>
      <w:tabs>
        <w:tab w:val="clear" w:pos="4082"/>
      </w:tabs>
    </w:pPr>
    <w:rPr>
      <w:lang w:val="en-US"/>
    </w:rPr>
  </w:style>
  <w:style w:type="character" w:customStyle="1" w:styleId="TitleChar">
    <w:name w:val="Title Char"/>
    <w:basedOn w:val="DefaultParagraphFont"/>
    <w:link w:val="Title"/>
    <w:rsid w:val="00801DEB"/>
    <w:rPr>
      <w:b/>
      <w:sz w:val="28"/>
      <w:szCs w:val="28"/>
      <w:lang w:val="en-US" w:eastAsia="en-US"/>
    </w:rPr>
  </w:style>
  <w:style w:type="paragraph" w:customStyle="1" w:styleId="AgendaItemTitle">
    <w:name w:val="AgendaItem_Title"/>
    <w:basedOn w:val="Normal-pool"/>
    <w:qFormat/>
    <w:rsid w:val="00801DEB"/>
    <w:pPr>
      <w:keepNext/>
      <w:keepLines/>
      <w:tabs>
        <w:tab w:val="clear" w:pos="4082"/>
      </w:tabs>
      <w:suppressAutoHyphens/>
      <w:ind w:right="3402"/>
    </w:pPr>
    <w:rPr>
      <w:b/>
    </w:rPr>
  </w:style>
  <w:style w:type="paragraph" w:customStyle="1" w:styleId="AnnexTitle">
    <w:name w:val="Annex Title"/>
    <w:basedOn w:val="Normal-pool"/>
    <w:qFormat/>
    <w:rsid w:val="00801DEB"/>
    <w:pPr>
      <w:pageBreakBefore/>
      <w:tabs>
        <w:tab w:val="clear" w:pos="4082"/>
      </w:tabs>
    </w:pPr>
    <w:rPr>
      <w:b/>
      <w:bCs/>
      <w:sz w:val="28"/>
      <w:szCs w:val="22"/>
    </w:rPr>
  </w:style>
  <w:style w:type="paragraph" w:customStyle="1" w:styleId="NormalPlain">
    <w:name w:val="Normal_Plain"/>
    <w:basedOn w:val="Normal"/>
    <w:qFormat/>
    <w:rsid w:val="00801DEB"/>
    <w:pPr>
      <w:ind w:left="1260"/>
    </w:pPr>
    <w:rPr>
      <w:lang w:eastAsia="ko-KR"/>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locked/>
    <w:rsid w:val="00801DEB"/>
    <w:rPr>
      <w:sz w:val="18"/>
      <w:lang w:val="fr-FR"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4F184C"/>
    <w:pPr>
      <w:tabs>
        <w:tab w:val="clear" w:pos="1247"/>
        <w:tab w:val="clear" w:pos="1814"/>
        <w:tab w:val="clear" w:pos="2381"/>
        <w:tab w:val="clear" w:pos="2948"/>
        <w:tab w:val="clear" w:pos="3515"/>
        <w:tab w:val="clear" w:pos="4082"/>
        <w:tab w:val="left" w:pos="624"/>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675AAB"/>
    <w:pPr>
      <w:numPr>
        <w:numId w:val="42"/>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52F18"/>
    <w:rPr>
      <w:rFonts w:ascii="Tahoma" w:hAnsi="Tahoma" w:cs="Tahoma"/>
      <w:sz w:val="16"/>
      <w:szCs w:val="16"/>
    </w:rPr>
  </w:style>
  <w:style w:type="character" w:customStyle="1" w:styleId="BalloonTextChar">
    <w:name w:val="Balloon Text Char"/>
    <w:basedOn w:val="DefaultParagraphFont"/>
    <w:link w:val="BalloonText"/>
    <w:rsid w:val="00952F18"/>
    <w:rPr>
      <w:rFonts w:ascii="Tahoma" w:eastAsia="MS Mincho" w:hAnsi="Tahoma" w:cs="Tahoma"/>
      <w:sz w:val="16"/>
      <w:szCs w:val="16"/>
      <w:lang w:eastAsia="en-US"/>
    </w:rPr>
  </w:style>
  <w:style w:type="character" w:styleId="CommentReference">
    <w:name w:val="annotation reference"/>
    <w:basedOn w:val="DefaultParagraphFont"/>
    <w:rsid w:val="004C5438"/>
    <w:rPr>
      <w:sz w:val="16"/>
      <w:szCs w:val="16"/>
    </w:rPr>
  </w:style>
  <w:style w:type="paragraph" w:styleId="CommentText">
    <w:name w:val="annotation text"/>
    <w:basedOn w:val="Normal"/>
    <w:link w:val="CommentTextChar"/>
    <w:rsid w:val="004C5438"/>
  </w:style>
  <w:style w:type="character" w:customStyle="1" w:styleId="CommentTextChar">
    <w:name w:val="Comment Text Char"/>
    <w:basedOn w:val="DefaultParagraphFont"/>
    <w:link w:val="CommentText"/>
    <w:rsid w:val="004C5438"/>
    <w:rPr>
      <w:rFonts w:eastAsia="MS Mincho"/>
      <w:lang w:eastAsia="en-US"/>
    </w:rPr>
  </w:style>
  <w:style w:type="paragraph" w:styleId="CommentSubject">
    <w:name w:val="annotation subject"/>
    <w:basedOn w:val="CommentText"/>
    <w:next w:val="CommentText"/>
    <w:link w:val="CommentSubjectChar"/>
    <w:rsid w:val="004C5438"/>
    <w:rPr>
      <w:b/>
      <w:bCs/>
    </w:rPr>
  </w:style>
  <w:style w:type="character" w:customStyle="1" w:styleId="CommentSubjectChar">
    <w:name w:val="Comment Subject Char"/>
    <w:basedOn w:val="CommentTextChar"/>
    <w:link w:val="CommentSubject"/>
    <w:rsid w:val="004C5438"/>
    <w:rPr>
      <w:rFonts w:eastAsia="MS Mincho"/>
      <w:b/>
      <w:bCs/>
      <w:lang w:eastAsia="en-US"/>
    </w:rPr>
  </w:style>
  <w:style w:type="paragraph" w:styleId="Revision">
    <w:name w:val="Revision"/>
    <w:hidden/>
    <w:uiPriority w:val="99"/>
    <w:semiHidden/>
    <w:rsid w:val="00FF3563"/>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1206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AD56-DCDD-4DE5-857F-A1BD5CFD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5282</Words>
  <Characters>30112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2017-02-28T13:05:00Z</cp:lastPrinted>
  <dcterms:created xsi:type="dcterms:W3CDTF">2017-03-01T16:17:00Z</dcterms:created>
  <dcterms:modified xsi:type="dcterms:W3CDTF">2017-03-01T16:17:00Z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1/17/2017 12:53:27 PM</vt:lpwstr>
  </property>
  <property fmtid="{D5CDD505-2E9C-101B-9397-08002B2CF9AE}" pid="5" name="OriginalDocID">
    <vt:lpwstr>4e81f74b-4c4b-4d16-92ba-a69484062117</vt:lpwstr>
  </property>
</Properties>
</file>