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AC" w:rsidRPr="00F24EBB" w:rsidRDefault="00B621AC" w:rsidP="00B621AC">
      <w:pPr>
        <w:spacing w:line="240" w:lineRule="auto"/>
      </w:pPr>
      <w:bookmarkStart w:id="0" w:name="_GoBack"/>
      <w:bookmarkEnd w:id="0"/>
    </w:p>
    <w:tbl>
      <w:tblPr>
        <w:tblW w:w="9780" w:type="dxa"/>
        <w:tblLayout w:type="fixed"/>
        <w:tblLook w:val="0000" w:firstRow="0" w:lastRow="0" w:firstColumn="0" w:lastColumn="0" w:noHBand="0" w:noVBand="0"/>
      </w:tblPr>
      <w:tblGrid>
        <w:gridCol w:w="1560"/>
        <w:gridCol w:w="5208"/>
        <w:gridCol w:w="3012"/>
      </w:tblGrid>
      <w:tr w:rsidR="00B621AC" w:rsidRPr="00F24EBB" w:rsidTr="00C77712">
        <w:trPr>
          <w:cantSplit/>
          <w:trHeight w:val="850"/>
        </w:trPr>
        <w:tc>
          <w:tcPr>
            <w:tcW w:w="1560" w:type="dxa"/>
          </w:tcPr>
          <w:p w:rsidR="00B621AC" w:rsidRPr="00F24EBB" w:rsidRDefault="00B621AC" w:rsidP="00B621AC">
            <w:pPr>
              <w:tabs>
                <w:tab w:val="left" w:pos="624"/>
                <w:tab w:val="left" w:pos="1871"/>
                <w:tab w:val="left" w:pos="2495"/>
                <w:tab w:val="left" w:pos="3119"/>
                <w:tab w:val="left" w:pos="3742"/>
              </w:tabs>
              <w:spacing w:line="240" w:lineRule="auto"/>
              <w:rPr>
                <w:rFonts w:ascii="Arial" w:hAnsi="Arial" w:cs="Arial"/>
                <w:b/>
                <w:noProof/>
                <w:sz w:val="27"/>
                <w:szCs w:val="27"/>
              </w:rPr>
            </w:pPr>
            <w:r w:rsidRPr="00F24EBB">
              <w:rPr>
                <w:rFonts w:ascii="Arial" w:hAnsi="Arial" w:cs="Arial"/>
                <w:b/>
                <w:noProof/>
                <w:sz w:val="27"/>
                <w:szCs w:val="27"/>
              </w:rPr>
              <w:t>UNITED</w:t>
            </w:r>
            <w:r w:rsidRPr="00F24EBB">
              <w:rPr>
                <w:rFonts w:ascii="Arial" w:hAnsi="Arial" w:cs="Arial"/>
                <w:b/>
                <w:noProof/>
                <w:sz w:val="27"/>
                <w:szCs w:val="27"/>
              </w:rPr>
              <w:br/>
              <w:t>NATIONS</w:t>
            </w:r>
          </w:p>
        </w:tc>
        <w:tc>
          <w:tcPr>
            <w:tcW w:w="5208" w:type="dxa"/>
          </w:tcPr>
          <w:p w:rsidR="00B621AC" w:rsidRPr="00F24EBB" w:rsidRDefault="00B621AC" w:rsidP="00B621AC">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B621AC" w:rsidRPr="00F24EBB" w:rsidRDefault="00B621AC" w:rsidP="00B621AC">
            <w:pPr>
              <w:tabs>
                <w:tab w:val="left" w:pos="624"/>
                <w:tab w:val="left" w:pos="1871"/>
                <w:tab w:val="left" w:pos="2495"/>
                <w:tab w:val="left" w:pos="3119"/>
                <w:tab w:val="left" w:pos="3742"/>
              </w:tabs>
              <w:spacing w:line="240" w:lineRule="auto"/>
              <w:jc w:val="right"/>
              <w:rPr>
                <w:rFonts w:ascii="Univers" w:hAnsi="Univers"/>
                <w:b/>
                <w:sz w:val="72"/>
                <w:szCs w:val="72"/>
              </w:rPr>
            </w:pPr>
            <w:r w:rsidRPr="00F24EBB">
              <w:rPr>
                <w:rFonts w:ascii="Univers" w:hAnsi="Univers"/>
                <w:b/>
                <w:sz w:val="72"/>
                <w:szCs w:val="72"/>
              </w:rPr>
              <w:t>EP</w:t>
            </w:r>
          </w:p>
        </w:tc>
      </w:tr>
      <w:tr w:rsidR="00B621AC" w:rsidRPr="00F24EBB" w:rsidTr="00C77712">
        <w:trPr>
          <w:cantSplit/>
          <w:trHeight w:val="281"/>
        </w:trPr>
        <w:tc>
          <w:tcPr>
            <w:tcW w:w="1560" w:type="dxa"/>
            <w:tcBorders>
              <w:bottom w:val="single" w:sz="4" w:space="0" w:color="auto"/>
            </w:tcBorders>
          </w:tcPr>
          <w:p w:rsidR="00B621AC" w:rsidRPr="00F24EBB" w:rsidRDefault="00B621AC" w:rsidP="00B621AC">
            <w:pPr>
              <w:tabs>
                <w:tab w:val="left" w:pos="624"/>
                <w:tab w:val="left" w:pos="1871"/>
                <w:tab w:val="left" w:pos="2495"/>
                <w:tab w:val="left" w:pos="3119"/>
                <w:tab w:val="left" w:pos="3742"/>
              </w:tabs>
              <w:spacing w:line="240" w:lineRule="auto"/>
              <w:rPr>
                <w:noProof/>
                <w:sz w:val="18"/>
                <w:szCs w:val="18"/>
              </w:rPr>
            </w:pPr>
          </w:p>
        </w:tc>
        <w:tc>
          <w:tcPr>
            <w:tcW w:w="5208" w:type="dxa"/>
            <w:tcBorders>
              <w:bottom w:val="single" w:sz="4" w:space="0" w:color="auto"/>
            </w:tcBorders>
          </w:tcPr>
          <w:p w:rsidR="00B621AC" w:rsidRPr="00F24EBB" w:rsidRDefault="00B621AC" w:rsidP="00B621AC">
            <w:pPr>
              <w:tabs>
                <w:tab w:val="left" w:pos="624"/>
                <w:tab w:val="left" w:pos="1871"/>
                <w:tab w:val="left" w:pos="2495"/>
                <w:tab w:val="left" w:pos="3119"/>
                <w:tab w:val="left" w:pos="3742"/>
              </w:tabs>
              <w:spacing w:line="240" w:lineRule="auto"/>
              <w:rPr>
                <w:rFonts w:ascii="Univers" w:hAnsi="Univers"/>
                <w:b/>
                <w:sz w:val="18"/>
                <w:szCs w:val="18"/>
              </w:rPr>
            </w:pPr>
          </w:p>
        </w:tc>
        <w:tc>
          <w:tcPr>
            <w:tcW w:w="3012" w:type="dxa"/>
            <w:tcBorders>
              <w:bottom w:val="single" w:sz="4" w:space="0" w:color="auto"/>
            </w:tcBorders>
          </w:tcPr>
          <w:p w:rsidR="00B621AC" w:rsidRPr="00F24EBB" w:rsidRDefault="00B621AC" w:rsidP="005C11A5">
            <w:pPr>
              <w:tabs>
                <w:tab w:val="left" w:pos="624"/>
                <w:tab w:val="left" w:pos="1871"/>
                <w:tab w:val="left" w:pos="2495"/>
                <w:tab w:val="left" w:pos="3119"/>
                <w:tab w:val="left" w:pos="3742"/>
              </w:tabs>
              <w:spacing w:after="0" w:line="240" w:lineRule="auto"/>
              <w:rPr>
                <w:rFonts w:ascii="Times New Roman" w:hAnsi="Times New Roman"/>
                <w:noProof/>
                <w:sz w:val="18"/>
                <w:szCs w:val="18"/>
                <w:lang w:eastAsia="ja-JP"/>
              </w:rPr>
            </w:pPr>
            <w:r w:rsidRPr="00F24EBB">
              <w:rPr>
                <w:rFonts w:ascii="Times New Roman" w:hAnsi="Times New Roman"/>
                <w:b/>
                <w:sz w:val="24"/>
                <w:szCs w:val="24"/>
              </w:rPr>
              <w:t>IPBES</w:t>
            </w:r>
            <w:r w:rsidRPr="00F24EBB">
              <w:rPr>
                <w:rFonts w:ascii="Times New Roman" w:hAnsi="Times New Roman"/>
                <w:sz w:val="20"/>
                <w:szCs w:val="20"/>
              </w:rPr>
              <w:t>/</w:t>
            </w:r>
            <w:r w:rsidRPr="00F24EBB">
              <w:rPr>
                <w:rFonts w:ascii="Times New Roman" w:hAnsi="Times New Roman"/>
                <w:sz w:val="20"/>
                <w:szCs w:val="20"/>
                <w:lang w:eastAsia="ja-JP"/>
              </w:rPr>
              <w:t>2/7</w:t>
            </w:r>
          </w:p>
        </w:tc>
      </w:tr>
      <w:tr w:rsidR="00B621AC" w:rsidRPr="00F24EBB" w:rsidTr="00C77712">
        <w:trPr>
          <w:cantSplit/>
          <w:trHeight w:val="2549"/>
        </w:trPr>
        <w:tc>
          <w:tcPr>
            <w:tcW w:w="1560" w:type="dxa"/>
            <w:tcBorders>
              <w:top w:val="single" w:sz="4" w:space="0" w:color="auto"/>
              <w:bottom w:val="single" w:sz="24" w:space="0" w:color="auto"/>
            </w:tcBorders>
          </w:tcPr>
          <w:p w:rsidR="00B621AC" w:rsidRPr="00F24EBB" w:rsidRDefault="00B621AC" w:rsidP="00B621AC">
            <w:pPr>
              <w:tabs>
                <w:tab w:val="left" w:pos="624"/>
                <w:tab w:val="left" w:pos="1871"/>
                <w:tab w:val="left" w:pos="2495"/>
                <w:tab w:val="left" w:pos="3119"/>
                <w:tab w:val="left" w:pos="3742"/>
              </w:tabs>
              <w:spacing w:line="240" w:lineRule="auto"/>
              <w:rPr>
                <w:noProof/>
              </w:rPr>
            </w:pPr>
            <w:r w:rsidRPr="00F24EBB">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4570239" r:id="rId10"/>
              </w:object>
            </w:r>
            <w:r w:rsidR="001D28D6">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B621AC" w:rsidRPr="00F24EBB" w:rsidRDefault="00B621AC" w:rsidP="00B621AC">
            <w:pPr>
              <w:tabs>
                <w:tab w:val="left" w:pos="624"/>
                <w:tab w:val="left" w:pos="1871"/>
                <w:tab w:val="left" w:pos="2495"/>
                <w:tab w:val="left" w:pos="3119"/>
                <w:tab w:val="left" w:pos="3742"/>
              </w:tabs>
              <w:spacing w:before="1400" w:line="240" w:lineRule="auto"/>
              <w:rPr>
                <w:rFonts w:ascii="Univers" w:hAnsi="Univers"/>
                <w:b/>
                <w:sz w:val="28"/>
              </w:rPr>
            </w:pPr>
            <w:r w:rsidRPr="00F24EBB">
              <w:rPr>
                <w:rFonts w:ascii="Univers" w:hAnsi="Univers"/>
                <w:b/>
                <w:sz w:val="32"/>
                <w:szCs w:val="32"/>
              </w:rPr>
              <w:t>United Nations</w:t>
            </w:r>
            <w:r w:rsidRPr="00F24EBB">
              <w:rPr>
                <w:rFonts w:ascii="Univers" w:hAnsi="Univers"/>
                <w:b/>
                <w:sz w:val="32"/>
                <w:szCs w:val="32"/>
              </w:rPr>
              <w:br/>
              <w:t xml:space="preserve">Environment </w:t>
            </w:r>
            <w:r w:rsidRPr="00F24EBB">
              <w:rPr>
                <w:rFonts w:ascii="Univers" w:hAnsi="Univers"/>
                <w:b/>
                <w:sz w:val="32"/>
                <w:szCs w:val="32"/>
              </w:rPr>
              <w:br/>
              <w:t>Programme</w:t>
            </w:r>
          </w:p>
        </w:tc>
        <w:tc>
          <w:tcPr>
            <w:tcW w:w="3012" w:type="dxa"/>
            <w:tcBorders>
              <w:top w:val="single" w:sz="4" w:space="0" w:color="auto"/>
              <w:bottom w:val="single" w:sz="24" w:space="0" w:color="auto"/>
            </w:tcBorders>
          </w:tcPr>
          <w:p w:rsidR="00B621AC" w:rsidRPr="00F24EBB" w:rsidRDefault="00B621AC" w:rsidP="000D4D07">
            <w:pPr>
              <w:tabs>
                <w:tab w:val="left" w:pos="624"/>
                <w:tab w:val="left" w:pos="1871"/>
                <w:tab w:val="left" w:pos="2495"/>
                <w:tab w:val="left" w:pos="3119"/>
                <w:tab w:val="left" w:pos="3742"/>
              </w:tabs>
              <w:spacing w:before="120" w:after="0" w:line="240" w:lineRule="auto"/>
              <w:rPr>
                <w:rFonts w:ascii="Times New Roman" w:hAnsi="Times New Roman"/>
              </w:rPr>
            </w:pPr>
            <w:r w:rsidRPr="00F24EBB">
              <w:rPr>
                <w:rFonts w:ascii="Times New Roman" w:hAnsi="Times New Roman"/>
              </w:rPr>
              <w:t>Distr.: General</w:t>
            </w:r>
            <w:r w:rsidR="003C3AD4" w:rsidRPr="00F24EBB">
              <w:rPr>
                <w:rFonts w:ascii="Times New Roman" w:hAnsi="Times New Roman"/>
              </w:rPr>
              <w:br/>
            </w:r>
            <w:r w:rsidR="00C758E4" w:rsidRPr="00F24EBB">
              <w:rPr>
                <w:rFonts w:ascii="Times New Roman" w:hAnsi="Times New Roman"/>
                <w:lang w:eastAsia="ja-JP"/>
              </w:rPr>
              <w:t>19</w:t>
            </w:r>
            <w:r w:rsidRPr="00F24EBB">
              <w:rPr>
                <w:rFonts w:ascii="Times New Roman" w:hAnsi="Times New Roman"/>
                <w:lang w:eastAsia="ja-JP"/>
              </w:rPr>
              <w:t xml:space="preserve"> September 2013</w:t>
            </w:r>
          </w:p>
          <w:p w:rsidR="00B621AC" w:rsidRPr="00F24EBB" w:rsidRDefault="00B621AC" w:rsidP="00953281">
            <w:pPr>
              <w:tabs>
                <w:tab w:val="left" w:pos="624"/>
                <w:tab w:val="left" w:pos="1871"/>
                <w:tab w:val="left" w:pos="2495"/>
                <w:tab w:val="left" w:pos="3119"/>
                <w:tab w:val="left" w:pos="3742"/>
              </w:tabs>
              <w:spacing w:before="120" w:after="0" w:line="240" w:lineRule="auto"/>
            </w:pPr>
            <w:r w:rsidRPr="00F24EBB">
              <w:rPr>
                <w:rFonts w:ascii="Times New Roman" w:hAnsi="Times New Roman"/>
              </w:rPr>
              <w:t>Original: English</w:t>
            </w:r>
            <w:r w:rsidRPr="00F24EBB">
              <w:t xml:space="preserve"> </w:t>
            </w:r>
          </w:p>
        </w:tc>
      </w:tr>
    </w:tbl>
    <w:p w:rsidR="00B621AC" w:rsidRPr="00F24EBB" w:rsidRDefault="00B621AC" w:rsidP="00B621AC">
      <w:pPr>
        <w:pStyle w:val="AATitle"/>
        <w:keepNext w:val="0"/>
        <w:keepLines w:val="0"/>
        <w:tabs>
          <w:tab w:val="clear" w:pos="4082"/>
          <w:tab w:val="left" w:pos="4395"/>
        </w:tabs>
        <w:ind w:right="4631"/>
        <w:rPr>
          <w:lang w:val="en-GB"/>
        </w:rPr>
      </w:pPr>
      <w:r w:rsidRPr="00F24EBB">
        <w:rPr>
          <w:lang w:val="en-GB"/>
        </w:rPr>
        <w:t xml:space="preserve">Plenary of the Intergovernmental Science-Policy </w:t>
      </w:r>
      <w:r w:rsidRPr="00F24EBB">
        <w:rPr>
          <w:lang w:val="en-GB"/>
        </w:rPr>
        <w:br/>
        <w:t>Platform on Biodiversity and Ecosystem Services</w:t>
      </w:r>
    </w:p>
    <w:p w:rsidR="00B621AC" w:rsidRPr="00F24EBB" w:rsidRDefault="00B621AC" w:rsidP="00B621AC">
      <w:pPr>
        <w:pStyle w:val="AATitle"/>
        <w:keepNext w:val="0"/>
        <w:keepLines w:val="0"/>
        <w:rPr>
          <w:lang w:val="en-GB"/>
        </w:rPr>
      </w:pPr>
      <w:r w:rsidRPr="00F24EBB">
        <w:rPr>
          <w:lang w:val="en-GB"/>
        </w:rPr>
        <w:t>Second session</w:t>
      </w:r>
    </w:p>
    <w:p w:rsidR="00B621AC" w:rsidRPr="00F24EBB" w:rsidRDefault="00B621AC" w:rsidP="00B621AC">
      <w:pPr>
        <w:pStyle w:val="AATitle"/>
        <w:rPr>
          <w:b w:val="0"/>
          <w:lang w:val="en-GB"/>
        </w:rPr>
      </w:pPr>
      <w:r w:rsidRPr="00F24EBB">
        <w:rPr>
          <w:b w:val="0"/>
          <w:lang w:val="en-GB"/>
        </w:rPr>
        <w:t>Antalya, Turkey, 9–14 December 2013</w:t>
      </w:r>
    </w:p>
    <w:p w:rsidR="00B621AC" w:rsidRPr="00F24EBB" w:rsidRDefault="00B621AC" w:rsidP="00B621AC">
      <w:pPr>
        <w:pStyle w:val="AATitle"/>
        <w:rPr>
          <w:b w:val="0"/>
          <w:lang w:val="en-GB"/>
        </w:rPr>
      </w:pPr>
      <w:r w:rsidRPr="00F24EBB">
        <w:rPr>
          <w:b w:val="0"/>
          <w:lang w:val="en-GB"/>
        </w:rPr>
        <w:t xml:space="preserve">Item </w:t>
      </w:r>
      <w:r w:rsidR="007F6A48" w:rsidRPr="00F24EBB">
        <w:rPr>
          <w:b w:val="0"/>
          <w:lang w:val="en-GB"/>
        </w:rPr>
        <w:t xml:space="preserve">5 (c) </w:t>
      </w:r>
      <w:r w:rsidRPr="00F24EBB">
        <w:rPr>
          <w:b w:val="0"/>
          <w:lang w:val="en-GB"/>
        </w:rPr>
        <w:t>of the provisional agenda</w:t>
      </w:r>
      <w:r w:rsidRPr="00F24EBB">
        <w:rPr>
          <w:rStyle w:val="FootnoteReference"/>
          <w:b w:val="0"/>
          <w:lang w:val="en-GB"/>
        </w:rPr>
        <w:footnoteReference w:customMarkFollows="1" w:id="1"/>
        <w:sym w:font="Symbol" w:char="F02A"/>
      </w:r>
      <w:r w:rsidRPr="00F24EBB">
        <w:rPr>
          <w:b w:val="0"/>
          <w:lang w:val="en-GB"/>
        </w:rPr>
        <w:t> </w:t>
      </w:r>
    </w:p>
    <w:p w:rsidR="00B621AC" w:rsidRPr="00F24EBB" w:rsidRDefault="007F6A48" w:rsidP="00FA25E1">
      <w:pPr>
        <w:pStyle w:val="AATitle2"/>
        <w:rPr>
          <w:lang w:val="en-GB"/>
        </w:rPr>
      </w:pPr>
      <w:r w:rsidRPr="00F24EBB">
        <w:rPr>
          <w:lang w:val="en-GB"/>
        </w:rPr>
        <w:t>Financial and budgetary arrangements for the Platform: financial procedures</w:t>
      </w:r>
      <w:r w:rsidR="00B621AC" w:rsidRPr="00F24EBB">
        <w:rPr>
          <w:lang w:val="en-GB"/>
        </w:rPr>
        <w:t xml:space="preserve"> </w:t>
      </w:r>
    </w:p>
    <w:p w:rsidR="00A2431F" w:rsidRPr="00F24EBB" w:rsidRDefault="00A2431F" w:rsidP="00B621AC">
      <w:pPr>
        <w:pStyle w:val="BBTitle"/>
        <w:rPr>
          <w:lang w:val="en-GB"/>
        </w:rPr>
      </w:pPr>
      <w:r w:rsidRPr="00F24EBB">
        <w:rPr>
          <w:lang w:val="en-GB"/>
        </w:rPr>
        <w:t>Draft financial procedures for the Intergovernmental Science</w:t>
      </w:r>
      <w:r w:rsidR="007F6A48" w:rsidRPr="00F24EBB">
        <w:rPr>
          <w:lang w:val="en-GB"/>
        </w:rPr>
        <w:noBreakHyphen/>
      </w:r>
      <w:r w:rsidRPr="00F24EBB">
        <w:rPr>
          <w:lang w:val="en-GB"/>
        </w:rPr>
        <w:t xml:space="preserve">Policy Platform on Biodiversity and Ecosystem Services </w:t>
      </w:r>
    </w:p>
    <w:p w:rsidR="007F6A48" w:rsidRPr="00F24EBB" w:rsidRDefault="007F6A48" w:rsidP="007F6A48">
      <w:pPr>
        <w:pStyle w:val="CH2"/>
        <w:outlineLvl w:val="0"/>
        <w:rPr>
          <w:rFonts w:eastAsia="Batang"/>
          <w:lang w:val="en-GB" w:eastAsia="ko-KR"/>
        </w:rPr>
      </w:pPr>
      <w:r w:rsidRPr="00F24EBB">
        <w:rPr>
          <w:rFonts w:eastAsia="Batang"/>
          <w:lang w:val="en-GB" w:eastAsia="ko-KR"/>
        </w:rPr>
        <w:tab/>
      </w:r>
      <w:r w:rsidRPr="00F24EBB">
        <w:rPr>
          <w:rFonts w:eastAsia="Batang"/>
          <w:lang w:val="en-GB" w:eastAsia="ko-KR"/>
        </w:rPr>
        <w:tab/>
        <w:t xml:space="preserve">Note by the secretariat </w:t>
      </w:r>
    </w:p>
    <w:p w:rsidR="007F6A48" w:rsidRPr="00F24EBB" w:rsidRDefault="007F6A48" w:rsidP="003C3AD4">
      <w:pPr>
        <w:pStyle w:val="CH2"/>
        <w:ind w:firstLine="624"/>
        <w:rPr>
          <w:b w:val="0"/>
          <w:sz w:val="20"/>
          <w:szCs w:val="20"/>
          <w:lang w:val="en-GB"/>
        </w:rPr>
      </w:pPr>
      <w:r w:rsidRPr="00F24EBB">
        <w:rPr>
          <w:b w:val="0"/>
          <w:sz w:val="20"/>
          <w:szCs w:val="20"/>
          <w:lang w:val="en-GB" w:eastAsia="ko-KR"/>
        </w:rPr>
        <w:t xml:space="preserve">The draft rules governing the financial procedures for the </w:t>
      </w:r>
      <w:r w:rsidRPr="00F24EBB">
        <w:rPr>
          <w:b w:val="0"/>
          <w:sz w:val="20"/>
          <w:szCs w:val="20"/>
          <w:lang w:val="en-GB"/>
        </w:rPr>
        <w:t>Intergovernmental Science</w:t>
      </w:r>
      <w:r w:rsidR="00F44FAA">
        <w:rPr>
          <w:b w:val="0"/>
          <w:sz w:val="20"/>
          <w:szCs w:val="20"/>
          <w:lang w:val="en-GB"/>
        </w:rPr>
        <w:noBreakHyphen/>
      </w:r>
      <w:r w:rsidRPr="00F24EBB">
        <w:rPr>
          <w:b w:val="0"/>
          <w:sz w:val="20"/>
          <w:szCs w:val="20"/>
          <w:lang w:val="en-GB"/>
        </w:rPr>
        <w:t>Policy Platform on Biodiversity and Ecosystem Services</w:t>
      </w:r>
      <w:r w:rsidRPr="00F24EBB">
        <w:rPr>
          <w:b w:val="0"/>
          <w:sz w:val="20"/>
          <w:szCs w:val="20"/>
          <w:lang w:val="en-GB" w:eastAsia="ko-KR"/>
        </w:rPr>
        <w:t xml:space="preserve"> are set out in the annex to the present note.</w:t>
      </w:r>
    </w:p>
    <w:p w:rsidR="007F6A48" w:rsidRPr="00F24EBB" w:rsidRDefault="007F6A48" w:rsidP="00FA25E1">
      <w:pPr>
        <w:pStyle w:val="ZZAnxheader"/>
        <w:rPr>
          <w:rFonts w:ascii="Cambria" w:eastAsia="MS Gothic" w:hAnsi="Cambria"/>
          <w:color w:val="345A8A"/>
          <w:szCs w:val="28"/>
        </w:rPr>
      </w:pPr>
      <w:r w:rsidRPr="00F24EBB">
        <w:br w:type="page"/>
      </w:r>
      <w:r w:rsidRPr="00F24EBB">
        <w:lastRenderedPageBreak/>
        <w:t>Annex</w:t>
      </w:r>
    </w:p>
    <w:p w:rsidR="007F6A48" w:rsidRPr="00F24EBB" w:rsidRDefault="007F6A48" w:rsidP="000D4D07">
      <w:pPr>
        <w:pStyle w:val="CH2"/>
        <w:spacing w:before="240" w:after="180"/>
        <w:rPr>
          <w:lang w:val="en-GB"/>
        </w:rPr>
      </w:pPr>
      <w:r w:rsidRPr="00F24EBB">
        <w:rPr>
          <w:lang w:val="en-GB"/>
        </w:rPr>
        <w:tab/>
      </w:r>
      <w:r w:rsidRPr="00F24EBB">
        <w:rPr>
          <w:lang w:val="en-GB"/>
        </w:rPr>
        <w:tab/>
        <w:t>Draft financial procedures for the Intergovernmental Science-Policy Platform on Biodiversity and Ecosystem Services</w:t>
      </w:r>
    </w:p>
    <w:p w:rsidR="00A2431F" w:rsidRPr="00F24EBB" w:rsidRDefault="007F6A48" w:rsidP="00B621AC">
      <w:pPr>
        <w:pStyle w:val="CH2"/>
        <w:rPr>
          <w:lang w:val="en-GB"/>
        </w:rPr>
      </w:pPr>
      <w:r w:rsidRPr="00F24EBB">
        <w:rPr>
          <w:lang w:val="en-GB"/>
        </w:rPr>
        <w:tab/>
      </w:r>
      <w:r w:rsidRPr="00F24EBB">
        <w:rPr>
          <w:lang w:val="en-GB"/>
        </w:rPr>
        <w:tab/>
      </w:r>
      <w:r w:rsidR="00A2431F" w:rsidRPr="00F24EBB">
        <w:rPr>
          <w:lang w:val="en-GB"/>
        </w:rPr>
        <w:t xml:space="preserve">Scope </w:t>
      </w:r>
    </w:p>
    <w:p w:rsidR="00A2431F" w:rsidRPr="00F24EBB" w:rsidRDefault="00A2431F" w:rsidP="00B621AC">
      <w:pPr>
        <w:pStyle w:val="CH2"/>
        <w:rPr>
          <w:lang w:val="en-GB"/>
        </w:rPr>
      </w:pPr>
      <w:r w:rsidRPr="00F24EBB">
        <w:rPr>
          <w:lang w:val="en-GB"/>
        </w:rPr>
        <w:tab/>
      </w:r>
      <w:r w:rsidRPr="00F24EBB">
        <w:rPr>
          <w:lang w:val="en-GB"/>
        </w:rPr>
        <w:tab/>
        <w:t xml:space="preserve">Rule 1 </w:t>
      </w:r>
    </w:p>
    <w:p w:rsidR="00791E07" w:rsidRPr="00F24EBB" w:rsidRDefault="00A2431F" w:rsidP="000D4D07">
      <w:pPr>
        <w:pStyle w:val="SingleTxt"/>
        <w:spacing w:after="180" w:line="240" w:lineRule="auto"/>
        <w:ind w:left="1247" w:right="0" w:firstLine="624"/>
        <w:jc w:val="left"/>
      </w:pPr>
      <w:r w:rsidRPr="00F24EBB">
        <w:t xml:space="preserve">These procedures will govern the financial administration of the Intergovernmental Science-Policy Platform on Biodiversity and Ecosystem Services. </w:t>
      </w:r>
      <w:r w:rsidR="00486024" w:rsidRPr="00F24EBB">
        <w:t xml:space="preserve">In circumstances </w:t>
      </w:r>
      <w:r w:rsidRPr="00F24EBB">
        <w:t xml:space="preserve">not specifically provided </w:t>
      </w:r>
      <w:r w:rsidR="002E59AA" w:rsidRPr="00F24EBB">
        <w:t xml:space="preserve">for </w:t>
      </w:r>
      <w:r w:rsidRPr="00F24EBB">
        <w:t xml:space="preserve">under these procedures, the financial rules and regulations of the </w:t>
      </w:r>
      <w:r w:rsidR="002E59AA" w:rsidRPr="00F24EBB">
        <w:t xml:space="preserve">United Nations Environment Programme will apply to the administration of the </w:t>
      </w:r>
      <w:r w:rsidR="00126A9C">
        <w:t>s</w:t>
      </w:r>
      <w:r w:rsidR="00126A9C" w:rsidRPr="00F24EBB">
        <w:t>ecretariat</w:t>
      </w:r>
      <w:r w:rsidR="002E59AA" w:rsidRPr="00F24EBB">
        <w:t xml:space="preserve">, and the financial rules and regulations of the </w:t>
      </w:r>
      <w:r w:rsidR="007F6A48" w:rsidRPr="00F24EBB">
        <w:t>[</w:t>
      </w:r>
      <w:r w:rsidR="00C775CE" w:rsidRPr="00F24EBB">
        <w:t>United Nations Environment Programme (</w:t>
      </w:r>
      <w:r w:rsidRPr="00F24EBB">
        <w:t>UNEP</w:t>
      </w:r>
      <w:r w:rsidR="00C775CE" w:rsidRPr="00F24EBB">
        <w:t>)</w:t>
      </w:r>
      <w:r w:rsidR="007F6A48" w:rsidRPr="00F24EBB">
        <w:t>]</w:t>
      </w:r>
      <w:r w:rsidR="00C775CE" w:rsidRPr="00F24EBB">
        <w:t xml:space="preserve"> </w:t>
      </w:r>
      <w:r w:rsidR="007F6A48" w:rsidRPr="00F24EBB">
        <w:t>[</w:t>
      </w:r>
      <w:r w:rsidR="00C775CE" w:rsidRPr="00F24EBB">
        <w:t>United Nations Development Programme</w:t>
      </w:r>
      <w:r w:rsidRPr="00F24EBB">
        <w:t xml:space="preserve"> </w:t>
      </w:r>
      <w:r w:rsidR="00C775CE" w:rsidRPr="00F24EBB">
        <w:t>(</w:t>
      </w:r>
      <w:r w:rsidRPr="00F24EBB">
        <w:t>UNDP</w:t>
      </w:r>
      <w:r w:rsidR="00C775CE" w:rsidRPr="00F24EBB">
        <w:t>)</w:t>
      </w:r>
      <w:r w:rsidRPr="00F24EBB">
        <w:t xml:space="preserve"> Multi-Partner Trust Fund Office</w:t>
      </w:r>
      <w:r w:rsidR="007F6A48" w:rsidRPr="00F24EBB">
        <w:t>]</w:t>
      </w:r>
      <w:r w:rsidRPr="00F24EBB">
        <w:t xml:space="preserve"> will apply</w:t>
      </w:r>
      <w:r w:rsidR="002E59AA" w:rsidRPr="00F24EBB">
        <w:t xml:space="preserve"> to the administration of the Trust Fund</w:t>
      </w:r>
      <w:r w:rsidRPr="00F24EBB">
        <w:t xml:space="preserve">. </w:t>
      </w:r>
    </w:p>
    <w:p w:rsidR="00A2431F" w:rsidRPr="00F24EBB" w:rsidRDefault="00A2431F" w:rsidP="00864922">
      <w:pPr>
        <w:pStyle w:val="CH2"/>
        <w:rPr>
          <w:lang w:val="en-GB"/>
        </w:rPr>
      </w:pPr>
      <w:r w:rsidRPr="00F24EBB">
        <w:rPr>
          <w:lang w:val="en-GB"/>
        </w:rPr>
        <w:tab/>
      </w:r>
      <w:r w:rsidRPr="00F24EBB">
        <w:rPr>
          <w:lang w:val="en-GB"/>
        </w:rPr>
        <w:tab/>
        <w:t>Financial year and budgeting period</w:t>
      </w:r>
    </w:p>
    <w:p w:rsidR="00A2431F" w:rsidRPr="00F24EBB" w:rsidRDefault="00A2431F" w:rsidP="00864922">
      <w:pPr>
        <w:pStyle w:val="CH2"/>
        <w:rPr>
          <w:lang w:val="en-GB"/>
        </w:rPr>
      </w:pPr>
      <w:r w:rsidRPr="00F24EBB">
        <w:rPr>
          <w:lang w:val="en-GB"/>
        </w:rPr>
        <w:tab/>
      </w:r>
      <w:r w:rsidRPr="00F24EBB">
        <w:rPr>
          <w:lang w:val="en-GB"/>
        </w:rPr>
        <w:tab/>
        <w:t xml:space="preserve">Rule 2 </w:t>
      </w:r>
    </w:p>
    <w:p w:rsidR="00A2431F" w:rsidRPr="00F24EBB" w:rsidRDefault="00A2431F" w:rsidP="000D4D07">
      <w:pPr>
        <w:pStyle w:val="SingleTxt"/>
        <w:spacing w:after="180" w:line="240" w:lineRule="auto"/>
        <w:ind w:left="1247" w:right="0" w:firstLine="624"/>
        <w:jc w:val="left"/>
      </w:pPr>
      <w:r w:rsidRPr="00F24EBB">
        <w:t>The financial year will be the calendar year, from 1 January to 31 December. The budgeting period for consideration by the Plenary will be the biennium of two consecutive calendar years.</w:t>
      </w:r>
    </w:p>
    <w:p w:rsidR="00A2431F" w:rsidRPr="00F24EBB" w:rsidRDefault="00A2431F" w:rsidP="00864922">
      <w:pPr>
        <w:pStyle w:val="CH2"/>
        <w:ind w:right="-2"/>
        <w:rPr>
          <w:lang w:val="en-GB"/>
        </w:rPr>
      </w:pPr>
      <w:r w:rsidRPr="00F24EBB">
        <w:rPr>
          <w:lang w:val="en-GB"/>
        </w:rPr>
        <w:tab/>
      </w:r>
      <w:r w:rsidRPr="00F24EBB">
        <w:rPr>
          <w:lang w:val="en-GB"/>
        </w:rPr>
        <w:tab/>
        <w:t xml:space="preserve">Intergovernmental Science-Policy Platform on Biodiversity and Ecosystem Services Trust Fund </w:t>
      </w:r>
    </w:p>
    <w:p w:rsidR="00A2431F" w:rsidRPr="00F24EBB" w:rsidRDefault="00A2431F" w:rsidP="00864922">
      <w:pPr>
        <w:pStyle w:val="CH2"/>
        <w:rPr>
          <w:lang w:val="en-GB"/>
        </w:rPr>
      </w:pPr>
      <w:r w:rsidRPr="00F24EBB">
        <w:rPr>
          <w:lang w:val="en-GB"/>
        </w:rPr>
        <w:tab/>
      </w:r>
      <w:r w:rsidRPr="00F24EBB">
        <w:rPr>
          <w:lang w:val="en-GB"/>
        </w:rPr>
        <w:tab/>
        <w:t xml:space="preserve">Rule 3 </w:t>
      </w:r>
    </w:p>
    <w:p w:rsidR="00A2431F" w:rsidRPr="00F24EBB" w:rsidRDefault="00A2431F" w:rsidP="00864922">
      <w:pPr>
        <w:pStyle w:val="SingleTxt"/>
        <w:spacing w:line="240" w:lineRule="auto"/>
        <w:ind w:left="1247" w:right="0" w:firstLine="624"/>
        <w:jc w:val="left"/>
      </w:pPr>
      <w:r w:rsidRPr="00F24EBB">
        <w:t>The</w:t>
      </w:r>
      <w:r w:rsidR="00D32301" w:rsidRPr="00F24EBB">
        <w:t xml:space="preserve"> Intergovernmental Science-Policy Platform for Biodiversity and Ecosystem Services </w:t>
      </w:r>
      <w:r w:rsidRPr="00F24EBB">
        <w:t xml:space="preserve">Trust Fund </w:t>
      </w:r>
      <w:r w:rsidR="000A0869" w:rsidRPr="00F24EBB">
        <w:t xml:space="preserve">(hereinafter, the “Trust Fund”) </w:t>
      </w:r>
      <w:r w:rsidRPr="00F24EBB">
        <w:t>finances the Platform activities</w:t>
      </w:r>
      <w:r w:rsidR="00791E07" w:rsidRPr="00F24EBB">
        <w:t xml:space="preserve"> and </w:t>
      </w:r>
      <w:r w:rsidR="00126A9C">
        <w:t>s</w:t>
      </w:r>
      <w:r w:rsidR="00126A9C" w:rsidRPr="00F24EBB">
        <w:t>ecretariat</w:t>
      </w:r>
      <w:r w:rsidRPr="00F24EBB">
        <w:t xml:space="preserve">. Adoption of the </w:t>
      </w:r>
      <w:r w:rsidR="002021A1" w:rsidRPr="00F24EBB">
        <w:t xml:space="preserve">Platform’s </w:t>
      </w:r>
      <w:r w:rsidRPr="00F24EBB">
        <w:t xml:space="preserve">budget is the responsibility of the Plenary. </w:t>
      </w:r>
    </w:p>
    <w:p w:rsidR="00A2431F" w:rsidRPr="00F24EBB" w:rsidRDefault="00A2431F" w:rsidP="00AC2AB3">
      <w:pPr>
        <w:pStyle w:val="CH2"/>
        <w:rPr>
          <w:lang w:val="en-GB"/>
        </w:rPr>
      </w:pPr>
      <w:r w:rsidRPr="00F24EBB">
        <w:rPr>
          <w:lang w:val="en-GB"/>
        </w:rPr>
        <w:tab/>
      </w:r>
      <w:r w:rsidRPr="00F24EBB">
        <w:rPr>
          <w:lang w:val="en-GB"/>
        </w:rPr>
        <w:tab/>
        <w:t xml:space="preserve">Rule 4 </w:t>
      </w:r>
    </w:p>
    <w:p w:rsidR="00A2431F" w:rsidRPr="00F24EBB" w:rsidRDefault="00A2431F" w:rsidP="00AC2AB3">
      <w:pPr>
        <w:pStyle w:val="SingleTxt"/>
        <w:keepNext/>
        <w:keepLines/>
        <w:spacing w:line="240" w:lineRule="auto"/>
        <w:ind w:left="1247" w:right="0" w:firstLine="624"/>
        <w:jc w:val="left"/>
      </w:pPr>
      <w:r w:rsidRPr="00F24EBB">
        <w:t>The Trust Fund is open to voluntary contributions from all sources, including Governments, United Nations bodies, the Global Environment Facility, other intergovernmental organizations and other stakeholders such as the private sector</w:t>
      </w:r>
      <w:r w:rsidR="00791E07" w:rsidRPr="00F24EBB">
        <w:rPr>
          <w:rStyle w:val="FootnoteReference"/>
        </w:rPr>
        <w:footnoteReference w:id="2"/>
      </w:r>
      <w:r w:rsidRPr="00F24EBB">
        <w:t xml:space="preserve"> and foundations. </w:t>
      </w:r>
    </w:p>
    <w:p w:rsidR="00A2431F" w:rsidRPr="00F24EBB" w:rsidRDefault="00A2431F" w:rsidP="00864922">
      <w:pPr>
        <w:pStyle w:val="CH2"/>
        <w:rPr>
          <w:lang w:val="en-GB"/>
        </w:rPr>
      </w:pPr>
      <w:r w:rsidRPr="00F24EBB">
        <w:rPr>
          <w:lang w:val="en-GB"/>
        </w:rPr>
        <w:tab/>
      </w:r>
      <w:r w:rsidRPr="00F24EBB">
        <w:rPr>
          <w:lang w:val="en-GB"/>
        </w:rPr>
        <w:tab/>
        <w:t xml:space="preserve">Rule 5 </w:t>
      </w:r>
    </w:p>
    <w:p w:rsidR="00A2431F" w:rsidRPr="00F24EBB" w:rsidRDefault="002E59AA" w:rsidP="00C77712">
      <w:pPr>
        <w:pStyle w:val="SingleTxt"/>
        <w:spacing w:line="240" w:lineRule="auto"/>
        <w:ind w:left="1247" w:right="0" w:firstLine="624"/>
        <w:jc w:val="left"/>
      </w:pPr>
      <w:r w:rsidRPr="00F24EBB">
        <w:t>Financial c</w:t>
      </w:r>
      <w:r w:rsidR="00A2431F" w:rsidRPr="00F24EBB">
        <w:t>ontributions</w:t>
      </w:r>
      <w:r w:rsidRPr="00F24EBB">
        <w:t xml:space="preserve"> for the Platform</w:t>
      </w:r>
      <w:r w:rsidR="00A2431F" w:rsidRPr="00F24EBB">
        <w:t xml:space="preserve"> should be sent to the Trust Fund and the secretariat informed of each contribution. Contributions will not orient the work of </w:t>
      </w:r>
      <w:r w:rsidR="00A2431F" w:rsidRPr="00F24EBB">
        <w:rPr>
          <w:spacing w:val="2"/>
        </w:rPr>
        <w:t>the Platform, be earmarked for specific activities or given anonymously. Contributions</w:t>
      </w:r>
      <w:r w:rsidR="00A2431F" w:rsidRPr="00F24EBB">
        <w:t xml:space="preserve"> will not </w:t>
      </w:r>
      <w:r w:rsidR="005D18A9" w:rsidRPr="00F24EBB">
        <w:t xml:space="preserve">be accepted </w:t>
      </w:r>
      <w:r w:rsidR="00A2431F" w:rsidRPr="00F24EBB">
        <w:t>with condition</w:t>
      </w:r>
      <w:r w:rsidRPr="00F24EBB">
        <w:t>alitie</w:t>
      </w:r>
      <w:r w:rsidR="00A2431F" w:rsidRPr="00F24EBB">
        <w:t xml:space="preserve">s. In-kind contributions from Governments, the scientific community, other knowledge holders and stakeholders will be </w:t>
      </w:r>
      <w:r w:rsidR="00A2431F" w:rsidRPr="001B2A71">
        <w:t>key</w:t>
      </w:r>
      <w:r w:rsidR="00A2431F" w:rsidRPr="00F24EBB">
        <w:t xml:space="preserve"> to the success of the implementation of the work programme</w:t>
      </w:r>
      <w:r w:rsidRPr="00F24EBB">
        <w:t>, and will not be accepted with conditionalities</w:t>
      </w:r>
      <w:r w:rsidR="00A2431F" w:rsidRPr="00F24EBB">
        <w:t xml:space="preserve">. </w:t>
      </w:r>
    </w:p>
    <w:p w:rsidR="00A2431F" w:rsidRPr="00F24EBB" w:rsidRDefault="00A2431F" w:rsidP="00864922">
      <w:pPr>
        <w:pStyle w:val="CH2"/>
        <w:rPr>
          <w:lang w:val="en-GB"/>
        </w:rPr>
      </w:pPr>
      <w:r w:rsidRPr="00F24EBB">
        <w:rPr>
          <w:lang w:val="en-GB"/>
        </w:rPr>
        <w:tab/>
      </w:r>
      <w:r w:rsidRPr="00F24EBB">
        <w:rPr>
          <w:lang w:val="en-GB"/>
        </w:rPr>
        <w:tab/>
        <w:t xml:space="preserve">Rule 6 </w:t>
      </w:r>
    </w:p>
    <w:p w:rsidR="00A2431F" w:rsidRPr="00F24EBB" w:rsidRDefault="00A2431F" w:rsidP="000D4D07">
      <w:pPr>
        <w:pStyle w:val="SingleTxt"/>
        <w:spacing w:after="180" w:line="240" w:lineRule="auto"/>
        <w:ind w:left="1247" w:right="0" w:firstLine="624"/>
        <w:jc w:val="left"/>
      </w:pPr>
      <w:r w:rsidRPr="00F24EBB">
        <w:t>Exceptionally, subject to approval by the Plenary, additional voluntary contributions</w:t>
      </w:r>
      <w:r w:rsidR="003E0949" w:rsidRPr="00F24EBB">
        <w:t>, such as direct support for specific activities of the Platform’s work programme</w:t>
      </w:r>
      <w:r w:rsidR="0000599C" w:rsidRPr="00F24EBB">
        <w:t>,</w:t>
      </w:r>
      <w:r w:rsidRPr="00F24EBB">
        <w:t xml:space="preserve"> may be accepted outside the Trust Fund. </w:t>
      </w:r>
    </w:p>
    <w:p w:rsidR="00A2431F" w:rsidRPr="00F24EBB" w:rsidRDefault="00A2431F" w:rsidP="00864922">
      <w:pPr>
        <w:pStyle w:val="CH2"/>
        <w:rPr>
          <w:lang w:val="en-GB"/>
        </w:rPr>
      </w:pPr>
      <w:r w:rsidRPr="00F24EBB">
        <w:rPr>
          <w:lang w:val="en-GB"/>
        </w:rPr>
        <w:tab/>
      </w:r>
      <w:r w:rsidRPr="00F24EBB">
        <w:rPr>
          <w:lang w:val="en-GB"/>
        </w:rPr>
        <w:tab/>
        <w:t xml:space="preserve">Currency </w:t>
      </w:r>
    </w:p>
    <w:p w:rsidR="00A2431F" w:rsidRPr="00F24EBB" w:rsidRDefault="00A2431F" w:rsidP="00864922">
      <w:pPr>
        <w:pStyle w:val="CH2"/>
        <w:rPr>
          <w:lang w:val="en-GB"/>
        </w:rPr>
      </w:pPr>
      <w:r w:rsidRPr="00F24EBB">
        <w:rPr>
          <w:lang w:val="en-GB"/>
        </w:rPr>
        <w:tab/>
      </w:r>
      <w:r w:rsidRPr="00F24EBB">
        <w:rPr>
          <w:lang w:val="en-GB"/>
        </w:rPr>
        <w:tab/>
        <w:t xml:space="preserve">Rule 7 </w:t>
      </w:r>
    </w:p>
    <w:p w:rsidR="00A2431F" w:rsidRPr="00F24EBB" w:rsidRDefault="00A2431F" w:rsidP="00C77712">
      <w:pPr>
        <w:pStyle w:val="SingleTxt"/>
        <w:spacing w:line="240" w:lineRule="auto"/>
        <w:ind w:left="1247" w:right="0" w:firstLine="624"/>
        <w:jc w:val="left"/>
      </w:pPr>
      <w:r w:rsidRPr="00F24EBB">
        <w:t>The currency for budgeting and reporting receipts and expenditure</w:t>
      </w:r>
      <w:r w:rsidR="003E0949" w:rsidRPr="00F24EBB">
        <w:t>s</w:t>
      </w:r>
      <w:r w:rsidRPr="00F24EBB">
        <w:t xml:space="preserve"> will be the United States dollar. </w:t>
      </w:r>
    </w:p>
    <w:p w:rsidR="00A2431F" w:rsidRPr="00F24EBB" w:rsidRDefault="00A2431F" w:rsidP="00376E86">
      <w:pPr>
        <w:pStyle w:val="CH2"/>
        <w:rPr>
          <w:lang w:val="en-GB"/>
        </w:rPr>
      </w:pPr>
      <w:r w:rsidRPr="00F24EBB">
        <w:rPr>
          <w:lang w:val="en-GB"/>
        </w:rPr>
        <w:lastRenderedPageBreak/>
        <w:tab/>
      </w:r>
      <w:r w:rsidRPr="00F24EBB">
        <w:rPr>
          <w:lang w:val="en-GB"/>
        </w:rPr>
        <w:tab/>
        <w:t xml:space="preserve">Budget </w:t>
      </w:r>
    </w:p>
    <w:p w:rsidR="00A2431F" w:rsidRPr="00F24EBB" w:rsidRDefault="00A2431F" w:rsidP="00376E86">
      <w:pPr>
        <w:pStyle w:val="CH2"/>
        <w:rPr>
          <w:lang w:val="en-GB"/>
        </w:rPr>
      </w:pPr>
      <w:r w:rsidRPr="00F24EBB">
        <w:rPr>
          <w:lang w:val="en-GB"/>
        </w:rPr>
        <w:tab/>
      </w:r>
      <w:r w:rsidRPr="00F24EBB">
        <w:rPr>
          <w:lang w:val="en-GB"/>
        </w:rPr>
        <w:tab/>
        <w:t xml:space="preserve">Rule 8 </w:t>
      </w:r>
    </w:p>
    <w:p w:rsidR="00A2431F" w:rsidRPr="00F24EBB" w:rsidRDefault="00A2431F" w:rsidP="00C77712">
      <w:pPr>
        <w:pStyle w:val="SingleTxt"/>
        <w:spacing w:line="240" w:lineRule="auto"/>
        <w:ind w:left="1247" w:right="0" w:firstLine="624"/>
        <w:jc w:val="left"/>
      </w:pPr>
      <w:r w:rsidRPr="00F24EBB">
        <w:t xml:space="preserve">In consultation with the Bureau, the </w:t>
      </w:r>
      <w:r w:rsidR="00361654" w:rsidRPr="00F24EBB">
        <w:t xml:space="preserve">Platform </w:t>
      </w:r>
      <w:r w:rsidRPr="00F24EBB">
        <w:t xml:space="preserve">secretariat will prepare a proposal for the budget and transmit it to the members </w:t>
      </w:r>
      <w:r w:rsidR="00361654" w:rsidRPr="00F24EBB">
        <w:t xml:space="preserve">of the Platform </w:t>
      </w:r>
      <w:r w:rsidRPr="00F24EBB">
        <w:t xml:space="preserve">at least six weeks before the session of the Plenary at which the budget is to be adopted. </w:t>
      </w:r>
    </w:p>
    <w:p w:rsidR="00A2431F" w:rsidRPr="00F24EBB" w:rsidRDefault="00A2431F" w:rsidP="00376E86">
      <w:pPr>
        <w:pStyle w:val="CH2"/>
        <w:rPr>
          <w:lang w:val="en-GB"/>
        </w:rPr>
      </w:pPr>
      <w:r w:rsidRPr="00F24EBB">
        <w:rPr>
          <w:lang w:val="en-GB"/>
        </w:rPr>
        <w:tab/>
      </w:r>
      <w:r w:rsidRPr="00F24EBB">
        <w:rPr>
          <w:lang w:val="en-GB"/>
        </w:rPr>
        <w:tab/>
        <w:t xml:space="preserve">Rule 9 </w:t>
      </w:r>
    </w:p>
    <w:p w:rsidR="00A2431F" w:rsidRPr="00F24EBB" w:rsidRDefault="00A2431F" w:rsidP="00C77712">
      <w:pPr>
        <w:pStyle w:val="SingleTxt"/>
        <w:spacing w:line="240" w:lineRule="auto"/>
        <w:ind w:left="1247" w:right="0" w:firstLine="624"/>
        <w:jc w:val="left"/>
      </w:pPr>
      <w:r w:rsidRPr="00F24EBB">
        <w:t xml:space="preserve">The Plenary will consider the proposed budget and will adopt a budget by consensus prior to the commencement of the financial period that it covers. </w:t>
      </w:r>
    </w:p>
    <w:p w:rsidR="00A2431F" w:rsidRPr="00F24EBB" w:rsidRDefault="00A2431F" w:rsidP="00376E86">
      <w:pPr>
        <w:pStyle w:val="CH2"/>
        <w:rPr>
          <w:lang w:val="en-GB"/>
        </w:rPr>
      </w:pPr>
      <w:r w:rsidRPr="00F24EBB">
        <w:rPr>
          <w:lang w:val="en-GB"/>
        </w:rPr>
        <w:tab/>
      </w:r>
      <w:r w:rsidRPr="00F24EBB">
        <w:rPr>
          <w:lang w:val="en-GB"/>
        </w:rPr>
        <w:tab/>
        <w:t xml:space="preserve">Rule 10 </w:t>
      </w:r>
    </w:p>
    <w:p w:rsidR="00A2431F" w:rsidRPr="00F24EBB" w:rsidRDefault="00A2431F" w:rsidP="00C77712">
      <w:pPr>
        <w:pStyle w:val="SingleTxt"/>
        <w:spacing w:line="240" w:lineRule="auto"/>
        <w:ind w:left="1247" w:right="0" w:firstLine="624"/>
        <w:jc w:val="left"/>
      </w:pPr>
      <w:r w:rsidRPr="00F24EBB">
        <w:t xml:space="preserve">Adoption of the budget by the Plenary will constitute authority to the </w:t>
      </w:r>
      <w:r w:rsidR="00154D4A" w:rsidRPr="00F24EBB">
        <w:t>h</w:t>
      </w:r>
      <w:r w:rsidR="007C56A2" w:rsidRPr="00F24EBB">
        <w:t xml:space="preserve">ead of the </w:t>
      </w:r>
      <w:r w:rsidR="00126A9C">
        <w:t>s</w:t>
      </w:r>
      <w:r w:rsidR="00126A9C" w:rsidRPr="00F24EBB">
        <w:t xml:space="preserve">ecretariat </w:t>
      </w:r>
      <w:r w:rsidRPr="00F24EBB">
        <w:t xml:space="preserve">to incur obligations and make payments for the purposes for which the appropriations were approved and up to the amounts so approved, provided that the balance of the trust fund covers the overall budget appropriation. </w:t>
      </w:r>
    </w:p>
    <w:p w:rsidR="00A2431F" w:rsidRPr="00F24EBB" w:rsidRDefault="00A2431F" w:rsidP="00376E86">
      <w:pPr>
        <w:pStyle w:val="CH2"/>
        <w:rPr>
          <w:lang w:val="en-GB"/>
        </w:rPr>
      </w:pPr>
      <w:r w:rsidRPr="00F24EBB">
        <w:rPr>
          <w:lang w:val="en-GB"/>
        </w:rPr>
        <w:tab/>
      </w:r>
      <w:r w:rsidRPr="00F24EBB">
        <w:rPr>
          <w:lang w:val="en-GB"/>
        </w:rPr>
        <w:tab/>
        <w:t xml:space="preserve">Rule 11 </w:t>
      </w:r>
    </w:p>
    <w:p w:rsidR="00A2431F" w:rsidRPr="00F24EBB" w:rsidRDefault="00A2431F" w:rsidP="00C77712">
      <w:pPr>
        <w:pStyle w:val="SingleTxt"/>
        <w:spacing w:line="240" w:lineRule="auto"/>
        <w:ind w:left="1247" w:right="0" w:firstLine="624"/>
        <w:jc w:val="left"/>
      </w:pPr>
      <w:r w:rsidRPr="00F24EBB">
        <w:tab/>
        <w:t xml:space="preserve">The </w:t>
      </w:r>
      <w:r w:rsidR="00477CE9" w:rsidRPr="00F24EBB">
        <w:t>h</w:t>
      </w:r>
      <w:r w:rsidR="007C56A2" w:rsidRPr="00F24EBB">
        <w:t xml:space="preserve">ead of the </w:t>
      </w:r>
      <w:r w:rsidR="00126A9C">
        <w:t>s</w:t>
      </w:r>
      <w:r w:rsidR="00126A9C" w:rsidRPr="00F24EBB">
        <w:t xml:space="preserve">ecretariat </w:t>
      </w:r>
      <w:r w:rsidRPr="00F24EBB">
        <w:t xml:space="preserve">is authorized to reallocate </w:t>
      </w:r>
      <w:r w:rsidR="00F07DF7" w:rsidRPr="00F24EBB">
        <w:t xml:space="preserve">within the </w:t>
      </w:r>
      <w:r w:rsidRPr="00F24EBB">
        <w:t>budget, if necessary, up to 20 per cent of an appropriation line. This limit may be revisited from time to time by the Plenary by consensus. A budget appropriation line constitutes a major budget category for activities or products.</w:t>
      </w:r>
    </w:p>
    <w:p w:rsidR="00A2431F" w:rsidRPr="00F24EBB" w:rsidRDefault="00A2431F" w:rsidP="00376E86">
      <w:pPr>
        <w:pStyle w:val="CH2"/>
        <w:rPr>
          <w:lang w:val="en-GB"/>
        </w:rPr>
      </w:pPr>
      <w:r w:rsidRPr="00F24EBB">
        <w:rPr>
          <w:lang w:val="en-GB"/>
        </w:rPr>
        <w:tab/>
      </w:r>
      <w:r w:rsidRPr="00F24EBB">
        <w:rPr>
          <w:lang w:val="en-GB"/>
        </w:rPr>
        <w:tab/>
        <w:t xml:space="preserve">Rule 12 </w:t>
      </w:r>
    </w:p>
    <w:p w:rsidR="00A2431F" w:rsidRPr="00F24EBB" w:rsidRDefault="00A2431F" w:rsidP="000D4D07">
      <w:pPr>
        <w:pStyle w:val="SingleTxt"/>
        <w:spacing w:after="180" w:line="240" w:lineRule="auto"/>
        <w:ind w:left="1247" w:right="0" w:firstLine="624"/>
        <w:jc w:val="left"/>
      </w:pPr>
      <w:r w:rsidRPr="00F24EBB">
        <w:t xml:space="preserve">In the event that the level of the available balance in the Trust Fund is less than the approved budget, the </w:t>
      </w:r>
      <w:r w:rsidR="00477CE9" w:rsidRPr="00F24EBB">
        <w:t>h</w:t>
      </w:r>
      <w:r w:rsidR="002E59AA" w:rsidRPr="00F24EBB">
        <w:t xml:space="preserve">ead of the </w:t>
      </w:r>
      <w:r w:rsidR="00126A9C">
        <w:t>s</w:t>
      </w:r>
      <w:r w:rsidR="00126A9C" w:rsidRPr="00F24EBB">
        <w:t>ecretariat</w:t>
      </w:r>
      <w:r w:rsidRPr="00F24EBB">
        <w:t xml:space="preserve">, following approval by the Bureau, is authorized to adjust the allocations to bring the budget into line with the fluctuations in income as compared to the approved level of budget lines. The </w:t>
      </w:r>
      <w:r w:rsidR="00E778DD" w:rsidRPr="00F24EBB">
        <w:t>h</w:t>
      </w:r>
      <w:r w:rsidR="002E59AA" w:rsidRPr="00F24EBB">
        <w:t xml:space="preserve">ead of the </w:t>
      </w:r>
      <w:r w:rsidR="00126A9C">
        <w:t>s</w:t>
      </w:r>
      <w:r w:rsidR="00126A9C" w:rsidRPr="00F24EBB">
        <w:t xml:space="preserve">ecretariat </w:t>
      </w:r>
      <w:r w:rsidRPr="00F24EBB">
        <w:t xml:space="preserve">will report on actions taken to the Plenary at its earliest session thereafter. </w:t>
      </w:r>
    </w:p>
    <w:p w:rsidR="00A2431F" w:rsidRPr="00F24EBB" w:rsidRDefault="00A2431F" w:rsidP="00AC2AB3">
      <w:pPr>
        <w:pStyle w:val="CH2"/>
        <w:rPr>
          <w:lang w:val="en-GB"/>
        </w:rPr>
      </w:pPr>
      <w:r w:rsidRPr="00F24EBB">
        <w:rPr>
          <w:lang w:val="en-GB"/>
        </w:rPr>
        <w:tab/>
      </w:r>
      <w:r w:rsidRPr="00F24EBB">
        <w:rPr>
          <w:lang w:val="en-GB"/>
        </w:rPr>
        <w:tab/>
        <w:t>Contributions</w:t>
      </w:r>
    </w:p>
    <w:p w:rsidR="00A2431F" w:rsidRPr="00F24EBB" w:rsidRDefault="00A2431F" w:rsidP="00AC2AB3">
      <w:pPr>
        <w:pStyle w:val="CH2"/>
        <w:rPr>
          <w:lang w:val="en-GB"/>
        </w:rPr>
      </w:pPr>
      <w:r w:rsidRPr="00F24EBB">
        <w:rPr>
          <w:lang w:val="en-GB"/>
        </w:rPr>
        <w:tab/>
      </w:r>
      <w:r w:rsidRPr="00F24EBB">
        <w:rPr>
          <w:lang w:val="en-GB"/>
        </w:rPr>
        <w:tab/>
        <w:t xml:space="preserve">Rule 13 </w:t>
      </w:r>
    </w:p>
    <w:p w:rsidR="00A2431F" w:rsidRPr="00F24EBB" w:rsidRDefault="00A2431F" w:rsidP="00AC2AB3">
      <w:pPr>
        <w:pStyle w:val="SingleTxt"/>
        <w:keepNext/>
        <w:keepLines/>
        <w:spacing w:line="240" w:lineRule="auto"/>
        <w:ind w:left="1247" w:right="0" w:firstLine="624"/>
        <w:jc w:val="left"/>
      </w:pPr>
      <w:r w:rsidRPr="00097417">
        <w:t>The resources of</w:t>
      </w:r>
      <w:r w:rsidRPr="00F24EBB">
        <w:t xml:space="preserve"> </w:t>
      </w:r>
      <w:r w:rsidR="00E242D3" w:rsidRPr="00F24EBB">
        <w:t xml:space="preserve">the Platform </w:t>
      </w:r>
      <w:r w:rsidRPr="00F24EBB">
        <w:t xml:space="preserve">will </w:t>
      </w:r>
      <w:r w:rsidR="00E242D3" w:rsidRPr="00F24EBB">
        <w:t>consist of</w:t>
      </w:r>
      <w:r w:rsidRPr="00F24EBB">
        <w:t>:</w:t>
      </w:r>
    </w:p>
    <w:p w:rsidR="00A2431F" w:rsidRPr="00F24EBB" w:rsidRDefault="00A2431F" w:rsidP="00AC2AB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s>
        <w:spacing w:line="240" w:lineRule="auto"/>
        <w:ind w:left="1247" w:right="0" w:firstLine="624"/>
        <w:jc w:val="left"/>
      </w:pPr>
      <w:r w:rsidRPr="00F24EBB">
        <w:t xml:space="preserve">(a) </w:t>
      </w:r>
      <w:r w:rsidRPr="00F24EBB">
        <w:tab/>
        <w:t>The person-year costs of the Programme Officer [and ]</w:t>
      </w:r>
      <w:r w:rsidRPr="00F24EBB">
        <w:rPr>
          <w:rStyle w:val="FootnoteReference"/>
        </w:rPr>
        <w:footnoteReference w:id="3"/>
      </w:r>
      <w:r w:rsidRPr="00F24EBB">
        <w:t xml:space="preserve"> provided by </w:t>
      </w:r>
      <w:r w:rsidR="00E242D3" w:rsidRPr="00F24EBB">
        <w:t xml:space="preserve">the United Nations Environment Programme </w:t>
      </w:r>
      <w:r w:rsidRPr="00F24EBB">
        <w:t>[and</w:t>
      </w:r>
      <w:r w:rsidR="00376E86" w:rsidRPr="00F24EBB">
        <w:t> </w:t>
      </w:r>
      <w:r w:rsidRPr="00F24EBB">
        <w:t>]</w:t>
      </w:r>
      <w:r w:rsidRPr="00F24EBB">
        <w:rPr>
          <w:rStyle w:val="FootnoteReference"/>
        </w:rPr>
        <w:footnoteReference w:id="4"/>
      </w:r>
      <w:r w:rsidRPr="00F24EBB">
        <w:t xml:space="preserve">; </w:t>
      </w:r>
    </w:p>
    <w:p w:rsidR="00A2431F" w:rsidRPr="00F24EBB" w:rsidRDefault="00A2431F" w:rsidP="00376E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line="240" w:lineRule="auto"/>
        <w:ind w:left="1247" w:right="0" w:firstLine="624"/>
        <w:jc w:val="left"/>
      </w:pPr>
      <w:r w:rsidRPr="00F24EBB">
        <w:tab/>
        <w:t>(b)</w:t>
      </w:r>
      <w:r w:rsidRPr="00F24EBB">
        <w:tab/>
        <w:t xml:space="preserve">The costs of housing the secretariat, provided by the Government of Germany pursuant to the </w:t>
      </w:r>
      <w:r w:rsidR="00D83A52" w:rsidRPr="00F24EBB">
        <w:t>h</w:t>
      </w:r>
      <w:r w:rsidRPr="00F24EBB">
        <w:t xml:space="preserve">ost </w:t>
      </w:r>
      <w:r w:rsidR="00D83A52" w:rsidRPr="00F24EBB">
        <w:t>c</w:t>
      </w:r>
      <w:r w:rsidRPr="00F24EBB">
        <w:t xml:space="preserve">ountry </w:t>
      </w:r>
      <w:r w:rsidR="00D83A52" w:rsidRPr="00F24EBB">
        <w:t>a</w:t>
      </w:r>
      <w:r w:rsidRPr="00F24EBB">
        <w:t xml:space="preserve">greement between </w:t>
      </w:r>
      <w:r w:rsidR="001213BD" w:rsidRPr="00F24EBB">
        <w:t xml:space="preserve">the Platform </w:t>
      </w:r>
      <w:r w:rsidRPr="00F24EBB">
        <w:t xml:space="preserve">and the host Government; </w:t>
      </w:r>
    </w:p>
    <w:p w:rsidR="00A2431F" w:rsidRPr="00F24EBB" w:rsidRDefault="00A2431F" w:rsidP="00376E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line="240" w:lineRule="auto"/>
        <w:ind w:left="1247" w:right="0" w:firstLine="624"/>
        <w:jc w:val="left"/>
      </w:pPr>
      <w:r w:rsidRPr="00F24EBB">
        <w:tab/>
        <w:t>(c)</w:t>
      </w:r>
      <w:r w:rsidRPr="00F24EBB">
        <w:tab/>
        <w:t xml:space="preserve">The voluntary annual and other cash contributions provided by members </w:t>
      </w:r>
      <w:r w:rsidR="001213BD" w:rsidRPr="00F24EBB">
        <w:t xml:space="preserve">of the Platform </w:t>
      </w:r>
      <w:r w:rsidRPr="00F24EBB">
        <w:t xml:space="preserve">and other contributors to the Trust Fund; </w:t>
      </w:r>
    </w:p>
    <w:p w:rsidR="00A2431F" w:rsidRPr="00F24EBB" w:rsidRDefault="00A2431F" w:rsidP="00376E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line="240" w:lineRule="auto"/>
        <w:ind w:left="1247" w:right="0" w:firstLine="624"/>
        <w:jc w:val="left"/>
      </w:pPr>
      <w:r w:rsidRPr="00F24EBB">
        <w:tab/>
        <w:t xml:space="preserve">(d) </w:t>
      </w:r>
      <w:r w:rsidRPr="00F24EBB">
        <w:tab/>
        <w:t xml:space="preserve">The contributions provided in kind by </w:t>
      </w:r>
      <w:r w:rsidR="001213BD" w:rsidRPr="00F24EBB">
        <w:t xml:space="preserve">Platform </w:t>
      </w:r>
      <w:r w:rsidRPr="00F24EBB">
        <w:t>members and observers, such as support for the</w:t>
      </w:r>
      <w:r w:rsidR="001213BD" w:rsidRPr="00F24EBB">
        <w:t xml:space="preserve"> Platform’s</w:t>
      </w:r>
      <w:r w:rsidRPr="00F24EBB">
        <w:t xml:space="preserve"> subsidiary bodies, </w:t>
      </w:r>
      <w:r w:rsidR="001213BD" w:rsidRPr="00F24EBB">
        <w:t xml:space="preserve">Platform </w:t>
      </w:r>
      <w:r w:rsidRPr="00F24EBB">
        <w:t>publications, translation</w:t>
      </w:r>
      <w:r w:rsidR="001213BD" w:rsidRPr="00F24EBB">
        <w:t>s</w:t>
      </w:r>
      <w:r w:rsidRPr="00F24EBB">
        <w:t xml:space="preserve">, meetings, workshops, etc.; </w:t>
      </w:r>
    </w:p>
    <w:p w:rsidR="00A2431F" w:rsidRPr="00F24EBB" w:rsidRDefault="00A2431F" w:rsidP="00376E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line="240" w:lineRule="auto"/>
        <w:ind w:left="1247" w:right="0" w:firstLine="624"/>
        <w:jc w:val="left"/>
      </w:pPr>
      <w:r w:rsidRPr="00F24EBB">
        <w:tab/>
        <w:t xml:space="preserve">(e) </w:t>
      </w:r>
      <w:r w:rsidRPr="00F24EBB">
        <w:tab/>
        <w:t>The uncommitted balance of appropriations from previous financial periods</w:t>
      </w:r>
      <w:r w:rsidR="00E67D78" w:rsidRPr="00F24EBB">
        <w:t>.</w:t>
      </w:r>
      <w:r w:rsidRPr="00F24EBB">
        <w:t xml:space="preserve">  </w:t>
      </w:r>
    </w:p>
    <w:p w:rsidR="00A2431F" w:rsidRPr="00F24EBB" w:rsidRDefault="00A2431F" w:rsidP="00376E86">
      <w:pPr>
        <w:pStyle w:val="CH2"/>
        <w:rPr>
          <w:lang w:val="en-GB"/>
        </w:rPr>
      </w:pPr>
      <w:r w:rsidRPr="00F24EBB">
        <w:rPr>
          <w:lang w:val="en-GB"/>
        </w:rPr>
        <w:tab/>
      </w:r>
      <w:r w:rsidRPr="00F24EBB">
        <w:rPr>
          <w:lang w:val="en-GB"/>
        </w:rPr>
        <w:tab/>
        <w:t xml:space="preserve">Rule 14 </w:t>
      </w:r>
    </w:p>
    <w:p w:rsidR="00A2431F" w:rsidRPr="00F24EBB" w:rsidRDefault="00A2431F" w:rsidP="00C77712">
      <w:pPr>
        <w:pStyle w:val="SingleTxt"/>
        <w:spacing w:line="240" w:lineRule="auto"/>
        <w:ind w:left="1247" w:right="0" w:firstLine="624"/>
        <w:jc w:val="left"/>
      </w:pPr>
      <w:r w:rsidRPr="00F24EBB">
        <w:t>All cash contributions will be paid in convertible currencies into the bank account designated by the [</w:t>
      </w:r>
      <w:r w:rsidR="001213BD" w:rsidRPr="00F24EBB">
        <w:t>United Nations Environment Programme</w:t>
      </w:r>
      <w:r w:rsidRPr="00F24EBB">
        <w:t>] [</w:t>
      </w:r>
      <w:r w:rsidR="001213BD" w:rsidRPr="00F24EBB">
        <w:t xml:space="preserve">United Nations Development Programme </w:t>
      </w:r>
      <w:r w:rsidRPr="00F24EBB">
        <w:t xml:space="preserve">Multi-Partner Trust Fund Office]. </w:t>
      </w:r>
    </w:p>
    <w:p w:rsidR="00A2431F" w:rsidRPr="00F24EBB" w:rsidRDefault="00A2431F" w:rsidP="000D4D07">
      <w:pPr>
        <w:pStyle w:val="CH2"/>
        <w:rPr>
          <w:lang w:val="en-GB"/>
        </w:rPr>
      </w:pPr>
      <w:r w:rsidRPr="00F24EBB">
        <w:rPr>
          <w:lang w:val="en-GB"/>
        </w:rPr>
        <w:lastRenderedPageBreak/>
        <w:tab/>
      </w:r>
      <w:r w:rsidRPr="00F24EBB">
        <w:rPr>
          <w:lang w:val="en-GB"/>
        </w:rPr>
        <w:tab/>
        <w:t>Rule 15</w:t>
      </w:r>
    </w:p>
    <w:p w:rsidR="00A2431F" w:rsidRPr="00F24EBB" w:rsidRDefault="00A2431F" w:rsidP="000D4D07">
      <w:pPr>
        <w:pStyle w:val="SingleTxt"/>
        <w:keepNext/>
        <w:keepLines/>
        <w:spacing w:after="180" w:line="240" w:lineRule="auto"/>
        <w:ind w:left="1247" w:right="0" w:firstLine="624"/>
        <w:jc w:val="left"/>
      </w:pPr>
      <w:r w:rsidRPr="00F24EBB">
        <w:t xml:space="preserve">The </w:t>
      </w:r>
      <w:r w:rsidR="00126A9C">
        <w:t>s</w:t>
      </w:r>
      <w:r w:rsidR="00126A9C" w:rsidRPr="00F24EBB">
        <w:t xml:space="preserve">ecretariat </w:t>
      </w:r>
      <w:r w:rsidRPr="00F24EBB">
        <w:t>will acknowledge promptly all pledges and contributions and will inform the Plenary at each session on the status of pledges, payments of contributions and expenditure</w:t>
      </w:r>
      <w:r w:rsidR="006A4CB3" w:rsidRPr="00F24EBB">
        <w:t>s</w:t>
      </w:r>
      <w:r w:rsidRPr="00F24EBB">
        <w:t xml:space="preserve">. The report of the </w:t>
      </w:r>
      <w:r w:rsidR="00126A9C">
        <w:t>s</w:t>
      </w:r>
      <w:r w:rsidR="00126A9C" w:rsidRPr="00F24EBB">
        <w:t xml:space="preserve">ecretariat </w:t>
      </w:r>
      <w:r w:rsidRPr="00F24EBB">
        <w:t>will include a specific reference to contributions in</w:t>
      </w:r>
      <w:r w:rsidR="00D83A52" w:rsidRPr="00F24EBB">
        <w:t xml:space="preserve"> </w:t>
      </w:r>
      <w:r w:rsidRPr="00F24EBB">
        <w:t xml:space="preserve">kind and will quantify such in-kind contributions to the extent that they can be reliably measured. </w:t>
      </w:r>
    </w:p>
    <w:p w:rsidR="00A2431F" w:rsidRPr="00F24EBB" w:rsidRDefault="00A2431F" w:rsidP="00376E86">
      <w:pPr>
        <w:pStyle w:val="CH2"/>
        <w:rPr>
          <w:lang w:val="en-GB"/>
        </w:rPr>
      </w:pPr>
      <w:r w:rsidRPr="00F24EBB">
        <w:rPr>
          <w:lang w:val="en-GB"/>
        </w:rPr>
        <w:tab/>
      </w:r>
      <w:r w:rsidRPr="00F24EBB">
        <w:rPr>
          <w:lang w:val="en-GB"/>
        </w:rPr>
        <w:tab/>
        <w:t>Working capital reserve</w:t>
      </w:r>
    </w:p>
    <w:p w:rsidR="00A2431F" w:rsidRPr="00F24EBB" w:rsidRDefault="00A2431F" w:rsidP="00376E86">
      <w:pPr>
        <w:pStyle w:val="CH2"/>
        <w:rPr>
          <w:lang w:val="en-GB"/>
        </w:rPr>
      </w:pPr>
      <w:r w:rsidRPr="00F24EBB">
        <w:rPr>
          <w:lang w:val="en-GB"/>
        </w:rPr>
        <w:tab/>
      </w:r>
      <w:r w:rsidRPr="00F24EBB">
        <w:rPr>
          <w:lang w:val="en-GB"/>
        </w:rPr>
        <w:tab/>
        <w:t xml:space="preserve">Rule 16 </w:t>
      </w:r>
    </w:p>
    <w:p w:rsidR="00A2431F" w:rsidRPr="00F24EBB" w:rsidRDefault="00A2431F" w:rsidP="000D4D07">
      <w:pPr>
        <w:pStyle w:val="SingleTxt"/>
        <w:spacing w:after="180" w:line="240" w:lineRule="auto"/>
        <w:ind w:left="1247" w:right="0" w:firstLine="624"/>
        <w:jc w:val="left"/>
      </w:pPr>
      <w:r w:rsidRPr="00F24EBB">
        <w:t xml:space="preserve">Within the Trust Fund there will be maintained a working capital reserve [at a level to be determined from time to time by the Plenary by consensus] [of </w:t>
      </w:r>
      <w:r w:rsidR="00122DC8" w:rsidRPr="00F24EBB">
        <w:t>two</w:t>
      </w:r>
      <w:r w:rsidRPr="00F24EBB">
        <w:t xml:space="preserve"> million</w:t>
      </w:r>
      <w:r w:rsidR="005752AB" w:rsidRPr="00F24EBB">
        <w:t xml:space="preserve"> U</w:t>
      </w:r>
      <w:r w:rsidR="00D83A52" w:rsidRPr="00F24EBB">
        <w:t xml:space="preserve">nited </w:t>
      </w:r>
      <w:r w:rsidR="005752AB" w:rsidRPr="00F24EBB">
        <w:t>S</w:t>
      </w:r>
      <w:r w:rsidR="00D83A52" w:rsidRPr="00F24EBB">
        <w:t>tates</w:t>
      </w:r>
      <w:r w:rsidR="005752AB" w:rsidRPr="00F24EBB">
        <w:t xml:space="preserve"> dollars</w:t>
      </w:r>
      <w:r w:rsidR="00ED3A9E">
        <w:t>]</w:t>
      </w:r>
      <w:r w:rsidRPr="00F24EBB">
        <w:t>. The purpose of the working capital reserve will be to ensure continuity of operations in the event of short-term liquidity problems</w:t>
      </w:r>
      <w:r w:rsidR="005752AB" w:rsidRPr="00F24EBB">
        <w:t>,</w:t>
      </w:r>
      <w:r w:rsidRPr="00F24EBB">
        <w:t xml:space="preserve"> pending receipt of contributions. Drawdowns from the </w:t>
      </w:r>
      <w:r w:rsidR="00B21995" w:rsidRPr="00F24EBB">
        <w:t>working capital reserve</w:t>
      </w:r>
      <w:r w:rsidRPr="00F24EBB">
        <w:t xml:space="preserve"> will be </w:t>
      </w:r>
      <w:r w:rsidR="00516303" w:rsidRPr="00F24EBB">
        <w:t xml:space="preserve">initiated by the </w:t>
      </w:r>
      <w:r w:rsidR="00B21995" w:rsidRPr="00F24EBB">
        <w:t>h</w:t>
      </w:r>
      <w:r w:rsidR="00516303" w:rsidRPr="00F24EBB">
        <w:t xml:space="preserve">ead of the </w:t>
      </w:r>
      <w:r w:rsidR="00126A9C">
        <w:t>s</w:t>
      </w:r>
      <w:r w:rsidR="00126A9C" w:rsidRPr="00F24EBB">
        <w:t>ecretariat</w:t>
      </w:r>
      <w:r w:rsidR="00B8612D" w:rsidRPr="00F24EBB">
        <w:t>, in consultation with the Bureau, and</w:t>
      </w:r>
      <w:r w:rsidR="00F72331" w:rsidRPr="00F24EBB">
        <w:t xml:space="preserve"> </w:t>
      </w:r>
      <w:r w:rsidR="00516303" w:rsidRPr="00F24EBB">
        <w:t xml:space="preserve">after </w:t>
      </w:r>
      <w:r w:rsidR="00B8612D" w:rsidRPr="00F24EBB">
        <w:t xml:space="preserve">informing </w:t>
      </w:r>
      <w:r w:rsidR="00516303" w:rsidRPr="00F24EBB">
        <w:t>members of the Platform</w:t>
      </w:r>
      <w:r w:rsidR="00F72331" w:rsidRPr="00F24EBB">
        <w:t xml:space="preserve">. The </w:t>
      </w:r>
      <w:r w:rsidR="00B21995" w:rsidRPr="00F24EBB">
        <w:t>working capital reserve</w:t>
      </w:r>
      <w:r w:rsidR="00F72331" w:rsidRPr="00F24EBB">
        <w:t xml:space="preserve"> will be</w:t>
      </w:r>
      <w:r w:rsidR="00516303" w:rsidRPr="00F24EBB">
        <w:t xml:space="preserve"> </w:t>
      </w:r>
      <w:r w:rsidRPr="00F24EBB">
        <w:t>restored from contributions</w:t>
      </w:r>
      <w:r w:rsidR="00516303" w:rsidRPr="00F24EBB">
        <w:t xml:space="preserve"> </w:t>
      </w:r>
      <w:r w:rsidRPr="00F24EBB">
        <w:t xml:space="preserve">as soon as possible. </w:t>
      </w:r>
    </w:p>
    <w:p w:rsidR="00A2431F" w:rsidRPr="00F24EBB" w:rsidRDefault="00A2431F" w:rsidP="00376E86">
      <w:pPr>
        <w:pStyle w:val="CH2"/>
        <w:rPr>
          <w:lang w:val="en-GB"/>
        </w:rPr>
      </w:pPr>
      <w:r w:rsidRPr="00F24EBB">
        <w:rPr>
          <w:lang w:val="en-GB"/>
        </w:rPr>
        <w:tab/>
      </w:r>
      <w:r w:rsidR="00FA25E1" w:rsidRPr="00F24EBB">
        <w:rPr>
          <w:lang w:val="en-GB"/>
        </w:rPr>
        <w:tab/>
      </w:r>
      <w:r w:rsidRPr="00F24EBB">
        <w:rPr>
          <w:lang w:val="en-GB"/>
        </w:rPr>
        <w:t xml:space="preserve">Accounts and audit </w:t>
      </w:r>
    </w:p>
    <w:p w:rsidR="00A2431F" w:rsidRPr="00F24EBB" w:rsidRDefault="00A2431F" w:rsidP="00376E86">
      <w:pPr>
        <w:pStyle w:val="CH2"/>
        <w:rPr>
          <w:lang w:val="en-GB"/>
        </w:rPr>
      </w:pPr>
      <w:r w:rsidRPr="00F24EBB">
        <w:rPr>
          <w:lang w:val="en-GB"/>
        </w:rPr>
        <w:tab/>
      </w:r>
      <w:r w:rsidRPr="00F24EBB">
        <w:rPr>
          <w:lang w:val="en-GB"/>
        </w:rPr>
        <w:tab/>
        <w:t xml:space="preserve">Rule 17 </w:t>
      </w:r>
    </w:p>
    <w:p w:rsidR="00A2431F" w:rsidRPr="00F24EBB" w:rsidRDefault="00A2431F" w:rsidP="000D4D07">
      <w:pPr>
        <w:pStyle w:val="SingleTxt"/>
        <w:spacing w:after="180" w:line="240" w:lineRule="auto"/>
        <w:ind w:left="1247" w:right="0" w:firstLine="624"/>
        <w:jc w:val="left"/>
      </w:pPr>
      <w:r w:rsidRPr="00F24EBB">
        <w:t>The financial statements of the Trust Fund will be prepared in accordance with the</w:t>
      </w:r>
      <w:r w:rsidR="005752AB" w:rsidRPr="00F24EBB">
        <w:t xml:space="preserve"> International Public Sector Accounting Standards (</w:t>
      </w:r>
      <w:r w:rsidRPr="00F24EBB">
        <w:t>IPSAS</w:t>
      </w:r>
      <w:r w:rsidR="005752AB" w:rsidRPr="00F24EBB">
        <w:t>)</w:t>
      </w:r>
      <w:r w:rsidRPr="00F24EBB">
        <w:t xml:space="preserve"> and relevant standards used by the [</w:t>
      </w:r>
      <w:r w:rsidR="00CB5CE7" w:rsidRPr="00F24EBB">
        <w:t>United Nations Environment Programme</w:t>
      </w:r>
      <w:r w:rsidRPr="00F24EBB">
        <w:t>] [</w:t>
      </w:r>
      <w:r w:rsidR="00CB5CE7" w:rsidRPr="00F24EBB">
        <w:t xml:space="preserve">United Nations Development Programme </w:t>
      </w:r>
      <w:r w:rsidRPr="00F24EBB">
        <w:t>Multi</w:t>
      </w:r>
      <w:r w:rsidR="00ED3A9E">
        <w:noBreakHyphen/>
      </w:r>
      <w:r w:rsidRPr="00F24EBB">
        <w:t>Partner Trust Fund Office] and will be subject to internal and external audit, pursuant to the rules of the [</w:t>
      </w:r>
      <w:r w:rsidR="00CB5CE7" w:rsidRPr="00F24EBB">
        <w:t>United Nations Environment Programme</w:t>
      </w:r>
      <w:r w:rsidRPr="00F24EBB">
        <w:t>] [</w:t>
      </w:r>
      <w:r w:rsidR="00CB5CE7" w:rsidRPr="00F24EBB">
        <w:t xml:space="preserve">United Nations Development Programme </w:t>
      </w:r>
      <w:r w:rsidRPr="00F24EBB">
        <w:t xml:space="preserve">Multi-Partner Trust Fund Office]. Responsibility and accountability for </w:t>
      </w:r>
      <w:r w:rsidRPr="00F24EBB">
        <w:rPr>
          <w:spacing w:val="2"/>
        </w:rPr>
        <w:t>financial reporting resides with the [</w:t>
      </w:r>
      <w:r w:rsidR="00CB5CE7" w:rsidRPr="00F24EBB">
        <w:rPr>
          <w:spacing w:val="2"/>
        </w:rPr>
        <w:t>United Nations Environment Programme</w:t>
      </w:r>
      <w:r w:rsidRPr="00F24EBB">
        <w:rPr>
          <w:spacing w:val="2"/>
        </w:rPr>
        <w:t>] [</w:t>
      </w:r>
      <w:r w:rsidR="00CB5CE7" w:rsidRPr="00F24EBB">
        <w:rPr>
          <w:spacing w:val="2"/>
        </w:rPr>
        <w:t>United Nations Development Programme</w:t>
      </w:r>
      <w:r w:rsidRPr="00F24EBB">
        <w:rPr>
          <w:spacing w:val="2"/>
        </w:rPr>
        <w:t xml:space="preserve"> Multi-Partner Trust Fund Office].</w:t>
      </w:r>
      <w:r w:rsidRPr="00F24EBB">
        <w:t xml:space="preserve"> </w:t>
      </w:r>
    </w:p>
    <w:p w:rsidR="00A2431F" w:rsidRPr="00F24EBB" w:rsidRDefault="00A2431F" w:rsidP="00376E86">
      <w:pPr>
        <w:pStyle w:val="CH2"/>
        <w:rPr>
          <w:lang w:val="en-GB"/>
        </w:rPr>
      </w:pPr>
      <w:r w:rsidRPr="00F24EBB">
        <w:rPr>
          <w:lang w:val="en-GB"/>
        </w:rPr>
        <w:tab/>
      </w:r>
      <w:r w:rsidRPr="00F24EBB">
        <w:rPr>
          <w:lang w:val="en-GB"/>
        </w:rPr>
        <w:tab/>
        <w:t>General provisions</w:t>
      </w:r>
    </w:p>
    <w:p w:rsidR="00A2431F" w:rsidRPr="00F24EBB" w:rsidRDefault="00A2431F" w:rsidP="00376E86">
      <w:pPr>
        <w:pStyle w:val="CH2"/>
        <w:rPr>
          <w:lang w:val="en-GB"/>
        </w:rPr>
      </w:pPr>
      <w:r w:rsidRPr="00F24EBB">
        <w:rPr>
          <w:lang w:val="en-GB"/>
        </w:rPr>
        <w:tab/>
      </w:r>
      <w:r w:rsidRPr="00F24EBB">
        <w:rPr>
          <w:lang w:val="en-GB"/>
        </w:rPr>
        <w:tab/>
        <w:t xml:space="preserve">Rule 18 </w:t>
      </w:r>
    </w:p>
    <w:p w:rsidR="00A2431F" w:rsidRPr="00F24EBB" w:rsidRDefault="00A2431F" w:rsidP="00C77712">
      <w:pPr>
        <w:pStyle w:val="SingleTxt"/>
        <w:spacing w:line="240" w:lineRule="auto"/>
        <w:ind w:left="1247" w:right="0" w:firstLine="624"/>
        <w:jc w:val="left"/>
      </w:pPr>
      <w:r w:rsidRPr="00F24EBB">
        <w:t xml:space="preserve">In the event that it is decided to terminate the Trust Fund, members </w:t>
      </w:r>
      <w:r w:rsidR="00CB5CE7" w:rsidRPr="00F24EBB">
        <w:t xml:space="preserve">of the Platform </w:t>
      </w:r>
      <w:r w:rsidRPr="00F24EBB">
        <w:t>will be advised at least six months before the date on which termination will take place. The Plenary will decide, in consultation with the [</w:t>
      </w:r>
      <w:r w:rsidR="00CB5CE7" w:rsidRPr="00F24EBB">
        <w:t>United Nations Environment Programme</w:t>
      </w:r>
      <w:r w:rsidRPr="00F24EBB">
        <w:t>] [</w:t>
      </w:r>
      <w:r w:rsidR="00CB5CE7" w:rsidRPr="00F24EBB">
        <w:t>United Nations Development Programme</w:t>
      </w:r>
      <w:r w:rsidRPr="00F24EBB">
        <w:t xml:space="preserve"> Multi-Partner Trust Fund Office], on the distribution of any uncommitted balance after all liquidation expenses have been met. </w:t>
      </w:r>
    </w:p>
    <w:p w:rsidR="00A2431F" w:rsidRPr="00F24EBB" w:rsidRDefault="00376E86" w:rsidP="00376E86">
      <w:pPr>
        <w:pStyle w:val="CH2"/>
        <w:rPr>
          <w:lang w:val="en-GB"/>
        </w:rPr>
      </w:pPr>
      <w:r w:rsidRPr="00F24EBB">
        <w:rPr>
          <w:lang w:val="en-GB"/>
        </w:rPr>
        <w:tab/>
      </w:r>
      <w:r w:rsidRPr="00F24EBB">
        <w:rPr>
          <w:lang w:val="en-GB"/>
        </w:rPr>
        <w:tab/>
      </w:r>
      <w:r w:rsidR="00A2431F" w:rsidRPr="00F24EBB">
        <w:rPr>
          <w:lang w:val="en-GB"/>
        </w:rPr>
        <w:t xml:space="preserve">Rule 19 </w:t>
      </w:r>
    </w:p>
    <w:p w:rsidR="00A2431F" w:rsidRPr="00F24EBB" w:rsidRDefault="00A2431F" w:rsidP="00C77712">
      <w:pPr>
        <w:pStyle w:val="SingleTxt"/>
        <w:spacing w:line="240" w:lineRule="auto"/>
        <w:ind w:left="1247" w:right="0" w:firstLine="624"/>
        <w:jc w:val="left"/>
      </w:pPr>
      <w:r w:rsidRPr="00F24EBB">
        <w:t xml:space="preserve">In the event that it is decided to dissolve the </w:t>
      </w:r>
      <w:r w:rsidR="00CB5CE7" w:rsidRPr="00F24EBB">
        <w:t xml:space="preserve">Platform </w:t>
      </w:r>
      <w:r w:rsidRPr="00F24EBB">
        <w:t xml:space="preserve">secretariat, the institution administering the secretariat </w:t>
      </w:r>
      <w:r w:rsidR="00CB5CE7" w:rsidRPr="00F24EBB">
        <w:t xml:space="preserve">will </w:t>
      </w:r>
      <w:r w:rsidRPr="00F24EBB">
        <w:t>be advised at least one year before the date on which such dissolution will take place.</w:t>
      </w:r>
      <w:r w:rsidR="002F7206" w:rsidRPr="00F24EBB">
        <w:t xml:space="preserve"> All liability and costs pertaining to that dissolution will be borne by the Trust Fund.</w:t>
      </w:r>
    </w:p>
    <w:p w:rsidR="00A2431F" w:rsidRPr="00F24EBB" w:rsidRDefault="00A2431F" w:rsidP="00376E86">
      <w:pPr>
        <w:pStyle w:val="CH2"/>
        <w:rPr>
          <w:lang w:val="en-GB"/>
        </w:rPr>
      </w:pPr>
      <w:r w:rsidRPr="00F24EBB">
        <w:rPr>
          <w:lang w:val="en-GB"/>
        </w:rPr>
        <w:tab/>
      </w:r>
      <w:r w:rsidRPr="00F24EBB">
        <w:rPr>
          <w:lang w:val="en-GB"/>
        </w:rPr>
        <w:tab/>
        <w:t xml:space="preserve">Rule 20 </w:t>
      </w:r>
    </w:p>
    <w:p w:rsidR="00A2431F" w:rsidRPr="00F24EBB" w:rsidRDefault="00A2431F" w:rsidP="00C77712">
      <w:pPr>
        <w:pStyle w:val="SingleTxt"/>
        <w:spacing w:line="240" w:lineRule="auto"/>
        <w:ind w:left="1247" w:right="0" w:firstLine="624"/>
        <w:jc w:val="left"/>
      </w:pPr>
      <w:r w:rsidRPr="00F24EBB">
        <w:t xml:space="preserve">Any revisions to these procedures will be adopted by the Plenary by consensus. </w:t>
      </w:r>
    </w:p>
    <w:p w:rsidR="00EB2672" w:rsidRPr="00F24EBB" w:rsidRDefault="00EB2672" w:rsidP="00EB2672">
      <w:pPr>
        <w:pStyle w:val="Normal-pool"/>
      </w:pPr>
    </w:p>
    <w:tbl>
      <w:tblPr>
        <w:tblW w:w="0" w:type="auto"/>
        <w:tblLook w:val="01E0" w:firstRow="1" w:lastRow="1" w:firstColumn="1" w:lastColumn="1" w:noHBand="0" w:noVBand="0"/>
      </w:tblPr>
      <w:tblGrid>
        <w:gridCol w:w="3237"/>
        <w:gridCol w:w="3237"/>
        <w:gridCol w:w="3238"/>
      </w:tblGrid>
      <w:tr w:rsidR="00EB2672" w:rsidRPr="00F24EBB" w:rsidTr="00EB2672">
        <w:tc>
          <w:tcPr>
            <w:tcW w:w="3237" w:type="dxa"/>
          </w:tcPr>
          <w:p w:rsidR="00EB2672" w:rsidRPr="00F24EBB" w:rsidRDefault="00EB2672" w:rsidP="00EB2672">
            <w:pPr>
              <w:pStyle w:val="Normal-pool"/>
            </w:pPr>
          </w:p>
        </w:tc>
        <w:tc>
          <w:tcPr>
            <w:tcW w:w="3237" w:type="dxa"/>
            <w:tcBorders>
              <w:bottom w:val="single" w:sz="4" w:space="0" w:color="auto"/>
            </w:tcBorders>
          </w:tcPr>
          <w:p w:rsidR="00EB2672" w:rsidRPr="00F24EBB" w:rsidRDefault="00EB2672" w:rsidP="00EB2672">
            <w:pPr>
              <w:pStyle w:val="Normal-pool"/>
            </w:pPr>
          </w:p>
        </w:tc>
        <w:tc>
          <w:tcPr>
            <w:tcW w:w="3238" w:type="dxa"/>
          </w:tcPr>
          <w:p w:rsidR="00EB2672" w:rsidRPr="00F24EBB" w:rsidRDefault="00EB2672" w:rsidP="00EB2672">
            <w:pPr>
              <w:pStyle w:val="Normal-pool"/>
            </w:pPr>
          </w:p>
        </w:tc>
      </w:tr>
    </w:tbl>
    <w:p w:rsidR="00EB2672" w:rsidRPr="00F24EBB" w:rsidRDefault="00EB2672" w:rsidP="00EB2672">
      <w:pPr>
        <w:pStyle w:val="Normal-pool"/>
      </w:pPr>
    </w:p>
    <w:p w:rsidR="00663469" w:rsidRPr="00F24EBB" w:rsidRDefault="00663469" w:rsidP="00A2431F">
      <w:pPr>
        <w:pStyle w:val="HCh"/>
        <w:spacing w:line="240" w:lineRule="auto"/>
        <w:ind w:left="1267" w:right="386" w:hanging="1267"/>
        <w:jc w:val="center"/>
        <w:rPr>
          <w:sz w:val="18"/>
          <w:szCs w:val="18"/>
        </w:rPr>
      </w:pPr>
    </w:p>
    <w:sectPr w:rsidR="00663469" w:rsidRPr="00F24EBB" w:rsidSect="00864922">
      <w:headerReference w:type="even" r:id="rId12"/>
      <w:headerReference w:type="default" r:id="rId13"/>
      <w:footerReference w:type="even" r:id="rId14"/>
      <w:footerReference w:type="default" r:id="rId15"/>
      <w:footerReference w:type="first" r:id="rId16"/>
      <w:pgSz w:w="11906" w:h="16838"/>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8F" w:rsidRDefault="00F5038F" w:rsidP="0083613E">
      <w:pPr>
        <w:spacing w:after="0" w:line="240" w:lineRule="auto"/>
      </w:pPr>
      <w:r>
        <w:separator/>
      </w:r>
    </w:p>
  </w:endnote>
  <w:endnote w:type="continuationSeparator" w:id="0">
    <w:p w:rsidR="00F5038F" w:rsidRDefault="00F5038F" w:rsidP="0083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17" w:rsidRPr="00C758E4" w:rsidRDefault="00097417">
    <w:pPr>
      <w:pStyle w:val="Footer"/>
      <w:rPr>
        <w:rFonts w:ascii="Times New Roman" w:hAnsi="Times New Roman"/>
        <w:b/>
        <w:sz w:val="18"/>
        <w:szCs w:val="18"/>
      </w:rPr>
    </w:pPr>
    <w:r w:rsidRPr="00C758E4">
      <w:rPr>
        <w:rFonts w:ascii="Times New Roman" w:hAnsi="Times New Roman"/>
        <w:b/>
        <w:sz w:val="18"/>
        <w:szCs w:val="18"/>
      </w:rPr>
      <w:fldChar w:fldCharType="begin"/>
    </w:r>
    <w:r w:rsidRPr="00C758E4">
      <w:rPr>
        <w:rFonts w:ascii="Times New Roman" w:hAnsi="Times New Roman"/>
        <w:b/>
        <w:sz w:val="18"/>
        <w:szCs w:val="18"/>
      </w:rPr>
      <w:instrText xml:space="preserve"> PAGE   \* MERGEFORMAT </w:instrText>
    </w:r>
    <w:r w:rsidRPr="00C758E4">
      <w:rPr>
        <w:rFonts w:ascii="Times New Roman" w:hAnsi="Times New Roman"/>
        <w:b/>
        <w:sz w:val="18"/>
        <w:szCs w:val="18"/>
      </w:rPr>
      <w:fldChar w:fldCharType="separate"/>
    </w:r>
    <w:r w:rsidR="001D28D6">
      <w:rPr>
        <w:rFonts w:ascii="Times New Roman" w:hAnsi="Times New Roman"/>
        <w:b/>
        <w:noProof/>
        <w:sz w:val="18"/>
        <w:szCs w:val="18"/>
      </w:rPr>
      <w:t>2</w:t>
    </w:r>
    <w:r w:rsidRPr="00C758E4">
      <w:rPr>
        <w:rFonts w:ascii="Times New Roman" w:hAnsi="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17" w:rsidRPr="00C758E4" w:rsidRDefault="00097417">
    <w:pPr>
      <w:pStyle w:val="Footer"/>
      <w:jc w:val="right"/>
      <w:rPr>
        <w:rFonts w:ascii="Times New Roman" w:hAnsi="Times New Roman"/>
        <w:b/>
        <w:sz w:val="18"/>
        <w:szCs w:val="18"/>
      </w:rPr>
    </w:pPr>
    <w:r w:rsidRPr="00C758E4">
      <w:rPr>
        <w:rFonts w:ascii="Times New Roman" w:hAnsi="Times New Roman"/>
        <w:b/>
        <w:sz w:val="18"/>
        <w:szCs w:val="18"/>
      </w:rPr>
      <w:fldChar w:fldCharType="begin"/>
    </w:r>
    <w:r w:rsidRPr="00C758E4">
      <w:rPr>
        <w:rFonts w:ascii="Times New Roman" w:hAnsi="Times New Roman"/>
        <w:b/>
        <w:sz w:val="18"/>
        <w:szCs w:val="18"/>
      </w:rPr>
      <w:instrText xml:space="preserve"> PAGE   \* MERGEFORMAT </w:instrText>
    </w:r>
    <w:r w:rsidRPr="00C758E4">
      <w:rPr>
        <w:rFonts w:ascii="Times New Roman" w:hAnsi="Times New Roman"/>
        <w:b/>
        <w:sz w:val="18"/>
        <w:szCs w:val="18"/>
      </w:rPr>
      <w:fldChar w:fldCharType="separate"/>
    </w:r>
    <w:r w:rsidR="001D28D6">
      <w:rPr>
        <w:rFonts w:ascii="Times New Roman" w:hAnsi="Times New Roman"/>
        <w:b/>
        <w:noProof/>
        <w:sz w:val="18"/>
        <w:szCs w:val="18"/>
      </w:rPr>
      <w:t>3</w:t>
    </w:r>
    <w:r w:rsidRPr="00C758E4">
      <w:rPr>
        <w:rFonts w:ascii="Times New Roman" w:hAnsi="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17" w:rsidRPr="00864922" w:rsidRDefault="000D4D07" w:rsidP="00864922">
    <w:pPr>
      <w:pStyle w:val="Footer"/>
      <w:tabs>
        <w:tab w:val="clear" w:pos="4513"/>
        <w:tab w:val="clear" w:pos="9026"/>
        <w:tab w:val="left" w:pos="624"/>
      </w:tabs>
      <w:rPr>
        <w:rFonts w:ascii="Times New Roman" w:hAnsi="Times New Roman"/>
        <w:sz w:val="20"/>
        <w:szCs w:val="20"/>
      </w:rPr>
    </w:pPr>
    <w:r>
      <w:rPr>
        <w:rFonts w:ascii="Times New Roman" w:hAnsi="Times New Roman"/>
        <w:sz w:val="20"/>
        <w:szCs w:val="20"/>
      </w:rPr>
      <w:t>K1353203</w:t>
    </w:r>
    <w:r>
      <w:rPr>
        <w:rFonts w:ascii="Times New Roman" w:hAnsi="Times New Roman"/>
        <w:sz w:val="20"/>
        <w:szCs w:val="20"/>
      </w:rPr>
      <w:tab/>
      <w:t>11</w:t>
    </w:r>
    <w:r w:rsidR="00097417">
      <w:rPr>
        <w:rFonts w:ascii="Times New Roman" w:hAnsi="Times New Roman"/>
        <w:sz w:val="20"/>
        <w:szCs w:val="20"/>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8F" w:rsidRDefault="00F5038F" w:rsidP="0083613E">
      <w:pPr>
        <w:spacing w:after="0" w:line="240" w:lineRule="auto"/>
      </w:pPr>
      <w:r>
        <w:separator/>
      </w:r>
    </w:p>
  </w:footnote>
  <w:footnote w:type="continuationSeparator" w:id="0">
    <w:p w:rsidR="00F5038F" w:rsidRDefault="00F5038F" w:rsidP="0083613E">
      <w:pPr>
        <w:spacing w:after="0" w:line="240" w:lineRule="auto"/>
      </w:pPr>
      <w:r>
        <w:continuationSeparator/>
      </w:r>
    </w:p>
  </w:footnote>
  <w:footnote w:id="1">
    <w:p w:rsidR="00097417" w:rsidRPr="00EB2672" w:rsidRDefault="00097417" w:rsidP="00864922">
      <w:pPr>
        <w:pStyle w:val="FootnoteText"/>
        <w:spacing w:before="20" w:after="40"/>
        <w:ind w:left="1723" w:hanging="476"/>
        <w:rPr>
          <w:sz w:val="18"/>
          <w:szCs w:val="18"/>
          <w:lang w:val="en-US"/>
        </w:rPr>
      </w:pPr>
      <w:r w:rsidRPr="00EB2672">
        <w:rPr>
          <w:rStyle w:val="FootnoteReference"/>
          <w:sz w:val="18"/>
          <w:szCs w:val="18"/>
        </w:rPr>
        <w:sym w:font="Symbol" w:char="F02A"/>
      </w:r>
      <w:r w:rsidRPr="00EB2672">
        <w:rPr>
          <w:sz w:val="18"/>
          <w:szCs w:val="18"/>
        </w:rPr>
        <w:t xml:space="preserve"> IPBES/</w:t>
      </w:r>
      <w:r w:rsidRPr="00EB2672">
        <w:rPr>
          <w:sz w:val="18"/>
          <w:szCs w:val="18"/>
          <w:lang w:eastAsia="ja-JP"/>
        </w:rPr>
        <w:t>2/1.</w:t>
      </w:r>
    </w:p>
  </w:footnote>
  <w:footnote w:id="2">
    <w:p w:rsidR="00097417" w:rsidRPr="00FA25E1" w:rsidRDefault="00097417" w:rsidP="00FA25E1">
      <w:pPr>
        <w:pStyle w:val="FootnoteText"/>
        <w:tabs>
          <w:tab w:val="clear" w:pos="418"/>
        </w:tabs>
        <w:spacing w:before="20" w:after="40"/>
        <w:ind w:left="1247" w:firstLine="0"/>
        <w:rPr>
          <w:sz w:val="18"/>
          <w:lang w:val="en-US"/>
        </w:rPr>
      </w:pPr>
      <w:r w:rsidRPr="00FA25E1">
        <w:rPr>
          <w:rStyle w:val="FootnoteReference"/>
          <w:sz w:val="18"/>
        </w:rPr>
        <w:footnoteRef/>
      </w:r>
      <w:r w:rsidRPr="00FA25E1">
        <w:rPr>
          <w:sz w:val="18"/>
        </w:rPr>
        <w:t xml:space="preserve"> </w:t>
      </w:r>
      <w:r w:rsidRPr="00FA25E1">
        <w:rPr>
          <w:sz w:val="18"/>
          <w:lang w:val="en-US"/>
        </w:rPr>
        <w:t xml:space="preserve">Acceptance of contributions from the private sector may be subject to conditions </w:t>
      </w:r>
      <w:r>
        <w:rPr>
          <w:sz w:val="18"/>
          <w:lang w:val="en-US"/>
        </w:rPr>
        <w:t>imposed by</w:t>
      </w:r>
      <w:r w:rsidRPr="00FA25E1">
        <w:rPr>
          <w:sz w:val="18"/>
          <w:lang w:val="en-US"/>
        </w:rPr>
        <w:t xml:space="preserve"> the [Plenary and the] [United Nations Environment Programme] [United Nations Development Programme Multi-Partner Trust Fund Office].</w:t>
      </w:r>
    </w:p>
  </w:footnote>
  <w:footnote w:id="3">
    <w:p w:rsidR="00097417" w:rsidRPr="00EB2672" w:rsidRDefault="00097417" w:rsidP="00376E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7" w:firstLine="0"/>
        <w:rPr>
          <w:sz w:val="18"/>
          <w:szCs w:val="18"/>
        </w:rPr>
      </w:pPr>
      <w:r>
        <w:tab/>
      </w:r>
      <w:r w:rsidRPr="00EB2672">
        <w:rPr>
          <w:rStyle w:val="FootnoteReference"/>
          <w:sz w:val="18"/>
          <w:szCs w:val="18"/>
        </w:rPr>
        <w:footnoteRef/>
      </w:r>
      <w:r w:rsidRPr="00EB2672">
        <w:rPr>
          <w:sz w:val="18"/>
          <w:szCs w:val="18"/>
        </w:rPr>
        <w:t xml:space="preserve"> Insert other positions seconded to the secretariat, as appropriate. </w:t>
      </w:r>
    </w:p>
  </w:footnote>
  <w:footnote w:id="4">
    <w:p w:rsidR="00097417" w:rsidRPr="00EB2672" w:rsidRDefault="00097417" w:rsidP="00376E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7" w:firstLine="0"/>
        <w:rPr>
          <w:sz w:val="18"/>
          <w:szCs w:val="18"/>
        </w:rPr>
      </w:pPr>
      <w:r w:rsidRPr="00EB2672">
        <w:rPr>
          <w:sz w:val="18"/>
          <w:szCs w:val="18"/>
        </w:rPr>
        <w:tab/>
      </w:r>
      <w:r w:rsidRPr="00EB2672">
        <w:rPr>
          <w:rStyle w:val="FootnoteReference"/>
          <w:sz w:val="18"/>
          <w:szCs w:val="18"/>
        </w:rPr>
        <w:footnoteRef/>
      </w:r>
      <w:r w:rsidRPr="00EB2672">
        <w:rPr>
          <w:sz w:val="18"/>
          <w:szCs w:val="18"/>
        </w:rPr>
        <w:t xml:space="preserve"> Insert the name of the institution(s)/Government(s) providing the other positions </w:t>
      </w:r>
      <w:r>
        <w:rPr>
          <w:sz w:val="18"/>
          <w:szCs w:val="18"/>
        </w:rPr>
        <w:t xml:space="preserve">seconded </w:t>
      </w:r>
      <w:r w:rsidRPr="00EB2672">
        <w:rPr>
          <w:sz w:val="18"/>
          <w:szCs w:val="18"/>
        </w:rPr>
        <w:t xml:space="preserve">to the secretariat.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17" w:rsidRPr="00864922" w:rsidRDefault="00097417" w:rsidP="00864922">
    <w:pPr>
      <w:pStyle w:val="Header"/>
      <w:pBdr>
        <w:bottom w:val="single" w:sz="4" w:space="1" w:color="auto"/>
      </w:pBdr>
      <w:spacing w:after="120"/>
      <w:rPr>
        <w:rFonts w:ascii="Times New Roman" w:hAnsi="Times New Roman"/>
        <w:b/>
        <w:sz w:val="18"/>
        <w:szCs w:val="18"/>
      </w:rPr>
    </w:pPr>
    <w:r w:rsidRPr="00864922">
      <w:rPr>
        <w:rFonts w:ascii="Times New Roman" w:hAnsi="Times New Roman"/>
        <w:b/>
        <w:sz w:val="18"/>
        <w:szCs w:val="18"/>
        <w:lang w:val="en-US"/>
      </w:rPr>
      <w:t>IPBES/</w:t>
    </w:r>
    <w:r w:rsidRPr="00864922">
      <w:rPr>
        <w:rFonts w:ascii="Times New Roman" w:hAnsi="Times New Roman"/>
        <w:b/>
        <w:sz w:val="18"/>
        <w:szCs w:val="18"/>
        <w:lang w:val="en-US" w:eastAsia="ja-JP"/>
      </w:rPr>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17" w:rsidRPr="00864922" w:rsidRDefault="00097417" w:rsidP="00864922">
    <w:pPr>
      <w:pStyle w:val="Header"/>
      <w:pBdr>
        <w:bottom w:val="single" w:sz="4" w:space="1" w:color="auto"/>
      </w:pBdr>
      <w:jc w:val="right"/>
      <w:rPr>
        <w:rFonts w:ascii="Times New Roman" w:hAnsi="Times New Roman"/>
        <w:b/>
        <w:sz w:val="18"/>
        <w:szCs w:val="18"/>
      </w:rPr>
    </w:pPr>
    <w:r w:rsidRPr="00864922">
      <w:rPr>
        <w:rFonts w:ascii="Times New Roman" w:hAnsi="Times New Roman"/>
        <w:b/>
        <w:sz w:val="18"/>
        <w:szCs w:val="18"/>
        <w:lang w:val="en-US"/>
      </w:rPr>
      <w:t>IPBES/</w:t>
    </w:r>
    <w:r w:rsidRPr="00864922">
      <w:rPr>
        <w:rFonts w:ascii="Times New Roman" w:hAnsi="Times New Roman"/>
        <w:b/>
        <w:sz w:val="18"/>
        <w:szCs w:val="18"/>
        <w:lang w:val="en-US" w:eastAsia="ja-JP"/>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F84"/>
    <w:multiLevelType w:val="hybridMultilevel"/>
    <w:tmpl w:val="C5ACDB3E"/>
    <w:lvl w:ilvl="0" w:tplc="C6A07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5256"/>
    <w:multiLevelType w:val="hybridMultilevel"/>
    <w:tmpl w:val="CAD4E12A"/>
    <w:lvl w:ilvl="0" w:tplc="A154A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06A84"/>
    <w:multiLevelType w:val="hybridMultilevel"/>
    <w:tmpl w:val="169A9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AC6469"/>
    <w:multiLevelType w:val="hybridMultilevel"/>
    <w:tmpl w:val="EEC6AFBE"/>
    <w:lvl w:ilvl="0" w:tplc="0409001B">
      <w:start w:val="1"/>
      <w:numFmt w:val="lowerRoman"/>
      <w:lvlText w:val="%1."/>
      <w:lvlJc w:val="right"/>
      <w:pPr>
        <w:ind w:left="96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B96ADA"/>
    <w:multiLevelType w:val="hybridMultilevel"/>
    <w:tmpl w:val="F29CDB5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E0C40"/>
    <w:multiLevelType w:val="hybridMultilevel"/>
    <w:tmpl w:val="A7CE276A"/>
    <w:lvl w:ilvl="0" w:tplc="B5B8F8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577AE6"/>
    <w:multiLevelType w:val="hybridMultilevel"/>
    <w:tmpl w:val="E29C2650"/>
    <w:lvl w:ilvl="0" w:tplc="EF3E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2672F1"/>
    <w:multiLevelType w:val="hybridMultilevel"/>
    <w:tmpl w:val="9F3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2"/>
  </w:num>
  <w:num w:numId="5">
    <w:abstractNumId w:val="4"/>
  </w:num>
  <w:num w:numId="6">
    <w:abstractNumId w:val="5"/>
  </w:num>
  <w:num w:numId="7">
    <w:abstractNumId w:val="9"/>
  </w:num>
  <w:num w:numId="8">
    <w:abstractNumId w:val="15"/>
  </w:num>
  <w:num w:numId="9">
    <w:abstractNumId w:val="3"/>
  </w:num>
  <w:num w:numId="10">
    <w:abstractNumId w:val="7"/>
  </w:num>
  <w:num w:numId="11">
    <w:abstractNumId w:val="10"/>
  </w:num>
  <w:num w:numId="12">
    <w:abstractNumId w:val="0"/>
  </w:num>
  <w:num w:numId="13">
    <w:abstractNumId w:val="1"/>
  </w:num>
  <w:num w:numId="14">
    <w:abstractNumId w:val="6"/>
  </w:num>
  <w:num w:numId="15">
    <w:abstractNumId w:val="13"/>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E9"/>
    <w:rsid w:val="00001285"/>
    <w:rsid w:val="000047CD"/>
    <w:rsid w:val="0000599C"/>
    <w:rsid w:val="00014CF4"/>
    <w:rsid w:val="0003131E"/>
    <w:rsid w:val="00047FD6"/>
    <w:rsid w:val="00054933"/>
    <w:rsid w:val="00061613"/>
    <w:rsid w:val="00061B58"/>
    <w:rsid w:val="00076986"/>
    <w:rsid w:val="00084562"/>
    <w:rsid w:val="00093F5D"/>
    <w:rsid w:val="00097417"/>
    <w:rsid w:val="000A0869"/>
    <w:rsid w:val="000A2D81"/>
    <w:rsid w:val="000A48C6"/>
    <w:rsid w:val="000C3B11"/>
    <w:rsid w:val="000C3B14"/>
    <w:rsid w:val="000D0D8A"/>
    <w:rsid w:val="000D4D07"/>
    <w:rsid w:val="000E2242"/>
    <w:rsid w:val="000E2C06"/>
    <w:rsid w:val="000E6210"/>
    <w:rsid w:val="000F24E0"/>
    <w:rsid w:val="000F62AD"/>
    <w:rsid w:val="000F762B"/>
    <w:rsid w:val="00103EA8"/>
    <w:rsid w:val="00113670"/>
    <w:rsid w:val="00113B61"/>
    <w:rsid w:val="0011665F"/>
    <w:rsid w:val="001213BD"/>
    <w:rsid w:val="00122DC8"/>
    <w:rsid w:val="001249E6"/>
    <w:rsid w:val="0012576C"/>
    <w:rsid w:val="00126A9C"/>
    <w:rsid w:val="001341C6"/>
    <w:rsid w:val="00134E64"/>
    <w:rsid w:val="00135C69"/>
    <w:rsid w:val="00142691"/>
    <w:rsid w:val="00147AA7"/>
    <w:rsid w:val="0015431C"/>
    <w:rsid w:val="00154D4A"/>
    <w:rsid w:val="001551D5"/>
    <w:rsid w:val="001579CE"/>
    <w:rsid w:val="00161797"/>
    <w:rsid w:val="00163512"/>
    <w:rsid w:val="00164311"/>
    <w:rsid w:val="00166513"/>
    <w:rsid w:val="001717FF"/>
    <w:rsid w:val="001736BD"/>
    <w:rsid w:val="0017596B"/>
    <w:rsid w:val="00194F82"/>
    <w:rsid w:val="001A6600"/>
    <w:rsid w:val="001B11DB"/>
    <w:rsid w:val="001B2A71"/>
    <w:rsid w:val="001C6D61"/>
    <w:rsid w:val="001C6E6C"/>
    <w:rsid w:val="001D28D6"/>
    <w:rsid w:val="001F6F90"/>
    <w:rsid w:val="002021A1"/>
    <w:rsid w:val="00213DB1"/>
    <w:rsid w:val="00215BED"/>
    <w:rsid w:val="00221128"/>
    <w:rsid w:val="00260B52"/>
    <w:rsid w:val="0029611F"/>
    <w:rsid w:val="002A24F8"/>
    <w:rsid w:val="002A2BCB"/>
    <w:rsid w:val="002A5CC9"/>
    <w:rsid w:val="002B1275"/>
    <w:rsid w:val="002B1DD4"/>
    <w:rsid w:val="002B21B0"/>
    <w:rsid w:val="002C186E"/>
    <w:rsid w:val="002C2BD5"/>
    <w:rsid w:val="002D7D7B"/>
    <w:rsid w:val="002E59AA"/>
    <w:rsid w:val="002F7206"/>
    <w:rsid w:val="00307CF9"/>
    <w:rsid w:val="00310A38"/>
    <w:rsid w:val="00313866"/>
    <w:rsid w:val="003238BE"/>
    <w:rsid w:val="0033413C"/>
    <w:rsid w:val="00335D83"/>
    <w:rsid w:val="00336CB6"/>
    <w:rsid w:val="00341A50"/>
    <w:rsid w:val="00341B3D"/>
    <w:rsid w:val="00344D48"/>
    <w:rsid w:val="00351AD9"/>
    <w:rsid w:val="00360F03"/>
    <w:rsid w:val="00361654"/>
    <w:rsid w:val="00363E66"/>
    <w:rsid w:val="00370E5F"/>
    <w:rsid w:val="00376E86"/>
    <w:rsid w:val="0038186E"/>
    <w:rsid w:val="003867B1"/>
    <w:rsid w:val="003A28DF"/>
    <w:rsid w:val="003B022F"/>
    <w:rsid w:val="003B3DA7"/>
    <w:rsid w:val="003B4408"/>
    <w:rsid w:val="003B55FA"/>
    <w:rsid w:val="003B6D6D"/>
    <w:rsid w:val="003C3AD4"/>
    <w:rsid w:val="003D3BA5"/>
    <w:rsid w:val="003E0949"/>
    <w:rsid w:val="003E76BB"/>
    <w:rsid w:val="004101CF"/>
    <w:rsid w:val="004139F3"/>
    <w:rsid w:val="00414D32"/>
    <w:rsid w:val="0043714D"/>
    <w:rsid w:val="00452351"/>
    <w:rsid w:val="00456605"/>
    <w:rsid w:val="00474697"/>
    <w:rsid w:val="00477CE9"/>
    <w:rsid w:val="0048265C"/>
    <w:rsid w:val="00486024"/>
    <w:rsid w:val="00487FEB"/>
    <w:rsid w:val="004911C4"/>
    <w:rsid w:val="004A077F"/>
    <w:rsid w:val="004A35BE"/>
    <w:rsid w:val="004A7803"/>
    <w:rsid w:val="004B4B84"/>
    <w:rsid w:val="004B6B9B"/>
    <w:rsid w:val="004B6CF6"/>
    <w:rsid w:val="004B7608"/>
    <w:rsid w:val="004C6C30"/>
    <w:rsid w:val="004D6D5A"/>
    <w:rsid w:val="004E73BF"/>
    <w:rsid w:val="004F2BDC"/>
    <w:rsid w:val="00500890"/>
    <w:rsid w:val="0051548F"/>
    <w:rsid w:val="00515E44"/>
    <w:rsid w:val="00516303"/>
    <w:rsid w:val="00523B59"/>
    <w:rsid w:val="00530106"/>
    <w:rsid w:val="00535CCE"/>
    <w:rsid w:val="005554BA"/>
    <w:rsid w:val="00562923"/>
    <w:rsid w:val="00570E78"/>
    <w:rsid w:val="005752AB"/>
    <w:rsid w:val="00583F54"/>
    <w:rsid w:val="00590173"/>
    <w:rsid w:val="00593E84"/>
    <w:rsid w:val="0059582C"/>
    <w:rsid w:val="005A58AC"/>
    <w:rsid w:val="005B47A7"/>
    <w:rsid w:val="005C11A5"/>
    <w:rsid w:val="005C66D3"/>
    <w:rsid w:val="005D18A9"/>
    <w:rsid w:val="005E0DA6"/>
    <w:rsid w:val="005F23BD"/>
    <w:rsid w:val="00600B48"/>
    <w:rsid w:val="0061004E"/>
    <w:rsid w:val="00624DDF"/>
    <w:rsid w:val="00644C5E"/>
    <w:rsid w:val="00661F0E"/>
    <w:rsid w:val="00663469"/>
    <w:rsid w:val="00680409"/>
    <w:rsid w:val="006957D5"/>
    <w:rsid w:val="006A373D"/>
    <w:rsid w:val="006A4CB3"/>
    <w:rsid w:val="006B0BA3"/>
    <w:rsid w:val="006C5255"/>
    <w:rsid w:val="006D1E48"/>
    <w:rsid w:val="006D48FA"/>
    <w:rsid w:val="006D59FE"/>
    <w:rsid w:val="00700956"/>
    <w:rsid w:val="00701FF7"/>
    <w:rsid w:val="00711DC6"/>
    <w:rsid w:val="007130C7"/>
    <w:rsid w:val="00726271"/>
    <w:rsid w:val="00732169"/>
    <w:rsid w:val="00753385"/>
    <w:rsid w:val="00786851"/>
    <w:rsid w:val="0079119E"/>
    <w:rsid w:val="007911CB"/>
    <w:rsid w:val="00791E07"/>
    <w:rsid w:val="007A24E9"/>
    <w:rsid w:val="007A3B82"/>
    <w:rsid w:val="007C15B4"/>
    <w:rsid w:val="007C53EC"/>
    <w:rsid w:val="007C56A2"/>
    <w:rsid w:val="007D160F"/>
    <w:rsid w:val="007D6B60"/>
    <w:rsid w:val="007E19E3"/>
    <w:rsid w:val="007F54DC"/>
    <w:rsid w:val="007F6A48"/>
    <w:rsid w:val="00806A56"/>
    <w:rsid w:val="00815494"/>
    <w:rsid w:val="008164F1"/>
    <w:rsid w:val="00827A4D"/>
    <w:rsid w:val="00830178"/>
    <w:rsid w:val="0083123F"/>
    <w:rsid w:val="0083613E"/>
    <w:rsid w:val="008371F6"/>
    <w:rsid w:val="00860597"/>
    <w:rsid w:val="00864922"/>
    <w:rsid w:val="00867480"/>
    <w:rsid w:val="008726F2"/>
    <w:rsid w:val="00881D95"/>
    <w:rsid w:val="00882A37"/>
    <w:rsid w:val="008840CA"/>
    <w:rsid w:val="00884A61"/>
    <w:rsid w:val="00886564"/>
    <w:rsid w:val="008A1B55"/>
    <w:rsid w:val="008B0181"/>
    <w:rsid w:val="008B23E8"/>
    <w:rsid w:val="008B49DD"/>
    <w:rsid w:val="008C0085"/>
    <w:rsid w:val="008C2DBD"/>
    <w:rsid w:val="008E3710"/>
    <w:rsid w:val="008E6354"/>
    <w:rsid w:val="008F38AE"/>
    <w:rsid w:val="00900684"/>
    <w:rsid w:val="00913519"/>
    <w:rsid w:val="00913E94"/>
    <w:rsid w:val="00920101"/>
    <w:rsid w:val="00921B67"/>
    <w:rsid w:val="009245F6"/>
    <w:rsid w:val="00927592"/>
    <w:rsid w:val="00927CE9"/>
    <w:rsid w:val="009342E3"/>
    <w:rsid w:val="009476E8"/>
    <w:rsid w:val="0094786B"/>
    <w:rsid w:val="00953281"/>
    <w:rsid w:val="00973C44"/>
    <w:rsid w:val="00992190"/>
    <w:rsid w:val="009927C6"/>
    <w:rsid w:val="00993730"/>
    <w:rsid w:val="009A5469"/>
    <w:rsid w:val="009A75A9"/>
    <w:rsid w:val="009B53E8"/>
    <w:rsid w:val="009B7E5E"/>
    <w:rsid w:val="009C0046"/>
    <w:rsid w:val="009D5565"/>
    <w:rsid w:val="009D5985"/>
    <w:rsid w:val="009D648A"/>
    <w:rsid w:val="009E1368"/>
    <w:rsid w:val="009E6D5F"/>
    <w:rsid w:val="00A2431F"/>
    <w:rsid w:val="00A2687C"/>
    <w:rsid w:val="00A43F64"/>
    <w:rsid w:val="00A57223"/>
    <w:rsid w:val="00A60F43"/>
    <w:rsid w:val="00A62F0E"/>
    <w:rsid w:val="00A70B40"/>
    <w:rsid w:val="00A731B3"/>
    <w:rsid w:val="00A825ED"/>
    <w:rsid w:val="00AA2BC9"/>
    <w:rsid w:val="00AB0FF4"/>
    <w:rsid w:val="00AB2DB5"/>
    <w:rsid w:val="00AC0235"/>
    <w:rsid w:val="00AC2AB3"/>
    <w:rsid w:val="00AC6C51"/>
    <w:rsid w:val="00AD2BB9"/>
    <w:rsid w:val="00AE11EF"/>
    <w:rsid w:val="00AE567B"/>
    <w:rsid w:val="00AF5D58"/>
    <w:rsid w:val="00AF6E82"/>
    <w:rsid w:val="00B00FF2"/>
    <w:rsid w:val="00B1238F"/>
    <w:rsid w:val="00B21995"/>
    <w:rsid w:val="00B22711"/>
    <w:rsid w:val="00B30271"/>
    <w:rsid w:val="00B621AC"/>
    <w:rsid w:val="00B72670"/>
    <w:rsid w:val="00B80989"/>
    <w:rsid w:val="00B83AAC"/>
    <w:rsid w:val="00B83CF5"/>
    <w:rsid w:val="00B8612D"/>
    <w:rsid w:val="00B873FD"/>
    <w:rsid w:val="00BA22D2"/>
    <w:rsid w:val="00BC0EAF"/>
    <w:rsid w:val="00BC45A4"/>
    <w:rsid w:val="00BD044B"/>
    <w:rsid w:val="00BE4067"/>
    <w:rsid w:val="00BE4152"/>
    <w:rsid w:val="00BE6286"/>
    <w:rsid w:val="00BF277E"/>
    <w:rsid w:val="00BF37CA"/>
    <w:rsid w:val="00BF3962"/>
    <w:rsid w:val="00C07763"/>
    <w:rsid w:val="00C16AF7"/>
    <w:rsid w:val="00C2770D"/>
    <w:rsid w:val="00C333DA"/>
    <w:rsid w:val="00C36D24"/>
    <w:rsid w:val="00C4606D"/>
    <w:rsid w:val="00C52C73"/>
    <w:rsid w:val="00C57718"/>
    <w:rsid w:val="00C57AD5"/>
    <w:rsid w:val="00C63230"/>
    <w:rsid w:val="00C71438"/>
    <w:rsid w:val="00C758E4"/>
    <w:rsid w:val="00C775CE"/>
    <w:rsid w:val="00C77712"/>
    <w:rsid w:val="00C95C29"/>
    <w:rsid w:val="00C96E4A"/>
    <w:rsid w:val="00CB31D4"/>
    <w:rsid w:val="00CB3F05"/>
    <w:rsid w:val="00CB5CE7"/>
    <w:rsid w:val="00CE7A73"/>
    <w:rsid w:val="00CF043F"/>
    <w:rsid w:val="00CF6148"/>
    <w:rsid w:val="00D04433"/>
    <w:rsid w:val="00D05399"/>
    <w:rsid w:val="00D1073D"/>
    <w:rsid w:val="00D123F7"/>
    <w:rsid w:val="00D217D6"/>
    <w:rsid w:val="00D2671A"/>
    <w:rsid w:val="00D32301"/>
    <w:rsid w:val="00D33B75"/>
    <w:rsid w:val="00D469C5"/>
    <w:rsid w:val="00D660E4"/>
    <w:rsid w:val="00D8284B"/>
    <w:rsid w:val="00D82F7D"/>
    <w:rsid w:val="00D83A52"/>
    <w:rsid w:val="00D84FCD"/>
    <w:rsid w:val="00D86C19"/>
    <w:rsid w:val="00DB0EB6"/>
    <w:rsid w:val="00DB7126"/>
    <w:rsid w:val="00DC1D8E"/>
    <w:rsid w:val="00DC42B4"/>
    <w:rsid w:val="00DD39F9"/>
    <w:rsid w:val="00DD4A54"/>
    <w:rsid w:val="00DE2CEA"/>
    <w:rsid w:val="00DE43D6"/>
    <w:rsid w:val="00E0265B"/>
    <w:rsid w:val="00E060DB"/>
    <w:rsid w:val="00E122C7"/>
    <w:rsid w:val="00E228B6"/>
    <w:rsid w:val="00E242D3"/>
    <w:rsid w:val="00E27C56"/>
    <w:rsid w:val="00E322BA"/>
    <w:rsid w:val="00E32C3D"/>
    <w:rsid w:val="00E401BC"/>
    <w:rsid w:val="00E42E1B"/>
    <w:rsid w:val="00E60678"/>
    <w:rsid w:val="00E67D78"/>
    <w:rsid w:val="00E71E55"/>
    <w:rsid w:val="00E778DD"/>
    <w:rsid w:val="00E87F5C"/>
    <w:rsid w:val="00E96F58"/>
    <w:rsid w:val="00EB0E38"/>
    <w:rsid w:val="00EB2672"/>
    <w:rsid w:val="00EB30B8"/>
    <w:rsid w:val="00EC5A2D"/>
    <w:rsid w:val="00ED3A9E"/>
    <w:rsid w:val="00EF2D12"/>
    <w:rsid w:val="00F0059D"/>
    <w:rsid w:val="00F07DF7"/>
    <w:rsid w:val="00F124B5"/>
    <w:rsid w:val="00F2147A"/>
    <w:rsid w:val="00F24EBB"/>
    <w:rsid w:val="00F27010"/>
    <w:rsid w:val="00F44A5C"/>
    <w:rsid w:val="00F44FAA"/>
    <w:rsid w:val="00F45F81"/>
    <w:rsid w:val="00F468C7"/>
    <w:rsid w:val="00F5038F"/>
    <w:rsid w:val="00F60366"/>
    <w:rsid w:val="00F677E3"/>
    <w:rsid w:val="00F72331"/>
    <w:rsid w:val="00F76437"/>
    <w:rsid w:val="00F807D0"/>
    <w:rsid w:val="00F82653"/>
    <w:rsid w:val="00FA24BB"/>
    <w:rsid w:val="00FA25E1"/>
    <w:rsid w:val="00FC46B2"/>
    <w:rsid w:val="00FD67A6"/>
    <w:rsid w:val="00FE0B2C"/>
    <w:rsid w:val="00FE2798"/>
    <w:rsid w:val="00FF16A3"/>
    <w:rsid w:val="00FF306E"/>
    <w:rsid w:val="00FF6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7F6A48"/>
    <w:pPr>
      <w:keepNext/>
      <w:keepLines/>
      <w:spacing w:before="480" w:after="0"/>
      <w:outlineLvl w:val="0"/>
    </w:pPr>
    <w:rPr>
      <w:rFonts w:ascii="Cambria" w:eastAsia="MS Gothic"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B7E5E"/>
    <w:pPr>
      <w:spacing w:after="0" w:line="240" w:lineRule="auto"/>
    </w:pPr>
    <w:rPr>
      <w:rFonts w:ascii="Tahoma" w:hAnsi="Tahoma" w:cs="Tahoma"/>
      <w:sz w:val="16"/>
      <w:szCs w:val="16"/>
    </w:rPr>
  </w:style>
  <w:style w:type="character" w:customStyle="1" w:styleId="BalloonTextChar">
    <w:name w:val="Balloon Text Char"/>
    <w:link w:val="BalloonText"/>
    <w:uiPriority w:val="99"/>
    <w:rsid w:val="009B7E5E"/>
    <w:rPr>
      <w:rFonts w:ascii="Tahoma" w:hAnsi="Tahoma" w:cs="Tahoma"/>
      <w:sz w:val="16"/>
      <w:szCs w:val="16"/>
    </w:rPr>
  </w:style>
  <w:style w:type="paragraph" w:styleId="ListParagraph">
    <w:name w:val="List Paragraph"/>
    <w:basedOn w:val="Normal"/>
    <w:uiPriority w:val="34"/>
    <w:qFormat/>
    <w:rsid w:val="009B7E5E"/>
    <w:pPr>
      <w:ind w:left="720"/>
      <w:contextualSpacing/>
    </w:pPr>
  </w:style>
  <w:style w:type="character" w:styleId="CommentReference">
    <w:name w:val="annotation reference"/>
    <w:uiPriority w:val="99"/>
    <w:semiHidden/>
    <w:unhideWhenUsed/>
    <w:rsid w:val="009B7E5E"/>
    <w:rPr>
      <w:sz w:val="16"/>
      <w:szCs w:val="16"/>
    </w:rPr>
  </w:style>
  <w:style w:type="paragraph" w:styleId="CommentText">
    <w:name w:val="annotation text"/>
    <w:basedOn w:val="Normal"/>
    <w:link w:val="CommentTextChar"/>
    <w:uiPriority w:val="99"/>
    <w:unhideWhenUsed/>
    <w:rsid w:val="009B7E5E"/>
    <w:pPr>
      <w:spacing w:line="240" w:lineRule="auto"/>
    </w:pPr>
    <w:rPr>
      <w:sz w:val="20"/>
      <w:szCs w:val="20"/>
    </w:rPr>
  </w:style>
  <w:style w:type="character" w:customStyle="1" w:styleId="CommentTextChar">
    <w:name w:val="Comment Text Char"/>
    <w:link w:val="CommentText"/>
    <w:uiPriority w:val="99"/>
    <w:rsid w:val="009B7E5E"/>
    <w:rPr>
      <w:sz w:val="20"/>
      <w:szCs w:val="20"/>
    </w:rPr>
  </w:style>
  <w:style w:type="paragraph" w:styleId="CommentSubject">
    <w:name w:val="annotation subject"/>
    <w:basedOn w:val="CommentText"/>
    <w:next w:val="CommentText"/>
    <w:link w:val="CommentSubjectChar"/>
    <w:uiPriority w:val="99"/>
    <w:semiHidden/>
    <w:unhideWhenUsed/>
    <w:rsid w:val="009B7E5E"/>
    <w:rPr>
      <w:b/>
      <w:bCs/>
    </w:rPr>
  </w:style>
  <w:style w:type="character" w:customStyle="1" w:styleId="CommentSubjectChar">
    <w:name w:val="Comment Subject Char"/>
    <w:link w:val="CommentSubject"/>
    <w:uiPriority w:val="99"/>
    <w:semiHidden/>
    <w:rsid w:val="009B7E5E"/>
    <w:rPr>
      <w:b/>
      <w:bCs/>
      <w:sz w:val="20"/>
      <w:szCs w:val="20"/>
    </w:rPr>
  </w:style>
  <w:style w:type="paragraph" w:styleId="Header">
    <w:name w:val="header"/>
    <w:basedOn w:val="Normal"/>
    <w:link w:val="HeaderChar"/>
    <w:uiPriority w:val="99"/>
    <w:unhideWhenUsed/>
    <w:rsid w:val="0083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3E"/>
  </w:style>
  <w:style w:type="paragraph" w:styleId="Footer">
    <w:name w:val="footer"/>
    <w:basedOn w:val="Normal"/>
    <w:link w:val="FooterChar"/>
    <w:uiPriority w:val="99"/>
    <w:unhideWhenUsed/>
    <w:rsid w:val="00836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3E"/>
  </w:style>
  <w:style w:type="character" w:styleId="LineNumber">
    <w:name w:val="line number"/>
    <w:basedOn w:val="DefaultParagraphFont"/>
    <w:uiPriority w:val="99"/>
    <w:semiHidden/>
    <w:unhideWhenUsed/>
    <w:rsid w:val="00336CB6"/>
  </w:style>
  <w:style w:type="paragraph" w:customStyle="1" w:styleId="HCh">
    <w:name w:val="_ H _Ch"/>
    <w:basedOn w:val="Normal"/>
    <w:next w:val="Normal"/>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SingleTxt">
    <w:name w:val="__Single Txt"/>
    <w:basedOn w:val="Normal"/>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Bodystyle">
    <w:name w:val="Body style"/>
    <w:basedOn w:val="Normal"/>
    <w:link w:val="BodystyleChar"/>
    <w:autoRedefine/>
    <w:qFormat/>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bCs/>
      <w:color w:val="000000"/>
      <w:w w:val="103"/>
      <w:kern w:val="32"/>
      <w:sz w:val="24"/>
      <w:szCs w:val="24"/>
    </w:rPr>
  </w:style>
  <w:style w:type="character" w:customStyle="1" w:styleId="BodystyleChar">
    <w:name w:val="Body style Char"/>
    <w:link w:val="Bodystyle"/>
    <w:rsid w:val="00DD39F9"/>
    <w:rPr>
      <w:rFonts w:ascii="Garamond" w:eastAsia="MS Mincho" w:hAnsi="Garamond" w:cs="Times New Roman"/>
      <w:bCs/>
      <w:color w:val="000000"/>
      <w:w w:val="103"/>
      <w:kern w:val="32"/>
      <w:sz w:val="24"/>
      <w:szCs w:val="24"/>
    </w:rPr>
  </w:style>
  <w:style w:type="paragraph" w:customStyle="1" w:styleId="H1">
    <w:name w:val="_ H_1"/>
    <w:basedOn w:val="Normal"/>
    <w:next w:val="SingleTxt"/>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H23">
    <w:name w:val="_ H_2/3"/>
    <w:basedOn w:val="H1"/>
    <w:next w:val="SingleTxt"/>
    <w:rsid w:val="00B80989"/>
    <w:pPr>
      <w:spacing w:line="240" w:lineRule="exact"/>
      <w:outlineLvl w:val="1"/>
    </w:pPr>
    <w:rPr>
      <w:spacing w:val="2"/>
      <w:sz w:val="20"/>
    </w:rPr>
  </w:style>
  <w:style w:type="character" w:styleId="EndnoteReference">
    <w:name w:val="endnote reference"/>
    <w:semiHidden/>
    <w:rsid w:val="00221128"/>
    <w:rPr>
      <w:spacing w:val="-5"/>
      <w:w w:val="130"/>
      <w:position w:val="-4"/>
      <w:vertAlign w:val="superscript"/>
    </w:rPr>
  </w:style>
  <w:style w:type="character" w:styleId="FootnoteReference">
    <w:name w:val="footnote reference"/>
    <w:semiHidden/>
    <w:unhideWhenUsed/>
    <w:rsid w:val="00221128"/>
    <w:rPr>
      <w:vertAlign w:val="superscript"/>
    </w:rPr>
  </w:style>
  <w:style w:type="paragraph" w:customStyle="1" w:styleId="Normal-pool">
    <w:name w:val="Normal-pool"/>
    <w:link w:val="Normal-poolChar"/>
    <w:rsid w:val="0022112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NormalNonumber">
    <w:name w:val="Normal_No_number"/>
    <w:basedOn w:val="Normal-pool"/>
    <w:rsid w:val="00221128"/>
    <w:pPr>
      <w:tabs>
        <w:tab w:val="clear" w:pos="4082"/>
      </w:tabs>
      <w:spacing w:after="120"/>
      <w:ind w:left="1247"/>
    </w:pPr>
  </w:style>
  <w:style w:type="table" w:styleId="TableGrid">
    <w:name w:val="Table Grid"/>
    <w:basedOn w:val="TableNormal"/>
    <w:uiPriority w:val="59"/>
    <w:rsid w:val="0062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2431F"/>
    <w:pPr>
      <w:widowControl w:val="0"/>
      <w:tabs>
        <w:tab w:val="right" w:pos="418"/>
      </w:tabs>
      <w:suppressAutoHyphens/>
      <w:spacing w:after="0" w:line="210" w:lineRule="exact"/>
      <w:ind w:left="475" w:hanging="475"/>
    </w:pPr>
    <w:rPr>
      <w:rFonts w:ascii="Times New Roman" w:eastAsia="Times New Roman" w:hAnsi="Times New Roman"/>
      <w:spacing w:val="5"/>
      <w:w w:val="104"/>
      <w:kern w:val="14"/>
      <w:sz w:val="17"/>
      <w:szCs w:val="20"/>
    </w:rPr>
  </w:style>
  <w:style w:type="character" w:customStyle="1" w:styleId="FootnoteTextChar">
    <w:name w:val="Footnote Text Char"/>
    <w:link w:val="FootnoteText"/>
    <w:semiHidden/>
    <w:rsid w:val="00A2431F"/>
    <w:rPr>
      <w:rFonts w:ascii="Times New Roman" w:eastAsia="Times New Roman" w:hAnsi="Times New Roman" w:cs="Times New Roman"/>
      <w:spacing w:val="5"/>
      <w:w w:val="104"/>
      <w:kern w:val="14"/>
      <w:sz w:val="17"/>
      <w:szCs w:val="20"/>
    </w:rPr>
  </w:style>
  <w:style w:type="paragraph" w:customStyle="1" w:styleId="AATitle">
    <w:name w:val="AA_Title"/>
    <w:basedOn w:val="Normal"/>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AATitle2">
    <w:name w:val="AA_Title2"/>
    <w:basedOn w:val="AATitle"/>
    <w:rsid w:val="00B621AC"/>
    <w:pPr>
      <w:tabs>
        <w:tab w:val="clear" w:pos="4082"/>
      </w:tabs>
      <w:spacing w:before="120" w:after="120"/>
      <w:ind w:right="4536"/>
    </w:pPr>
  </w:style>
  <w:style w:type="paragraph" w:customStyle="1" w:styleId="BBTitle">
    <w:name w:val="BB_Title"/>
    <w:basedOn w:val="Normal"/>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link w:val="CH2Char"/>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character" w:customStyle="1" w:styleId="Normal-poolChar">
    <w:name w:val="Normal-pool Char"/>
    <w:link w:val="Normal-pool"/>
    <w:rsid w:val="00EB2672"/>
    <w:rPr>
      <w:rFonts w:ascii="Times New Roman" w:eastAsia="Times New Roman" w:hAnsi="Times New Roman" w:cs="Times New Roman"/>
      <w:sz w:val="20"/>
      <w:szCs w:val="20"/>
    </w:rPr>
  </w:style>
  <w:style w:type="character" w:customStyle="1" w:styleId="CH2Char">
    <w:name w:val="CH2 Char"/>
    <w:link w:val="CH2"/>
    <w:rsid w:val="007F6A48"/>
    <w:rPr>
      <w:rFonts w:ascii="Times New Roman" w:eastAsia="Times New Roman" w:hAnsi="Times New Roman" w:cs="Times New Roman"/>
      <w:b/>
      <w:sz w:val="24"/>
      <w:szCs w:val="24"/>
      <w:lang w:val="fr-CA"/>
    </w:rPr>
  </w:style>
  <w:style w:type="character" w:customStyle="1" w:styleId="Heading1Char">
    <w:name w:val="Heading 1 Char"/>
    <w:link w:val="Heading1"/>
    <w:uiPriority w:val="9"/>
    <w:rsid w:val="007F6A48"/>
    <w:rPr>
      <w:rFonts w:ascii="Cambria" w:eastAsia="MS Gothic" w:hAnsi="Cambria" w:cs="Times New Roman"/>
      <w:b/>
      <w:bCs/>
      <w:color w:val="345A8A"/>
      <w:sz w:val="32"/>
      <w:szCs w:val="32"/>
    </w:rPr>
  </w:style>
  <w:style w:type="paragraph" w:customStyle="1" w:styleId="Default">
    <w:name w:val="Default"/>
    <w:rsid w:val="00516303"/>
    <w:pPr>
      <w:autoSpaceDE w:val="0"/>
      <w:autoSpaceDN w:val="0"/>
      <w:adjustRightInd w:val="0"/>
    </w:pPr>
    <w:rPr>
      <w:rFonts w:ascii="Arial" w:hAnsi="Arial" w:cs="Arial"/>
      <w:color w:val="000000"/>
      <w:sz w:val="24"/>
      <w:szCs w:val="24"/>
      <w:lang w:val="en-GB" w:eastAsia="en-GB"/>
    </w:rPr>
  </w:style>
  <w:style w:type="paragraph" w:customStyle="1" w:styleId="ZZAnxheader">
    <w:name w:val="ZZ_Anx_header"/>
    <w:basedOn w:val="Normal"/>
    <w:rsid w:val="00D107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7F6A48"/>
    <w:pPr>
      <w:keepNext/>
      <w:keepLines/>
      <w:spacing w:before="480" w:after="0"/>
      <w:outlineLvl w:val="0"/>
    </w:pPr>
    <w:rPr>
      <w:rFonts w:ascii="Cambria" w:eastAsia="MS Gothic"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B7E5E"/>
    <w:pPr>
      <w:spacing w:after="0" w:line="240" w:lineRule="auto"/>
    </w:pPr>
    <w:rPr>
      <w:rFonts w:ascii="Tahoma" w:hAnsi="Tahoma" w:cs="Tahoma"/>
      <w:sz w:val="16"/>
      <w:szCs w:val="16"/>
    </w:rPr>
  </w:style>
  <w:style w:type="character" w:customStyle="1" w:styleId="BalloonTextChar">
    <w:name w:val="Balloon Text Char"/>
    <w:link w:val="BalloonText"/>
    <w:uiPriority w:val="99"/>
    <w:rsid w:val="009B7E5E"/>
    <w:rPr>
      <w:rFonts w:ascii="Tahoma" w:hAnsi="Tahoma" w:cs="Tahoma"/>
      <w:sz w:val="16"/>
      <w:szCs w:val="16"/>
    </w:rPr>
  </w:style>
  <w:style w:type="paragraph" w:styleId="ListParagraph">
    <w:name w:val="List Paragraph"/>
    <w:basedOn w:val="Normal"/>
    <w:uiPriority w:val="34"/>
    <w:qFormat/>
    <w:rsid w:val="009B7E5E"/>
    <w:pPr>
      <w:ind w:left="720"/>
      <w:contextualSpacing/>
    </w:pPr>
  </w:style>
  <w:style w:type="character" w:styleId="CommentReference">
    <w:name w:val="annotation reference"/>
    <w:uiPriority w:val="99"/>
    <w:semiHidden/>
    <w:unhideWhenUsed/>
    <w:rsid w:val="009B7E5E"/>
    <w:rPr>
      <w:sz w:val="16"/>
      <w:szCs w:val="16"/>
    </w:rPr>
  </w:style>
  <w:style w:type="paragraph" w:styleId="CommentText">
    <w:name w:val="annotation text"/>
    <w:basedOn w:val="Normal"/>
    <w:link w:val="CommentTextChar"/>
    <w:uiPriority w:val="99"/>
    <w:unhideWhenUsed/>
    <w:rsid w:val="009B7E5E"/>
    <w:pPr>
      <w:spacing w:line="240" w:lineRule="auto"/>
    </w:pPr>
    <w:rPr>
      <w:sz w:val="20"/>
      <w:szCs w:val="20"/>
    </w:rPr>
  </w:style>
  <w:style w:type="character" w:customStyle="1" w:styleId="CommentTextChar">
    <w:name w:val="Comment Text Char"/>
    <w:link w:val="CommentText"/>
    <w:uiPriority w:val="99"/>
    <w:rsid w:val="009B7E5E"/>
    <w:rPr>
      <w:sz w:val="20"/>
      <w:szCs w:val="20"/>
    </w:rPr>
  </w:style>
  <w:style w:type="paragraph" w:styleId="CommentSubject">
    <w:name w:val="annotation subject"/>
    <w:basedOn w:val="CommentText"/>
    <w:next w:val="CommentText"/>
    <w:link w:val="CommentSubjectChar"/>
    <w:uiPriority w:val="99"/>
    <w:semiHidden/>
    <w:unhideWhenUsed/>
    <w:rsid w:val="009B7E5E"/>
    <w:rPr>
      <w:b/>
      <w:bCs/>
    </w:rPr>
  </w:style>
  <w:style w:type="character" w:customStyle="1" w:styleId="CommentSubjectChar">
    <w:name w:val="Comment Subject Char"/>
    <w:link w:val="CommentSubject"/>
    <w:uiPriority w:val="99"/>
    <w:semiHidden/>
    <w:rsid w:val="009B7E5E"/>
    <w:rPr>
      <w:b/>
      <w:bCs/>
      <w:sz w:val="20"/>
      <w:szCs w:val="20"/>
    </w:rPr>
  </w:style>
  <w:style w:type="paragraph" w:styleId="Header">
    <w:name w:val="header"/>
    <w:basedOn w:val="Normal"/>
    <w:link w:val="HeaderChar"/>
    <w:uiPriority w:val="99"/>
    <w:unhideWhenUsed/>
    <w:rsid w:val="0083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3E"/>
  </w:style>
  <w:style w:type="paragraph" w:styleId="Footer">
    <w:name w:val="footer"/>
    <w:basedOn w:val="Normal"/>
    <w:link w:val="FooterChar"/>
    <w:uiPriority w:val="99"/>
    <w:unhideWhenUsed/>
    <w:rsid w:val="00836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3E"/>
  </w:style>
  <w:style w:type="character" w:styleId="LineNumber">
    <w:name w:val="line number"/>
    <w:basedOn w:val="DefaultParagraphFont"/>
    <w:uiPriority w:val="99"/>
    <w:semiHidden/>
    <w:unhideWhenUsed/>
    <w:rsid w:val="00336CB6"/>
  </w:style>
  <w:style w:type="paragraph" w:customStyle="1" w:styleId="HCh">
    <w:name w:val="_ H _Ch"/>
    <w:basedOn w:val="Normal"/>
    <w:next w:val="Normal"/>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SingleTxt">
    <w:name w:val="__Single Txt"/>
    <w:basedOn w:val="Normal"/>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customStyle="1" w:styleId="Bodystyle">
    <w:name w:val="Body style"/>
    <w:basedOn w:val="Normal"/>
    <w:link w:val="BodystyleChar"/>
    <w:autoRedefine/>
    <w:qFormat/>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bCs/>
      <w:color w:val="000000"/>
      <w:w w:val="103"/>
      <w:kern w:val="32"/>
      <w:sz w:val="24"/>
      <w:szCs w:val="24"/>
    </w:rPr>
  </w:style>
  <w:style w:type="character" w:customStyle="1" w:styleId="BodystyleChar">
    <w:name w:val="Body style Char"/>
    <w:link w:val="Bodystyle"/>
    <w:rsid w:val="00DD39F9"/>
    <w:rPr>
      <w:rFonts w:ascii="Garamond" w:eastAsia="MS Mincho" w:hAnsi="Garamond" w:cs="Times New Roman"/>
      <w:bCs/>
      <w:color w:val="000000"/>
      <w:w w:val="103"/>
      <w:kern w:val="32"/>
      <w:sz w:val="24"/>
      <w:szCs w:val="24"/>
    </w:rPr>
  </w:style>
  <w:style w:type="paragraph" w:customStyle="1" w:styleId="H1">
    <w:name w:val="_ H_1"/>
    <w:basedOn w:val="Normal"/>
    <w:next w:val="SingleTxt"/>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rPr>
  </w:style>
  <w:style w:type="paragraph" w:customStyle="1" w:styleId="H23">
    <w:name w:val="_ H_2/3"/>
    <w:basedOn w:val="H1"/>
    <w:next w:val="SingleTxt"/>
    <w:rsid w:val="00B80989"/>
    <w:pPr>
      <w:spacing w:line="240" w:lineRule="exact"/>
      <w:outlineLvl w:val="1"/>
    </w:pPr>
    <w:rPr>
      <w:spacing w:val="2"/>
      <w:sz w:val="20"/>
    </w:rPr>
  </w:style>
  <w:style w:type="character" w:styleId="EndnoteReference">
    <w:name w:val="endnote reference"/>
    <w:semiHidden/>
    <w:rsid w:val="00221128"/>
    <w:rPr>
      <w:spacing w:val="-5"/>
      <w:w w:val="130"/>
      <w:position w:val="-4"/>
      <w:vertAlign w:val="superscript"/>
    </w:rPr>
  </w:style>
  <w:style w:type="character" w:styleId="FootnoteReference">
    <w:name w:val="footnote reference"/>
    <w:semiHidden/>
    <w:unhideWhenUsed/>
    <w:rsid w:val="00221128"/>
    <w:rPr>
      <w:vertAlign w:val="superscript"/>
    </w:rPr>
  </w:style>
  <w:style w:type="paragraph" w:customStyle="1" w:styleId="Normal-pool">
    <w:name w:val="Normal-pool"/>
    <w:link w:val="Normal-poolChar"/>
    <w:rsid w:val="00221128"/>
    <w:pPr>
      <w:tabs>
        <w:tab w:val="left" w:pos="1247"/>
        <w:tab w:val="left" w:pos="1814"/>
        <w:tab w:val="left" w:pos="2381"/>
        <w:tab w:val="left" w:pos="2948"/>
        <w:tab w:val="left" w:pos="3515"/>
        <w:tab w:val="left" w:pos="4082"/>
      </w:tabs>
    </w:pPr>
    <w:rPr>
      <w:rFonts w:ascii="Times New Roman" w:eastAsia="Times New Roman" w:hAnsi="Times New Roman"/>
      <w:lang w:val="en-GB"/>
    </w:rPr>
  </w:style>
  <w:style w:type="paragraph" w:customStyle="1" w:styleId="NormalNonumber">
    <w:name w:val="Normal_No_number"/>
    <w:basedOn w:val="Normal-pool"/>
    <w:rsid w:val="00221128"/>
    <w:pPr>
      <w:tabs>
        <w:tab w:val="clear" w:pos="4082"/>
      </w:tabs>
      <w:spacing w:after="120"/>
      <w:ind w:left="1247"/>
    </w:pPr>
  </w:style>
  <w:style w:type="table" w:styleId="TableGrid">
    <w:name w:val="Table Grid"/>
    <w:basedOn w:val="TableNormal"/>
    <w:uiPriority w:val="59"/>
    <w:rsid w:val="00624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2431F"/>
    <w:pPr>
      <w:widowControl w:val="0"/>
      <w:tabs>
        <w:tab w:val="right" w:pos="418"/>
      </w:tabs>
      <w:suppressAutoHyphens/>
      <w:spacing w:after="0" w:line="210" w:lineRule="exact"/>
      <w:ind w:left="475" w:hanging="475"/>
    </w:pPr>
    <w:rPr>
      <w:rFonts w:ascii="Times New Roman" w:eastAsia="Times New Roman" w:hAnsi="Times New Roman"/>
      <w:spacing w:val="5"/>
      <w:w w:val="104"/>
      <w:kern w:val="14"/>
      <w:sz w:val="17"/>
      <w:szCs w:val="20"/>
    </w:rPr>
  </w:style>
  <w:style w:type="character" w:customStyle="1" w:styleId="FootnoteTextChar">
    <w:name w:val="Footnote Text Char"/>
    <w:link w:val="FootnoteText"/>
    <w:semiHidden/>
    <w:rsid w:val="00A2431F"/>
    <w:rPr>
      <w:rFonts w:ascii="Times New Roman" w:eastAsia="Times New Roman" w:hAnsi="Times New Roman" w:cs="Times New Roman"/>
      <w:spacing w:val="5"/>
      <w:w w:val="104"/>
      <w:kern w:val="14"/>
      <w:sz w:val="17"/>
      <w:szCs w:val="20"/>
    </w:rPr>
  </w:style>
  <w:style w:type="paragraph" w:customStyle="1" w:styleId="AATitle">
    <w:name w:val="AA_Title"/>
    <w:basedOn w:val="Normal"/>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AATitle2">
    <w:name w:val="AA_Title2"/>
    <w:basedOn w:val="AATitle"/>
    <w:rsid w:val="00B621AC"/>
    <w:pPr>
      <w:tabs>
        <w:tab w:val="clear" w:pos="4082"/>
      </w:tabs>
      <w:spacing w:before="120" w:after="120"/>
      <w:ind w:right="4536"/>
    </w:pPr>
  </w:style>
  <w:style w:type="paragraph" w:customStyle="1" w:styleId="BBTitle">
    <w:name w:val="BB_Title"/>
    <w:basedOn w:val="Normal"/>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eastAsia="Times New Roman" w:hAnsi="Times New Roman"/>
      <w:b/>
      <w:sz w:val="28"/>
      <w:szCs w:val="28"/>
      <w:lang w:val="fr-CA"/>
    </w:rPr>
  </w:style>
  <w:style w:type="paragraph" w:customStyle="1" w:styleId="CH2">
    <w:name w:val="CH2"/>
    <w:basedOn w:val="Normal"/>
    <w:next w:val="Normal"/>
    <w:link w:val="CH2Char"/>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eastAsia="Times New Roman" w:hAnsi="Times New Roman"/>
      <w:b/>
      <w:sz w:val="24"/>
      <w:szCs w:val="24"/>
      <w:lang w:val="fr-CA"/>
    </w:rPr>
  </w:style>
  <w:style w:type="character" w:customStyle="1" w:styleId="Normal-poolChar">
    <w:name w:val="Normal-pool Char"/>
    <w:link w:val="Normal-pool"/>
    <w:rsid w:val="00EB2672"/>
    <w:rPr>
      <w:rFonts w:ascii="Times New Roman" w:eastAsia="Times New Roman" w:hAnsi="Times New Roman" w:cs="Times New Roman"/>
      <w:sz w:val="20"/>
      <w:szCs w:val="20"/>
    </w:rPr>
  </w:style>
  <w:style w:type="character" w:customStyle="1" w:styleId="CH2Char">
    <w:name w:val="CH2 Char"/>
    <w:link w:val="CH2"/>
    <w:rsid w:val="007F6A48"/>
    <w:rPr>
      <w:rFonts w:ascii="Times New Roman" w:eastAsia="Times New Roman" w:hAnsi="Times New Roman" w:cs="Times New Roman"/>
      <w:b/>
      <w:sz w:val="24"/>
      <w:szCs w:val="24"/>
      <w:lang w:val="fr-CA"/>
    </w:rPr>
  </w:style>
  <w:style w:type="character" w:customStyle="1" w:styleId="Heading1Char">
    <w:name w:val="Heading 1 Char"/>
    <w:link w:val="Heading1"/>
    <w:uiPriority w:val="9"/>
    <w:rsid w:val="007F6A48"/>
    <w:rPr>
      <w:rFonts w:ascii="Cambria" w:eastAsia="MS Gothic" w:hAnsi="Cambria" w:cs="Times New Roman"/>
      <w:b/>
      <w:bCs/>
      <w:color w:val="345A8A"/>
      <w:sz w:val="32"/>
      <w:szCs w:val="32"/>
    </w:rPr>
  </w:style>
  <w:style w:type="paragraph" w:customStyle="1" w:styleId="Default">
    <w:name w:val="Default"/>
    <w:rsid w:val="00516303"/>
    <w:pPr>
      <w:autoSpaceDE w:val="0"/>
      <w:autoSpaceDN w:val="0"/>
      <w:adjustRightInd w:val="0"/>
    </w:pPr>
    <w:rPr>
      <w:rFonts w:ascii="Arial" w:hAnsi="Arial" w:cs="Arial"/>
      <w:color w:val="000000"/>
      <w:sz w:val="24"/>
      <w:szCs w:val="24"/>
      <w:lang w:val="en-GB" w:eastAsia="en-GB"/>
    </w:rPr>
  </w:style>
  <w:style w:type="paragraph" w:customStyle="1" w:styleId="ZZAnxheader">
    <w:name w:val="ZZ_Anx_header"/>
    <w:basedOn w:val="Normal"/>
    <w:rsid w:val="00D1073D"/>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741">
      <w:bodyDiv w:val="1"/>
      <w:marLeft w:val="0"/>
      <w:marRight w:val="0"/>
      <w:marTop w:val="0"/>
      <w:marBottom w:val="0"/>
      <w:divBdr>
        <w:top w:val="none" w:sz="0" w:space="0" w:color="auto"/>
        <w:left w:val="none" w:sz="0" w:space="0" w:color="auto"/>
        <w:bottom w:val="none" w:sz="0" w:space="0" w:color="auto"/>
        <w:right w:val="none" w:sz="0" w:space="0" w:color="auto"/>
      </w:divBdr>
    </w:div>
    <w:div w:id="233466817">
      <w:bodyDiv w:val="1"/>
      <w:marLeft w:val="0"/>
      <w:marRight w:val="0"/>
      <w:marTop w:val="0"/>
      <w:marBottom w:val="0"/>
      <w:divBdr>
        <w:top w:val="none" w:sz="0" w:space="0" w:color="auto"/>
        <w:left w:val="none" w:sz="0" w:space="0" w:color="auto"/>
        <w:bottom w:val="none" w:sz="0" w:space="0" w:color="auto"/>
        <w:right w:val="none" w:sz="0" w:space="0" w:color="auto"/>
      </w:divBdr>
    </w:div>
    <w:div w:id="2049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629D-4396-4EB4-B729-4FF71EFF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bobwatson</dc:creator>
  <cp:lastModifiedBy>Rohan Shanbhag</cp:lastModifiedBy>
  <cp:revision>2</cp:revision>
  <cp:lastPrinted>2013-09-16T13:16:00Z</cp:lastPrinted>
  <dcterms:created xsi:type="dcterms:W3CDTF">2013-10-29T13:44:00Z</dcterms:created>
  <dcterms:modified xsi:type="dcterms:W3CDTF">2013-10-29T13:44:00Z</dcterms:modified>
</cp:coreProperties>
</file>