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650"/>
        <w:gridCol w:w="4950"/>
        <w:gridCol w:w="1649"/>
        <w:gridCol w:w="1321"/>
      </w:tblGrid>
      <w:tr w:rsidR="003C748F" w:rsidTr="002B71C3">
        <w:trPr>
          <w:trHeight w:val="910"/>
        </w:trPr>
        <w:tc>
          <w:tcPr>
            <w:tcW w:w="8249" w:type="dxa"/>
            <w:gridSpan w:val="3"/>
          </w:tcPr>
          <w:p w:rsidR="003C748F" w:rsidRPr="00A102AA" w:rsidRDefault="003C748F">
            <w:pPr>
              <w:rPr>
                <w:rFonts w:ascii="Arial" w:hAnsi="Arial" w:cs="Arial"/>
                <w:b/>
                <w:sz w:val="27"/>
                <w:szCs w:val="27"/>
                <w:lang w:val="ru-RU"/>
              </w:rPr>
            </w:pPr>
            <w:bookmarkStart w:id="0" w:name="_GoBack"/>
            <w:bookmarkEnd w:id="0"/>
            <w:r w:rsidRPr="003508D2">
              <w:rPr>
                <w:rFonts w:ascii="Arial" w:hAnsi="Arial" w:cs="Arial"/>
                <w:b/>
                <w:sz w:val="27"/>
                <w:szCs w:val="27"/>
                <w:lang w:val="ru-RU"/>
              </w:rPr>
              <w:t>ОРГАНИЗАЦИЯ</w:t>
            </w:r>
            <w:r w:rsidRPr="003508D2">
              <w:rPr>
                <w:rFonts w:ascii="Arial" w:hAnsi="Arial" w:cs="Arial"/>
                <w:b/>
                <w:sz w:val="27"/>
                <w:szCs w:val="27"/>
                <w:lang w:val="en-US"/>
              </w:rPr>
              <w:br/>
            </w:r>
            <w:r w:rsidRPr="003508D2">
              <w:rPr>
                <w:rFonts w:ascii="Arial" w:hAnsi="Arial" w:cs="Arial"/>
                <w:b/>
                <w:sz w:val="27"/>
                <w:szCs w:val="27"/>
                <w:lang w:val="ru-RU"/>
              </w:rPr>
              <w:t>ОБЪЕДИНЕННЫХ</w:t>
            </w:r>
            <w:r w:rsidRPr="003508D2">
              <w:rPr>
                <w:rFonts w:ascii="Arial" w:hAnsi="Arial" w:cs="Arial"/>
                <w:b/>
                <w:sz w:val="27"/>
                <w:szCs w:val="27"/>
                <w:lang w:val="en-US"/>
              </w:rPr>
              <w:t xml:space="preserve"> </w:t>
            </w:r>
            <w:r w:rsidRPr="003508D2">
              <w:rPr>
                <w:rFonts w:ascii="Arial" w:hAnsi="Arial" w:cs="Arial"/>
                <w:b/>
                <w:sz w:val="27"/>
                <w:szCs w:val="27"/>
                <w:lang w:val="ru-RU"/>
              </w:rPr>
              <w:br/>
              <w:t>НАЦИЙ</w:t>
            </w:r>
          </w:p>
        </w:tc>
        <w:tc>
          <w:tcPr>
            <w:tcW w:w="1321" w:type="dxa"/>
          </w:tcPr>
          <w:p w:rsidR="003C748F" w:rsidRPr="003508D2" w:rsidRDefault="00554DE5" w:rsidP="003508D2">
            <w:pPr>
              <w:pStyle w:val="Heading2"/>
            </w:pPr>
            <w:r>
              <w:t>EP</w:t>
            </w:r>
          </w:p>
        </w:tc>
      </w:tr>
      <w:tr w:rsidR="003C748F" w:rsidTr="002B71C3">
        <w:trPr>
          <w:trHeight w:val="303"/>
        </w:trPr>
        <w:tc>
          <w:tcPr>
            <w:tcW w:w="1650" w:type="dxa"/>
            <w:tcBorders>
              <w:bottom w:val="single" w:sz="4" w:space="0" w:color="auto"/>
            </w:tcBorders>
          </w:tcPr>
          <w:p w:rsidR="003C748F" w:rsidRDefault="003C748F">
            <w:pPr>
              <w:rPr>
                <w:noProof/>
                <w:sz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3C748F" w:rsidRDefault="003C748F">
            <w:pPr>
              <w:rPr>
                <w:b/>
                <w:sz w:val="22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3C748F" w:rsidRPr="00F8265B" w:rsidRDefault="0002592C" w:rsidP="00F8265B">
            <w:pPr>
              <w:rPr>
                <w:sz w:val="22"/>
                <w:lang w:val="ru-RU"/>
              </w:rPr>
            </w:pPr>
            <w:r w:rsidRPr="0011549E">
              <w:rPr>
                <w:b/>
                <w:szCs w:val="24"/>
                <w:lang w:val="en-US"/>
              </w:rPr>
              <w:t>IPBES</w:t>
            </w:r>
            <w:r w:rsidR="003C748F">
              <w:rPr>
                <w:sz w:val="20"/>
              </w:rPr>
              <w:t>/</w:t>
            </w:r>
            <w:r w:rsidR="00F550EE">
              <w:rPr>
                <w:sz w:val="20"/>
                <w:lang w:val="en-US"/>
              </w:rPr>
              <w:t>2/</w:t>
            </w:r>
            <w:r w:rsidR="00F8265B">
              <w:rPr>
                <w:sz w:val="20"/>
                <w:lang w:val="ru-RU"/>
              </w:rPr>
              <w:t>6</w:t>
            </w:r>
          </w:p>
        </w:tc>
      </w:tr>
      <w:bookmarkStart w:id="1" w:name="_MON_1026544529"/>
      <w:bookmarkStart w:id="2" w:name="_MON_1021710482"/>
      <w:bookmarkEnd w:id="1"/>
      <w:bookmarkEnd w:id="2"/>
      <w:bookmarkStart w:id="3" w:name="_MON_1021710510"/>
      <w:bookmarkEnd w:id="3"/>
      <w:tr w:rsidR="003C748F" w:rsidTr="002B71C3">
        <w:trPr>
          <w:trHeight w:val="2268"/>
        </w:trPr>
        <w:tc>
          <w:tcPr>
            <w:tcW w:w="1650" w:type="dxa"/>
            <w:tcBorders>
              <w:top w:val="single" w:sz="4" w:space="0" w:color="auto"/>
              <w:bottom w:val="single" w:sz="24" w:space="0" w:color="auto"/>
            </w:tcBorders>
          </w:tcPr>
          <w:p w:rsidR="003C748F" w:rsidRDefault="00C44B44">
            <w:pPr>
              <w:rPr>
                <w:sz w:val="22"/>
              </w:rPr>
            </w:pPr>
            <w:r w:rsidRPr="003508D2">
              <w:rPr>
                <w:sz w:val="22"/>
              </w:rPr>
              <w:object w:dxaOrig="1831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1pt;height:51.95pt" o:ole="" fillcolor="window">
                  <v:imagedata r:id="rId9" o:title=""/>
                </v:shape>
                <o:OLEObject Type="Embed" ProgID="Word.Picture.8" ShapeID="_x0000_i1025" DrawAspect="Content" ObjectID="_1446453756" r:id="rId10"/>
              </w:object>
            </w:r>
            <w:r w:rsidR="004E61C4">
              <w:rPr>
                <w:noProof/>
                <w:sz w:val="22"/>
                <w:lang w:val="en-US"/>
              </w:rPr>
              <w:drawing>
                <wp:inline distT="0" distB="0" distL="0" distR="0">
                  <wp:extent cx="718185" cy="748030"/>
                  <wp:effectExtent l="0" t="0" r="5715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tcBorders>
              <w:top w:val="single" w:sz="4" w:space="0" w:color="auto"/>
              <w:bottom w:val="single" w:sz="24" w:space="0" w:color="auto"/>
            </w:tcBorders>
          </w:tcPr>
          <w:p w:rsidR="003C748F" w:rsidRDefault="003C748F">
            <w:pPr>
              <w:rPr>
                <w:sz w:val="22"/>
                <w:szCs w:val="22"/>
              </w:rPr>
            </w:pPr>
          </w:p>
          <w:p w:rsidR="003C748F" w:rsidRDefault="003C748F">
            <w:pPr>
              <w:rPr>
                <w:sz w:val="22"/>
                <w:szCs w:val="22"/>
                <w:lang w:val="ru-RU"/>
              </w:rPr>
            </w:pPr>
          </w:p>
          <w:p w:rsidR="00A60904" w:rsidRDefault="00A60904">
            <w:pPr>
              <w:rPr>
                <w:sz w:val="22"/>
                <w:szCs w:val="22"/>
                <w:lang w:val="ru-RU"/>
              </w:rPr>
            </w:pPr>
          </w:p>
          <w:p w:rsidR="003319F8" w:rsidRDefault="003319F8">
            <w:pPr>
              <w:rPr>
                <w:sz w:val="22"/>
                <w:szCs w:val="22"/>
                <w:lang w:val="ru-RU"/>
              </w:rPr>
            </w:pPr>
          </w:p>
          <w:p w:rsidR="003319F8" w:rsidRPr="003319F8" w:rsidRDefault="003319F8">
            <w:pPr>
              <w:rPr>
                <w:sz w:val="22"/>
                <w:szCs w:val="22"/>
                <w:lang w:val="ru-RU"/>
              </w:rPr>
            </w:pPr>
          </w:p>
          <w:p w:rsidR="003C748F" w:rsidRPr="00B76EFD" w:rsidRDefault="003C748F">
            <w:pPr>
              <w:rPr>
                <w:rFonts w:ascii="Arial" w:hAnsi="Arial" w:cs="Arial"/>
                <w:b/>
                <w:sz w:val="27"/>
                <w:szCs w:val="27"/>
                <w:lang w:val="ru-RU"/>
              </w:rPr>
            </w:pPr>
            <w:r w:rsidRPr="00B76EFD">
              <w:rPr>
                <w:rFonts w:ascii="Arial" w:hAnsi="Arial" w:cs="Arial"/>
                <w:b/>
                <w:sz w:val="27"/>
                <w:szCs w:val="27"/>
                <w:lang w:val="ru-RU"/>
              </w:rPr>
              <w:t>Программа Организации Объединенных Наций по окружающей среде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3C748F" w:rsidRPr="00BF0698" w:rsidRDefault="003C748F" w:rsidP="003508D2">
            <w:pPr>
              <w:rPr>
                <w:sz w:val="20"/>
                <w:lang w:val="ru-RU"/>
              </w:rPr>
            </w:pPr>
          </w:p>
          <w:p w:rsidR="003C748F" w:rsidRPr="00BF0698" w:rsidRDefault="003C748F" w:rsidP="003508D2">
            <w:pPr>
              <w:rPr>
                <w:sz w:val="20"/>
                <w:lang w:val="ru-RU"/>
              </w:rPr>
            </w:pPr>
          </w:p>
          <w:p w:rsidR="00877B7C" w:rsidRDefault="003C748F" w:rsidP="003508D2">
            <w:pPr>
              <w:rPr>
                <w:sz w:val="20"/>
              </w:rPr>
            </w:pPr>
            <w:r w:rsidRPr="00BF0698">
              <w:rPr>
                <w:sz w:val="20"/>
              </w:rPr>
              <w:t>Distr.: General</w:t>
            </w:r>
          </w:p>
          <w:p w:rsidR="003C748F" w:rsidRPr="00BF0698" w:rsidRDefault="00877B7C" w:rsidP="003508D2">
            <w:pPr>
              <w:rPr>
                <w:sz w:val="20"/>
              </w:rPr>
            </w:pPr>
            <w:r>
              <w:rPr>
                <w:sz w:val="20"/>
              </w:rPr>
              <w:t>14</w:t>
            </w:r>
            <w:r w:rsidR="00F550EE" w:rsidRPr="00BF0698">
              <w:rPr>
                <w:sz w:val="20"/>
                <w:lang w:val="en-US"/>
              </w:rPr>
              <w:t xml:space="preserve"> </w:t>
            </w:r>
            <w:r w:rsidR="00DC073D">
              <w:rPr>
                <w:sz w:val="20"/>
                <w:lang w:val="en-US"/>
              </w:rPr>
              <w:t>October</w:t>
            </w:r>
            <w:r w:rsidR="003C748F" w:rsidRPr="00BF0698">
              <w:rPr>
                <w:sz w:val="20"/>
              </w:rPr>
              <w:t xml:space="preserve"> 20</w:t>
            </w:r>
            <w:r w:rsidR="003636B5" w:rsidRPr="00BF0698">
              <w:rPr>
                <w:sz w:val="20"/>
              </w:rPr>
              <w:t>1</w:t>
            </w:r>
            <w:r w:rsidR="00F550EE" w:rsidRPr="00BF0698">
              <w:rPr>
                <w:sz w:val="20"/>
              </w:rPr>
              <w:t>3</w:t>
            </w:r>
          </w:p>
          <w:p w:rsidR="003C748F" w:rsidRPr="00BF0698" w:rsidRDefault="003C748F" w:rsidP="003508D2">
            <w:pPr>
              <w:rPr>
                <w:sz w:val="20"/>
              </w:rPr>
            </w:pPr>
          </w:p>
          <w:p w:rsidR="003C748F" w:rsidRPr="00BF0698" w:rsidRDefault="003C748F" w:rsidP="003508D2">
            <w:pPr>
              <w:rPr>
                <w:sz w:val="20"/>
                <w:lang w:val="en-US"/>
              </w:rPr>
            </w:pPr>
            <w:r w:rsidRPr="00BF0698">
              <w:rPr>
                <w:sz w:val="20"/>
                <w:lang w:val="en-US"/>
              </w:rPr>
              <w:t>Russian</w:t>
            </w:r>
          </w:p>
          <w:p w:rsidR="003C748F" w:rsidRDefault="003C748F" w:rsidP="003508D2">
            <w:pPr>
              <w:rPr>
                <w:sz w:val="22"/>
              </w:rPr>
            </w:pPr>
            <w:r w:rsidRPr="00BF0698">
              <w:rPr>
                <w:sz w:val="20"/>
              </w:rPr>
              <w:t>Original: English</w:t>
            </w:r>
          </w:p>
        </w:tc>
      </w:tr>
    </w:tbl>
    <w:p w:rsidR="00F550EE" w:rsidRPr="00F550EE" w:rsidRDefault="00F550EE" w:rsidP="005454AE">
      <w:pPr>
        <w:rPr>
          <w:b/>
          <w:sz w:val="20"/>
          <w:lang w:val="ru-RU"/>
        </w:rPr>
      </w:pPr>
      <w:r w:rsidRPr="00F550EE">
        <w:rPr>
          <w:b/>
          <w:sz w:val="20"/>
          <w:lang w:val="ru-RU"/>
        </w:rPr>
        <w:t xml:space="preserve">Пленум </w:t>
      </w:r>
      <w:r w:rsidR="00875095">
        <w:rPr>
          <w:b/>
          <w:sz w:val="20"/>
          <w:lang w:val="ru-RU"/>
        </w:rPr>
        <w:t>М</w:t>
      </w:r>
      <w:r w:rsidRPr="00F550EE">
        <w:rPr>
          <w:b/>
          <w:sz w:val="20"/>
          <w:lang w:val="ru-RU"/>
        </w:rPr>
        <w:t>ежправительственной научно-политической</w:t>
      </w:r>
      <w:r w:rsidRPr="00F550EE">
        <w:rPr>
          <w:b/>
          <w:sz w:val="20"/>
          <w:lang w:val="ru-RU"/>
        </w:rPr>
        <w:br/>
        <w:t>платформы по биоразнообразию и экосистемным услугам</w:t>
      </w:r>
    </w:p>
    <w:p w:rsidR="00F550EE" w:rsidRPr="00F550EE" w:rsidRDefault="00F550EE" w:rsidP="005454AE">
      <w:pPr>
        <w:rPr>
          <w:b/>
          <w:sz w:val="20"/>
          <w:lang w:val="ru-RU"/>
        </w:rPr>
      </w:pPr>
      <w:r w:rsidRPr="00F550EE">
        <w:rPr>
          <w:b/>
          <w:sz w:val="20"/>
          <w:lang w:val="ru-RU"/>
        </w:rPr>
        <w:t>Вторая сессия</w:t>
      </w:r>
    </w:p>
    <w:p w:rsidR="00F550EE" w:rsidRPr="00B239A3" w:rsidRDefault="00B54C32" w:rsidP="005454AE">
      <w:pPr>
        <w:rPr>
          <w:sz w:val="20"/>
          <w:lang w:val="ru-RU"/>
        </w:rPr>
      </w:pPr>
      <w:r>
        <w:rPr>
          <w:sz w:val="20"/>
          <w:lang w:val="ru-RU"/>
        </w:rPr>
        <w:t>Анталь</w:t>
      </w:r>
      <w:r w:rsidR="00F550EE" w:rsidRPr="005454AE">
        <w:rPr>
          <w:sz w:val="20"/>
          <w:lang w:val="ru-RU"/>
        </w:rPr>
        <w:t>я, Турция, 9–14</w:t>
      </w:r>
      <w:r w:rsidR="00F550EE" w:rsidRPr="005454AE">
        <w:rPr>
          <w:sz w:val="20"/>
        </w:rPr>
        <w:t> </w:t>
      </w:r>
      <w:r w:rsidR="00F550EE" w:rsidRPr="005454AE">
        <w:rPr>
          <w:sz w:val="20"/>
          <w:lang w:val="ru-RU"/>
        </w:rPr>
        <w:t>декабря 2013</w:t>
      </w:r>
      <w:r w:rsidR="00F550EE" w:rsidRPr="005454AE">
        <w:rPr>
          <w:sz w:val="20"/>
        </w:rPr>
        <w:t> </w:t>
      </w:r>
      <w:r w:rsidR="00F550EE" w:rsidRPr="005454AE">
        <w:rPr>
          <w:sz w:val="20"/>
          <w:lang w:val="ru-RU"/>
        </w:rPr>
        <w:t>года</w:t>
      </w:r>
    </w:p>
    <w:p w:rsidR="005454AE" w:rsidRPr="005454AE" w:rsidRDefault="005454AE" w:rsidP="00877B7C">
      <w:pPr>
        <w:spacing w:after="60"/>
        <w:rPr>
          <w:rFonts w:eastAsia="MS Mincho"/>
          <w:sz w:val="20"/>
          <w:lang w:val="ru-RU"/>
        </w:rPr>
      </w:pPr>
      <w:r w:rsidRPr="005454AE">
        <w:rPr>
          <w:rFonts w:eastAsia="MS Mincho"/>
          <w:sz w:val="20"/>
          <w:lang w:val="ru-RU"/>
        </w:rPr>
        <w:t xml:space="preserve">Пункт </w:t>
      </w:r>
      <w:r w:rsidR="00877B7C" w:rsidRPr="00877B7C">
        <w:rPr>
          <w:sz w:val="20"/>
          <w:lang w:val="ru-RU"/>
        </w:rPr>
        <w:t xml:space="preserve">5 </w:t>
      </w:r>
      <w:r w:rsidR="00877B7C" w:rsidRPr="00877B7C">
        <w:rPr>
          <w:sz w:val="20"/>
        </w:rPr>
        <w:t>b</w:t>
      </w:r>
      <w:r w:rsidR="00877B7C" w:rsidRPr="00877B7C">
        <w:rPr>
          <w:sz w:val="20"/>
          <w:lang w:val="ru-RU"/>
        </w:rPr>
        <w:t>)</w:t>
      </w:r>
      <w:r w:rsidR="00877B7C" w:rsidRPr="00877B7C">
        <w:rPr>
          <w:b/>
          <w:sz w:val="20"/>
          <w:lang w:val="ru-RU"/>
        </w:rPr>
        <w:t xml:space="preserve"> </w:t>
      </w:r>
      <w:r w:rsidRPr="005454AE">
        <w:rPr>
          <w:rFonts w:eastAsia="MS Mincho"/>
          <w:sz w:val="20"/>
          <w:lang w:val="ru-RU"/>
        </w:rPr>
        <w:t>предварительной повестки дня*</w:t>
      </w:r>
    </w:p>
    <w:p w:rsidR="00877B7C" w:rsidRPr="00790F96" w:rsidRDefault="00877B7C" w:rsidP="00877B7C">
      <w:pPr>
        <w:rPr>
          <w:b/>
          <w:sz w:val="20"/>
          <w:lang w:val="ru-RU"/>
        </w:rPr>
      </w:pPr>
      <w:r w:rsidRPr="00790F96">
        <w:rPr>
          <w:b/>
          <w:sz w:val="20"/>
          <w:lang w:val="ru-RU"/>
        </w:rPr>
        <w:t>Финансовая и бюджетная основа Платформы: варианты для Целевого фонда</w:t>
      </w:r>
    </w:p>
    <w:p w:rsidR="00877B7C" w:rsidRPr="00233352" w:rsidRDefault="00877B7C" w:rsidP="00233352">
      <w:pPr>
        <w:spacing w:before="320" w:after="240"/>
        <w:ind w:left="1247" w:right="567"/>
        <w:rPr>
          <w:b/>
          <w:sz w:val="28"/>
          <w:lang w:val="ru-RU"/>
        </w:rPr>
      </w:pPr>
      <w:r w:rsidRPr="00233352">
        <w:rPr>
          <w:b/>
          <w:sz w:val="28"/>
          <w:lang w:val="ru-RU"/>
        </w:rPr>
        <w:t>Варианты для целевого фонда</w:t>
      </w:r>
    </w:p>
    <w:p w:rsidR="00877B7C" w:rsidRPr="00233352" w:rsidRDefault="00877B7C" w:rsidP="00233352">
      <w:pPr>
        <w:spacing w:after="120"/>
        <w:ind w:left="1247"/>
        <w:rPr>
          <w:rFonts w:eastAsia="Batang"/>
          <w:b/>
          <w:lang w:val="ru-RU"/>
        </w:rPr>
      </w:pPr>
      <w:r w:rsidRPr="00233352">
        <w:rPr>
          <w:b/>
          <w:lang w:val="ru-RU"/>
        </w:rPr>
        <w:t xml:space="preserve">Записка секретариата </w:t>
      </w:r>
    </w:p>
    <w:p w:rsidR="00877B7C" w:rsidRPr="009B3BDD" w:rsidRDefault="00233352" w:rsidP="00877B7C">
      <w:pPr>
        <w:spacing w:after="120"/>
        <w:ind w:left="1248"/>
        <w:rPr>
          <w:sz w:val="20"/>
          <w:lang w:val="ru-RU"/>
        </w:rPr>
      </w:pPr>
      <w:r w:rsidRPr="00233352">
        <w:rPr>
          <w:sz w:val="20"/>
          <w:lang w:val="ru-RU"/>
        </w:rPr>
        <w:t>1.</w:t>
      </w:r>
      <w:r w:rsidRPr="00233352"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 xml:space="preserve">Межправительственная научно-политическая платформа по биоразнообразию и экосистемным услугам на своей первой сессии просила предоставить ей дополнительную информацию по представленным ей вариантам размещения целевого фонда Платформы. По результатам обсуждений, состоявшихся на его первой сессии, в решении </w:t>
      </w:r>
      <w:r>
        <w:rPr>
          <w:sz w:val="20"/>
          <w:lang w:val="ru-RU"/>
        </w:rPr>
        <w:t>МПБЭУ</w:t>
      </w:r>
      <w:r w:rsidR="00877B7C" w:rsidRPr="009B3BDD">
        <w:rPr>
          <w:sz w:val="20"/>
          <w:lang w:val="ru-RU"/>
        </w:rPr>
        <w:t>/1/4 Пленум предложил членам Платформы к концу июня 2013 года представить секретариату вопросы, касающиеся отнесения целевого фонда к ведению либо Управления многосторонних партнерских целевых фондов, либо Программы Организации Объединенных Наций по окружающей среде (ЮНЕП), и просил секретариат скомпоновать и представить членам и Бюро отвечающую на эти вопросы информацию в срок, позволяющий рассмотреть такую информацию и принять соответствующее решение на второй сессии Пленума. Правительства Южной Африки, Канады и Японии направили просьбы о получении дополнительной информации о двух вариантах, включая сведения об их соответствующих преимуществах и недостатках с точки зрения управления фондом. В настоящей записке содержится более подробная информация об этих двух вариантах, включая соображения, касающиеся отнесения фонда к ведению как Управления многосторонних партнерских целевых фондов, так и ЮНЕП, которые могут быть использованы для оценки преимуществ и недостатков обоих вариантов. В таблице 1 приводится контрольный перечень сравнения вариантов.</w:t>
      </w:r>
    </w:p>
    <w:p w:rsidR="00877B7C" w:rsidRPr="009B3BDD" w:rsidRDefault="00233352" w:rsidP="00877B7C">
      <w:pPr>
        <w:spacing w:after="120"/>
        <w:ind w:left="1248"/>
        <w:rPr>
          <w:sz w:val="20"/>
          <w:lang w:val="ru-RU"/>
        </w:rPr>
      </w:pPr>
      <w:r>
        <w:rPr>
          <w:sz w:val="20"/>
          <w:lang w:val="ru-RU"/>
        </w:rPr>
        <w:t>2.</w:t>
      </w:r>
      <w:r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 xml:space="preserve">Решение, которое будет приниматься касательно механизма размещения целевого фонда, отличается от уже принятого решения в отношении административных функций секретариата, которые будут осуществляться ЮНЕП в соответствии с правилами Программы, несмотря на то, что решение относительно размещения </w:t>
      </w:r>
      <w:r w:rsidR="00313B41">
        <w:rPr>
          <w:sz w:val="20"/>
          <w:lang w:val="ru-RU"/>
        </w:rPr>
        <w:t>ц</w:t>
      </w:r>
      <w:r w:rsidR="00877B7C" w:rsidRPr="009B3BDD">
        <w:rPr>
          <w:sz w:val="20"/>
          <w:lang w:val="ru-RU"/>
        </w:rPr>
        <w:t>елевого фонда может повлиять на то, потребуются или нет от секретариата Платформы определенные финансовые и административные услуги. Также с учетом решения относительно механизма целевого фонда потребуется обновить проект финансовых процедур Платформы (см. IPBES/2/7).</w:t>
      </w:r>
    </w:p>
    <w:p w:rsidR="00877B7C" w:rsidRPr="00233352" w:rsidRDefault="00877B7C" w:rsidP="00877B7C">
      <w:pPr>
        <w:spacing w:after="120"/>
        <w:ind w:left="1248"/>
        <w:rPr>
          <w:rFonts w:eastAsia="Batang"/>
          <w:b/>
          <w:lang w:val="ru-RU"/>
        </w:rPr>
      </w:pPr>
      <w:r w:rsidRPr="00233352">
        <w:rPr>
          <w:b/>
          <w:lang w:val="ru-RU"/>
        </w:rPr>
        <w:t>Вариант 1</w:t>
      </w:r>
    </w:p>
    <w:p w:rsidR="00877B7C" w:rsidRPr="00233352" w:rsidRDefault="00877B7C" w:rsidP="00877B7C">
      <w:pPr>
        <w:spacing w:after="120"/>
        <w:ind w:left="1248"/>
        <w:rPr>
          <w:b/>
          <w:lang w:val="ru-RU"/>
        </w:rPr>
      </w:pPr>
      <w:r w:rsidRPr="00233352">
        <w:rPr>
          <w:b/>
          <w:lang w:val="ru-RU"/>
        </w:rPr>
        <w:t>Многосторонний целевой фонд</w:t>
      </w:r>
    </w:p>
    <w:p w:rsidR="00877B7C" w:rsidRPr="009B3BDD" w:rsidRDefault="00233352" w:rsidP="00877B7C">
      <w:pPr>
        <w:spacing w:after="120"/>
        <w:ind w:left="1248"/>
        <w:rPr>
          <w:sz w:val="20"/>
          <w:lang w:val="ru-RU"/>
        </w:rPr>
      </w:pPr>
      <w:r>
        <w:rPr>
          <w:sz w:val="20"/>
          <w:lang w:val="ru-RU"/>
        </w:rPr>
        <w:t>3.</w:t>
      </w:r>
      <w:r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 xml:space="preserve">Многосторонний целевой фонд Организации Объединенных Наций представляет собой межведомственный и многосторонний/донорский механизм финансирования, позволяющий партнерам добиться большей согласованности, координации и эффективности в деле достижения общих целей на страновом и/или глобальном уровнях, а также повысить координированное осуществление мер. В рамках этого механизма взносы, полученные от одного или нескольких доноров, поступают в ведение подразделения Организации Объединенных Наций, назначенного административным агентом фонда, и в соответствии с </w:t>
      </w:r>
      <w:r w:rsidR="00877B7C" w:rsidRPr="009B3BDD">
        <w:rPr>
          <w:sz w:val="20"/>
          <w:lang w:val="ru-RU"/>
        </w:rPr>
        <w:lastRenderedPageBreak/>
        <w:t>решением руководящего органа фонда полученные средства направляются участвующим органам Организации Объединенных Наций. Одна из ключевых задач при создании фонда заключается в обеспечении полной транспарентности и подотчетности механизмов финансирования, функционирования и осуществления.</w:t>
      </w:r>
    </w:p>
    <w:p w:rsidR="00877B7C" w:rsidRPr="009B3BDD" w:rsidRDefault="00233352" w:rsidP="00877B7C">
      <w:pPr>
        <w:spacing w:after="120"/>
        <w:ind w:left="1248"/>
        <w:rPr>
          <w:sz w:val="20"/>
          <w:lang w:val="ru-RU"/>
        </w:rPr>
      </w:pPr>
      <w:r>
        <w:rPr>
          <w:sz w:val="20"/>
          <w:lang w:val="ru-RU"/>
        </w:rPr>
        <w:t>4.</w:t>
      </w:r>
      <w:r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>В настоящее время более 60 различных целевых фондов Организации Объединенных Наций находятся в ведении Управления многосторонних партнерских целевых фондов Программы развития Организации Объединенных Наций (ПРООН) (http://mptf.undp.org/), которое выступает административным агентом этих фондов. Работа Управления, учрежденного в 2006 году, основывается на успешном опыте Целевого фонда для Ирака Группы Организации Объединенных Наций по вопросам развития, полученном после 2004 года, а также на опыте других многосторонних целевых фондов Организации Объединенных Наций, таких как Фонд миростроительства. Управление многосторонних партнерских целевых фондов представляет собой единый центр предоставления поддержки и услуг правительствам, подразделениям Организации Объединенных Наций, страновым группам Организации Объединенных Наций и донорам, заинтересованным в создании многосторонних целевых фондов. В настоящее время в ведении Управления многосторонних партнерских целевых фондов находится ряд многосторонних целевых фондов, созданных для решения вопросов, связанных с развитием, обеспечением перехода, оказанием гуманитарной помощи, охраной окружающей среды и изменением климата, на общую сумму свыше 7 млрд. долл. США, которые функционируют в 94 странах (текущий перечень подконтрольных многостор</w:t>
      </w:r>
      <w:r w:rsidR="002C080C">
        <w:rPr>
          <w:sz w:val="20"/>
          <w:lang w:val="ru-RU"/>
        </w:rPr>
        <w:t>онних целевых фондов см. на веб</w:t>
      </w:r>
      <w:r w:rsidR="002C080C" w:rsidRPr="002C080C">
        <w:rPr>
          <w:sz w:val="20"/>
          <w:lang w:val="ru-RU"/>
        </w:rPr>
        <w:noBreakHyphen/>
      </w:r>
      <w:r w:rsidR="00877B7C" w:rsidRPr="009B3BDD">
        <w:rPr>
          <w:sz w:val="20"/>
          <w:lang w:val="ru-RU"/>
        </w:rPr>
        <w:t>сайте http://mptf.undp.org/portfolio/fund). В Управление п</w:t>
      </w:r>
      <w:r w:rsidR="002C080C">
        <w:rPr>
          <w:sz w:val="20"/>
          <w:lang w:val="ru-RU"/>
        </w:rPr>
        <w:t>оступили взносы от более чем 90</w:t>
      </w:r>
      <w:r w:rsidR="002C080C">
        <w:rPr>
          <w:sz w:val="20"/>
          <w:lang w:val="en-US"/>
        </w:rPr>
        <w:t> </w:t>
      </w:r>
      <w:r w:rsidR="00877B7C" w:rsidRPr="009B3BDD">
        <w:rPr>
          <w:sz w:val="20"/>
          <w:lang w:val="ru-RU"/>
        </w:rPr>
        <w:t xml:space="preserve">вкладчиков и партнеров (http://mptf.undp.org/portfolio/donor), а в многосторонних целевых фондах участвует 47 </w:t>
      </w:r>
      <w:r w:rsidR="00313B41">
        <w:rPr>
          <w:sz w:val="20"/>
          <w:lang w:val="ru-RU"/>
        </w:rPr>
        <w:t>органов</w:t>
      </w:r>
      <w:r w:rsidR="00877B7C" w:rsidRPr="009B3BDD">
        <w:rPr>
          <w:sz w:val="20"/>
          <w:lang w:val="ru-RU"/>
        </w:rPr>
        <w:t xml:space="preserve"> (</w:t>
      </w:r>
      <w:hyperlink r:id="rId12" w:history="1">
        <w:r w:rsidR="00877B7C" w:rsidRPr="009B3BDD">
          <w:rPr>
            <w:rStyle w:val="Hyperlink"/>
            <w:lang w:val="ru-RU"/>
          </w:rPr>
          <w:t>http://mptf.undp.org/portfolio/agency</w:t>
        </w:r>
      </w:hyperlink>
      <w:r w:rsidR="00877B7C" w:rsidRPr="009B3BDD">
        <w:rPr>
          <w:sz w:val="20"/>
          <w:lang w:val="ru-RU"/>
        </w:rPr>
        <w:t>).</w:t>
      </w:r>
    </w:p>
    <w:p w:rsidR="00877B7C" w:rsidRPr="009B3BDD" w:rsidRDefault="00233352" w:rsidP="00877B7C">
      <w:pPr>
        <w:spacing w:after="120"/>
        <w:ind w:left="1248"/>
        <w:rPr>
          <w:sz w:val="20"/>
          <w:lang w:val="ru-RU"/>
        </w:rPr>
      </w:pPr>
      <w:r>
        <w:rPr>
          <w:sz w:val="20"/>
          <w:lang w:val="ru-RU"/>
        </w:rPr>
        <w:t>5.</w:t>
      </w:r>
      <w:r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 xml:space="preserve">Многосторонние целевые фонды используются все более широко в ответ на необходимость обеспечить гибкое, координированное и предсказуемое финансирование для содействия достижению национальных и глобальных приоритетов, что отражает применение повестки дня </w:t>
      </w:r>
      <w:r w:rsidR="00313B41">
        <w:rPr>
          <w:sz w:val="20"/>
          <w:lang w:val="ru-RU"/>
        </w:rPr>
        <w:t xml:space="preserve">в сфере повышения </w:t>
      </w:r>
      <w:r w:rsidR="00877B7C" w:rsidRPr="009B3BDD">
        <w:rPr>
          <w:sz w:val="20"/>
          <w:lang w:val="ru-RU"/>
        </w:rPr>
        <w:t xml:space="preserve">эффективности помощи и инициативы "Единая </w:t>
      </w:r>
      <w:r w:rsidR="00313B41">
        <w:rPr>
          <w:sz w:val="20"/>
          <w:lang w:val="ru-RU"/>
        </w:rPr>
        <w:t>ООН</w:t>
      </w:r>
      <w:r w:rsidR="00877B7C" w:rsidRPr="009B3BDD">
        <w:rPr>
          <w:sz w:val="20"/>
          <w:lang w:val="ru-RU"/>
        </w:rPr>
        <w:t xml:space="preserve">". Способствуя координации между всеми заинтересованными субъектами, многосторонние целевые фонды также играют роль площадки для ведения диалога по вопросам политики, а также координации и гармонизации программ. В целом, они стали важным инструментом финансирования, которым пользуется Организация Объединенных Наций для направления средств на реализацию стратегических установок, определенных на основе анализа реального положения дел с программами в консультации с заинтересованными субъектами. </w:t>
      </w:r>
    </w:p>
    <w:p w:rsidR="00877B7C" w:rsidRPr="009B3BDD" w:rsidRDefault="00233352" w:rsidP="00877B7C">
      <w:pPr>
        <w:spacing w:after="120"/>
        <w:ind w:left="1248"/>
        <w:rPr>
          <w:sz w:val="20"/>
          <w:lang w:val="ru-RU"/>
        </w:rPr>
      </w:pPr>
      <w:r>
        <w:rPr>
          <w:sz w:val="20"/>
          <w:lang w:val="ru-RU"/>
        </w:rPr>
        <w:t>6.</w:t>
      </w:r>
      <w:r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>ЮНЕП, Организация Объединенных Наций по вопросам образования, науки и культуры (ЮНЕСКО), Продовольственная и сельскохозяйственная организация Объединенных Наций (ФАО) и ПРООН уже принимают активное участие во многих многосторонних целевых фондах, и из 114 государств</w:t>
      </w:r>
      <w:r w:rsidR="002C080C" w:rsidRPr="002C080C">
        <w:rPr>
          <w:sz w:val="20"/>
          <w:lang w:val="ru-RU"/>
        </w:rPr>
        <w:t xml:space="preserve"> </w:t>
      </w:r>
      <w:r w:rsidR="00877B7C" w:rsidRPr="009B3BDD">
        <w:rPr>
          <w:sz w:val="20"/>
          <w:lang w:val="ru-RU"/>
        </w:rPr>
        <w:t>-</w:t>
      </w:r>
      <w:r w:rsidR="002C080C" w:rsidRPr="002C080C">
        <w:rPr>
          <w:sz w:val="20"/>
          <w:lang w:val="ru-RU"/>
        </w:rPr>
        <w:t xml:space="preserve"> </w:t>
      </w:r>
      <w:r w:rsidR="00877B7C" w:rsidRPr="009B3BDD">
        <w:rPr>
          <w:sz w:val="20"/>
          <w:lang w:val="ru-RU"/>
        </w:rPr>
        <w:t xml:space="preserve">членов Платформы по крайней мере 40 уже являются вкладчиками или партнерами многосторонних целевых фондов Организации Объединенных Наций, находящихся в ведении Управления многосторонних партнерских целевых фондов. </w:t>
      </w:r>
    </w:p>
    <w:p w:rsidR="00877B7C" w:rsidRPr="00233352" w:rsidRDefault="00877B7C" w:rsidP="00877B7C">
      <w:pPr>
        <w:spacing w:after="120"/>
        <w:ind w:left="1248"/>
        <w:rPr>
          <w:b/>
          <w:sz w:val="20"/>
          <w:lang w:val="ru-RU"/>
        </w:rPr>
      </w:pPr>
      <w:r w:rsidRPr="00233352">
        <w:rPr>
          <w:b/>
          <w:sz w:val="20"/>
          <w:lang w:val="ru-RU"/>
        </w:rPr>
        <w:t>Ключевые заинтересованные субъекты</w:t>
      </w:r>
    </w:p>
    <w:p w:rsidR="00877B7C" w:rsidRPr="009B3BDD" w:rsidRDefault="00233352" w:rsidP="00877B7C">
      <w:pPr>
        <w:spacing w:after="120"/>
        <w:ind w:left="1248"/>
        <w:rPr>
          <w:sz w:val="20"/>
          <w:lang w:val="ru-RU"/>
        </w:rPr>
      </w:pPr>
      <w:r>
        <w:rPr>
          <w:sz w:val="20"/>
          <w:lang w:val="ru-RU"/>
        </w:rPr>
        <w:t>7.</w:t>
      </w:r>
      <w:r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>Ключевыми заинтересованными субъектами многостороннего целевого фонда выступят:</w:t>
      </w:r>
    </w:p>
    <w:p w:rsidR="00877B7C" w:rsidRPr="009B3BDD" w:rsidRDefault="00233352" w:rsidP="004F0E4B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a</w:t>
      </w:r>
      <w:r w:rsidRPr="00233352">
        <w:rPr>
          <w:sz w:val="20"/>
          <w:lang w:val="ru-RU"/>
        </w:rPr>
        <w:t>)</w:t>
      </w:r>
      <w:r w:rsidRPr="00233352"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 xml:space="preserve">руководящий комитет фонда, например, орган, в состав которого войдут представители Бюро Платформы и четырех подразделений Организации Объединенных Наций, а также Управление многосторонних партнерских целевых фондов в качестве члена по должности; </w:t>
      </w:r>
    </w:p>
    <w:p w:rsidR="00877B7C" w:rsidRPr="009B3BDD" w:rsidRDefault="00233352" w:rsidP="004F0E4B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b</w:t>
      </w:r>
      <w:r w:rsidRPr="00233352">
        <w:rPr>
          <w:sz w:val="20"/>
          <w:lang w:val="ru-RU"/>
        </w:rPr>
        <w:t>)</w:t>
      </w:r>
      <w:r w:rsidRPr="00233352"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 xml:space="preserve">партнеры-исполнители от правительств и неправительственных организаций, если это будет необходимо; </w:t>
      </w:r>
    </w:p>
    <w:p w:rsidR="00877B7C" w:rsidRPr="009B3BDD" w:rsidRDefault="00233352" w:rsidP="004F0E4B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c</w:t>
      </w:r>
      <w:r w:rsidRPr="00233352">
        <w:rPr>
          <w:sz w:val="20"/>
          <w:lang w:val="ru-RU"/>
        </w:rPr>
        <w:t>)</w:t>
      </w:r>
      <w:r w:rsidRPr="00233352"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 xml:space="preserve">секретариат Платформы в качестве секретариата фонда; </w:t>
      </w:r>
    </w:p>
    <w:p w:rsidR="00877B7C" w:rsidRPr="009B3BDD" w:rsidRDefault="00233352" w:rsidP="004F0E4B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d</w:t>
      </w:r>
      <w:r w:rsidRPr="00233352">
        <w:rPr>
          <w:sz w:val="20"/>
          <w:lang w:val="ru-RU"/>
        </w:rPr>
        <w:t>)</w:t>
      </w:r>
      <w:r w:rsidRPr="00233352"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>участвующие органы Организации Объединенных Наций;</w:t>
      </w:r>
    </w:p>
    <w:p w:rsidR="00877B7C" w:rsidRPr="009B3BDD" w:rsidRDefault="00233352" w:rsidP="004F0E4B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e</w:t>
      </w:r>
      <w:r w:rsidRPr="00233352">
        <w:rPr>
          <w:sz w:val="20"/>
          <w:lang w:val="ru-RU"/>
        </w:rPr>
        <w:t>)</w:t>
      </w:r>
      <w:r w:rsidRPr="00233352"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 xml:space="preserve">Управление многосторонних партнерских целевых фондов в качестве административного агента. </w:t>
      </w:r>
    </w:p>
    <w:p w:rsidR="00877B7C" w:rsidRPr="004F0E4B" w:rsidRDefault="00877B7C" w:rsidP="004F0E4B">
      <w:pPr>
        <w:keepNext/>
        <w:keepLines/>
        <w:spacing w:after="120"/>
        <w:ind w:left="1247"/>
        <w:rPr>
          <w:b/>
          <w:sz w:val="20"/>
          <w:lang w:val="ru-RU"/>
        </w:rPr>
      </w:pPr>
      <w:r w:rsidRPr="004F0E4B">
        <w:rPr>
          <w:b/>
          <w:sz w:val="20"/>
          <w:lang w:val="ru-RU"/>
        </w:rPr>
        <w:t>Структура расходов</w:t>
      </w:r>
    </w:p>
    <w:p w:rsidR="00877B7C" w:rsidRPr="009B3BDD" w:rsidRDefault="004F0E4B" w:rsidP="00877B7C">
      <w:pPr>
        <w:spacing w:after="120"/>
        <w:ind w:left="1248"/>
        <w:rPr>
          <w:sz w:val="20"/>
          <w:lang w:val="ru-RU"/>
        </w:rPr>
      </w:pPr>
      <w:r w:rsidRPr="004F0E4B">
        <w:rPr>
          <w:sz w:val="20"/>
          <w:lang w:val="ru-RU"/>
        </w:rPr>
        <w:t>8.</w:t>
      </w:r>
      <w:r w:rsidRPr="004F0E4B"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 xml:space="preserve">В структуру расходов всех многосторонних целевых фондов Организации Объединенных Наций входят три основных вида расходов: расходы на развитие и управление </w:t>
      </w:r>
      <w:r w:rsidR="00877B7C" w:rsidRPr="009B3BDD">
        <w:rPr>
          <w:sz w:val="20"/>
          <w:lang w:val="ru-RU"/>
        </w:rPr>
        <w:lastRenderedPageBreak/>
        <w:t>фондом, операционные расходы фонда и расходы на осуществление фонда, которые представлены ниже:</w:t>
      </w:r>
    </w:p>
    <w:p w:rsidR="00877B7C" w:rsidRPr="009B3BDD" w:rsidRDefault="004F0E4B" w:rsidP="004F0E4B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a</w:t>
      </w:r>
      <w:r w:rsidRPr="004F0E4B">
        <w:rPr>
          <w:sz w:val="20"/>
          <w:lang w:val="ru-RU"/>
        </w:rPr>
        <w:t>)</w:t>
      </w:r>
      <w:r w:rsidRPr="004F0E4B"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>развитие и управление фондом: административный агент взимает сбор в размере 1 процента от суммы взноса доноров;</w:t>
      </w:r>
    </w:p>
    <w:p w:rsidR="00877B7C" w:rsidRPr="009B3BDD" w:rsidRDefault="004F0E4B" w:rsidP="004F0E4B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b</w:t>
      </w:r>
      <w:r w:rsidRPr="004F0E4B">
        <w:rPr>
          <w:sz w:val="20"/>
          <w:lang w:val="ru-RU"/>
        </w:rPr>
        <w:t>)</w:t>
      </w:r>
      <w:r w:rsidRPr="004F0E4B"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>осуществление фонда: участвующие органы Организации Объединенных Наций взимают сбор в размере 7 процентов от осуществляемых ими мероприятий, обеспечивают полную финансовую и программную подотчетность в отношении средств, выплаченных административным агентом, и осуществляют надзор/содействие в связи с распределением средств на проекты/программы;</w:t>
      </w:r>
    </w:p>
    <w:p w:rsidR="00877B7C" w:rsidRPr="009B3BDD" w:rsidRDefault="004F0E4B" w:rsidP="004F0E4B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c</w:t>
      </w:r>
      <w:r w:rsidRPr="004F0E4B">
        <w:rPr>
          <w:sz w:val="20"/>
          <w:lang w:val="ru-RU"/>
        </w:rPr>
        <w:t>)</w:t>
      </w:r>
      <w:r w:rsidRPr="004F0E4B"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>функционирование фонда: роль секретариата фонда может принять на себя секретариат Платформы, который будет начислять расходы, связанные с его работой в качестве секретариата фонда, в качестве прямых расходов фонда, соответственно увеличивая расходы на финансовое управление в рамках секретариата Платформы. Расходы многосторонних целевых фондов в среднем составляют около 3 процентов от общего размера фонда. Основные задачи секретариата фонда заключаются в оказании административной поддержки руководящему комитету по вопросам функционирования фонда. К основным функциям секретариата относ</w:t>
      </w:r>
      <w:r w:rsidR="002C080C">
        <w:rPr>
          <w:sz w:val="20"/>
          <w:lang w:val="ru-RU"/>
        </w:rPr>
        <w:t>я</w:t>
      </w:r>
      <w:r w:rsidR="00877B7C" w:rsidRPr="009B3BDD">
        <w:rPr>
          <w:sz w:val="20"/>
          <w:lang w:val="ru-RU"/>
        </w:rPr>
        <w:t xml:space="preserve">тся: подготовка руководств по ведению операций и правил процедуры; содействие проведению совещаний руководящего комитета; управление процессом представления предложений и рассмотрение предложений по проектам; мониторинг проектов и координация оценок фонда; и осуществление контроля и управление связями с общественностью по вопросам, касающимся фонда. Он также связывается с административным агентом по вопросам подготовки и распространения описательных докладов и финансовых отчетов для руководящего комитета. В случае необходимости он может непосредственно проводить оценку проектов и прибегать при выполнении этой задачи к помощи технической рабочей группы. </w:t>
      </w:r>
    </w:p>
    <w:p w:rsidR="00877B7C" w:rsidRPr="004F0E4B" w:rsidRDefault="00877B7C" w:rsidP="004F0E4B">
      <w:pPr>
        <w:spacing w:after="120"/>
        <w:ind w:left="1247" w:right="284"/>
        <w:rPr>
          <w:b/>
          <w:sz w:val="20"/>
          <w:lang w:val="ru-RU"/>
        </w:rPr>
      </w:pPr>
      <w:r w:rsidRPr="004F0E4B">
        <w:rPr>
          <w:b/>
          <w:sz w:val="20"/>
          <w:lang w:val="ru-RU"/>
        </w:rPr>
        <w:t>Функции Управления многосторонних партнерских целевых фондов в качестве административного агента</w:t>
      </w:r>
    </w:p>
    <w:p w:rsidR="00877B7C" w:rsidRPr="009B3BDD" w:rsidRDefault="004F0E4B" w:rsidP="00877B7C">
      <w:pPr>
        <w:spacing w:after="120"/>
        <w:ind w:left="1248"/>
        <w:rPr>
          <w:sz w:val="20"/>
          <w:lang w:val="ru-RU"/>
        </w:rPr>
      </w:pPr>
      <w:r w:rsidRPr="004F0E4B">
        <w:rPr>
          <w:sz w:val="20"/>
          <w:lang w:val="ru-RU"/>
        </w:rPr>
        <w:t>9.</w:t>
      </w:r>
      <w:r w:rsidRPr="004F0E4B"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>Управление многосторонних партнерских целевых фондов выполняет полный спектр функций административного агента, в том числе принимая на себя ответственность за следующие функции:</w:t>
      </w:r>
    </w:p>
    <w:p w:rsidR="00877B7C" w:rsidRPr="009B3BDD" w:rsidRDefault="004F0E4B" w:rsidP="004F0E4B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a</w:t>
      </w:r>
      <w:r w:rsidRPr="004F0E4B">
        <w:rPr>
          <w:sz w:val="20"/>
          <w:lang w:val="ru-RU"/>
        </w:rPr>
        <w:t>)</w:t>
      </w:r>
      <w:r w:rsidRPr="004F0E4B"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>содействие процессу создания фонда, среди прочего в том, что касается правовых соглашений, круга ведения, политик и процедур фонда;</w:t>
      </w:r>
    </w:p>
    <w:p w:rsidR="00877B7C" w:rsidRPr="009B3BDD" w:rsidRDefault="004F0E4B" w:rsidP="004F0E4B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b</w:t>
      </w:r>
      <w:r w:rsidRPr="004F0E4B">
        <w:rPr>
          <w:sz w:val="20"/>
          <w:lang w:val="ru-RU"/>
        </w:rPr>
        <w:t>)</w:t>
      </w:r>
      <w:r w:rsidRPr="004F0E4B"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 xml:space="preserve">разработку комплексного механизма обеспечения качества и достижения результатов;  </w:t>
      </w:r>
    </w:p>
    <w:p w:rsidR="00877B7C" w:rsidRPr="009B3BDD" w:rsidRDefault="004F0E4B" w:rsidP="004F0E4B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c</w:t>
      </w:r>
      <w:r w:rsidRPr="004F0E4B">
        <w:rPr>
          <w:sz w:val="20"/>
          <w:lang w:val="ru-RU"/>
        </w:rPr>
        <w:t>)</w:t>
      </w:r>
      <w:r w:rsidRPr="004F0E4B"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 xml:space="preserve">получение донорских взносов и управление ими (денежные средства и инвестиции, гарантии качества, выплаты и отчетность); </w:t>
      </w:r>
    </w:p>
    <w:p w:rsidR="00877B7C" w:rsidRPr="009B3BDD" w:rsidRDefault="004F0E4B" w:rsidP="004F0E4B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d</w:t>
      </w:r>
      <w:r w:rsidRPr="004F0E4B">
        <w:rPr>
          <w:sz w:val="20"/>
          <w:lang w:val="ru-RU"/>
        </w:rPr>
        <w:t>)</w:t>
      </w:r>
      <w:r w:rsidRPr="004F0E4B"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>ассигнования каждому из участвующих органов Организации Объединенных Наций в соответствии с решениями руководящего органа;</w:t>
      </w:r>
    </w:p>
    <w:p w:rsidR="00877B7C" w:rsidRPr="009B3BDD" w:rsidRDefault="004F0E4B" w:rsidP="004F0E4B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e</w:t>
      </w:r>
      <w:r w:rsidRPr="004F0E4B">
        <w:rPr>
          <w:sz w:val="20"/>
          <w:lang w:val="ru-RU"/>
        </w:rPr>
        <w:t>)</w:t>
      </w:r>
      <w:r w:rsidRPr="004F0E4B"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>обеспечение работы общедоступной интернет-платформы "</w:t>
      </w:r>
      <w:r w:rsidR="00313B41">
        <w:rPr>
          <w:sz w:val="20"/>
          <w:lang w:val="ru-RU"/>
        </w:rPr>
        <w:t>Гейтуэй</w:t>
      </w:r>
      <w:r w:rsidR="00877B7C" w:rsidRPr="009B3BDD">
        <w:rPr>
          <w:sz w:val="20"/>
          <w:lang w:val="ru-RU"/>
        </w:rPr>
        <w:t>" для контроля и представления отчетности по программным и финансовым показателям деятельности фонда;</w:t>
      </w:r>
    </w:p>
    <w:p w:rsidR="00877B7C" w:rsidRPr="009B3BDD" w:rsidRDefault="004F0E4B" w:rsidP="004F0E4B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f</w:t>
      </w:r>
      <w:r w:rsidRPr="004F0E4B">
        <w:rPr>
          <w:sz w:val="20"/>
          <w:lang w:val="ru-RU"/>
        </w:rPr>
        <w:t>)</w:t>
      </w:r>
      <w:r w:rsidRPr="004F0E4B"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>консолидацию годовых отчетов и обзоров на основе документов, представленных административному агенту каждой из участвующих организаций и секретариатом, и их представление руководящему органу;</w:t>
      </w:r>
    </w:p>
    <w:p w:rsidR="00877B7C" w:rsidRPr="009B3BDD" w:rsidRDefault="004F0E4B" w:rsidP="004F0E4B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g</w:t>
      </w:r>
      <w:r w:rsidRPr="004F0E4B">
        <w:rPr>
          <w:sz w:val="20"/>
          <w:lang w:val="ru-RU"/>
        </w:rPr>
        <w:t>)</w:t>
      </w:r>
      <w:r w:rsidRPr="004F0E4B"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>предоставление окончательной отчетности, включая уведомление об завершении функционирования многостороннего целевого фонда;</w:t>
      </w:r>
    </w:p>
    <w:p w:rsidR="00877B7C" w:rsidRPr="009B3BDD" w:rsidRDefault="004F0E4B" w:rsidP="004F0E4B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h</w:t>
      </w:r>
      <w:r w:rsidRPr="004F0E4B">
        <w:rPr>
          <w:sz w:val="20"/>
          <w:lang w:val="ru-RU"/>
        </w:rPr>
        <w:t>)</w:t>
      </w:r>
      <w:r w:rsidRPr="004F0E4B"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>ассигнования участвующим органам Организации Объединенных Наций на любые дополнительные расходы, которые может утвердить руководящий орган в соответствии с кругом ведения, например, расходы секретариата.</w:t>
      </w:r>
    </w:p>
    <w:p w:rsidR="00877B7C" w:rsidRPr="009B3BDD" w:rsidRDefault="004F0E4B" w:rsidP="00877B7C">
      <w:pPr>
        <w:spacing w:after="120"/>
        <w:ind w:left="1248"/>
        <w:rPr>
          <w:sz w:val="20"/>
          <w:lang w:val="ru-RU"/>
        </w:rPr>
      </w:pPr>
      <w:r w:rsidRPr="004F0E4B">
        <w:rPr>
          <w:sz w:val="20"/>
          <w:lang w:val="ru-RU"/>
        </w:rPr>
        <w:t>10.</w:t>
      </w:r>
      <w:r w:rsidRPr="004F0E4B"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>Помимо выполнения вышеописанных стандартных функций Управление многосторонних партнерских целевых фондов может оказывать фонду дополнительные услуги по его просьбе, включая поддержку инициатив в области развития потенциала, подготовку стратегий мобилизации ресурсов и консультирование по вопросам операций по созданию фонда (например, руководство по ведению оперативной деятельности).</w:t>
      </w:r>
    </w:p>
    <w:p w:rsidR="00877B7C" w:rsidRPr="009B3BDD" w:rsidRDefault="004F0E4B" w:rsidP="00877B7C">
      <w:pPr>
        <w:spacing w:after="120"/>
        <w:ind w:left="1248"/>
        <w:rPr>
          <w:sz w:val="20"/>
          <w:lang w:val="ru-RU"/>
        </w:rPr>
      </w:pPr>
      <w:r w:rsidRPr="004F0E4B">
        <w:rPr>
          <w:sz w:val="20"/>
          <w:lang w:val="ru-RU"/>
        </w:rPr>
        <w:lastRenderedPageBreak/>
        <w:t>11.</w:t>
      </w:r>
      <w:r w:rsidRPr="004F0E4B"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>В то время как механизм многостороннего целевого фонда обеспечивает общее управление фондом и выделение средств органам Организации Объединенных Наций, секретариат Платформы должен будет оказывать все остальные услуги, такие как закупки, управление, людские ресурсы, управление средствами и правовая поддержка, что потребует наличия достаточного потенциала для обеспечения эффективности и действенности при оказании подобных услуг.</w:t>
      </w:r>
    </w:p>
    <w:p w:rsidR="00877B7C" w:rsidRPr="004F0E4B" w:rsidRDefault="00877B7C" w:rsidP="00877B7C">
      <w:pPr>
        <w:spacing w:after="120"/>
        <w:ind w:left="1248"/>
        <w:rPr>
          <w:b/>
          <w:sz w:val="20"/>
          <w:lang w:val="ru-RU"/>
        </w:rPr>
      </w:pPr>
      <w:r w:rsidRPr="004F0E4B">
        <w:rPr>
          <w:b/>
          <w:sz w:val="20"/>
          <w:lang w:val="ru-RU"/>
        </w:rPr>
        <w:t>Преимущества многосторонних целевых фондов</w:t>
      </w:r>
    </w:p>
    <w:p w:rsidR="00877B7C" w:rsidRPr="009B3BDD" w:rsidRDefault="004F0E4B" w:rsidP="00877B7C">
      <w:pPr>
        <w:spacing w:after="120"/>
        <w:ind w:left="1248"/>
        <w:rPr>
          <w:sz w:val="20"/>
          <w:lang w:val="ru-RU"/>
        </w:rPr>
      </w:pPr>
      <w:r w:rsidRPr="004F0E4B">
        <w:rPr>
          <w:sz w:val="20"/>
          <w:lang w:val="ru-RU"/>
        </w:rPr>
        <w:t>12.</w:t>
      </w:r>
      <w:r w:rsidRPr="004F0E4B"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>Многосторонние целевые фонды обеспечивают ряд преимуществ:</w:t>
      </w:r>
    </w:p>
    <w:p w:rsidR="00877B7C" w:rsidRPr="009B3BDD" w:rsidRDefault="004F0E4B" w:rsidP="004F0E4B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a</w:t>
      </w:r>
      <w:r w:rsidRPr="004F0E4B">
        <w:rPr>
          <w:sz w:val="20"/>
          <w:lang w:val="ru-RU"/>
        </w:rPr>
        <w:t>)</w:t>
      </w:r>
      <w:r w:rsidRPr="004F0E4B"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>включение/привлечение к участию четырех органов Организации Объединенных Наций. Многосторонний целевой фонд позволит всем четырем органам Организации Объединенных Наций, оказывающим поддержку Платформе (ЮНЕП, ЮНЕСКО, ФАО и ПРООН), принять участие в осуществлении Платформы на равных условиях на основе их сравнительных преимуществ и без увеличения накладных расходов;</w:t>
      </w:r>
    </w:p>
    <w:p w:rsidR="00877B7C" w:rsidRPr="009B3BDD" w:rsidRDefault="004F0E4B" w:rsidP="004F0E4B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b</w:t>
      </w:r>
      <w:r w:rsidRPr="00D016AE">
        <w:rPr>
          <w:sz w:val="20"/>
          <w:lang w:val="ru-RU"/>
        </w:rPr>
        <w:t>)</w:t>
      </w:r>
      <w:r w:rsidRPr="00D016AE"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>трансакционные издержки. В рамках многостороннего целевого фонда доноры должны будут подписать одно соглашение о взносах в фонд. На основе одного соглашения фонд может осуществлять свою деятельность с помощью многих участвующих органов Организации Объединенных Наций и партнеров-исполнителей на национальном уровне во многих странах, что позволяет устранить необходимость в повторной или специальной организационной работе в целях осуществления. Как упоминалось выше, Управление многосторонних партнерских целевых фондов (в качестве административного агента) взимает административный сбор в размере 1 процента, в то время как сбор с участвующих органов Организации Объединенных Наций, взимаемый в виде расходов на программную поддержку, составляет 7 процентов, а расходы секретариата фонда покрываются в виде прямых расходов фонда. Общий сбор (8 процентов) и прямые расходы секретариата фонда гарантируют использование всех средств по их назначению посредством обеспечения полной финансовой подотчетности, контроля и отчетности;</w:t>
      </w:r>
    </w:p>
    <w:p w:rsidR="00877B7C" w:rsidRPr="009B3BDD" w:rsidRDefault="004F0E4B" w:rsidP="004F0E4B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c</w:t>
      </w:r>
      <w:r w:rsidRPr="00D016AE">
        <w:rPr>
          <w:sz w:val="20"/>
          <w:lang w:val="ru-RU"/>
        </w:rPr>
        <w:t>)</w:t>
      </w:r>
      <w:r w:rsidRPr="00D016AE"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>транспарентность и подотчетность. Управление многосторонних партнерских целевых фондов непрерывно информирует своих партнеров о положении дел в многостороннем целевом фонде и обеспечивает полную транспарентность и подотчетность в отношении вверенных ему средств. Для будущего фонда Управление созда</w:t>
      </w:r>
      <w:r w:rsidR="00F01037">
        <w:rPr>
          <w:sz w:val="20"/>
          <w:lang w:val="ru-RU"/>
        </w:rPr>
        <w:t>с</w:t>
      </w:r>
      <w:r w:rsidR="00877B7C" w:rsidRPr="009B3BDD">
        <w:rPr>
          <w:sz w:val="20"/>
          <w:lang w:val="ru-RU"/>
        </w:rPr>
        <w:t>т веб-сайт (например, см. веб-сайт для Фонда миростроительства (http://mpt</w:t>
      </w:r>
      <w:r w:rsidR="002C080C">
        <w:rPr>
          <w:sz w:val="20"/>
          <w:lang w:val="ru-RU"/>
        </w:rPr>
        <w:t>f.undp.org/factsheet/fund/PB000</w:t>
      </w:r>
      <w:r w:rsidR="00877B7C" w:rsidRPr="009B3BDD">
        <w:rPr>
          <w:sz w:val="20"/>
          <w:lang w:val="ru-RU"/>
        </w:rPr>
        <w:t xml:space="preserve">), </w:t>
      </w:r>
      <w:r w:rsidR="00F01037">
        <w:rPr>
          <w:sz w:val="20"/>
          <w:lang w:val="ru-RU"/>
        </w:rPr>
        <w:t xml:space="preserve">через </w:t>
      </w:r>
      <w:r w:rsidR="00877B7C" w:rsidRPr="009B3BDD">
        <w:rPr>
          <w:sz w:val="20"/>
          <w:lang w:val="ru-RU"/>
        </w:rPr>
        <w:t xml:space="preserve">который заинтересованным субъектам </w:t>
      </w:r>
      <w:r w:rsidR="00F01037">
        <w:rPr>
          <w:sz w:val="20"/>
          <w:lang w:val="ru-RU"/>
        </w:rPr>
        <w:t xml:space="preserve">предоставляется </w:t>
      </w:r>
      <w:r w:rsidR="00877B7C" w:rsidRPr="009B3BDD">
        <w:rPr>
          <w:sz w:val="20"/>
          <w:lang w:val="ru-RU"/>
        </w:rPr>
        <w:t>информаци</w:t>
      </w:r>
      <w:r w:rsidR="00F01037">
        <w:rPr>
          <w:sz w:val="20"/>
          <w:lang w:val="ru-RU"/>
        </w:rPr>
        <w:t>я</w:t>
      </w:r>
      <w:r w:rsidR="00877B7C" w:rsidRPr="009B3BDD">
        <w:rPr>
          <w:sz w:val="20"/>
          <w:lang w:val="ru-RU"/>
        </w:rPr>
        <w:t xml:space="preserve"> непосредственно из его финансовой системы в режиме реального времени (с максимальной двухчасовой задержкой). Предоставляемая информация может включать в себя сведения о взносах доноров, решениях руководящего комитета, передаче утвержденного финансирования конкретным программам/странам и ежегодных расходах для каждого финансируемого мероприятия. Возможна разработка комплексного механизма обеспечения качества и достижения результатов с общим доступом </w:t>
      </w:r>
      <w:r w:rsidR="00F01037">
        <w:rPr>
          <w:sz w:val="20"/>
          <w:lang w:val="ru-RU"/>
        </w:rPr>
        <w:t xml:space="preserve">в </w:t>
      </w:r>
      <w:r w:rsidR="00D016AE">
        <w:rPr>
          <w:sz w:val="20"/>
          <w:lang w:val="ru-RU"/>
        </w:rPr>
        <w:t>ре</w:t>
      </w:r>
      <w:r w:rsidR="00F01037">
        <w:rPr>
          <w:sz w:val="20"/>
          <w:lang w:val="ru-RU"/>
        </w:rPr>
        <w:t>жиме «онлайн»</w:t>
      </w:r>
      <w:r w:rsidR="00877B7C" w:rsidRPr="009B3BDD">
        <w:rPr>
          <w:sz w:val="20"/>
          <w:lang w:val="ru-RU"/>
        </w:rPr>
        <w:t xml:space="preserve">. Информация о появлении результатов финансируемой деятельности фонда </w:t>
      </w:r>
      <w:r w:rsidR="00F01037">
        <w:rPr>
          <w:sz w:val="20"/>
          <w:lang w:val="ru-RU"/>
        </w:rPr>
        <w:t>будет</w:t>
      </w:r>
      <w:r w:rsidR="00877B7C" w:rsidRPr="009B3BDD">
        <w:rPr>
          <w:sz w:val="20"/>
          <w:lang w:val="ru-RU"/>
        </w:rPr>
        <w:t xml:space="preserve"> доступна заинтересованным субъектам и широкой общественности по всему миру. Кроме того, веб-сайт </w:t>
      </w:r>
      <w:r w:rsidR="00F01037">
        <w:rPr>
          <w:sz w:val="20"/>
          <w:lang w:val="ru-RU"/>
        </w:rPr>
        <w:t>может</w:t>
      </w:r>
      <w:r w:rsidR="00877B7C" w:rsidRPr="009B3BDD">
        <w:rPr>
          <w:sz w:val="20"/>
          <w:lang w:val="ru-RU"/>
        </w:rPr>
        <w:t xml:space="preserve"> содержать всю необходимую информацию о фонде, включая круг ведения, меморандумы о взаимопонимании, стандартное административное устройство, протоколы совещаний руководящего комитета, ежегодные доклады об осуществлении финансируемой деятельности, периодические квартальные отчеты о финансируемой деятельности и т.д.</w:t>
      </w:r>
    </w:p>
    <w:p w:rsidR="00877B7C" w:rsidRPr="004F0E4B" w:rsidRDefault="00877B7C" w:rsidP="00877B7C">
      <w:pPr>
        <w:spacing w:after="120"/>
        <w:ind w:left="1248"/>
        <w:rPr>
          <w:b/>
          <w:sz w:val="20"/>
          <w:lang w:val="ru-RU"/>
        </w:rPr>
      </w:pPr>
      <w:r w:rsidRPr="004F0E4B">
        <w:rPr>
          <w:b/>
          <w:sz w:val="20"/>
          <w:lang w:val="ru-RU"/>
        </w:rPr>
        <w:t xml:space="preserve">Создание многостороннего целевого фонда </w:t>
      </w:r>
    </w:p>
    <w:p w:rsidR="00877B7C" w:rsidRPr="009B3BDD" w:rsidRDefault="004F0E4B" w:rsidP="00877B7C">
      <w:pPr>
        <w:spacing w:after="120"/>
        <w:ind w:left="1248"/>
        <w:rPr>
          <w:sz w:val="20"/>
          <w:lang w:val="ru-RU"/>
        </w:rPr>
      </w:pPr>
      <w:r w:rsidRPr="004F0E4B">
        <w:rPr>
          <w:sz w:val="20"/>
          <w:lang w:val="ru-RU"/>
        </w:rPr>
        <w:t>13.</w:t>
      </w:r>
      <w:r w:rsidRPr="004F0E4B"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 xml:space="preserve">Для создания многостороннего целевого фонда потребуются следующие шаги: </w:t>
      </w:r>
    </w:p>
    <w:p w:rsidR="00877B7C" w:rsidRPr="009B3BDD" w:rsidRDefault="004F0E4B" w:rsidP="004F0E4B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a</w:t>
      </w:r>
      <w:r w:rsidRPr="004F0E4B">
        <w:rPr>
          <w:sz w:val="20"/>
          <w:lang w:val="ru-RU"/>
        </w:rPr>
        <w:t>)</w:t>
      </w:r>
      <w:r w:rsidRPr="004F0E4B"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>решение Пленума и участвующих органов Организации Объединенных Наций о создании многостороннего целевого фонда;</w:t>
      </w:r>
    </w:p>
    <w:p w:rsidR="00877B7C" w:rsidRPr="009B3BDD" w:rsidRDefault="004F0E4B" w:rsidP="004F0E4B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b</w:t>
      </w:r>
      <w:r w:rsidRPr="004F0E4B">
        <w:rPr>
          <w:sz w:val="20"/>
          <w:lang w:val="ru-RU"/>
        </w:rPr>
        <w:t>)</w:t>
      </w:r>
      <w:r w:rsidRPr="004F0E4B"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>разработка круга ведения целевого фонда с указанием программных приоритетов, структуры управления, критериев выделения средств, даты начала и окончания работы фонда и т.д.;</w:t>
      </w:r>
    </w:p>
    <w:p w:rsidR="00877B7C" w:rsidRPr="009B3BDD" w:rsidRDefault="004F0E4B" w:rsidP="004F0E4B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c</w:t>
      </w:r>
      <w:r w:rsidRPr="004F0E4B">
        <w:rPr>
          <w:sz w:val="20"/>
          <w:lang w:val="ru-RU"/>
        </w:rPr>
        <w:t>)</w:t>
      </w:r>
      <w:r w:rsidRPr="004F0E4B"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>подготовка меморандума о взаимопонимании для его подписания Бюро Платформы, органами Организации Объединенных Наций и Управлением многосторонних партнерских целевых фондов в качестве административного агента;</w:t>
      </w:r>
    </w:p>
    <w:p w:rsidR="00877B7C" w:rsidRPr="009B3BDD" w:rsidRDefault="004F0E4B" w:rsidP="004F0E4B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d</w:t>
      </w:r>
      <w:r w:rsidRPr="004F0E4B">
        <w:rPr>
          <w:sz w:val="20"/>
          <w:lang w:val="ru-RU"/>
        </w:rPr>
        <w:t>)</w:t>
      </w:r>
      <w:r w:rsidRPr="004F0E4B"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 xml:space="preserve">подготовка стандартного административного </w:t>
      </w:r>
      <w:r w:rsidR="00F01037">
        <w:rPr>
          <w:sz w:val="20"/>
          <w:lang w:val="ru-RU"/>
        </w:rPr>
        <w:t>договора</w:t>
      </w:r>
      <w:r w:rsidR="00877B7C" w:rsidRPr="009B3BDD">
        <w:rPr>
          <w:sz w:val="20"/>
          <w:lang w:val="ru-RU"/>
        </w:rPr>
        <w:t xml:space="preserve"> для его подписания донорами и административным агентом.</w:t>
      </w:r>
    </w:p>
    <w:p w:rsidR="00877B7C" w:rsidRPr="009B3BDD" w:rsidRDefault="004F0E4B" w:rsidP="00877B7C">
      <w:pPr>
        <w:spacing w:after="120"/>
        <w:ind w:left="1248"/>
        <w:rPr>
          <w:sz w:val="20"/>
          <w:lang w:val="ru-RU"/>
        </w:rPr>
      </w:pPr>
      <w:r w:rsidRPr="004F0E4B">
        <w:rPr>
          <w:sz w:val="20"/>
          <w:lang w:val="ru-RU"/>
        </w:rPr>
        <w:lastRenderedPageBreak/>
        <w:t>14.</w:t>
      </w:r>
      <w:r w:rsidRPr="004F0E4B"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>Фонд может быть создан в течение одной недели при условии определения его целей и наличия в его основе круга ведения, проект которого был разработан и согласован руководящим комитетом. Бюро Платформы, участвующие органы Организации Объединенных Наций и Управление многосторонних партнерских целевых фондов могут подписать стандартный меморандум о взаимопонимании после согласования круга ведения. Это знаменует собой создание фонда. Фонд начинает работу после заключения первого стандартного административного соглашения с донором.</w:t>
      </w:r>
    </w:p>
    <w:p w:rsidR="00877B7C" w:rsidRPr="004F0E4B" w:rsidRDefault="00877B7C" w:rsidP="00877B7C">
      <w:pPr>
        <w:spacing w:after="120"/>
        <w:ind w:left="1248"/>
        <w:rPr>
          <w:rFonts w:eastAsia="Batang"/>
          <w:b/>
          <w:lang w:val="ru-RU"/>
        </w:rPr>
      </w:pPr>
      <w:r w:rsidRPr="004F0E4B">
        <w:rPr>
          <w:b/>
          <w:lang w:val="ru-RU"/>
        </w:rPr>
        <w:t>Вариант 2</w:t>
      </w:r>
    </w:p>
    <w:p w:rsidR="00877B7C" w:rsidRPr="004F0E4B" w:rsidRDefault="00877B7C" w:rsidP="00877B7C">
      <w:pPr>
        <w:spacing w:after="120"/>
        <w:ind w:left="1248"/>
        <w:rPr>
          <w:rFonts w:eastAsia="Batang"/>
          <w:b/>
          <w:lang w:val="ru-RU"/>
        </w:rPr>
      </w:pPr>
      <w:r w:rsidRPr="004F0E4B">
        <w:rPr>
          <w:b/>
          <w:lang w:val="ru-RU"/>
        </w:rPr>
        <w:t>Целевой фонд ЮНЕП</w:t>
      </w:r>
    </w:p>
    <w:p w:rsidR="00877B7C" w:rsidRPr="009B3BDD" w:rsidRDefault="006F4F42" w:rsidP="00877B7C">
      <w:pPr>
        <w:spacing w:after="120"/>
        <w:ind w:left="1248"/>
        <w:rPr>
          <w:sz w:val="20"/>
          <w:lang w:val="ru-RU"/>
        </w:rPr>
      </w:pPr>
      <w:r w:rsidRPr="006F4F42">
        <w:rPr>
          <w:sz w:val="20"/>
          <w:lang w:val="ru-RU"/>
        </w:rPr>
        <w:t>15.</w:t>
      </w:r>
      <w:r w:rsidRPr="006F4F42"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 xml:space="preserve">В то время как Фонд окружающей среды является главным источником финансирования для большинства основных функций ЮНЕП, Программа также осуществляет управление добровольными взносами в форме целевых фондов и параллельными взносами в поддержку конкретных мероприятий, соответствующих ее целям и программе работы.  За многие годы доля целевых фондов и целевых взносов стала самой высокой в общих расходах Программы, и за двухгодичный период 2010-2011 годов эти взносы составили 665 млн. долл. США. Сорок шесть процентов расходов целевого фонда за период 2010-2011 годов (за исключением расходов, связанных с Глобальным экологическим фондом) относятся к многосторонним соглашениям по окружающей среде. В соответствии с финансовыми положениями и правилами Организации Объединенных Наций по каждому соглашению (за исключением Многостороннего фонда для Монреальского протокола по веществам, разрушающим озоновый слой) ЮНЕП использует основной целевой фонд в целях обеспечения финансирования и управления работой соответствующего секретариата и </w:t>
      </w:r>
      <w:r w:rsidR="00F01037">
        <w:rPr>
          <w:sz w:val="20"/>
          <w:lang w:val="ru-RU"/>
        </w:rPr>
        <w:t>К</w:t>
      </w:r>
      <w:r w:rsidR="00877B7C" w:rsidRPr="009B3BDD">
        <w:rPr>
          <w:sz w:val="20"/>
          <w:lang w:val="ru-RU"/>
        </w:rPr>
        <w:t xml:space="preserve">онференции </w:t>
      </w:r>
      <w:r w:rsidR="00F01037">
        <w:rPr>
          <w:sz w:val="20"/>
          <w:lang w:val="ru-RU"/>
        </w:rPr>
        <w:t>С</w:t>
      </w:r>
      <w:r w:rsidR="00877B7C" w:rsidRPr="009B3BDD">
        <w:rPr>
          <w:sz w:val="20"/>
          <w:lang w:val="ru-RU"/>
        </w:rPr>
        <w:t xml:space="preserve">торон. В отношении ряда многосторонних соглашений по окружающей среде ЮНЕП также использует целевые фонды технического сотрудничества для оказания содействия развивающимся странам и другим странам, нуждающимся в технической помощи. </w:t>
      </w:r>
    </w:p>
    <w:p w:rsidR="00877B7C" w:rsidRPr="009B3BDD" w:rsidRDefault="006F4F42" w:rsidP="00877B7C">
      <w:pPr>
        <w:spacing w:after="120"/>
        <w:ind w:left="1248"/>
        <w:rPr>
          <w:sz w:val="20"/>
          <w:lang w:val="ru-RU"/>
        </w:rPr>
      </w:pPr>
      <w:r w:rsidRPr="006F4F42">
        <w:rPr>
          <w:sz w:val="20"/>
          <w:lang w:val="ru-RU"/>
        </w:rPr>
        <w:t>16.</w:t>
      </w:r>
      <w:r w:rsidRPr="006F4F42"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 xml:space="preserve">Отделение Организации Объединенных Наций в Найроби было учреждено 1 января 1996 года в качестве преемника Группы общего обслуживания Организации Объединенных Наций в Найроби и двух отдельных подразделений </w:t>
      </w:r>
      <w:r w:rsidR="00F01037">
        <w:rPr>
          <w:sz w:val="20"/>
          <w:lang w:val="ru-RU"/>
        </w:rPr>
        <w:t xml:space="preserve">по </w:t>
      </w:r>
      <w:r w:rsidR="00F01037" w:rsidRPr="009B3BDD">
        <w:rPr>
          <w:sz w:val="20"/>
          <w:lang w:val="ru-RU"/>
        </w:rPr>
        <w:t>администр</w:t>
      </w:r>
      <w:r w:rsidR="00F01037">
        <w:rPr>
          <w:sz w:val="20"/>
          <w:lang w:val="ru-RU"/>
        </w:rPr>
        <w:t>ированию</w:t>
      </w:r>
      <w:r w:rsidR="00407040">
        <w:rPr>
          <w:sz w:val="20"/>
          <w:lang w:val="ru-RU"/>
        </w:rPr>
        <w:t>:</w:t>
      </w:r>
      <w:r w:rsidR="00F01037" w:rsidRPr="009B3BDD">
        <w:rPr>
          <w:sz w:val="20"/>
          <w:lang w:val="ru-RU"/>
        </w:rPr>
        <w:t xml:space="preserve"> </w:t>
      </w:r>
      <w:r w:rsidR="00877B7C" w:rsidRPr="009B3BDD">
        <w:rPr>
          <w:sz w:val="20"/>
          <w:lang w:val="ru-RU"/>
        </w:rPr>
        <w:t xml:space="preserve">ЮНЕП и Программы Организации Объединенных Наций по населенным пунктам (ООН-Хабитат). Цель учреждения Отделения заключалась в укреплении присутствия Организации Объединенных Наций в Найроби и достижении экономии средств за счет эффекта масштаба. В соответствии с меморандумом о взаимопонимании и конкретными соглашениями об обслуживании с ЮНЕП и ООН-Хабитат Отделение предоставляет ЮНЕП широкий комплекс административных и других вспомогательных услуг, включая различные финансовые услуги, такие как управление целевыми фондами. В рамках различных соглашений с отделениями других органов системы Организации Объединенных Наций, находящимися в Найроби, данное Отделение также осуществляет их общее вспомогательное обслуживание, например, в отношении финансов, </w:t>
      </w:r>
      <w:r w:rsidR="00F01037">
        <w:rPr>
          <w:sz w:val="20"/>
          <w:lang w:val="ru-RU"/>
        </w:rPr>
        <w:t>кадровых</w:t>
      </w:r>
      <w:r w:rsidR="00877B7C" w:rsidRPr="009B3BDD">
        <w:rPr>
          <w:sz w:val="20"/>
          <w:lang w:val="ru-RU"/>
        </w:rPr>
        <w:t xml:space="preserve"> ресурсов и закупок. </w:t>
      </w:r>
    </w:p>
    <w:p w:rsidR="00877B7C" w:rsidRPr="006F4F42" w:rsidRDefault="00877B7C" w:rsidP="00877B7C">
      <w:pPr>
        <w:spacing w:after="120"/>
        <w:ind w:left="1248"/>
        <w:rPr>
          <w:b/>
          <w:sz w:val="20"/>
          <w:lang w:val="ru-RU"/>
        </w:rPr>
      </w:pPr>
      <w:r w:rsidRPr="006F4F42">
        <w:rPr>
          <w:b/>
          <w:sz w:val="20"/>
          <w:lang w:val="ru-RU"/>
        </w:rPr>
        <w:t>Расходы ЮНЕП на программную поддержку и их последствия для работы Платформы и ее секретариата</w:t>
      </w:r>
    </w:p>
    <w:p w:rsidR="00877B7C" w:rsidRPr="009B3BDD" w:rsidRDefault="006F4F42" w:rsidP="00877B7C">
      <w:pPr>
        <w:spacing w:after="120"/>
        <w:ind w:left="1248"/>
        <w:rPr>
          <w:sz w:val="20"/>
          <w:lang w:val="ru-RU"/>
        </w:rPr>
      </w:pPr>
      <w:r w:rsidRPr="006F4F42">
        <w:rPr>
          <w:sz w:val="20"/>
          <w:lang w:val="ru-RU"/>
        </w:rPr>
        <w:t>17.</w:t>
      </w:r>
      <w:r w:rsidRPr="006F4F42"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>В соответствии с резолюцией 35/217 Генеральной Ассамблеи расходы на программную поддержку в размере 13 процентов от прямых расходов покрываются за счет расходов из целевых фондов в ведении ЮНЕП. Пополнение и использование таких источников расходов на программную поддержку способствует финансированию и организации действенных и эффективных услуг в области программной поддержки. Эти ресурсы</w:t>
      </w:r>
      <w:bookmarkStart w:id="4" w:name="OLE_LINK1"/>
      <w:bookmarkStart w:id="5" w:name="OLE_LINK2"/>
      <w:r w:rsidR="00877B7C" w:rsidRPr="009B3BDD">
        <w:rPr>
          <w:sz w:val="20"/>
          <w:lang w:val="ru-RU"/>
        </w:rPr>
        <w:t xml:space="preserve"> покрывают приростные расходы, связанные с поддержкой мероприятий, финансируемых за счет внебюджетных взносов, и направлены на то, чтобы гарантировать, что затраты на поддержку таких мероприятий не покрываются за счет регулярного бюджета и/или других основных ресурсов, имеющих ключевое значение при рассмотрении и утверждении бюджетов органами системы Организации Объединенных Наций.</w:t>
      </w:r>
      <w:bookmarkEnd w:id="4"/>
      <w:bookmarkEnd w:id="5"/>
      <w:r w:rsidR="00877B7C" w:rsidRPr="009B3BDD">
        <w:rPr>
          <w:sz w:val="20"/>
          <w:lang w:val="ru-RU"/>
        </w:rPr>
        <w:t xml:space="preserve"> Целевые фонды ЮНЕП относит к внебюджетным средствам в отличие от бюджетных ресурсов, таких как бюджет Фонда окружающей среды, принимаемый Ассамблеей Организации Объединенных Наций по окружающей среде, и программный бюджет, принимаемый Генеральной Ассамблеей.</w:t>
      </w:r>
    </w:p>
    <w:p w:rsidR="00877B7C" w:rsidRPr="009B3BDD" w:rsidRDefault="006F4F42" w:rsidP="00877B7C">
      <w:pPr>
        <w:spacing w:after="120"/>
        <w:ind w:left="1248"/>
        <w:rPr>
          <w:sz w:val="20"/>
          <w:lang w:val="ru-RU"/>
        </w:rPr>
      </w:pPr>
      <w:r w:rsidRPr="006F4F42">
        <w:rPr>
          <w:sz w:val="20"/>
          <w:lang w:val="ru-RU"/>
        </w:rPr>
        <w:t>18.</w:t>
      </w:r>
      <w:r w:rsidRPr="006F4F42"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 xml:space="preserve">Приростные расходы включают как прямые, так и косвенные расходы. Прямые расходы включают те затраты, которые можно полностью или частично непосредственно отнести к какой-либо операции, программе или проекту, финансируемым за счет внебюджетных взносов. При возможности установить прямую связь между затратами и проектом к ним относятся расходы, связанные с обеспечением функций непосредственного управления и других </w:t>
      </w:r>
      <w:r w:rsidR="00877B7C" w:rsidRPr="009B3BDD">
        <w:rPr>
          <w:sz w:val="20"/>
          <w:lang w:val="ru-RU"/>
        </w:rPr>
        <w:lastRenderedPageBreak/>
        <w:t>вспомогательных функций. Все прямые расходы должны финансироваться как определяемые компоненты программы или проекта, а не за счет расходов на программную поддержку.  Косвенные расходы включают те затраты, которые не могут однозначно быть отнесены к конкретным видам деятельности, проектам и программам, и охватывают расходы, понесенные службами в связи с выполнением административных и других вспомогательных функций для ряда операций, программ и проектов, финансируемых за счет внебюджетных взносов. Косвенные расходы могут возникать при выполнении следующих функций: оценка и разработка проекта, подготовка, контроль и управление планами работы и бюджетами, наем и обслуживание персонала, консультантов и стипендиатов, закупки и заключение контрактов, финансовые операции, расчет заработной платы, выплаты, ведение счетов, сбор взносов, инвестирование средств, отчетность и аудит. Косвенные расходы являются единственным видом затрат, которые должны покрываться за счет расходов на программную поддержку.</w:t>
      </w:r>
    </w:p>
    <w:p w:rsidR="00877B7C" w:rsidRPr="009B3BDD" w:rsidRDefault="006F4F42" w:rsidP="00877B7C">
      <w:pPr>
        <w:spacing w:after="120"/>
        <w:ind w:left="1248"/>
        <w:rPr>
          <w:sz w:val="20"/>
          <w:lang w:val="ru-RU"/>
        </w:rPr>
      </w:pPr>
      <w:r w:rsidRPr="006F4F42">
        <w:rPr>
          <w:sz w:val="20"/>
          <w:lang w:val="ru-RU"/>
        </w:rPr>
        <w:t>19.</w:t>
      </w:r>
      <w:r w:rsidRPr="006F4F42"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>В этом контексте и с учетом просьбы Пленума в адрес ЮНЕП выполнять с полной административной ответственностью функции секретариата Платформы, ЮНЕП могла бы предложить один из трех нижеописанных вариантов управления целевым фондом Платформы:</w:t>
      </w:r>
    </w:p>
    <w:p w:rsidR="00877B7C" w:rsidRPr="009B3BDD" w:rsidRDefault="006F4F42" w:rsidP="00455229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a</w:t>
      </w:r>
      <w:r w:rsidRPr="006F4F42">
        <w:rPr>
          <w:sz w:val="20"/>
          <w:lang w:val="ru-RU"/>
        </w:rPr>
        <w:t>)</w:t>
      </w:r>
      <w:r w:rsidRPr="006F4F42">
        <w:rPr>
          <w:sz w:val="20"/>
          <w:lang w:val="ru-RU"/>
        </w:rPr>
        <w:tab/>
      </w:r>
      <w:r w:rsidR="00877B7C" w:rsidRPr="00455229">
        <w:rPr>
          <w:b/>
          <w:sz w:val="20"/>
          <w:lang w:val="ru-RU"/>
        </w:rPr>
        <w:t>вариант 2.A.</w:t>
      </w:r>
      <w:r w:rsidR="00877B7C" w:rsidRPr="009B3BDD">
        <w:rPr>
          <w:sz w:val="20"/>
          <w:lang w:val="ru-RU"/>
        </w:rPr>
        <w:t xml:space="preserve"> ЮНЕП взимает 13 процентов от всех расходов, понесенных из средств целевого фонда, в качестве расходов на программную поддержку. В соответствии с этим вариантом ЮНЕП принимает на себя все административные и финансовые функции, связанные с деятельностью секретариата.  Это включает полное финансирование расходов на две должности в секретариате Платформы, а именно сотрудника по административным и финансовым вопросам (С-3) и помощника по административным вопросам (КОО-5), за счет взимаемых ЮНЕП 13 процентов. Если для достижения конкретного результата средства секретариата используются совместно с другим органом Организации Объединенных Наций, расходы на программную поддержку будут разделены (7 процентов для получающего органа и 6 процентов для ЮНЕП);</w:t>
      </w:r>
    </w:p>
    <w:p w:rsidR="00877B7C" w:rsidRPr="009B3BDD" w:rsidRDefault="00455229" w:rsidP="00455229">
      <w:pPr>
        <w:spacing w:after="120"/>
        <w:ind w:left="1247" w:firstLine="624"/>
        <w:rPr>
          <w:rFonts w:eastAsia="SimSun"/>
          <w:sz w:val="20"/>
          <w:lang w:val="ru-RU"/>
        </w:rPr>
      </w:pPr>
      <w:r>
        <w:rPr>
          <w:sz w:val="20"/>
          <w:lang w:val="en-US"/>
        </w:rPr>
        <w:t>b</w:t>
      </w:r>
      <w:r w:rsidRPr="00455229">
        <w:rPr>
          <w:sz w:val="20"/>
          <w:lang w:val="ru-RU"/>
        </w:rPr>
        <w:t>)</w:t>
      </w:r>
      <w:r w:rsidRPr="00455229">
        <w:rPr>
          <w:sz w:val="20"/>
          <w:lang w:val="ru-RU"/>
        </w:rPr>
        <w:tab/>
      </w:r>
      <w:r w:rsidR="00877B7C" w:rsidRPr="00455229">
        <w:rPr>
          <w:b/>
          <w:sz w:val="20"/>
          <w:lang w:val="ru-RU"/>
        </w:rPr>
        <w:t>вариант 2.В.</w:t>
      </w:r>
      <w:r w:rsidR="00877B7C" w:rsidRPr="009B3BDD">
        <w:rPr>
          <w:sz w:val="20"/>
          <w:lang w:val="ru-RU"/>
        </w:rPr>
        <w:t xml:space="preserve"> ЮНЕП взимает 8 процентов от всех понесенных расходов в качестве расходов на программную поддержку. Как и в случае варианта 1, ввиду того, что расходы на две должности не будут покрываться за счет взимаемых ЮНЕП 8 процентов, штатное расписание секретариата Платформы будет включать должности сотрудника по административным и финансовым вопросам (С-3) и помощника по административным вопросам (КОО-5), расходы на которые будут относиться на целевой фонд Платформы в целях обслуживания финансовых и административных потребностей секретариата. В соответствии с этим вариантом ЮНЕП принимает на себя все административные и финансовые функции, связанные с деятельностью секретариата. Если для достижения конкретного результата средства секретариата используются совместно с другим органом Организации Объединенных Наций, расходы на программную поддержку будут разделены (7 процентов для получающего органа и 1 процент для ЮНЕП); </w:t>
      </w:r>
    </w:p>
    <w:p w:rsidR="00877B7C" w:rsidRPr="009B3BDD" w:rsidRDefault="00455229" w:rsidP="00455229">
      <w:pPr>
        <w:spacing w:after="120"/>
        <w:ind w:left="1247" w:firstLine="624"/>
        <w:rPr>
          <w:sz w:val="20"/>
          <w:lang w:val="ru-RU"/>
        </w:rPr>
      </w:pPr>
      <w:r>
        <w:rPr>
          <w:sz w:val="20"/>
          <w:lang w:val="en-US"/>
        </w:rPr>
        <w:t>c</w:t>
      </w:r>
      <w:r w:rsidRPr="00455229">
        <w:rPr>
          <w:sz w:val="20"/>
          <w:lang w:val="ru-RU"/>
        </w:rPr>
        <w:t>)</w:t>
      </w:r>
      <w:r w:rsidRPr="00455229">
        <w:rPr>
          <w:sz w:val="20"/>
          <w:lang w:val="ru-RU"/>
        </w:rPr>
        <w:tab/>
      </w:r>
      <w:r w:rsidR="00877B7C" w:rsidRPr="00455229">
        <w:rPr>
          <w:b/>
          <w:sz w:val="20"/>
          <w:lang w:val="ru-RU"/>
        </w:rPr>
        <w:t>вариант 2.С.</w:t>
      </w:r>
      <w:r w:rsidR="00877B7C" w:rsidRPr="009B3BDD">
        <w:rPr>
          <w:sz w:val="20"/>
          <w:lang w:val="ru-RU"/>
        </w:rPr>
        <w:t xml:space="preserve"> Директор-исполнитель ЮНЕП делегирует часть административных функций секретариату Платформы, который может удерживать часть образующихся расходов на программную поддержку. В с</w:t>
      </w:r>
      <w:r w:rsidR="002C080C">
        <w:rPr>
          <w:sz w:val="20"/>
          <w:lang w:val="ru-RU"/>
        </w:rPr>
        <w:t>вязи с этим, 67 процентов от 13 </w:t>
      </w:r>
      <w:r w:rsidR="00877B7C" w:rsidRPr="009B3BDD">
        <w:rPr>
          <w:sz w:val="20"/>
          <w:lang w:val="ru-RU"/>
        </w:rPr>
        <w:t xml:space="preserve">процентов (всего 8,71 процента) могут возвращаться секретариату в форме прямых расходов на финансирование и управление, включая расходы на персонал, а 33 процента от 13 процентов (всего 4,29 процента) удерживаются совместно ЮНЕП и Отделением Организации Объединенных Наций в Найроби для покрытия корпоративного обслуживания целевого фонда, включая отчетность, аудит, исследование, оценку, управление финансами, вопросы людских ресурсов, информационные технологии и средства связи, закупки, правовые вопросы и т.д. Этот вариант используется для всех секретариатов глобальных и региональных конвенций (многосторонние соглашения по окружающей среде) под руководством ЮНЕП. В соответствии с этим вариантом на Директора-исполнителя возлагается ответственность за наличие достаточных административных ресурсов и систем, как в рамках ЮНЕП/Отделения Организации Объединенных Наций в Найроби, так и в рамках секретариата Платформы, для исполнения </w:t>
      </w:r>
      <w:r w:rsidR="00EB1AC7">
        <w:rPr>
          <w:sz w:val="20"/>
          <w:lang w:val="ru-RU"/>
        </w:rPr>
        <w:t>попечительских обязанностей</w:t>
      </w:r>
      <w:r w:rsidR="00877B7C" w:rsidRPr="009B3BDD">
        <w:rPr>
          <w:sz w:val="20"/>
          <w:lang w:val="ru-RU"/>
        </w:rPr>
        <w:t xml:space="preserve"> ЮНЕП </w:t>
      </w:r>
      <w:r w:rsidR="00EB1AC7">
        <w:rPr>
          <w:sz w:val="20"/>
          <w:lang w:val="ru-RU"/>
        </w:rPr>
        <w:t>по</w:t>
      </w:r>
      <w:r w:rsidR="00877B7C" w:rsidRPr="009B3BDD">
        <w:rPr>
          <w:sz w:val="20"/>
          <w:lang w:val="ru-RU"/>
        </w:rPr>
        <w:t xml:space="preserve"> отношени</w:t>
      </w:r>
      <w:r w:rsidR="00EB1AC7">
        <w:rPr>
          <w:sz w:val="20"/>
          <w:lang w:val="ru-RU"/>
        </w:rPr>
        <w:t>ю к</w:t>
      </w:r>
      <w:r w:rsidR="00877B7C" w:rsidRPr="009B3BDD">
        <w:rPr>
          <w:sz w:val="20"/>
          <w:lang w:val="ru-RU"/>
        </w:rPr>
        <w:t xml:space="preserve"> рационально</w:t>
      </w:r>
      <w:r w:rsidR="00EB1AC7">
        <w:rPr>
          <w:sz w:val="20"/>
          <w:lang w:val="ru-RU"/>
        </w:rPr>
        <w:t>му</w:t>
      </w:r>
      <w:r w:rsidR="00877B7C" w:rsidRPr="009B3BDD">
        <w:rPr>
          <w:sz w:val="20"/>
          <w:lang w:val="ru-RU"/>
        </w:rPr>
        <w:t xml:space="preserve"> управлени</w:t>
      </w:r>
      <w:r w:rsidR="00EB1AC7">
        <w:rPr>
          <w:sz w:val="20"/>
          <w:lang w:val="ru-RU"/>
        </w:rPr>
        <w:t>ю</w:t>
      </w:r>
      <w:r w:rsidR="00877B7C" w:rsidRPr="009B3BDD">
        <w:rPr>
          <w:sz w:val="20"/>
          <w:lang w:val="ru-RU"/>
        </w:rPr>
        <w:t xml:space="preserve"> ресурсами секретариата Платформы, как описано ниже:</w:t>
      </w:r>
    </w:p>
    <w:p w:rsidR="00877B7C" w:rsidRPr="009B3BDD" w:rsidRDefault="00455229" w:rsidP="00455229">
      <w:pPr>
        <w:spacing w:after="120"/>
        <w:ind w:left="2495" w:hanging="624"/>
        <w:rPr>
          <w:sz w:val="20"/>
          <w:lang w:val="ru-RU"/>
        </w:rPr>
      </w:pPr>
      <w:r>
        <w:rPr>
          <w:sz w:val="20"/>
          <w:lang w:val="en-US"/>
        </w:rPr>
        <w:t>i</w:t>
      </w:r>
      <w:r w:rsidRPr="00455229">
        <w:rPr>
          <w:sz w:val="20"/>
          <w:lang w:val="ru-RU"/>
        </w:rPr>
        <w:t>)</w:t>
      </w:r>
      <w:r w:rsidR="00877B7C" w:rsidRPr="009B3BDD">
        <w:rPr>
          <w:sz w:val="20"/>
          <w:lang w:val="ru-RU"/>
        </w:rPr>
        <w:tab/>
        <w:t>Директор-исполнитель будет выделять секретариату 67 процентов ежегодных поступлений от относимых на все фонды Платформы расходов на программную поддержку. Это включает полное финансирование расходов на две должности в секретариате Платформы, а именно сотрудника по административным и финансовым вопросам (С-3) и помощника по административным вопросам (КОО-5), из 67 процентов ежегодных поступлений от расходов на программную поддержку, взимаемых ЮНЕП. Директо</w:t>
      </w:r>
      <w:r w:rsidR="002C080C">
        <w:rPr>
          <w:sz w:val="20"/>
          <w:lang w:val="ru-RU"/>
        </w:rPr>
        <w:t xml:space="preserve">р-исполнитель будет выделять </w:t>
      </w:r>
      <w:r w:rsidR="002C080C">
        <w:rPr>
          <w:sz w:val="20"/>
          <w:lang w:val="ru-RU"/>
        </w:rPr>
        <w:lastRenderedPageBreak/>
        <w:t>33 </w:t>
      </w:r>
      <w:r w:rsidR="00877B7C" w:rsidRPr="009B3BDD">
        <w:rPr>
          <w:sz w:val="20"/>
          <w:lang w:val="ru-RU"/>
        </w:rPr>
        <w:t>процента поступлений от относимых на все целевые фонды Платформы расходов на программную поддержку для финансирования центральных административных функций, как описано в подпункте v) ниже, включая функции, выполняемые Отделением Организации Объединенных Наций в Найроби, Управлением служб внутреннего надзора Организации Объединенных Наций и Комиссией ревизоров;</w:t>
      </w:r>
    </w:p>
    <w:p w:rsidR="00877B7C" w:rsidRPr="009B3BDD" w:rsidRDefault="00455229" w:rsidP="00455229">
      <w:pPr>
        <w:spacing w:after="120"/>
        <w:ind w:left="2495" w:hanging="624"/>
        <w:rPr>
          <w:sz w:val="20"/>
          <w:lang w:val="ru-RU"/>
        </w:rPr>
      </w:pPr>
      <w:r>
        <w:rPr>
          <w:sz w:val="20"/>
          <w:lang w:val="en-US"/>
        </w:rPr>
        <w:t>ii</w:t>
      </w:r>
      <w:r w:rsidRPr="00455229">
        <w:rPr>
          <w:sz w:val="20"/>
          <w:lang w:val="ru-RU"/>
        </w:rPr>
        <w:t>)</w:t>
      </w:r>
      <w:r w:rsidR="00877B7C" w:rsidRPr="009B3BDD">
        <w:rPr>
          <w:sz w:val="20"/>
          <w:lang w:val="ru-RU"/>
        </w:rPr>
        <w:tab/>
        <w:t>Директор-исполнитель будет обеспечивать полную транспарентность по отношению к распределению расходов на программную поддержку между секретариатом и центральными административными функциями;</w:t>
      </w:r>
    </w:p>
    <w:p w:rsidR="00877B7C" w:rsidRPr="009B3BDD" w:rsidRDefault="00455229" w:rsidP="00455229">
      <w:pPr>
        <w:spacing w:after="120"/>
        <w:ind w:left="2495" w:hanging="624"/>
        <w:rPr>
          <w:sz w:val="20"/>
          <w:lang w:val="ru-RU"/>
        </w:rPr>
      </w:pPr>
      <w:r>
        <w:rPr>
          <w:sz w:val="20"/>
          <w:lang w:val="en-US"/>
        </w:rPr>
        <w:t>iii</w:t>
      </w:r>
      <w:r w:rsidRPr="00455229">
        <w:rPr>
          <w:sz w:val="20"/>
          <w:lang w:val="ru-RU"/>
        </w:rPr>
        <w:t>)</w:t>
      </w:r>
      <w:r w:rsidR="00877B7C" w:rsidRPr="009B3BDD">
        <w:rPr>
          <w:sz w:val="20"/>
          <w:lang w:val="ru-RU"/>
        </w:rPr>
        <w:tab/>
        <w:t>если для достижения конкретного результата средства секретариата используются совместно с другим органом Организации Объединенных Наций, расходы на программную поддержку будут разделены (7 процентов для получающего органа, 4,02 процента дл</w:t>
      </w:r>
      <w:r w:rsidR="002C080C">
        <w:rPr>
          <w:sz w:val="20"/>
          <w:lang w:val="ru-RU"/>
        </w:rPr>
        <w:t>я секретариата Платформы и 1,98 </w:t>
      </w:r>
      <w:r w:rsidR="00877B7C" w:rsidRPr="009B3BDD">
        <w:rPr>
          <w:sz w:val="20"/>
          <w:lang w:val="ru-RU"/>
        </w:rPr>
        <w:t>процента для ЮНЕП);</w:t>
      </w:r>
    </w:p>
    <w:p w:rsidR="00877B7C" w:rsidRPr="009B3BDD" w:rsidRDefault="00455229" w:rsidP="00455229">
      <w:pPr>
        <w:spacing w:after="120"/>
        <w:ind w:left="2495" w:hanging="624"/>
        <w:rPr>
          <w:sz w:val="20"/>
          <w:lang w:val="ru-RU"/>
        </w:rPr>
      </w:pPr>
      <w:r>
        <w:rPr>
          <w:sz w:val="20"/>
          <w:lang w:val="en-US"/>
        </w:rPr>
        <w:t>iv</w:t>
      </w:r>
      <w:r w:rsidRPr="00455229">
        <w:rPr>
          <w:sz w:val="20"/>
          <w:lang w:val="ru-RU"/>
        </w:rPr>
        <w:t>)</w:t>
      </w:r>
      <w:r w:rsidR="00877B7C" w:rsidRPr="009B3BDD">
        <w:rPr>
          <w:sz w:val="20"/>
          <w:lang w:val="ru-RU"/>
        </w:rPr>
        <w:tab/>
        <w:t>ЮНЕП будет осуществлять центральные административные функции, указанные в подпункте ii) выше, включая нижеследующие функции и ограничиваясь ими:</w:t>
      </w:r>
    </w:p>
    <w:p w:rsidR="00877B7C" w:rsidRPr="009B3BDD" w:rsidRDefault="00455229" w:rsidP="00455229">
      <w:pPr>
        <w:spacing w:after="120"/>
        <w:ind w:left="3119" w:hanging="624"/>
        <w:rPr>
          <w:sz w:val="20"/>
          <w:lang w:val="ru-RU"/>
        </w:rPr>
      </w:pPr>
      <w:r>
        <w:rPr>
          <w:sz w:val="20"/>
          <w:lang w:val="en-US"/>
        </w:rPr>
        <w:t>a</w:t>
      </w:r>
      <w:r w:rsidRPr="00455229">
        <w:rPr>
          <w:sz w:val="20"/>
          <w:lang w:val="ru-RU"/>
        </w:rPr>
        <w:t>.</w:t>
      </w:r>
      <w:r w:rsidRPr="00455229"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>процесс найма, классификации и подбора персонала;</w:t>
      </w:r>
    </w:p>
    <w:p w:rsidR="00877B7C" w:rsidRPr="009B3BDD" w:rsidRDefault="00455229" w:rsidP="00455229">
      <w:pPr>
        <w:spacing w:after="120"/>
        <w:ind w:left="3119" w:hanging="624"/>
        <w:rPr>
          <w:sz w:val="20"/>
          <w:lang w:val="ru-RU"/>
        </w:rPr>
      </w:pPr>
      <w:r>
        <w:rPr>
          <w:sz w:val="20"/>
          <w:lang w:val="en-US"/>
        </w:rPr>
        <w:t>b</w:t>
      </w:r>
      <w:r w:rsidRPr="00455229">
        <w:rPr>
          <w:sz w:val="20"/>
          <w:lang w:val="ru-RU"/>
        </w:rPr>
        <w:t>.</w:t>
      </w:r>
      <w:r w:rsidRPr="00455229"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>расчет заработной платы и выплата пособий персоналу, включая субсидии на образование, медицинскую страховку (в том числе дополнение D), отпуск на родину и репатриацию;</w:t>
      </w:r>
    </w:p>
    <w:p w:rsidR="00877B7C" w:rsidRPr="009B3BDD" w:rsidRDefault="00455229" w:rsidP="00455229">
      <w:pPr>
        <w:spacing w:after="120"/>
        <w:ind w:left="3119" w:hanging="624"/>
        <w:rPr>
          <w:sz w:val="20"/>
          <w:lang w:val="ru-RU"/>
        </w:rPr>
      </w:pPr>
      <w:r>
        <w:rPr>
          <w:sz w:val="20"/>
          <w:lang w:val="en-US"/>
        </w:rPr>
        <w:t>c</w:t>
      </w:r>
      <w:r w:rsidRPr="00455229">
        <w:rPr>
          <w:sz w:val="20"/>
          <w:lang w:val="ru-RU"/>
        </w:rPr>
        <w:t>.</w:t>
      </w:r>
      <w:r w:rsidRPr="00455229"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 xml:space="preserve">программа раскрытия финансовой информации </w:t>
      </w:r>
      <w:r w:rsidR="002C080C">
        <w:rPr>
          <w:sz w:val="20"/>
          <w:lang w:val="ru-RU"/>
        </w:rPr>
        <w:t xml:space="preserve">Организации Объединенных Наций </w:t>
      </w:r>
      <w:r w:rsidR="00877B7C" w:rsidRPr="009B3BDD">
        <w:rPr>
          <w:sz w:val="20"/>
          <w:lang w:val="ru-RU"/>
        </w:rPr>
        <w:t xml:space="preserve">(счета выставляются Центральными учреждениями </w:t>
      </w:r>
      <w:r w:rsidR="002C080C">
        <w:rPr>
          <w:sz w:val="20"/>
          <w:lang w:val="ru-RU"/>
        </w:rPr>
        <w:t>Организации Объединенных Наций</w:t>
      </w:r>
      <w:r w:rsidR="00877B7C" w:rsidRPr="009B3BDD">
        <w:rPr>
          <w:sz w:val="20"/>
          <w:lang w:val="ru-RU"/>
        </w:rPr>
        <w:t>);</w:t>
      </w:r>
    </w:p>
    <w:p w:rsidR="00877B7C" w:rsidRPr="009B3BDD" w:rsidRDefault="00455229" w:rsidP="00455229">
      <w:pPr>
        <w:spacing w:after="120"/>
        <w:ind w:left="3119" w:hanging="624"/>
        <w:rPr>
          <w:sz w:val="20"/>
          <w:lang w:val="ru-RU"/>
        </w:rPr>
      </w:pPr>
      <w:r>
        <w:rPr>
          <w:sz w:val="20"/>
          <w:lang w:val="en-US"/>
        </w:rPr>
        <w:t>d</w:t>
      </w:r>
      <w:r w:rsidRPr="00455229">
        <w:rPr>
          <w:sz w:val="20"/>
          <w:lang w:val="ru-RU"/>
        </w:rPr>
        <w:t>.</w:t>
      </w:r>
      <w:r w:rsidRPr="00455229"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>бухгалтерские и финансовые функции, в том числе подготовка отчетности, выдача ассигнований и выплат, дебиторская и кредиторская задолженность, управление денежными потоками, казначейские операции и получение и регистрация взносов;</w:t>
      </w:r>
    </w:p>
    <w:p w:rsidR="00877B7C" w:rsidRPr="009B3BDD" w:rsidRDefault="00455229" w:rsidP="00455229">
      <w:pPr>
        <w:spacing w:after="120"/>
        <w:ind w:left="3119" w:hanging="624"/>
        <w:rPr>
          <w:sz w:val="20"/>
          <w:lang w:val="ru-RU"/>
        </w:rPr>
      </w:pPr>
      <w:r>
        <w:rPr>
          <w:sz w:val="20"/>
          <w:lang w:val="en-US"/>
        </w:rPr>
        <w:t>e</w:t>
      </w:r>
      <w:r w:rsidRPr="00455229">
        <w:rPr>
          <w:sz w:val="20"/>
          <w:lang w:val="ru-RU"/>
        </w:rPr>
        <w:t>.</w:t>
      </w:r>
      <w:r w:rsidRPr="00455229"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>управление выплатами при прекращении службы и после выхода на пенсию, в том числе управление отчислениями в пенсионный фонд и медицинским страхованием после выхода на пенсию;</w:t>
      </w:r>
    </w:p>
    <w:p w:rsidR="00877B7C" w:rsidRPr="009B3BDD" w:rsidRDefault="00455229" w:rsidP="00455229">
      <w:pPr>
        <w:spacing w:after="120"/>
        <w:ind w:left="3119" w:hanging="624"/>
        <w:rPr>
          <w:sz w:val="20"/>
          <w:lang w:val="ru-RU"/>
        </w:rPr>
      </w:pPr>
      <w:r>
        <w:rPr>
          <w:sz w:val="20"/>
          <w:lang w:val="en-US"/>
        </w:rPr>
        <w:t>f</w:t>
      </w:r>
      <w:r w:rsidRPr="00455229">
        <w:rPr>
          <w:sz w:val="20"/>
          <w:lang w:val="ru-RU"/>
        </w:rPr>
        <w:t>.</w:t>
      </w:r>
      <w:r w:rsidRPr="00455229"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>управление активами имущества длительного пользования;</w:t>
      </w:r>
    </w:p>
    <w:p w:rsidR="00877B7C" w:rsidRPr="009B3BDD" w:rsidRDefault="00455229" w:rsidP="00455229">
      <w:pPr>
        <w:spacing w:after="120"/>
        <w:ind w:left="3119" w:hanging="624"/>
        <w:rPr>
          <w:sz w:val="20"/>
          <w:lang w:val="ru-RU"/>
        </w:rPr>
      </w:pPr>
      <w:r>
        <w:rPr>
          <w:sz w:val="20"/>
          <w:lang w:val="en-US"/>
        </w:rPr>
        <w:t>g</w:t>
      </w:r>
      <w:r w:rsidRPr="00455229">
        <w:rPr>
          <w:sz w:val="20"/>
          <w:lang w:val="ru-RU"/>
        </w:rPr>
        <w:t>.</w:t>
      </w:r>
      <w:r w:rsidRPr="00455229"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>внутренние ревизии, расследования, проверки и внешние ревизии;</w:t>
      </w:r>
    </w:p>
    <w:p w:rsidR="00877B7C" w:rsidRPr="009B3BDD" w:rsidRDefault="00455229" w:rsidP="00455229">
      <w:pPr>
        <w:spacing w:after="120"/>
        <w:ind w:left="3119" w:hanging="624"/>
        <w:rPr>
          <w:sz w:val="20"/>
          <w:lang w:val="ru-RU"/>
        </w:rPr>
      </w:pPr>
      <w:r>
        <w:rPr>
          <w:sz w:val="20"/>
          <w:lang w:val="en-US"/>
        </w:rPr>
        <w:t>h</w:t>
      </w:r>
      <w:r w:rsidRPr="00455229">
        <w:rPr>
          <w:sz w:val="20"/>
          <w:lang w:val="ru-RU"/>
        </w:rPr>
        <w:t>.</w:t>
      </w:r>
      <w:r w:rsidRPr="00455229"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>участие в системе отправления правосудия Организации Объединенных Наций;</w:t>
      </w:r>
    </w:p>
    <w:p w:rsidR="00877B7C" w:rsidRPr="009B3BDD" w:rsidRDefault="00455229" w:rsidP="00455229">
      <w:pPr>
        <w:spacing w:after="120"/>
        <w:ind w:left="3119" w:hanging="624"/>
        <w:rPr>
          <w:sz w:val="20"/>
          <w:lang w:val="ru-RU"/>
        </w:rPr>
      </w:pPr>
      <w:r>
        <w:rPr>
          <w:sz w:val="20"/>
          <w:lang w:val="en-US"/>
        </w:rPr>
        <w:t>i</w:t>
      </w:r>
      <w:r w:rsidRPr="00455229">
        <w:rPr>
          <w:sz w:val="20"/>
          <w:lang w:val="ru-RU"/>
        </w:rPr>
        <w:t>.</w:t>
      </w:r>
      <w:r w:rsidRPr="00455229"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>экспедиция, почтовые отправления, визы и пропуска Организации Объединенных Наций;</w:t>
      </w:r>
    </w:p>
    <w:p w:rsidR="00877B7C" w:rsidRPr="009B3BDD" w:rsidRDefault="00455229" w:rsidP="00455229">
      <w:pPr>
        <w:spacing w:after="120"/>
        <w:ind w:left="3119" w:hanging="624"/>
        <w:rPr>
          <w:sz w:val="20"/>
          <w:lang w:val="ru-RU"/>
        </w:rPr>
      </w:pPr>
      <w:r>
        <w:rPr>
          <w:sz w:val="20"/>
          <w:lang w:val="en-US"/>
        </w:rPr>
        <w:t>j</w:t>
      </w:r>
      <w:r w:rsidRPr="00455229">
        <w:rPr>
          <w:sz w:val="20"/>
          <w:lang w:val="ru-RU"/>
        </w:rPr>
        <w:t>.</w:t>
      </w:r>
      <w:r w:rsidRPr="00455229">
        <w:rPr>
          <w:sz w:val="20"/>
          <w:lang w:val="ru-RU"/>
        </w:rPr>
        <w:tab/>
      </w:r>
      <w:r w:rsidR="002C080C">
        <w:rPr>
          <w:sz w:val="20"/>
          <w:lang w:val="ru-RU"/>
        </w:rPr>
        <w:t>доступ к внутренней сети/</w:t>
      </w:r>
      <w:r w:rsidR="00877B7C" w:rsidRPr="009B3BDD">
        <w:rPr>
          <w:sz w:val="20"/>
          <w:lang w:val="ru-RU"/>
        </w:rPr>
        <w:t>сети Интернет и почтовым системам Организации Объединенных Наций/ЮНЕП;</w:t>
      </w:r>
    </w:p>
    <w:p w:rsidR="00877B7C" w:rsidRPr="009B3BDD" w:rsidRDefault="00455229" w:rsidP="00455229">
      <w:pPr>
        <w:spacing w:after="120"/>
        <w:ind w:left="2495" w:hanging="624"/>
        <w:rPr>
          <w:sz w:val="20"/>
          <w:lang w:val="ru-RU"/>
        </w:rPr>
      </w:pPr>
      <w:r>
        <w:rPr>
          <w:sz w:val="20"/>
          <w:lang w:val="en-US"/>
        </w:rPr>
        <w:t>v</w:t>
      </w:r>
      <w:r w:rsidRPr="00455229">
        <w:rPr>
          <w:sz w:val="20"/>
          <w:lang w:val="ru-RU"/>
        </w:rPr>
        <w:t>)</w:t>
      </w:r>
      <w:r w:rsidR="00877B7C" w:rsidRPr="009B3BDD">
        <w:rPr>
          <w:sz w:val="20"/>
          <w:lang w:val="ru-RU"/>
        </w:rPr>
        <w:tab/>
        <w:t xml:space="preserve">расходы на обслуживание по контрактам, заключенным секретариатом Платформы на месте, будут покрываться секретариатом (обслуживание по контрактам вне Отделения Организации Объединенных Наций в Найроби). </w:t>
      </w:r>
    </w:p>
    <w:p w:rsidR="00877B7C" w:rsidRPr="009B3BDD" w:rsidRDefault="00877B7C" w:rsidP="000E4374">
      <w:pPr>
        <w:ind w:left="1247"/>
        <w:rPr>
          <w:sz w:val="20"/>
          <w:lang w:val="ru-RU"/>
        </w:rPr>
      </w:pPr>
      <w:r w:rsidRPr="009B3BDD">
        <w:rPr>
          <w:sz w:val="20"/>
          <w:lang w:val="ru-RU"/>
        </w:rPr>
        <w:t>Таблица 1</w:t>
      </w:r>
    </w:p>
    <w:p w:rsidR="00877B7C" w:rsidRPr="00455229" w:rsidRDefault="00877B7C" w:rsidP="00877B7C">
      <w:pPr>
        <w:spacing w:after="120"/>
        <w:ind w:left="1248"/>
        <w:rPr>
          <w:b/>
          <w:sz w:val="20"/>
          <w:lang w:val="ru-RU"/>
        </w:rPr>
      </w:pPr>
      <w:r w:rsidRPr="00455229">
        <w:rPr>
          <w:b/>
          <w:sz w:val="20"/>
          <w:lang w:val="ru-RU"/>
        </w:rPr>
        <w:t>Сравнение вариантов создания целевого фонд Платформы</w:t>
      </w:r>
    </w:p>
    <w:tbl>
      <w:tblPr>
        <w:tblW w:w="83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3268"/>
        <w:gridCol w:w="3238"/>
      </w:tblGrid>
      <w:tr w:rsidR="00C96D06" w:rsidRPr="00455229" w:rsidTr="00C96D06">
        <w:trPr>
          <w:tblHeader/>
          <w:jc w:val="right"/>
        </w:trPr>
        <w:tc>
          <w:tcPr>
            <w:tcW w:w="1829" w:type="dxa"/>
            <w:shd w:val="clear" w:color="auto" w:fill="auto"/>
          </w:tcPr>
          <w:p w:rsidR="00877B7C" w:rsidRPr="00455229" w:rsidRDefault="00877B7C" w:rsidP="00455229">
            <w:pPr>
              <w:spacing w:before="40" w:after="40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3268" w:type="dxa"/>
            <w:shd w:val="clear" w:color="auto" w:fill="auto"/>
          </w:tcPr>
          <w:p w:rsidR="00877B7C" w:rsidRPr="00455229" w:rsidRDefault="00877B7C" w:rsidP="00455229">
            <w:pPr>
              <w:spacing w:before="40" w:after="40"/>
              <w:rPr>
                <w:i/>
                <w:sz w:val="18"/>
                <w:szCs w:val="18"/>
                <w:lang w:val="ru-RU"/>
              </w:rPr>
            </w:pPr>
            <w:r w:rsidRPr="00455229">
              <w:rPr>
                <w:i/>
                <w:sz w:val="18"/>
                <w:szCs w:val="18"/>
                <w:lang w:val="ru-RU"/>
              </w:rPr>
              <w:t>Многосторонний целевой фонд</w:t>
            </w:r>
          </w:p>
        </w:tc>
        <w:tc>
          <w:tcPr>
            <w:tcW w:w="3238" w:type="dxa"/>
            <w:shd w:val="clear" w:color="auto" w:fill="auto"/>
          </w:tcPr>
          <w:p w:rsidR="00877B7C" w:rsidRPr="00455229" w:rsidRDefault="00877B7C" w:rsidP="00455229">
            <w:pPr>
              <w:spacing w:before="40" w:after="40"/>
              <w:rPr>
                <w:i/>
                <w:sz w:val="18"/>
                <w:szCs w:val="18"/>
                <w:lang w:val="ru-RU"/>
              </w:rPr>
            </w:pPr>
            <w:r w:rsidRPr="00455229">
              <w:rPr>
                <w:i/>
                <w:sz w:val="18"/>
                <w:szCs w:val="18"/>
                <w:lang w:val="ru-RU"/>
              </w:rPr>
              <w:t>Целевой фонд ЮНЕП</w:t>
            </w:r>
          </w:p>
        </w:tc>
      </w:tr>
      <w:tr w:rsidR="00C96D06" w:rsidRPr="00D016AE" w:rsidTr="00C96D06">
        <w:trPr>
          <w:jc w:val="right"/>
        </w:trPr>
        <w:tc>
          <w:tcPr>
            <w:tcW w:w="1829" w:type="dxa"/>
            <w:shd w:val="clear" w:color="auto" w:fill="auto"/>
          </w:tcPr>
          <w:p w:rsidR="00877B7C" w:rsidRPr="00455229" w:rsidRDefault="00877B7C" w:rsidP="00455229">
            <w:pPr>
              <w:spacing w:before="40" w:after="40"/>
              <w:rPr>
                <w:i/>
                <w:sz w:val="18"/>
                <w:szCs w:val="18"/>
                <w:lang w:val="ru-RU"/>
              </w:rPr>
            </w:pPr>
            <w:r w:rsidRPr="00455229">
              <w:rPr>
                <w:i/>
                <w:sz w:val="18"/>
                <w:szCs w:val="18"/>
                <w:lang w:val="ru-RU"/>
              </w:rPr>
              <w:t xml:space="preserve">Описание </w:t>
            </w:r>
          </w:p>
          <w:p w:rsidR="00877B7C" w:rsidRPr="00455229" w:rsidRDefault="00877B7C" w:rsidP="00455229">
            <w:pPr>
              <w:spacing w:before="40" w:after="40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3268" w:type="dxa"/>
            <w:shd w:val="clear" w:color="auto" w:fill="auto"/>
          </w:tcPr>
          <w:p w:rsidR="00877B7C" w:rsidRPr="00455229" w:rsidRDefault="00877B7C" w:rsidP="00455229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455229">
              <w:rPr>
                <w:sz w:val="18"/>
                <w:szCs w:val="18"/>
                <w:lang w:val="ru-RU"/>
              </w:rPr>
              <w:t xml:space="preserve">Многосторонний целевой фонд Организации Объединенных Наций представляет собой межведомственный и многосторонний/донорский механизм финансирования, позволяющий партнерам добиться большей согласованности, координации и эффективности в деле осуществления и достижения общих целей на страновом </w:t>
            </w:r>
            <w:r w:rsidRPr="00455229">
              <w:rPr>
                <w:sz w:val="18"/>
                <w:szCs w:val="18"/>
                <w:lang w:val="ru-RU"/>
              </w:rPr>
              <w:lastRenderedPageBreak/>
              <w:t>и/или глобальном уровнях.</w:t>
            </w:r>
          </w:p>
        </w:tc>
        <w:tc>
          <w:tcPr>
            <w:tcW w:w="3238" w:type="dxa"/>
            <w:shd w:val="clear" w:color="auto" w:fill="auto"/>
          </w:tcPr>
          <w:p w:rsidR="00877B7C" w:rsidRPr="00455229" w:rsidRDefault="00877B7C" w:rsidP="00455229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455229">
              <w:rPr>
                <w:sz w:val="18"/>
                <w:szCs w:val="18"/>
                <w:lang w:val="ru-RU"/>
              </w:rPr>
              <w:lastRenderedPageBreak/>
              <w:t>Целевые фонды ЮНЕП представляют собой счета, открытые с конкретной целью или в рамках конкретных соглашений для регистрации получения добровольных взносов и осуществления расходов для полного или частичного погашения расходов на проведение мероприятий, соответствующих задачам и политике органа</w:t>
            </w:r>
          </w:p>
        </w:tc>
      </w:tr>
      <w:tr w:rsidR="00C96D06" w:rsidRPr="00D016AE" w:rsidTr="00C96D06">
        <w:trPr>
          <w:jc w:val="right"/>
        </w:trPr>
        <w:tc>
          <w:tcPr>
            <w:tcW w:w="1829" w:type="dxa"/>
            <w:shd w:val="clear" w:color="auto" w:fill="auto"/>
          </w:tcPr>
          <w:p w:rsidR="00877B7C" w:rsidRPr="00455229" w:rsidRDefault="00877B7C" w:rsidP="00455229">
            <w:pPr>
              <w:spacing w:before="40" w:after="40"/>
              <w:rPr>
                <w:i/>
                <w:sz w:val="18"/>
                <w:szCs w:val="18"/>
                <w:lang w:val="ru-RU"/>
              </w:rPr>
            </w:pPr>
            <w:r w:rsidRPr="00455229">
              <w:rPr>
                <w:i/>
                <w:sz w:val="18"/>
                <w:szCs w:val="18"/>
                <w:lang w:val="ru-RU"/>
              </w:rPr>
              <w:lastRenderedPageBreak/>
              <w:t>Услуги, оплачиваемые за счет накладных расходов</w:t>
            </w:r>
          </w:p>
          <w:p w:rsidR="00877B7C" w:rsidRPr="00455229" w:rsidRDefault="00877B7C" w:rsidP="00455229">
            <w:pPr>
              <w:spacing w:before="40" w:after="40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3268" w:type="dxa"/>
            <w:shd w:val="clear" w:color="auto" w:fill="auto"/>
          </w:tcPr>
          <w:p w:rsidR="00877B7C" w:rsidRPr="00455229" w:rsidRDefault="00877B7C" w:rsidP="00455229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455229">
              <w:rPr>
                <w:sz w:val="18"/>
                <w:szCs w:val="18"/>
                <w:lang w:val="ru-RU"/>
              </w:rPr>
              <w:t>Осуществление проектов участвующими органами Организации Объединенных Наций; фидуциарная ответственность, включая финансовый менеджмент, бухгалтерский учет, аудит, оценку, корпоративное обслуживание, административные, кадровые и финансовые операции, правовые вопросы и т.д.</w:t>
            </w:r>
          </w:p>
        </w:tc>
        <w:tc>
          <w:tcPr>
            <w:tcW w:w="3238" w:type="dxa"/>
            <w:shd w:val="clear" w:color="auto" w:fill="auto"/>
          </w:tcPr>
          <w:p w:rsidR="00877B7C" w:rsidRPr="00455229" w:rsidRDefault="00877B7C" w:rsidP="00E6601E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455229">
              <w:rPr>
                <w:sz w:val="18"/>
                <w:szCs w:val="18"/>
                <w:lang w:val="ru-RU"/>
              </w:rPr>
              <w:t>Фидуциарная ответственность, включая бухгалтерский учет, финансовый менеджмент и аудит. Корпоративное обслуживание, такое как оформление административных, кадровых и финансовых операций, ра</w:t>
            </w:r>
            <w:r w:rsidR="002C080C">
              <w:rPr>
                <w:sz w:val="18"/>
                <w:szCs w:val="18"/>
                <w:lang w:val="ru-RU"/>
              </w:rPr>
              <w:t>сследования, правовые вопросы и </w:t>
            </w:r>
            <w:r w:rsidRPr="00455229">
              <w:rPr>
                <w:sz w:val="18"/>
                <w:szCs w:val="18"/>
                <w:lang w:val="ru-RU"/>
              </w:rPr>
              <w:t xml:space="preserve">т.д. Прямые услуги, такие как управление </w:t>
            </w:r>
            <w:r w:rsidR="00E6601E">
              <w:rPr>
                <w:sz w:val="18"/>
                <w:szCs w:val="18"/>
                <w:lang w:val="ru-RU"/>
              </w:rPr>
              <w:t>кадровыми</w:t>
            </w:r>
            <w:r w:rsidRPr="00455229">
              <w:rPr>
                <w:sz w:val="18"/>
                <w:szCs w:val="18"/>
                <w:lang w:val="ru-RU"/>
              </w:rPr>
              <w:t xml:space="preserve"> и финансовыми ресурсами</w:t>
            </w:r>
          </w:p>
        </w:tc>
      </w:tr>
      <w:tr w:rsidR="00C96D06" w:rsidRPr="00D016AE" w:rsidTr="00C96D06">
        <w:trPr>
          <w:jc w:val="right"/>
        </w:trPr>
        <w:tc>
          <w:tcPr>
            <w:tcW w:w="1829" w:type="dxa"/>
            <w:shd w:val="clear" w:color="auto" w:fill="auto"/>
          </w:tcPr>
          <w:p w:rsidR="00877B7C" w:rsidRPr="00455229" w:rsidRDefault="00877B7C" w:rsidP="00455229">
            <w:pPr>
              <w:spacing w:before="40" w:after="40"/>
              <w:rPr>
                <w:i/>
                <w:sz w:val="18"/>
                <w:szCs w:val="18"/>
                <w:lang w:val="ru-RU"/>
              </w:rPr>
            </w:pPr>
            <w:r w:rsidRPr="00455229">
              <w:rPr>
                <w:i/>
                <w:sz w:val="18"/>
                <w:szCs w:val="18"/>
                <w:lang w:val="ru-RU"/>
              </w:rPr>
              <w:t>Этапы введения в действие целевого фонда</w:t>
            </w:r>
          </w:p>
          <w:p w:rsidR="00877B7C" w:rsidRPr="00455229" w:rsidRDefault="00877B7C" w:rsidP="00455229">
            <w:pPr>
              <w:spacing w:before="40" w:after="40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3268" w:type="dxa"/>
            <w:shd w:val="clear" w:color="auto" w:fill="auto"/>
          </w:tcPr>
          <w:p w:rsidR="00877B7C" w:rsidRPr="00455229" w:rsidRDefault="00877B7C" w:rsidP="00455229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455229">
              <w:rPr>
                <w:sz w:val="18"/>
                <w:szCs w:val="18"/>
                <w:lang w:val="ru-RU"/>
              </w:rPr>
              <w:t xml:space="preserve">1. Решение Пленума и одобрение им круга ведения фонда </w:t>
            </w:r>
          </w:p>
          <w:p w:rsidR="00877B7C" w:rsidRPr="00455229" w:rsidRDefault="00877B7C" w:rsidP="00455229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455229">
              <w:rPr>
                <w:sz w:val="18"/>
                <w:szCs w:val="18"/>
                <w:lang w:val="ru-RU"/>
              </w:rPr>
              <w:t>2. Меморандум о взаимопонимании с органами Организации Объединенных Наций</w:t>
            </w:r>
          </w:p>
          <w:p w:rsidR="00877B7C" w:rsidRPr="00455229" w:rsidRDefault="00877B7C" w:rsidP="00455229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455229">
              <w:rPr>
                <w:sz w:val="18"/>
                <w:szCs w:val="18"/>
                <w:lang w:val="ru-RU"/>
              </w:rPr>
              <w:t>3. Стандартное административное соглашение с первым донором</w:t>
            </w:r>
          </w:p>
        </w:tc>
        <w:tc>
          <w:tcPr>
            <w:tcW w:w="3238" w:type="dxa"/>
            <w:shd w:val="clear" w:color="auto" w:fill="auto"/>
          </w:tcPr>
          <w:p w:rsidR="00877B7C" w:rsidRPr="00455229" w:rsidRDefault="00877B7C" w:rsidP="00455229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455229">
              <w:rPr>
                <w:sz w:val="18"/>
                <w:szCs w:val="18"/>
                <w:lang w:val="ru-RU"/>
              </w:rPr>
              <w:t>1. Решение Пленума</w:t>
            </w:r>
          </w:p>
          <w:p w:rsidR="00877B7C" w:rsidRPr="00455229" w:rsidRDefault="00877B7C" w:rsidP="00455229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455229">
              <w:rPr>
                <w:sz w:val="18"/>
                <w:szCs w:val="18"/>
                <w:lang w:val="ru-RU"/>
              </w:rPr>
              <w:t>2. Круг ведения</w:t>
            </w:r>
          </w:p>
          <w:p w:rsidR="00877B7C" w:rsidRPr="00455229" w:rsidRDefault="00877B7C" w:rsidP="00455229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455229">
              <w:rPr>
                <w:sz w:val="18"/>
                <w:szCs w:val="18"/>
                <w:lang w:val="ru-RU"/>
              </w:rPr>
              <w:t>3. Одобрение Директора-исполнителя</w:t>
            </w:r>
          </w:p>
          <w:p w:rsidR="00877B7C" w:rsidRPr="00455229" w:rsidRDefault="00877B7C" w:rsidP="00455229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455229">
              <w:rPr>
                <w:sz w:val="18"/>
                <w:szCs w:val="18"/>
                <w:lang w:val="ru-RU"/>
              </w:rPr>
              <w:t>4. Утверждение Ассамблеей Организации Объединенных Наций по окружающей среде постфактум</w:t>
            </w:r>
          </w:p>
          <w:p w:rsidR="00877B7C" w:rsidRPr="00455229" w:rsidRDefault="00877B7C" w:rsidP="00455229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455229">
              <w:rPr>
                <w:sz w:val="18"/>
                <w:szCs w:val="18"/>
                <w:lang w:val="ru-RU"/>
              </w:rPr>
              <w:t>5. Соглашения между ЮНЕП и каждым из доноров</w:t>
            </w:r>
          </w:p>
        </w:tc>
      </w:tr>
      <w:tr w:rsidR="00C96D06" w:rsidRPr="00D016AE" w:rsidTr="00C96D06">
        <w:trPr>
          <w:jc w:val="right"/>
        </w:trPr>
        <w:tc>
          <w:tcPr>
            <w:tcW w:w="1829" w:type="dxa"/>
            <w:shd w:val="clear" w:color="auto" w:fill="auto"/>
          </w:tcPr>
          <w:p w:rsidR="00877B7C" w:rsidRPr="00455229" w:rsidRDefault="00877B7C" w:rsidP="00455229">
            <w:pPr>
              <w:spacing w:before="40" w:after="40"/>
              <w:rPr>
                <w:i/>
                <w:sz w:val="18"/>
                <w:szCs w:val="18"/>
                <w:lang w:val="ru-RU"/>
              </w:rPr>
            </w:pPr>
            <w:r w:rsidRPr="00455229">
              <w:rPr>
                <w:i/>
                <w:sz w:val="18"/>
                <w:szCs w:val="18"/>
                <w:lang w:val="ru-RU"/>
              </w:rPr>
              <w:t>Время, необходимое для создания фонда</w:t>
            </w:r>
          </w:p>
          <w:p w:rsidR="00877B7C" w:rsidRPr="00455229" w:rsidRDefault="00877B7C" w:rsidP="00455229">
            <w:pPr>
              <w:spacing w:before="40" w:after="40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3268" w:type="dxa"/>
            <w:shd w:val="clear" w:color="auto" w:fill="auto"/>
          </w:tcPr>
          <w:p w:rsidR="00877B7C" w:rsidRPr="00455229" w:rsidRDefault="00877B7C" w:rsidP="00455229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455229">
              <w:rPr>
                <w:sz w:val="18"/>
                <w:szCs w:val="18"/>
                <w:lang w:val="ru-RU"/>
              </w:rPr>
              <w:t>1-2 недели на создание фонда после одобрения Пленум</w:t>
            </w:r>
            <w:r w:rsidR="00E6601E">
              <w:rPr>
                <w:sz w:val="18"/>
                <w:szCs w:val="18"/>
                <w:lang w:val="ru-RU"/>
              </w:rPr>
              <w:t>ом</w:t>
            </w:r>
          </w:p>
          <w:p w:rsidR="00877B7C" w:rsidRPr="00455229" w:rsidRDefault="00877B7C" w:rsidP="00455229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238" w:type="dxa"/>
            <w:shd w:val="clear" w:color="auto" w:fill="auto"/>
          </w:tcPr>
          <w:p w:rsidR="00877B7C" w:rsidRPr="00455229" w:rsidRDefault="00877B7C" w:rsidP="00455229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455229">
              <w:rPr>
                <w:sz w:val="18"/>
                <w:szCs w:val="18"/>
                <w:lang w:val="ru-RU"/>
              </w:rPr>
              <w:t>Директор-исполнитель может одобрить в течение нескольких дней после решения Пленума. Ассамблея Организации Объединенных Наций по окружающей среде проводит совещание в июне 2014 года и может утвердить постфактум</w:t>
            </w:r>
          </w:p>
        </w:tc>
      </w:tr>
      <w:tr w:rsidR="00C96D06" w:rsidRPr="00D016AE" w:rsidTr="00C96D06">
        <w:trPr>
          <w:jc w:val="right"/>
        </w:trPr>
        <w:tc>
          <w:tcPr>
            <w:tcW w:w="1829" w:type="dxa"/>
            <w:shd w:val="clear" w:color="auto" w:fill="auto"/>
          </w:tcPr>
          <w:p w:rsidR="00877B7C" w:rsidRPr="00455229" w:rsidRDefault="00877B7C" w:rsidP="00455229">
            <w:pPr>
              <w:spacing w:before="40" w:after="40"/>
              <w:rPr>
                <w:i/>
                <w:sz w:val="18"/>
                <w:szCs w:val="18"/>
                <w:lang w:val="ru-RU"/>
              </w:rPr>
            </w:pPr>
            <w:r w:rsidRPr="00455229">
              <w:rPr>
                <w:i/>
                <w:sz w:val="18"/>
                <w:szCs w:val="18"/>
                <w:lang w:val="ru-RU"/>
              </w:rPr>
              <w:t>Управление</w:t>
            </w:r>
          </w:p>
        </w:tc>
        <w:tc>
          <w:tcPr>
            <w:tcW w:w="3268" w:type="dxa"/>
            <w:shd w:val="clear" w:color="auto" w:fill="auto"/>
          </w:tcPr>
          <w:p w:rsidR="00877B7C" w:rsidRPr="00455229" w:rsidRDefault="00877B7C" w:rsidP="00455229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455229">
              <w:rPr>
                <w:sz w:val="18"/>
                <w:szCs w:val="18"/>
                <w:lang w:val="ru-RU"/>
              </w:rPr>
              <w:t>Полномочные представители Пленума и органов Организации Объединенных наций</w:t>
            </w:r>
          </w:p>
        </w:tc>
        <w:tc>
          <w:tcPr>
            <w:tcW w:w="3238" w:type="dxa"/>
            <w:shd w:val="clear" w:color="auto" w:fill="auto"/>
          </w:tcPr>
          <w:p w:rsidR="00877B7C" w:rsidRPr="00455229" w:rsidRDefault="00877B7C" w:rsidP="00455229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455229">
              <w:rPr>
                <w:sz w:val="18"/>
                <w:szCs w:val="18"/>
                <w:lang w:val="ru-RU"/>
              </w:rPr>
              <w:t xml:space="preserve">Пленум (и согласно делегированным полномочиям, например, через Бюро) при контроле всех целевых фондов ЮНЕП Ассамблеей Организации Объединенных Наций по окружающей среде </w:t>
            </w:r>
          </w:p>
        </w:tc>
      </w:tr>
      <w:tr w:rsidR="00C96D06" w:rsidRPr="00D016AE" w:rsidTr="00C96D06">
        <w:trPr>
          <w:jc w:val="right"/>
        </w:trPr>
        <w:tc>
          <w:tcPr>
            <w:tcW w:w="1829" w:type="dxa"/>
            <w:shd w:val="clear" w:color="auto" w:fill="auto"/>
          </w:tcPr>
          <w:p w:rsidR="00877B7C" w:rsidRPr="00455229" w:rsidRDefault="00877B7C" w:rsidP="00455229">
            <w:pPr>
              <w:spacing w:before="40" w:after="40"/>
              <w:rPr>
                <w:i/>
                <w:sz w:val="18"/>
                <w:szCs w:val="18"/>
                <w:lang w:val="ru-RU"/>
              </w:rPr>
            </w:pPr>
            <w:r w:rsidRPr="00455229">
              <w:rPr>
                <w:i/>
                <w:sz w:val="18"/>
                <w:szCs w:val="18"/>
                <w:lang w:val="ru-RU"/>
              </w:rPr>
              <w:t>Возможность</w:t>
            </w:r>
            <w:r w:rsidR="002C080C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455229">
              <w:rPr>
                <w:i/>
                <w:sz w:val="18"/>
                <w:szCs w:val="18"/>
                <w:lang w:val="ru-RU"/>
              </w:rPr>
              <w:t>межведомственного</w:t>
            </w:r>
            <w:r w:rsidR="002C080C">
              <w:rPr>
                <w:i/>
                <w:sz w:val="18"/>
                <w:szCs w:val="18"/>
                <w:lang w:val="ru-RU"/>
              </w:rPr>
              <w:t xml:space="preserve"> </w:t>
            </w:r>
            <w:r w:rsidRPr="00455229">
              <w:rPr>
                <w:i/>
                <w:sz w:val="18"/>
                <w:szCs w:val="18"/>
                <w:lang w:val="ru-RU"/>
              </w:rPr>
              <w:t>сотрудничества</w:t>
            </w:r>
          </w:p>
          <w:p w:rsidR="00877B7C" w:rsidRPr="00455229" w:rsidRDefault="00877B7C" w:rsidP="00455229">
            <w:pPr>
              <w:spacing w:before="40" w:after="40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3268" w:type="dxa"/>
            <w:shd w:val="clear" w:color="auto" w:fill="auto"/>
          </w:tcPr>
          <w:p w:rsidR="00877B7C" w:rsidRPr="00455229" w:rsidRDefault="00877B7C" w:rsidP="00455229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455229">
              <w:rPr>
                <w:sz w:val="18"/>
                <w:szCs w:val="18"/>
                <w:lang w:val="ru-RU"/>
              </w:rPr>
              <w:t>Да</w:t>
            </w:r>
          </w:p>
          <w:p w:rsidR="00877B7C" w:rsidRPr="00455229" w:rsidRDefault="00877B7C" w:rsidP="00455229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455229">
              <w:rPr>
                <w:sz w:val="18"/>
                <w:szCs w:val="18"/>
                <w:lang w:val="ru-RU"/>
              </w:rPr>
              <w:t>На основе сравнительных преимуществ органы Организации Объединенных Наций осуществляют утвержденные Пленумом программы/мероприятия, дающие возможность органам Организации Объединенных Наций участвовать в формировании и расширении фонда</w:t>
            </w:r>
          </w:p>
        </w:tc>
        <w:tc>
          <w:tcPr>
            <w:tcW w:w="3238" w:type="dxa"/>
            <w:shd w:val="clear" w:color="auto" w:fill="auto"/>
          </w:tcPr>
          <w:p w:rsidR="00877B7C" w:rsidRPr="00455229" w:rsidRDefault="00877B7C" w:rsidP="00455229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455229">
              <w:rPr>
                <w:sz w:val="18"/>
                <w:szCs w:val="18"/>
                <w:lang w:val="ru-RU"/>
              </w:rPr>
              <w:t>Да</w:t>
            </w:r>
          </w:p>
          <w:p w:rsidR="00877B7C" w:rsidRPr="00455229" w:rsidRDefault="00877B7C" w:rsidP="00455229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455229">
              <w:rPr>
                <w:sz w:val="18"/>
                <w:szCs w:val="18"/>
                <w:lang w:val="ru-RU"/>
              </w:rPr>
              <w:t>ЮНЕП может уполномочить на осуществление мероприятий другие учреждения путем заключения межучрежденческих соглашений о сотрудничестве.</w:t>
            </w:r>
          </w:p>
        </w:tc>
      </w:tr>
      <w:tr w:rsidR="00C96D06" w:rsidRPr="00D016AE" w:rsidTr="00C96D06">
        <w:trPr>
          <w:jc w:val="right"/>
        </w:trPr>
        <w:tc>
          <w:tcPr>
            <w:tcW w:w="1829" w:type="dxa"/>
            <w:shd w:val="clear" w:color="auto" w:fill="auto"/>
          </w:tcPr>
          <w:p w:rsidR="00877B7C" w:rsidRPr="00455229" w:rsidRDefault="00877B7C" w:rsidP="00455229">
            <w:pPr>
              <w:spacing w:before="40" w:after="40"/>
              <w:rPr>
                <w:i/>
                <w:sz w:val="18"/>
                <w:szCs w:val="18"/>
                <w:lang w:val="ru-RU"/>
              </w:rPr>
            </w:pPr>
            <w:r w:rsidRPr="00455229">
              <w:rPr>
                <w:i/>
                <w:sz w:val="18"/>
                <w:szCs w:val="18"/>
                <w:lang w:val="ru-RU"/>
              </w:rPr>
              <w:t>Сумма средств под управлением</w:t>
            </w:r>
          </w:p>
        </w:tc>
        <w:tc>
          <w:tcPr>
            <w:tcW w:w="3268" w:type="dxa"/>
            <w:shd w:val="clear" w:color="auto" w:fill="auto"/>
          </w:tcPr>
          <w:p w:rsidR="00877B7C" w:rsidRPr="00455229" w:rsidRDefault="00877B7C" w:rsidP="00455229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455229">
              <w:rPr>
                <w:sz w:val="18"/>
                <w:szCs w:val="18"/>
                <w:lang w:val="ru-RU"/>
              </w:rPr>
              <w:t>7 млрд. долл. США</w:t>
            </w:r>
          </w:p>
        </w:tc>
        <w:tc>
          <w:tcPr>
            <w:tcW w:w="3238" w:type="dxa"/>
            <w:shd w:val="clear" w:color="auto" w:fill="auto"/>
          </w:tcPr>
          <w:p w:rsidR="00877B7C" w:rsidRPr="00455229" w:rsidRDefault="00877B7C" w:rsidP="00455229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455229">
              <w:rPr>
                <w:sz w:val="18"/>
                <w:szCs w:val="18"/>
                <w:lang w:val="ru-RU"/>
              </w:rPr>
              <w:t>Поступления в размере 660 млн. долл</w:t>
            </w:r>
            <w:r w:rsidR="006B79AE">
              <w:rPr>
                <w:sz w:val="18"/>
                <w:szCs w:val="18"/>
                <w:lang w:val="ru-RU"/>
              </w:rPr>
              <w:t>.</w:t>
            </w:r>
            <w:r w:rsidRPr="00455229">
              <w:rPr>
                <w:sz w:val="18"/>
                <w:szCs w:val="18"/>
                <w:lang w:val="ru-RU"/>
              </w:rPr>
              <w:t xml:space="preserve"> США в течение 2012 года</w:t>
            </w:r>
          </w:p>
        </w:tc>
      </w:tr>
      <w:tr w:rsidR="00C96D06" w:rsidRPr="00D016AE" w:rsidTr="00C96D06">
        <w:trPr>
          <w:jc w:val="right"/>
        </w:trPr>
        <w:tc>
          <w:tcPr>
            <w:tcW w:w="1829" w:type="dxa"/>
            <w:shd w:val="clear" w:color="auto" w:fill="auto"/>
          </w:tcPr>
          <w:p w:rsidR="00877B7C" w:rsidRPr="00455229" w:rsidRDefault="00877B7C" w:rsidP="00455229">
            <w:pPr>
              <w:spacing w:before="40" w:after="40"/>
              <w:rPr>
                <w:i/>
                <w:sz w:val="18"/>
                <w:szCs w:val="18"/>
                <w:lang w:val="ru-RU"/>
              </w:rPr>
            </w:pPr>
            <w:r w:rsidRPr="00455229">
              <w:rPr>
                <w:i/>
                <w:sz w:val="18"/>
                <w:szCs w:val="18"/>
                <w:lang w:val="ru-RU"/>
              </w:rPr>
              <w:t>Количество активных целевых фондов под управлением</w:t>
            </w:r>
          </w:p>
        </w:tc>
        <w:tc>
          <w:tcPr>
            <w:tcW w:w="3268" w:type="dxa"/>
            <w:shd w:val="clear" w:color="auto" w:fill="auto"/>
          </w:tcPr>
          <w:p w:rsidR="00877B7C" w:rsidRPr="00C96D06" w:rsidRDefault="00877B7C" w:rsidP="00455229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455229">
              <w:rPr>
                <w:sz w:val="18"/>
                <w:szCs w:val="18"/>
                <w:lang w:val="ru-RU"/>
              </w:rPr>
              <w:t>62, с более чем 40 участвующими органами и подразделениями Организации Объединенных Наций</w:t>
            </w:r>
          </w:p>
        </w:tc>
        <w:tc>
          <w:tcPr>
            <w:tcW w:w="3238" w:type="dxa"/>
            <w:shd w:val="clear" w:color="auto" w:fill="auto"/>
          </w:tcPr>
          <w:p w:rsidR="00877B7C" w:rsidRPr="00455229" w:rsidRDefault="00877B7C" w:rsidP="00455229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455229">
              <w:rPr>
                <w:sz w:val="18"/>
                <w:szCs w:val="18"/>
                <w:lang w:val="ru-RU"/>
              </w:rPr>
              <w:t>123 активных целевых фонда на конец 2012 года</w:t>
            </w:r>
          </w:p>
          <w:p w:rsidR="00877B7C" w:rsidRPr="00455229" w:rsidRDefault="00877B7C" w:rsidP="00455229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</w:tr>
      <w:tr w:rsidR="00C96D06" w:rsidRPr="00D016AE" w:rsidTr="00C96D06">
        <w:trPr>
          <w:jc w:val="right"/>
        </w:trPr>
        <w:tc>
          <w:tcPr>
            <w:tcW w:w="1829" w:type="dxa"/>
            <w:shd w:val="clear" w:color="auto" w:fill="auto"/>
          </w:tcPr>
          <w:p w:rsidR="00877B7C" w:rsidRPr="00455229" w:rsidRDefault="00877B7C" w:rsidP="00455229">
            <w:pPr>
              <w:spacing w:before="40" w:after="40"/>
              <w:rPr>
                <w:i/>
                <w:sz w:val="18"/>
                <w:szCs w:val="18"/>
                <w:lang w:val="ru-RU"/>
              </w:rPr>
            </w:pPr>
            <w:r w:rsidRPr="00455229">
              <w:rPr>
                <w:i/>
                <w:sz w:val="18"/>
                <w:szCs w:val="18"/>
                <w:lang w:val="ru-RU"/>
              </w:rPr>
              <w:t>Действующие системы управления целевыми фондами</w:t>
            </w:r>
          </w:p>
        </w:tc>
        <w:tc>
          <w:tcPr>
            <w:tcW w:w="3268" w:type="dxa"/>
            <w:shd w:val="clear" w:color="auto" w:fill="auto"/>
          </w:tcPr>
          <w:p w:rsidR="00877B7C" w:rsidRPr="00455229" w:rsidRDefault="00877B7C" w:rsidP="00455229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455229">
              <w:rPr>
                <w:sz w:val="18"/>
                <w:szCs w:val="18"/>
                <w:lang w:val="ru-RU"/>
              </w:rPr>
              <w:t>Да</w:t>
            </w:r>
          </w:p>
          <w:p w:rsidR="00877B7C" w:rsidRPr="00455229" w:rsidRDefault="00877B7C" w:rsidP="00E6601E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455229">
              <w:rPr>
                <w:sz w:val="18"/>
                <w:szCs w:val="18"/>
                <w:lang w:val="ru-RU"/>
              </w:rPr>
              <w:t>Все финансовая информация о фонде размещена на общедоступном веб-сайте "</w:t>
            </w:r>
            <w:r w:rsidR="00E6601E">
              <w:rPr>
                <w:sz w:val="18"/>
                <w:szCs w:val="18"/>
                <w:lang w:val="ru-RU"/>
              </w:rPr>
              <w:t>Гейтуэй</w:t>
            </w:r>
            <w:r w:rsidRPr="00455229">
              <w:rPr>
                <w:sz w:val="18"/>
                <w:szCs w:val="18"/>
                <w:lang w:val="ru-RU"/>
              </w:rPr>
              <w:t>" (http://mptf.undp.org)</w:t>
            </w:r>
          </w:p>
        </w:tc>
        <w:tc>
          <w:tcPr>
            <w:tcW w:w="3238" w:type="dxa"/>
            <w:shd w:val="clear" w:color="auto" w:fill="auto"/>
          </w:tcPr>
          <w:p w:rsidR="00877B7C" w:rsidRPr="00455229" w:rsidRDefault="00877B7C" w:rsidP="00455229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455229">
              <w:rPr>
                <w:sz w:val="18"/>
                <w:szCs w:val="18"/>
                <w:lang w:val="ru-RU"/>
              </w:rPr>
              <w:t>Да</w:t>
            </w:r>
          </w:p>
          <w:p w:rsidR="00877B7C" w:rsidRPr="00455229" w:rsidRDefault="00877B7C" w:rsidP="00455229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455229">
              <w:rPr>
                <w:sz w:val="18"/>
                <w:szCs w:val="18"/>
                <w:lang w:val="ru-RU"/>
              </w:rPr>
              <w:t xml:space="preserve">Комплексная система управленческой информации </w:t>
            </w:r>
            <w:r w:rsidR="00E6601E">
              <w:rPr>
                <w:sz w:val="18"/>
                <w:szCs w:val="18"/>
                <w:lang w:val="ru-RU"/>
              </w:rPr>
              <w:t xml:space="preserve">«ИМИС» </w:t>
            </w:r>
            <w:r w:rsidR="006B79AE">
              <w:rPr>
                <w:sz w:val="18"/>
                <w:szCs w:val="18"/>
                <w:lang w:val="ru-RU"/>
              </w:rPr>
              <w:t>и с июля 2014 </w:t>
            </w:r>
            <w:r w:rsidRPr="00455229">
              <w:rPr>
                <w:sz w:val="18"/>
                <w:szCs w:val="18"/>
                <w:lang w:val="ru-RU"/>
              </w:rPr>
              <w:t>года "Умоджа" (требование соответствия Международным стандартам учета в государственном секторе с 1 января 2014 года)</w:t>
            </w:r>
          </w:p>
        </w:tc>
      </w:tr>
      <w:tr w:rsidR="00C96D06" w:rsidRPr="00D016AE" w:rsidTr="00C96D06">
        <w:trPr>
          <w:jc w:val="right"/>
        </w:trPr>
        <w:tc>
          <w:tcPr>
            <w:tcW w:w="1829" w:type="dxa"/>
            <w:shd w:val="clear" w:color="auto" w:fill="auto"/>
          </w:tcPr>
          <w:p w:rsidR="00877B7C" w:rsidRPr="00455229" w:rsidRDefault="00877B7C" w:rsidP="00455229">
            <w:pPr>
              <w:spacing w:before="40" w:after="40"/>
              <w:rPr>
                <w:i/>
                <w:sz w:val="18"/>
                <w:szCs w:val="18"/>
                <w:lang w:val="ru-RU"/>
              </w:rPr>
            </w:pPr>
            <w:r w:rsidRPr="00455229">
              <w:rPr>
                <w:i/>
                <w:sz w:val="18"/>
                <w:szCs w:val="18"/>
                <w:lang w:val="ru-RU"/>
              </w:rPr>
              <w:t xml:space="preserve">Общий объем расходов </w:t>
            </w:r>
          </w:p>
        </w:tc>
        <w:tc>
          <w:tcPr>
            <w:tcW w:w="3268" w:type="dxa"/>
            <w:shd w:val="clear" w:color="auto" w:fill="auto"/>
          </w:tcPr>
          <w:p w:rsidR="00877B7C" w:rsidRPr="00455229" w:rsidRDefault="00877B7C" w:rsidP="00455229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455229">
              <w:rPr>
                <w:sz w:val="18"/>
                <w:szCs w:val="18"/>
                <w:lang w:val="ru-RU"/>
              </w:rPr>
              <w:t xml:space="preserve">8 процентов (1 процент для административного агента многостороннего целевого фонда и 7 процентов на осуществление органами Организации Объединенных Наций) плюс прямые расходы (в среднем 3 процента), взимаемые на финансирование функций секретариата, выполняемых двумя </w:t>
            </w:r>
            <w:r w:rsidRPr="00455229">
              <w:rPr>
                <w:sz w:val="18"/>
                <w:szCs w:val="18"/>
                <w:lang w:val="ru-RU"/>
              </w:rPr>
              <w:lastRenderedPageBreak/>
              <w:t xml:space="preserve">штатными сотрудниками (по финансовым и административным вопросам) секретариата Платформы, с оставшейся частью расходов на эти должности, финансируемой за счет средств целевого фонда </w:t>
            </w:r>
          </w:p>
          <w:p w:rsidR="00877B7C" w:rsidRPr="00455229" w:rsidRDefault="00877B7C" w:rsidP="00455229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3238" w:type="dxa"/>
            <w:shd w:val="clear" w:color="auto" w:fill="auto"/>
          </w:tcPr>
          <w:p w:rsidR="00877B7C" w:rsidRPr="00455229" w:rsidRDefault="00877B7C" w:rsidP="00455229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455229">
              <w:rPr>
                <w:sz w:val="18"/>
                <w:szCs w:val="18"/>
                <w:lang w:val="ru-RU"/>
              </w:rPr>
              <w:lastRenderedPageBreak/>
              <w:t>Вариант 2.A: 13 процентов, покрывающие все функции управления целевым фондом, включая две должности (по финансовым и административным вопросам) в секретариате</w:t>
            </w:r>
          </w:p>
          <w:p w:rsidR="00877B7C" w:rsidRPr="00455229" w:rsidRDefault="00877B7C" w:rsidP="00455229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455229">
              <w:rPr>
                <w:sz w:val="18"/>
                <w:szCs w:val="18"/>
                <w:lang w:val="ru-RU"/>
              </w:rPr>
              <w:t xml:space="preserve">Вариант 2.В: 8 процентов, покрывающие управление целевым фондом, с финансированием двух </w:t>
            </w:r>
            <w:r w:rsidRPr="00455229">
              <w:rPr>
                <w:sz w:val="18"/>
                <w:szCs w:val="18"/>
                <w:lang w:val="ru-RU"/>
              </w:rPr>
              <w:lastRenderedPageBreak/>
              <w:t>дополнительных должностей секретариата (по финансовым и административным вопросам) за счет средств целевого фонда</w:t>
            </w:r>
          </w:p>
          <w:p w:rsidR="00877B7C" w:rsidRPr="00455229" w:rsidRDefault="002C080C" w:rsidP="00455229">
            <w:pPr>
              <w:spacing w:before="40" w:after="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Вариант 2.С: 13 процентов (4,3 </w:t>
            </w:r>
            <w:r w:rsidR="00877B7C" w:rsidRPr="00455229">
              <w:rPr>
                <w:sz w:val="18"/>
                <w:szCs w:val="18"/>
                <w:lang w:val="ru-RU"/>
              </w:rPr>
              <w:t>процента составляют корпоративные административные расходы ЮНЕП/Отделения Организации Объединенных Наций в Найроби; 8,7 процентов возвращаются к секретариату Платформы на покрытие прямых финансовых и административных расходов, включая две должности в секретариате (по финансовым и административным вопросам)</w:t>
            </w:r>
          </w:p>
        </w:tc>
      </w:tr>
    </w:tbl>
    <w:p w:rsidR="00877B7C" w:rsidRPr="009B3BDD" w:rsidRDefault="00877B7C" w:rsidP="00877B7C">
      <w:pPr>
        <w:spacing w:after="120"/>
        <w:ind w:left="1248"/>
        <w:rPr>
          <w:sz w:val="20"/>
          <w:lang w:val="ru-RU"/>
        </w:rPr>
      </w:pPr>
    </w:p>
    <w:p w:rsidR="00877B7C" w:rsidRPr="009B3BDD" w:rsidRDefault="00877B7C" w:rsidP="00877B7C">
      <w:pPr>
        <w:spacing w:after="120"/>
        <w:ind w:left="1248"/>
        <w:rPr>
          <w:sz w:val="20"/>
          <w:lang w:val="ru-RU"/>
        </w:rPr>
        <w:sectPr w:rsidR="00877B7C" w:rsidRPr="009B3BDD" w:rsidSect="00DA3E50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type w:val="continuous"/>
          <w:pgSz w:w="11906" w:h="16838" w:code="9"/>
          <w:pgMar w:top="907" w:right="992" w:bottom="1418" w:left="1418" w:header="539" w:footer="975" w:gutter="0"/>
          <w:cols w:space="708"/>
          <w:titlePg/>
          <w:docGrid w:linePitch="360"/>
        </w:sectPr>
      </w:pPr>
    </w:p>
    <w:p w:rsidR="00877B7C" w:rsidRPr="009B3BDD" w:rsidRDefault="00877B7C" w:rsidP="000E4374">
      <w:pPr>
        <w:ind w:left="1247"/>
        <w:rPr>
          <w:sz w:val="20"/>
          <w:lang w:val="ru-RU"/>
        </w:rPr>
      </w:pPr>
      <w:r w:rsidRPr="009B3BDD">
        <w:rPr>
          <w:sz w:val="20"/>
          <w:lang w:val="ru-RU"/>
        </w:rPr>
        <w:lastRenderedPageBreak/>
        <w:t>Таблица 2</w:t>
      </w:r>
    </w:p>
    <w:p w:rsidR="00877B7C" w:rsidRPr="00C96D06" w:rsidRDefault="00877B7C" w:rsidP="000E4374">
      <w:pPr>
        <w:ind w:left="1247"/>
        <w:rPr>
          <w:b/>
          <w:sz w:val="20"/>
          <w:lang w:val="ru-RU"/>
        </w:rPr>
      </w:pPr>
      <w:r w:rsidRPr="00C96D06">
        <w:rPr>
          <w:b/>
          <w:sz w:val="20"/>
          <w:lang w:val="ru-RU"/>
        </w:rPr>
        <w:t xml:space="preserve">Ориентировочное сравнение ежегодных расходов, связанных с вариантами создания целевого фонда </w:t>
      </w:r>
    </w:p>
    <w:p w:rsidR="00877B7C" w:rsidRPr="009B3BDD" w:rsidRDefault="00877B7C" w:rsidP="00877B7C">
      <w:pPr>
        <w:spacing w:after="120"/>
        <w:ind w:left="1248"/>
        <w:rPr>
          <w:sz w:val="20"/>
          <w:lang w:val="ru-RU"/>
        </w:rPr>
      </w:pPr>
      <w:r w:rsidRPr="009B3BDD">
        <w:rPr>
          <w:sz w:val="20"/>
          <w:lang w:val="ru-RU"/>
        </w:rPr>
        <w:t>(в долл. США)</w:t>
      </w:r>
    </w:p>
    <w:tbl>
      <w:tblPr>
        <w:tblW w:w="1309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1210"/>
        <w:gridCol w:w="1210"/>
        <w:gridCol w:w="1140"/>
        <w:gridCol w:w="1140"/>
        <w:gridCol w:w="1210"/>
        <w:gridCol w:w="1210"/>
        <w:gridCol w:w="1137"/>
        <w:gridCol w:w="1140"/>
      </w:tblGrid>
      <w:tr w:rsidR="00877B7C" w:rsidRPr="00D016AE" w:rsidTr="001D699F">
        <w:trPr>
          <w:trHeight w:val="910"/>
          <w:jc w:val="right"/>
        </w:trPr>
        <w:tc>
          <w:tcPr>
            <w:tcW w:w="1413" w:type="pct"/>
            <w:tcBorders>
              <w:bottom w:val="single" w:sz="4" w:space="0" w:color="auto"/>
            </w:tcBorders>
            <w:shd w:val="clear" w:color="auto" w:fill="auto"/>
          </w:tcPr>
          <w:p w:rsidR="00877B7C" w:rsidRPr="00C96D06" w:rsidRDefault="00877B7C" w:rsidP="00C96D06">
            <w:pPr>
              <w:spacing w:before="40" w:after="40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92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7B7C" w:rsidRPr="00C96D06" w:rsidRDefault="00877B7C" w:rsidP="00C96D06">
            <w:pPr>
              <w:spacing w:before="40" w:after="40"/>
              <w:rPr>
                <w:i/>
                <w:sz w:val="18"/>
                <w:szCs w:val="18"/>
                <w:lang w:val="ru-RU"/>
              </w:rPr>
            </w:pPr>
            <w:r w:rsidRPr="00C96D06">
              <w:rPr>
                <w:i/>
                <w:sz w:val="18"/>
                <w:szCs w:val="18"/>
                <w:lang w:val="ru-RU"/>
              </w:rPr>
              <w:t>Вариант 1</w:t>
            </w:r>
          </w:p>
          <w:p w:rsidR="00877B7C" w:rsidRPr="00C96D06" w:rsidRDefault="00877B7C" w:rsidP="00C96D06">
            <w:pPr>
              <w:spacing w:before="40" w:after="40"/>
              <w:rPr>
                <w:i/>
                <w:sz w:val="18"/>
                <w:szCs w:val="18"/>
                <w:lang w:val="ru-RU"/>
              </w:rPr>
            </w:pPr>
            <w:r w:rsidRPr="00C96D06">
              <w:rPr>
                <w:i/>
                <w:sz w:val="18"/>
                <w:szCs w:val="18"/>
                <w:lang w:val="ru-RU"/>
              </w:rPr>
              <w:t>Управление многосторонних партнерских целевых фондов</w:t>
            </w:r>
          </w:p>
        </w:tc>
        <w:tc>
          <w:tcPr>
            <w:tcW w:w="87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7B7C" w:rsidRPr="00C96D06" w:rsidRDefault="00877B7C" w:rsidP="00C96D06">
            <w:pPr>
              <w:spacing w:before="40" w:after="40"/>
              <w:rPr>
                <w:i/>
                <w:sz w:val="18"/>
                <w:szCs w:val="18"/>
                <w:lang w:val="ru-RU"/>
              </w:rPr>
            </w:pPr>
            <w:r w:rsidRPr="00C96D06">
              <w:rPr>
                <w:i/>
                <w:sz w:val="18"/>
                <w:szCs w:val="18"/>
                <w:lang w:val="ru-RU"/>
              </w:rPr>
              <w:t>Вариант 2.A</w:t>
            </w:r>
          </w:p>
          <w:p w:rsidR="00877B7C" w:rsidRPr="00C96D06" w:rsidRDefault="00877B7C" w:rsidP="00C96D06">
            <w:pPr>
              <w:spacing w:before="40" w:after="40"/>
              <w:rPr>
                <w:i/>
                <w:sz w:val="18"/>
                <w:szCs w:val="18"/>
                <w:lang w:val="ru-RU"/>
              </w:rPr>
            </w:pPr>
            <w:r w:rsidRPr="00C96D06">
              <w:rPr>
                <w:i/>
                <w:sz w:val="18"/>
                <w:szCs w:val="18"/>
                <w:lang w:val="ru-RU"/>
              </w:rPr>
              <w:t>ЮНЕП, расходы на программную поддержку в размере 13 процентов</w:t>
            </w:r>
          </w:p>
        </w:tc>
        <w:tc>
          <w:tcPr>
            <w:tcW w:w="92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7B7C" w:rsidRPr="00C96D06" w:rsidRDefault="00877B7C" w:rsidP="00C96D06">
            <w:pPr>
              <w:spacing w:before="40" w:after="40"/>
              <w:rPr>
                <w:i/>
                <w:sz w:val="18"/>
                <w:szCs w:val="18"/>
                <w:lang w:val="ru-RU"/>
              </w:rPr>
            </w:pPr>
            <w:r w:rsidRPr="00C96D06">
              <w:rPr>
                <w:i/>
                <w:sz w:val="18"/>
                <w:szCs w:val="18"/>
                <w:lang w:val="ru-RU"/>
              </w:rPr>
              <w:t>Вариант 2.В</w:t>
            </w:r>
          </w:p>
          <w:p w:rsidR="00877B7C" w:rsidRPr="00C96D06" w:rsidRDefault="00877B7C" w:rsidP="00C96D06">
            <w:pPr>
              <w:spacing w:before="40" w:after="40"/>
              <w:rPr>
                <w:i/>
                <w:sz w:val="18"/>
                <w:szCs w:val="18"/>
                <w:lang w:val="ru-RU"/>
              </w:rPr>
            </w:pPr>
            <w:r w:rsidRPr="00C96D06">
              <w:rPr>
                <w:i/>
                <w:sz w:val="18"/>
                <w:szCs w:val="18"/>
                <w:lang w:val="ru-RU"/>
              </w:rPr>
              <w:t>ЮНЕП, расходы на программную поддержку в размере 8 процентов</w:t>
            </w:r>
          </w:p>
        </w:tc>
        <w:tc>
          <w:tcPr>
            <w:tcW w:w="8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7B7C" w:rsidRPr="00C96D06" w:rsidRDefault="00877B7C" w:rsidP="00C96D06">
            <w:pPr>
              <w:spacing w:before="40" w:after="40"/>
              <w:rPr>
                <w:i/>
                <w:sz w:val="18"/>
                <w:szCs w:val="18"/>
                <w:lang w:val="ru-RU"/>
              </w:rPr>
            </w:pPr>
            <w:r w:rsidRPr="00C96D06">
              <w:rPr>
                <w:i/>
                <w:sz w:val="18"/>
                <w:szCs w:val="18"/>
                <w:lang w:val="ru-RU"/>
              </w:rPr>
              <w:t>Вариант 2.С</w:t>
            </w:r>
          </w:p>
          <w:p w:rsidR="00877B7C" w:rsidRPr="00C96D06" w:rsidRDefault="00877B7C" w:rsidP="00C96D06">
            <w:pPr>
              <w:spacing w:before="40" w:after="40"/>
              <w:rPr>
                <w:i/>
                <w:sz w:val="18"/>
                <w:szCs w:val="18"/>
                <w:lang w:val="ru-RU"/>
              </w:rPr>
            </w:pPr>
            <w:r w:rsidRPr="00C96D06">
              <w:rPr>
                <w:i/>
                <w:sz w:val="18"/>
                <w:szCs w:val="18"/>
                <w:lang w:val="ru-RU"/>
              </w:rPr>
              <w:t>ЮНЕП, расходы на программную поддержку в размере 13 процентов с возвратом 67 процентов</w:t>
            </w:r>
          </w:p>
        </w:tc>
      </w:tr>
      <w:tr w:rsidR="00877B7C" w:rsidRPr="00C96D06" w:rsidTr="001D699F">
        <w:trPr>
          <w:jc w:val="right"/>
        </w:trPr>
        <w:tc>
          <w:tcPr>
            <w:tcW w:w="1413" w:type="pct"/>
            <w:shd w:val="clear" w:color="auto" w:fill="auto"/>
          </w:tcPr>
          <w:p w:rsidR="00877B7C" w:rsidRPr="00C96D06" w:rsidRDefault="00877B7C" w:rsidP="00C96D06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96D06">
              <w:rPr>
                <w:sz w:val="18"/>
                <w:szCs w:val="18"/>
                <w:lang w:val="ru-RU"/>
              </w:rPr>
              <w:t xml:space="preserve">Объем целевого фонда </w:t>
            </w:r>
          </w:p>
        </w:tc>
        <w:tc>
          <w:tcPr>
            <w:tcW w:w="462" w:type="pct"/>
            <w:shd w:val="clear" w:color="auto" w:fill="auto"/>
          </w:tcPr>
          <w:p w:rsidR="00877B7C" w:rsidRPr="00C96D06" w:rsidRDefault="00877B7C" w:rsidP="00C96D06">
            <w:pPr>
              <w:tabs>
                <w:tab w:val="decimal" w:pos="851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C96D06">
              <w:rPr>
                <w:sz w:val="18"/>
                <w:szCs w:val="18"/>
                <w:lang w:val="ru-RU"/>
              </w:rPr>
              <w:t>5 000 000</w:t>
            </w:r>
          </w:p>
        </w:tc>
        <w:tc>
          <w:tcPr>
            <w:tcW w:w="462" w:type="pct"/>
            <w:shd w:val="clear" w:color="auto" w:fill="auto"/>
          </w:tcPr>
          <w:p w:rsidR="00877B7C" w:rsidRPr="00C96D06" w:rsidRDefault="00877B7C" w:rsidP="00C96D06">
            <w:pPr>
              <w:tabs>
                <w:tab w:val="decimal" w:pos="851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C96D06">
              <w:rPr>
                <w:sz w:val="18"/>
                <w:szCs w:val="18"/>
                <w:lang w:val="ru-RU"/>
              </w:rPr>
              <w:t>10 000 000</w:t>
            </w:r>
          </w:p>
        </w:tc>
        <w:tc>
          <w:tcPr>
            <w:tcW w:w="435" w:type="pct"/>
            <w:shd w:val="clear" w:color="auto" w:fill="auto"/>
          </w:tcPr>
          <w:p w:rsidR="00877B7C" w:rsidRPr="00C96D06" w:rsidRDefault="00877B7C" w:rsidP="00C96D06">
            <w:pPr>
              <w:tabs>
                <w:tab w:val="decimal" w:pos="851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C96D06">
              <w:rPr>
                <w:sz w:val="18"/>
                <w:szCs w:val="18"/>
                <w:lang w:val="ru-RU"/>
              </w:rPr>
              <w:t>5 000 000</w:t>
            </w:r>
          </w:p>
        </w:tc>
        <w:tc>
          <w:tcPr>
            <w:tcW w:w="435" w:type="pct"/>
            <w:shd w:val="clear" w:color="auto" w:fill="auto"/>
          </w:tcPr>
          <w:p w:rsidR="00877B7C" w:rsidRPr="00C96D06" w:rsidRDefault="00877B7C" w:rsidP="00C96D06">
            <w:pPr>
              <w:tabs>
                <w:tab w:val="decimal" w:pos="851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C96D06">
              <w:rPr>
                <w:sz w:val="18"/>
                <w:szCs w:val="18"/>
                <w:lang w:val="ru-RU"/>
              </w:rPr>
              <w:t>10 000 000</w:t>
            </w:r>
          </w:p>
        </w:tc>
        <w:tc>
          <w:tcPr>
            <w:tcW w:w="462" w:type="pct"/>
            <w:shd w:val="clear" w:color="auto" w:fill="auto"/>
          </w:tcPr>
          <w:p w:rsidR="00877B7C" w:rsidRPr="00C96D06" w:rsidRDefault="00877B7C" w:rsidP="00C96D06">
            <w:pPr>
              <w:tabs>
                <w:tab w:val="decimal" w:pos="851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C96D06">
              <w:rPr>
                <w:sz w:val="18"/>
                <w:szCs w:val="18"/>
                <w:lang w:val="ru-RU"/>
              </w:rPr>
              <w:t>5 000 000</w:t>
            </w:r>
          </w:p>
        </w:tc>
        <w:tc>
          <w:tcPr>
            <w:tcW w:w="462" w:type="pct"/>
            <w:shd w:val="clear" w:color="auto" w:fill="auto"/>
          </w:tcPr>
          <w:p w:rsidR="00877B7C" w:rsidRPr="00C96D06" w:rsidRDefault="00877B7C" w:rsidP="00C96D06">
            <w:pPr>
              <w:tabs>
                <w:tab w:val="decimal" w:pos="851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C96D06">
              <w:rPr>
                <w:sz w:val="18"/>
                <w:szCs w:val="18"/>
                <w:lang w:val="ru-RU"/>
              </w:rPr>
              <w:t>10 000 000</w:t>
            </w:r>
          </w:p>
        </w:tc>
        <w:tc>
          <w:tcPr>
            <w:tcW w:w="434" w:type="pct"/>
            <w:shd w:val="clear" w:color="auto" w:fill="auto"/>
          </w:tcPr>
          <w:p w:rsidR="00877B7C" w:rsidRPr="00C96D06" w:rsidRDefault="00877B7C" w:rsidP="00C96D06">
            <w:pPr>
              <w:tabs>
                <w:tab w:val="decimal" w:pos="851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C96D06">
              <w:rPr>
                <w:sz w:val="18"/>
                <w:szCs w:val="18"/>
                <w:lang w:val="ru-RU"/>
              </w:rPr>
              <w:t>5 000 000</w:t>
            </w:r>
          </w:p>
        </w:tc>
        <w:tc>
          <w:tcPr>
            <w:tcW w:w="435" w:type="pct"/>
            <w:shd w:val="clear" w:color="auto" w:fill="auto"/>
          </w:tcPr>
          <w:p w:rsidR="00877B7C" w:rsidRPr="00C96D06" w:rsidRDefault="00877B7C" w:rsidP="00C96D06">
            <w:pPr>
              <w:tabs>
                <w:tab w:val="decimal" w:pos="851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C96D06">
              <w:rPr>
                <w:sz w:val="18"/>
                <w:szCs w:val="18"/>
                <w:lang w:val="ru-RU"/>
              </w:rPr>
              <w:t>10 000 000</w:t>
            </w:r>
          </w:p>
        </w:tc>
      </w:tr>
      <w:tr w:rsidR="00877B7C" w:rsidRPr="00C96D06" w:rsidTr="001D699F">
        <w:trPr>
          <w:jc w:val="right"/>
        </w:trPr>
        <w:tc>
          <w:tcPr>
            <w:tcW w:w="1413" w:type="pct"/>
            <w:shd w:val="clear" w:color="auto" w:fill="auto"/>
          </w:tcPr>
          <w:p w:rsidR="00877B7C" w:rsidRPr="00C96D06" w:rsidRDefault="00877B7C" w:rsidP="00C96D06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96D06">
              <w:rPr>
                <w:sz w:val="18"/>
                <w:szCs w:val="18"/>
                <w:lang w:val="ru-RU"/>
              </w:rPr>
              <w:t>Расходы на программную поддержку/административного агента</w:t>
            </w:r>
          </w:p>
        </w:tc>
        <w:tc>
          <w:tcPr>
            <w:tcW w:w="462" w:type="pct"/>
            <w:shd w:val="clear" w:color="auto" w:fill="FFFFFF"/>
          </w:tcPr>
          <w:p w:rsidR="00877B7C" w:rsidRPr="00C96D06" w:rsidRDefault="00877B7C" w:rsidP="00C96D06">
            <w:pPr>
              <w:tabs>
                <w:tab w:val="decimal" w:pos="851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C96D06">
              <w:rPr>
                <w:sz w:val="18"/>
                <w:szCs w:val="18"/>
                <w:lang w:val="ru-RU"/>
              </w:rPr>
              <w:t>370 370</w:t>
            </w:r>
          </w:p>
        </w:tc>
        <w:tc>
          <w:tcPr>
            <w:tcW w:w="462" w:type="pct"/>
            <w:shd w:val="clear" w:color="auto" w:fill="FFFFFF"/>
          </w:tcPr>
          <w:p w:rsidR="00877B7C" w:rsidRPr="00C96D06" w:rsidRDefault="00877B7C" w:rsidP="00C96D06">
            <w:pPr>
              <w:tabs>
                <w:tab w:val="decimal" w:pos="851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C96D06">
              <w:rPr>
                <w:sz w:val="18"/>
                <w:szCs w:val="18"/>
                <w:lang w:val="ru-RU"/>
              </w:rPr>
              <w:t>740 740</w:t>
            </w:r>
          </w:p>
        </w:tc>
        <w:tc>
          <w:tcPr>
            <w:tcW w:w="435" w:type="pct"/>
            <w:shd w:val="clear" w:color="auto" w:fill="auto"/>
          </w:tcPr>
          <w:p w:rsidR="00877B7C" w:rsidRPr="00C96D06" w:rsidRDefault="00877B7C" w:rsidP="00C96D06">
            <w:pPr>
              <w:tabs>
                <w:tab w:val="decimal" w:pos="851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C96D06">
              <w:rPr>
                <w:sz w:val="18"/>
                <w:szCs w:val="18"/>
                <w:lang w:val="ru-RU"/>
              </w:rPr>
              <w:t>575 221</w:t>
            </w:r>
          </w:p>
        </w:tc>
        <w:tc>
          <w:tcPr>
            <w:tcW w:w="435" w:type="pct"/>
            <w:shd w:val="clear" w:color="auto" w:fill="auto"/>
          </w:tcPr>
          <w:p w:rsidR="00877B7C" w:rsidRPr="00C96D06" w:rsidRDefault="00877B7C" w:rsidP="00C96D06">
            <w:pPr>
              <w:tabs>
                <w:tab w:val="decimal" w:pos="851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C96D06">
              <w:rPr>
                <w:sz w:val="18"/>
                <w:szCs w:val="18"/>
                <w:lang w:val="ru-RU"/>
              </w:rPr>
              <w:t>1 150 442</w:t>
            </w:r>
          </w:p>
        </w:tc>
        <w:tc>
          <w:tcPr>
            <w:tcW w:w="462" w:type="pct"/>
            <w:shd w:val="clear" w:color="auto" w:fill="auto"/>
          </w:tcPr>
          <w:p w:rsidR="00877B7C" w:rsidRPr="00C96D06" w:rsidRDefault="00877B7C" w:rsidP="00C96D06">
            <w:pPr>
              <w:tabs>
                <w:tab w:val="decimal" w:pos="851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C96D06">
              <w:rPr>
                <w:sz w:val="18"/>
                <w:szCs w:val="18"/>
                <w:lang w:val="ru-RU"/>
              </w:rPr>
              <w:t>370 370</w:t>
            </w:r>
          </w:p>
        </w:tc>
        <w:tc>
          <w:tcPr>
            <w:tcW w:w="462" w:type="pct"/>
            <w:shd w:val="clear" w:color="auto" w:fill="auto"/>
          </w:tcPr>
          <w:p w:rsidR="00877B7C" w:rsidRPr="00C96D06" w:rsidRDefault="00877B7C" w:rsidP="00C96D06">
            <w:pPr>
              <w:tabs>
                <w:tab w:val="decimal" w:pos="851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C96D06">
              <w:rPr>
                <w:sz w:val="18"/>
                <w:szCs w:val="18"/>
                <w:lang w:val="ru-RU"/>
              </w:rPr>
              <w:t>740 740</w:t>
            </w:r>
          </w:p>
        </w:tc>
        <w:tc>
          <w:tcPr>
            <w:tcW w:w="434" w:type="pct"/>
            <w:shd w:val="clear" w:color="auto" w:fill="FFFFFF"/>
          </w:tcPr>
          <w:p w:rsidR="00877B7C" w:rsidRPr="00C96D06" w:rsidRDefault="00877B7C" w:rsidP="00C96D06">
            <w:pPr>
              <w:tabs>
                <w:tab w:val="decimal" w:pos="851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C96D06">
              <w:rPr>
                <w:sz w:val="18"/>
                <w:szCs w:val="18"/>
                <w:lang w:val="ru-RU"/>
              </w:rPr>
              <w:t>575 221</w:t>
            </w:r>
          </w:p>
        </w:tc>
        <w:tc>
          <w:tcPr>
            <w:tcW w:w="435" w:type="pct"/>
            <w:shd w:val="clear" w:color="auto" w:fill="FFFFFF"/>
          </w:tcPr>
          <w:p w:rsidR="00877B7C" w:rsidRPr="00C96D06" w:rsidRDefault="00877B7C" w:rsidP="00C96D06">
            <w:pPr>
              <w:tabs>
                <w:tab w:val="decimal" w:pos="851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C96D06">
              <w:rPr>
                <w:sz w:val="18"/>
                <w:szCs w:val="18"/>
                <w:lang w:val="ru-RU"/>
              </w:rPr>
              <w:t>1 150 442</w:t>
            </w:r>
          </w:p>
        </w:tc>
      </w:tr>
      <w:tr w:rsidR="00877B7C" w:rsidRPr="00C96D06" w:rsidTr="001D699F">
        <w:trPr>
          <w:jc w:val="right"/>
        </w:trPr>
        <w:tc>
          <w:tcPr>
            <w:tcW w:w="1413" w:type="pct"/>
            <w:shd w:val="clear" w:color="auto" w:fill="auto"/>
          </w:tcPr>
          <w:p w:rsidR="00877B7C" w:rsidRPr="00C96D06" w:rsidRDefault="00877B7C" w:rsidP="00C96D06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C96D06">
              <w:rPr>
                <w:sz w:val="18"/>
                <w:szCs w:val="18"/>
                <w:lang w:val="ru-RU"/>
              </w:rPr>
              <w:t>Прямые расходы Платформы</w:t>
            </w:r>
          </w:p>
        </w:tc>
        <w:tc>
          <w:tcPr>
            <w:tcW w:w="462" w:type="pct"/>
            <w:shd w:val="clear" w:color="auto" w:fill="FFFFFF"/>
          </w:tcPr>
          <w:p w:rsidR="00877B7C" w:rsidRPr="00C96D06" w:rsidRDefault="00877B7C" w:rsidP="00C96D06">
            <w:pPr>
              <w:tabs>
                <w:tab w:val="decimal" w:pos="851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C96D06">
              <w:rPr>
                <w:sz w:val="18"/>
                <w:szCs w:val="18"/>
                <w:lang w:val="ru-RU"/>
              </w:rPr>
              <w:t>150 000</w:t>
            </w:r>
            <w:r w:rsidRPr="00C96D06">
              <w:rPr>
                <w:sz w:val="18"/>
                <w:szCs w:val="18"/>
                <w:vertAlign w:val="superscript"/>
                <w:lang w:val="ru-RU"/>
              </w:rPr>
              <w:t>a</w:t>
            </w:r>
          </w:p>
          <w:p w:rsidR="00877B7C" w:rsidRPr="00C96D06" w:rsidRDefault="00877B7C" w:rsidP="00C96D06">
            <w:pPr>
              <w:tabs>
                <w:tab w:val="decimal" w:pos="851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C96D06">
              <w:rPr>
                <w:sz w:val="18"/>
                <w:szCs w:val="18"/>
                <w:lang w:val="ru-RU"/>
              </w:rPr>
              <w:t>142 000</w:t>
            </w:r>
            <w:r w:rsidRPr="00C96D06">
              <w:rPr>
                <w:sz w:val="18"/>
                <w:szCs w:val="18"/>
                <w:vertAlign w:val="superscript"/>
                <w:lang w:val="ru-RU"/>
              </w:rPr>
              <w:t>b</w:t>
            </w:r>
          </w:p>
        </w:tc>
        <w:tc>
          <w:tcPr>
            <w:tcW w:w="462" w:type="pct"/>
            <w:shd w:val="clear" w:color="auto" w:fill="FFFFFF"/>
          </w:tcPr>
          <w:p w:rsidR="00877B7C" w:rsidRPr="00C96D06" w:rsidRDefault="00877B7C" w:rsidP="00C96D06">
            <w:pPr>
              <w:tabs>
                <w:tab w:val="decimal" w:pos="851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C96D06">
              <w:rPr>
                <w:sz w:val="18"/>
                <w:szCs w:val="18"/>
                <w:lang w:val="ru-RU"/>
              </w:rPr>
              <w:t>300 000</w:t>
            </w:r>
            <w:r w:rsidRPr="00C96D06">
              <w:rPr>
                <w:sz w:val="18"/>
                <w:szCs w:val="18"/>
                <w:vertAlign w:val="superscript"/>
                <w:lang w:val="ru-RU"/>
              </w:rPr>
              <w:t>a</w:t>
            </w:r>
            <w:r w:rsidRPr="00C96D06">
              <w:rPr>
                <w:sz w:val="18"/>
                <w:szCs w:val="18"/>
                <w:lang w:val="ru-RU"/>
              </w:rPr>
              <w:t xml:space="preserve"> </w:t>
            </w:r>
          </w:p>
          <w:p w:rsidR="00877B7C" w:rsidRPr="00C96D06" w:rsidRDefault="00877B7C" w:rsidP="00C96D06">
            <w:pPr>
              <w:tabs>
                <w:tab w:val="decimal" w:pos="851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C96D06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435" w:type="pct"/>
            <w:shd w:val="clear" w:color="auto" w:fill="auto"/>
          </w:tcPr>
          <w:p w:rsidR="00877B7C" w:rsidRPr="00C96D06" w:rsidRDefault="00877B7C" w:rsidP="00C96D06">
            <w:pPr>
              <w:tabs>
                <w:tab w:val="decimal" w:pos="851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C96D06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435" w:type="pct"/>
            <w:shd w:val="clear" w:color="auto" w:fill="auto"/>
          </w:tcPr>
          <w:p w:rsidR="00877B7C" w:rsidRPr="00C96D06" w:rsidRDefault="00877B7C" w:rsidP="00C96D06">
            <w:pPr>
              <w:tabs>
                <w:tab w:val="decimal" w:pos="851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C96D06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462" w:type="pct"/>
            <w:shd w:val="clear" w:color="auto" w:fill="auto"/>
          </w:tcPr>
          <w:p w:rsidR="00877B7C" w:rsidRPr="00C96D06" w:rsidRDefault="00877B7C" w:rsidP="00C96D06">
            <w:pPr>
              <w:tabs>
                <w:tab w:val="decimal" w:pos="851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C96D06">
              <w:rPr>
                <w:sz w:val="18"/>
                <w:szCs w:val="18"/>
                <w:lang w:val="ru-RU"/>
              </w:rPr>
              <w:t>292 000</w:t>
            </w:r>
          </w:p>
        </w:tc>
        <w:tc>
          <w:tcPr>
            <w:tcW w:w="462" w:type="pct"/>
            <w:shd w:val="clear" w:color="auto" w:fill="auto"/>
          </w:tcPr>
          <w:p w:rsidR="00877B7C" w:rsidRPr="00C96D06" w:rsidRDefault="00877B7C" w:rsidP="00C96D06">
            <w:pPr>
              <w:tabs>
                <w:tab w:val="decimal" w:pos="851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C96D06">
              <w:rPr>
                <w:sz w:val="18"/>
                <w:szCs w:val="18"/>
                <w:lang w:val="ru-RU"/>
              </w:rPr>
              <w:t>292 000</w:t>
            </w:r>
          </w:p>
        </w:tc>
        <w:tc>
          <w:tcPr>
            <w:tcW w:w="434" w:type="pct"/>
            <w:shd w:val="clear" w:color="auto" w:fill="FFFFFF"/>
          </w:tcPr>
          <w:p w:rsidR="00877B7C" w:rsidRPr="00C96D06" w:rsidRDefault="00877B7C" w:rsidP="00C96D06">
            <w:pPr>
              <w:tabs>
                <w:tab w:val="decimal" w:pos="851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C96D06">
              <w:rPr>
                <w:sz w:val="18"/>
                <w:szCs w:val="18"/>
                <w:lang w:val="ru-RU"/>
              </w:rPr>
              <w:t>-</w:t>
            </w:r>
          </w:p>
        </w:tc>
        <w:tc>
          <w:tcPr>
            <w:tcW w:w="435" w:type="pct"/>
            <w:shd w:val="clear" w:color="auto" w:fill="FFFFFF"/>
          </w:tcPr>
          <w:p w:rsidR="00877B7C" w:rsidRPr="00C96D06" w:rsidRDefault="00877B7C" w:rsidP="00C96D06">
            <w:pPr>
              <w:tabs>
                <w:tab w:val="decimal" w:pos="851"/>
              </w:tabs>
              <w:spacing w:before="40" w:after="40"/>
              <w:rPr>
                <w:sz w:val="18"/>
                <w:szCs w:val="18"/>
                <w:lang w:val="ru-RU"/>
              </w:rPr>
            </w:pPr>
            <w:r w:rsidRPr="00C96D06">
              <w:rPr>
                <w:sz w:val="18"/>
                <w:szCs w:val="18"/>
                <w:lang w:val="ru-RU"/>
              </w:rPr>
              <w:t>-</w:t>
            </w:r>
          </w:p>
        </w:tc>
      </w:tr>
      <w:tr w:rsidR="00877B7C" w:rsidRPr="00C96D06" w:rsidTr="001D699F">
        <w:trPr>
          <w:jc w:val="right"/>
        </w:trPr>
        <w:tc>
          <w:tcPr>
            <w:tcW w:w="1413" w:type="pct"/>
            <w:shd w:val="clear" w:color="auto" w:fill="auto"/>
          </w:tcPr>
          <w:p w:rsidR="00877B7C" w:rsidRPr="00C96D06" w:rsidRDefault="00877B7C" w:rsidP="00C96D06">
            <w:pPr>
              <w:spacing w:before="40" w:after="40"/>
              <w:rPr>
                <w:b/>
                <w:sz w:val="18"/>
                <w:szCs w:val="18"/>
                <w:lang w:val="ru-RU"/>
              </w:rPr>
            </w:pPr>
            <w:r w:rsidRPr="00C96D06">
              <w:rPr>
                <w:b/>
                <w:sz w:val="18"/>
                <w:szCs w:val="18"/>
                <w:lang w:val="ru-RU"/>
              </w:rPr>
              <w:t xml:space="preserve">Итого расходы Платформы </w:t>
            </w:r>
          </w:p>
        </w:tc>
        <w:tc>
          <w:tcPr>
            <w:tcW w:w="462" w:type="pct"/>
            <w:shd w:val="clear" w:color="auto" w:fill="FFFFFF"/>
          </w:tcPr>
          <w:p w:rsidR="00877B7C" w:rsidRPr="00C96D06" w:rsidRDefault="00877B7C" w:rsidP="00C96D06">
            <w:pPr>
              <w:tabs>
                <w:tab w:val="decimal" w:pos="851"/>
              </w:tabs>
              <w:spacing w:before="40" w:after="40"/>
              <w:rPr>
                <w:b/>
                <w:sz w:val="18"/>
                <w:szCs w:val="18"/>
                <w:lang w:val="ru-RU"/>
              </w:rPr>
            </w:pPr>
            <w:r w:rsidRPr="00C96D06">
              <w:rPr>
                <w:b/>
                <w:sz w:val="18"/>
                <w:szCs w:val="18"/>
                <w:lang w:val="ru-RU"/>
              </w:rPr>
              <w:t>662 370</w:t>
            </w:r>
          </w:p>
        </w:tc>
        <w:tc>
          <w:tcPr>
            <w:tcW w:w="462" w:type="pct"/>
            <w:shd w:val="clear" w:color="auto" w:fill="FFFFFF"/>
          </w:tcPr>
          <w:p w:rsidR="00877B7C" w:rsidRPr="00C96D06" w:rsidRDefault="00877B7C" w:rsidP="00C96D06">
            <w:pPr>
              <w:tabs>
                <w:tab w:val="decimal" w:pos="851"/>
              </w:tabs>
              <w:spacing w:before="40" w:after="40"/>
              <w:rPr>
                <w:b/>
                <w:sz w:val="18"/>
                <w:szCs w:val="18"/>
                <w:lang w:val="ru-RU"/>
              </w:rPr>
            </w:pPr>
            <w:r w:rsidRPr="00C96D06">
              <w:rPr>
                <w:b/>
                <w:sz w:val="18"/>
                <w:szCs w:val="18"/>
                <w:lang w:val="ru-RU"/>
              </w:rPr>
              <w:t>1 040 740</w:t>
            </w:r>
          </w:p>
        </w:tc>
        <w:tc>
          <w:tcPr>
            <w:tcW w:w="435" w:type="pct"/>
            <w:shd w:val="clear" w:color="auto" w:fill="auto"/>
          </w:tcPr>
          <w:p w:rsidR="00877B7C" w:rsidRPr="00C96D06" w:rsidRDefault="00877B7C" w:rsidP="00C96D06">
            <w:pPr>
              <w:tabs>
                <w:tab w:val="decimal" w:pos="851"/>
              </w:tabs>
              <w:spacing w:before="40" w:after="40"/>
              <w:rPr>
                <w:b/>
                <w:sz w:val="18"/>
                <w:szCs w:val="18"/>
                <w:lang w:val="ru-RU"/>
              </w:rPr>
            </w:pPr>
            <w:r w:rsidRPr="00C96D06">
              <w:rPr>
                <w:b/>
                <w:sz w:val="18"/>
                <w:szCs w:val="18"/>
                <w:lang w:val="ru-RU"/>
              </w:rPr>
              <w:t>575 221</w:t>
            </w:r>
          </w:p>
        </w:tc>
        <w:tc>
          <w:tcPr>
            <w:tcW w:w="435" w:type="pct"/>
            <w:shd w:val="clear" w:color="auto" w:fill="auto"/>
          </w:tcPr>
          <w:p w:rsidR="00877B7C" w:rsidRPr="00C96D06" w:rsidRDefault="00877B7C" w:rsidP="00C96D06">
            <w:pPr>
              <w:tabs>
                <w:tab w:val="decimal" w:pos="851"/>
              </w:tabs>
              <w:spacing w:before="40" w:after="40"/>
              <w:rPr>
                <w:b/>
                <w:sz w:val="18"/>
                <w:szCs w:val="18"/>
                <w:lang w:val="ru-RU"/>
              </w:rPr>
            </w:pPr>
            <w:r w:rsidRPr="00C96D06">
              <w:rPr>
                <w:b/>
                <w:sz w:val="18"/>
                <w:szCs w:val="18"/>
                <w:lang w:val="ru-RU"/>
              </w:rPr>
              <w:t>1 150 442</w:t>
            </w:r>
          </w:p>
        </w:tc>
        <w:tc>
          <w:tcPr>
            <w:tcW w:w="462" w:type="pct"/>
            <w:shd w:val="clear" w:color="auto" w:fill="auto"/>
          </w:tcPr>
          <w:p w:rsidR="00877B7C" w:rsidRPr="00C96D06" w:rsidRDefault="00877B7C" w:rsidP="00C96D06">
            <w:pPr>
              <w:tabs>
                <w:tab w:val="decimal" w:pos="851"/>
              </w:tabs>
              <w:spacing w:before="40" w:after="40"/>
              <w:rPr>
                <w:b/>
                <w:sz w:val="18"/>
                <w:szCs w:val="18"/>
                <w:lang w:val="ru-RU"/>
              </w:rPr>
            </w:pPr>
            <w:r w:rsidRPr="00C96D06">
              <w:rPr>
                <w:b/>
                <w:sz w:val="18"/>
                <w:szCs w:val="18"/>
                <w:lang w:val="ru-RU"/>
              </w:rPr>
              <w:t>662 370</w:t>
            </w:r>
          </w:p>
        </w:tc>
        <w:tc>
          <w:tcPr>
            <w:tcW w:w="462" w:type="pct"/>
            <w:shd w:val="clear" w:color="auto" w:fill="auto"/>
          </w:tcPr>
          <w:p w:rsidR="00877B7C" w:rsidRPr="00C96D06" w:rsidRDefault="00877B7C" w:rsidP="00C96D06">
            <w:pPr>
              <w:tabs>
                <w:tab w:val="decimal" w:pos="851"/>
              </w:tabs>
              <w:spacing w:before="40" w:after="40"/>
              <w:rPr>
                <w:b/>
                <w:sz w:val="18"/>
                <w:szCs w:val="18"/>
                <w:lang w:val="ru-RU"/>
              </w:rPr>
            </w:pPr>
            <w:r w:rsidRPr="00C96D06">
              <w:rPr>
                <w:b/>
                <w:sz w:val="18"/>
                <w:szCs w:val="18"/>
                <w:lang w:val="ru-RU"/>
              </w:rPr>
              <w:t>1 032 740</w:t>
            </w:r>
          </w:p>
        </w:tc>
        <w:tc>
          <w:tcPr>
            <w:tcW w:w="434" w:type="pct"/>
            <w:shd w:val="clear" w:color="auto" w:fill="FFFFFF"/>
          </w:tcPr>
          <w:p w:rsidR="00877B7C" w:rsidRPr="00C96D06" w:rsidRDefault="00877B7C" w:rsidP="00C96D06">
            <w:pPr>
              <w:tabs>
                <w:tab w:val="decimal" w:pos="851"/>
              </w:tabs>
              <w:spacing w:before="40" w:after="40"/>
              <w:rPr>
                <w:b/>
                <w:sz w:val="18"/>
                <w:szCs w:val="18"/>
                <w:lang w:val="ru-RU"/>
              </w:rPr>
            </w:pPr>
            <w:r w:rsidRPr="00C96D06">
              <w:rPr>
                <w:b/>
                <w:sz w:val="18"/>
                <w:szCs w:val="18"/>
                <w:lang w:val="ru-RU"/>
              </w:rPr>
              <w:t>575 221</w:t>
            </w:r>
          </w:p>
        </w:tc>
        <w:tc>
          <w:tcPr>
            <w:tcW w:w="435" w:type="pct"/>
            <w:shd w:val="clear" w:color="auto" w:fill="FFFFFF"/>
          </w:tcPr>
          <w:p w:rsidR="00877B7C" w:rsidRPr="00C96D06" w:rsidRDefault="00877B7C" w:rsidP="00C96D06">
            <w:pPr>
              <w:tabs>
                <w:tab w:val="decimal" w:pos="851"/>
              </w:tabs>
              <w:spacing w:before="40" w:after="40"/>
              <w:rPr>
                <w:b/>
                <w:sz w:val="18"/>
                <w:szCs w:val="18"/>
                <w:lang w:val="ru-RU"/>
              </w:rPr>
            </w:pPr>
            <w:r w:rsidRPr="00C96D06">
              <w:rPr>
                <w:b/>
                <w:sz w:val="18"/>
                <w:szCs w:val="18"/>
                <w:lang w:val="ru-RU"/>
              </w:rPr>
              <w:t>1 150 442</w:t>
            </w:r>
          </w:p>
        </w:tc>
      </w:tr>
    </w:tbl>
    <w:p w:rsidR="00877B7C" w:rsidRPr="009B3BDD" w:rsidRDefault="00877B7C" w:rsidP="00877B7C">
      <w:pPr>
        <w:spacing w:after="120"/>
        <w:ind w:left="1248"/>
        <w:rPr>
          <w:sz w:val="20"/>
          <w:lang w:val="ru-RU"/>
        </w:rPr>
      </w:pPr>
    </w:p>
    <w:p w:rsidR="00877B7C" w:rsidRPr="002C080C" w:rsidRDefault="00877B7C" w:rsidP="00877B7C">
      <w:pPr>
        <w:spacing w:after="120"/>
        <w:ind w:left="1248"/>
        <w:rPr>
          <w:sz w:val="18"/>
          <w:lang w:val="ru-RU"/>
        </w:rPr>
      </w:pPr>
      <w:r w:rsidRPr="002C080C">
        <w:rPr>
          <w:sz w:val="18"/>
          <w:lang w:val="ru-RU"/>
        </w:rPr>
        <w:t xml:space="preserve">a </w:t>
      </w:r>
      <w:r w:rsidR="00C96D06" w:rsidRPr="002C080C">
        <w:rPr>
          <w:sz w:val="18"/>
          <w:lang w:val="ru-RU"/>
        </w:rPr>
        <w:tab/>
      </w:r>
      <w:r w:rsidRPr="002C080C">
        <w:rPr>
          <w:sz w:val="18"/>
          <w:lang w:val="ru-RU"/>
        </w:rPr>
        <w:t>Средние ориентировочные расходы фондов в ведении многостороннего целевого фонда, которые будут взиматься в качестве прямых расходов секретариатом Платформы, действующим в качестве секретариата фонда.</w:t>
      </w:r>
    </w:p>
    <w:p w:rsidR="00877B7C" w:rsidRPr="009B3BDD" w:rsidRDefault="00877B7C" w:rsidP="00877B7C">
      <w:pPr>
        <w:spacing w:after="120"/>
        <w:ind w:left="1248"/>
        <w:rPr>
          <w:sz w:val="20"/>
          <w:lang w:val="ru-RU"/>
        </w:rPr>
      </w:pPr>
      <w:r w:rsidRPr="002C080C">
        <w:rPr>
          <w:sz w:val="18"/>
          <w:lang w:val="ru-RU"/>
        </w:rPr>
        <w:t xml:space="preserve">b </w:t>
      </w:r>
      <w:r w:rsidR="00C96D06" w:rsidRPr="002C080C">
        <w:rPr>
          <w:sz w:val="18"/>
          <w:lang w:val="ru-RU"/>
        </w:rPr>
        <w:tab/>
      </w:r>
      <w:r w:rsidRPr="002C080C">
        <w:rPr>
          <w:sz w:val="18"/>
          <w:lang w:val="ru-RU"/>
        </w:rPr>
        <w:t>Дополнительные расходы целевого фонда для формирования оставшейся части расходов на две должности (по административным и финансовым вопросам).</w:t>
      </w:r>
    </w:p>
    <w:p w:rsidR="00877B7C" w:rsidRPr="009B3BDD" w:rsidRDefault="00877B7C" w:rsidP="00877B7C">
      <w:pPr>
        <w:spacing w:after="120"/>
        <w:ind w:left="1248"/>
        <w:rPr>
          <w:sz w:val="20"/>
          <w:lang w:val="ru-RU"/>
        </w:rPr>
        <w:sectPr w:rsidR="00877B7C" w:rsidRPr="009B3BDD" w:rsidSect="00033C5D">
          <w:headerReference w:type="even" r:id="rId18"/>
          <w:headerReference w:type="default" r:id="rId19"/>
          <w:headerReference w:type="first" r:id="rId20"/>
          <w:footerReference w:type="first" r:id="rId21"/>
          <w:pgSz w:w="16838" w:h="11906" w:orient="landscape" w:code="9"/>
          <w:pgMar w:top="907" w:right="992" w:bottom="1418" w:left="1418" w:header="539" w:footer="975" w:gutter="0"/>
          <w:cols w:space="708"/>
          <w:titlePg/>
          <w:docGrid w:linePitch="360"/>
        </w:sectPr>
      </w:pPr>
    </w:p>
    <w:p w:rsidR="00877B7C" w:rsidRPr="009B3BDD" w:rsidRDefault="00183044" w:rsidP="00877B7C">
      <w:pPr>
        <w:spacing w:after="120"/>
        <w:ind w:left="1248"/>
        <w:rPr>
          <w:sz w:val="20"/>
          <w:lang w:val="ru-RU"/>
        </w:rPr>
      </w:pPr>
      <w:r w:rsidRPr="00183044">
        <w:rPr>
          <w:sz w:val="20"/>
          <w:lang w:val="ru-RU"/>
        </w:rPr>
        <w:lastRenderedPageBreak/>
        <w:t>20.</w:t>
      </w:r>
      <w:r w:rsidRPr="00183044">
        <w:rPr>
          <w:sz w:val="20"/>
          <w:lang w:val="ru-RU"/>
        </w:rPr>
        <w:tab/>
      </w:r>
      <w:r w:rsidR="00877B7C" w:rsidRPr="009B3BDD">
        <w:rPr>
          <w:sz w:val="20"/>
          <w:lang w:val="ru-RU"/>
        </w:rPr>
        <w:t>В таблице 2 проводится сравнение расходов Платформы при различных изложенных вариантах. Представлены два варианта бюджета (5 млн. долл. США и 10 млн. долл. США), соответствующих предполагаемому объему ежегодных расходов Платформы. Расходы на программную поддержку (для вариантов 2.A, B и C) и расходы на административного агента (вариант 1) увязаны с долей затрат от общих расходов по каждому варианту. Прямые расходы Платформы образуются в рамках вариантов 1 и 2.В для покрытия расходов секретариата Платформы с тем, чтобы обеспечить больший объем финансовых и административных функций по сравнению с административным агентом или ЮНЕП в качестве секретариата.</w:t>
      </w:r>
    </w:p>
    <w:p w:rsidR="00447224" w:rsidRPr="00DA5D89" w:rsidRDefault="00DA5D89" w:rsidP="00B54C32">
      <w:pPr>
        <w:spacing w:before="360" w:after="240"/>
        <w:ind w:left="1247" w:right="567"/>
        <w:jc w:val="center"/>
        <w:rPr>
          <w:sz w:val="20"/>
          <w:lang w:val="ru-RU"/>
        </w:rPr>
      </w:pPr>
      <w:r w:rsidRPr="00DA5D89">
        <w:rPr>
          <w:sz w:val="20"/>
          <w:lang w:val="en-US"/>
        </w:rPr>
        <w:t>________________________</w:t>
      </w:r>
    </w:p>
    <w:sectPr w:rsidR="00447224" w:rsidRPr="00DA5D89" w:rsidSect="00877B7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907" w:right="992" w:bottom="1418" w:left="1418" w:header="539" w:footer="97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B02" w:rsidRDefault="00636B02">
      <w:r>
        <w:separator/>
      </w:r>
    </w:p>
  </w:endnote>
  <w:endnote w:type="continuationSeparator" w:id="0">
    <w:p w:rsidR="00636B02" w:rsidRDefault="0063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7C" w:rsidRPr="00C758E4" w:rsidRDefault="00877B7C">
    <w:pPr>
      <w:pStyle w:val="Footer"/>
      <w:rPr>
        <w:b/>
        <w:sz w:val="18"/>
        <w:szCs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 \* MERGEFORMAT </w:instrText>
    </w:r>
    <w:r>
      <w:rPr>
        <w:b/>
        <w:sz w:val="18"/>
      </w:rPr>
      <w:fldChar w:fldCharType="separate"/>
    </w:r>
    <w:r w:rsidR="00D617C5">
      <w:rPr>
        <w:b/>
        <w:noProof/>
        <w:sz w:val="18"/>
      </w:rPr>
      <w:t>8</w:t>
    </w:r>
    <w:r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7C" w:rsidRPr="00C758E4" w:rsidRDefault="00877B7C">
    <w:pPr>
      <w:pStyle w:val="Footer"/>
      <w:jc w:val="right"/>
      <w:rPr>
        <w:b/>
        <w:sz w:val="18"/>
        <w:szCs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 \* MERGEFORMAT </w:instrText>
    </w:r>
    <w:r>
      <w:rPr>
        <w:b/>
        <w:sz w:val="18"/>
      </w:rPr>
      <w:fldChar w:fldCharType="separate"/>
    </w:r>
    <w:r w:rsidR="00D617C5">
      <w:rPr>
        <w:b/>
        <w:noProof/>
        <w:sz w:val="18"/>
      </w:rPr>
      <w:t>9</w:t>
    </w:r>
    <w:r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7C" w:rsidRPr="00864922" w:rsidRDefault="00877B7C" w:rsidP="00033C5D">
    <w:pPr>
      <w:pStyle w:val="Footer"/>
      <w:tabs>
        <w:tab w:val="left" w:pos="624"/>
      </w:tabs>
      <w:rPr>
        <w:sz w:val="20"/>
        <w:szCs w:val="20"/>
      </w:rPr>
    </w:pPr>
    <w:r>
      <w:rPr>
        <w:sz w:val="20"/>
      </w:rPr>
      <w:t>K</w:t>
    </w:r>
    <w:r w:rsidR="00790F96">
      <w:rPr>
        <w:sz w:val="20"/>
      </w:rPr>
      <w:t>1353507       18</w:t>
    </w:r>
    <w:r>
      <w:rPr>
        <w:sz w:val="20"/>
      </w:rPr>
      <w:t>1113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7C" w:rsidRPr="000A3562" w:rsidRDefault="00877B7C" w:rsidP="00033C5D">
    <w:pPr>
      <w:pStyle w:val="Normal-pool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D617C5">
      <w:rPr>
        <w:b/>
        <w:noProof/>
      </w:rPr>
      <w:t>10</w:t>
    </w:r>
    <w:r>
      <w:rPr>
        <w:b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5B" w:rsidRPr="0062380B" w:rsidRDefault="00F8265B" w:rsidP="00A102AA">
    <w:pPr>
      <w:pStyle w:val="Footer"/>
      <w:tabs>
        <w:tab w:val="clear" w:pos="4320"/>
        <w:tab w:val="clear" w:pos="8640"/>
      </w:tabs>
      <w:spacing w:before="60" w:after="120"/>
      <w:rPr>
        <w:rStyle w:val="PageNumber"/>
        <w:sz w:val="18"/>
        <w:szCs w:val="18"/>
      </w:rPr>
    </w:pPr>
    <w:r w:rsidRPr="0062380B">
      <w:rPr>
        <w:rStyle w:val="PageNumber"/>
        <w:sz w:val="18"/>
        <w:szCs w:val="18"/>
      </w:rPr>
      <w:fldChar w:fldCharType="begin"/>
    </w:r>
    <w:r w:rsidRPr="0062380B">
      <w:rPr>
        <w:rStyle w:val="PageNumber"/>
        <w:sz w:val="18"/>
        <w:szCs w:val="18"/>
      </w:rPr>
      <w:instrText xml:space="preserve"> PAGE </w:instrText>
    </w:r>
    <w:r w:rsidRPr="0062380B">
      <w:rPr>
        <w:rStyle w:val="PageNumber"/>
        <w:sz w:val="18"/>
        <w:szCs w:val="18"/>
      </w:rPr>
      <w:fldChar w:fldCharType="separate"/>
    </w:r>
    <w:r w:rsidR="00877B7C">
      <w:rPr>
        <w:rStyle w:val="PageNumber"/>
        <w:noProof/>
        <w:sz w:val="18"/>
        <w:szCs w:val="18"/>
      </w:rPr>
      <w:t>6</w:t>
    </w:r>
    <w:r w:rsidRPr="0062380B">
      <w:rPr>
        <w:rStyle w:val="PageNumber"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5B" w:rsidRPr="0062380B" w:rsidRDefault="00F8265B" w:rsidP="0062380B">
    <w:pPr>
      <w:pStyle w:val="Footer"/>
      <w:tabs>
        <w:tab w:val="clear" w:pos="4320"/>
        <w:tab w:val="clear" w:pos="8640"/>
      </w:tabs>
      <w:spacing w:before="60" w:after="120"/>
      <w:jc w:val="right"/>
      <w:rPr>
        <w:sz w:val="18"/>
        <w:szCs w:val="18"/>
      </w:rPr>
    </w:pPr>
    <w:r w:rsidRPr="0062380B">
      <w:rPr>
        <w:rStyle w:val="PageNumber"/>
        <w:sz w:val="18"/>
        <w:szCs w:val="18"/>
      </w:rPr>
      <w:fldChar w:fldCharType="begin"/>
    </w:r>
    <w:r w:rsidRPr="0062380B">
      <w:rPr>
        <w:rStyle w:val="PageNumber"/>
        <w:sz w:val="18"/>
        <w:szCs w:val="18"/>
      </w:rPr>
      <w:instrText xml:space="preserve"> PAGE </w:instrText>
    </w:r>
    <w:r w:rsidRPr="0062380B">
      <w:rPr>
        <w:rStyle w:val="PageNumber"/>
        <w:sz w:val="18"/>
        <w:szCs w:val="18"/>
      </w:rPr>
      <w:fldChar w:fldCharType="separate"/>
    </w:r>
    <w:r w:rsidR="00D617C5">
      <w:rPr>
        <w:rStyle w:val="PageNumber"/>
        <w:noProof/>
        <w:sz w:val="18"/>
        <w:szCs w:val="18"/>
      </w:rPr>
      <w:t>11</w:t>
    </w:r>
    <w:r w:rsidRPr="0062380B">
      <w:rPr>
        <w:rStyle w:val="PageNumber"/>
        <w:sz w:val="18"/>
        <w:szCs w:val="1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5B" w:rsidRDefault="00F8265B" w:rsidP="005454AE">
    <w:pPr>
      <w:pStyle w:val="Footer"/>
      <w:tabs>
        <w:tab w:val="clear" w:pos="4320"/>
        <w:tab w:val="clear" w:pos="8640"/>
      </w:tabs>
      <w:spacing w:before="0" w:after="60"/>
      <w:ind w:left="624"/>
      <w:rPr>
        <w:sz w:val="20"/>
        <w:szCs w:val="20"/>
        <w:lang w:val="en-US"/>
      </w:rPr>
    </w:pPr>
    <w:r>
      <w:rPr>
        <w:sz w:val="20"/>
        <w:szCs w:val="20"/>
        <w:lang w:val="en-US"/>
      </w:rPr>
      <w:t>__________________________</w:t>
    </w:r>
  </w:p>
  <w:p w:rsidR="00F8265B" w:rsidRPr="005454AE" w:rsidRDefault="00F8265B" w:rsidP="005454AE">
    <w:pPr>
      <w:pStyle w:val="Footer"/>
      <w:tabs>
        <w:tab w:val="clear" w:pos="4320"/>
        <w:tab w:val="clear" w:pos="8640"/>
      </w:tabs>
      <w:spacing w:before="0" w:after="120"/>
      <w:ind w:left="1248"/>
      <w:rPr>
        <w:sz w:val="18"/>
        <w:szCs w:val="18"/>
        <w:lang w:val="en-US"/>
      </w:rPr>
    </w:pPr>
    <w:r w:rsidRPr="008E57F8">
      <w:rPr>
        <w:sz w:val="18"/>
        <w:szCs w:val="18"/>
        <w:vertAlign w:val="superscript"/>
        <w:lang w:val="en-US"/>
      </w:rPr>
      <w:t>*</w:t>
    </w:r>
    <w:r w:rsidRPr="005454AE"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>IPBES</w:t>
    </w:r>
    <w:r>
      <w:rPr>
        <w:sz w:val="18"/>
        <w:szCs w:val="18"/>
        <w:lang w:val="ru-RU"/>
      </w:rPr>
      <w:t>/</w:t>
    </w:r>
    <w:r>
      <w:rPr>
        <w:sz w:val="18"/>
        <w:szCs w:val="18"/>
        <w:lang w:val="en-US"/>
      </w:rPr>
      <w:t>2/1.</w:t>
    </w:r>
  </w:p>
  <w:p w:rsidR="00F8265B" w:rsidRPr="0062380B" w:rsidRDefault="00F8265B" w:rsidP="005454AE">
    <w:pPr>
      <w:pStyle w:val="Footer"/>
      <w:tabs>
        <w:tab w:val="clear" w:pos="4320"/>
        <w:tab w:val="clear" w:pos="8640"/>
      </w:tabs>
      <w:spacing w:before="0"/>
      <w:rPr>
        <w:sz w:val="20"/>
        <w:szCs w:val="20"/>
        <w:lang w:val="ru-RU"/>
      </w:rPr>
    </w:pPr>
    <w:r w:rsidRPr="0062380B">
      <w:rPr>
        <w:sz w:val="20"/>
        <w:szCs w:val="20"/>
      </w:rPr>
      <w:t>K1</w:t>
    </w:r>
    <w:r>
      <w:rPr>
        <w:sz w:val="20"/>
        <w:szCs w:val="20"/>
      </w:rPr>
      <w:t>3533</w:t>
    </w:r>
    <w:r w:rsidR="00EB48EF">
      <w:rPr>
        <w:sz w:val="20"/>
        <w:szCs w:val="20"/>
        <w:lang w:val="ru-RU"/>
      </w:rPr>
      <w:t>36</w:t>
    </w:r>
    <w:r w:rsidRPr="0062380B">
      <w:rPr>
        <w:sz w:val="20"/>
        <w:szCs w:val="20"/>
        <w:lang w:val="en-US"/>
      </w:rPr>
      <w:t xml:space="preserve">      </w:t>
    </w:r>
    <w:r w:rsidR="004C4758">
      <w:rPr>
        <w:sz w:val="20"/>
        <w:szCs w:val="20"/>
        <w:lang w:val="en-US"/>
      </w:rPr>
      <w:t>01</w:t>
    </w:r>
    <w:r>
      <w:rPr>
        <w:sz w:val="20"/>
        <w:szCs w:val="20"/>
        <w:lang w:val="en-US"/>
      </w:rPr>
      <w:t>1</w:t>
    </w:r>
    <w:r w:rsidR="004C4758">
      <w:rPr>
        <w:sz w:val="20"/>
        <w:szCs w:val="20"/>
        <w:lang w:val="en-US"/>
      </w:rPr>
      <w:t>1</w:t>
    </w:r>
    <w:r>
      <w:rPr>
        <w:sz w:val="20"/>
        <w:szCs w:val="20"/>
        <w:lang w:val="en-US"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B02" w:rsidRPr="00DA5D89" w:rsidRDefault="00636B02" w:rsidP="00DA5D89">
      <w:pPr>
        <w:spacing w:after="120"/>
        <w:ind w:left="624"/>
        <w:rPr>
          <w:sz w:val="20"/>
        </w:rPr>
      </w:pPr>
      <w:r w:rsidRPr="00DA5D89">
        <w:rPr>
          <w:sz w:val="20"/>
        </w:rPr>
        <w:separator/>
      </w:r>
    </w:p>
  </w:footnote>
  <w:footnote w:type="continuationSeparator" w:id="0">
    <w:p w:rsidR="00636B02" w:rsidRDefault="00636B02">
      <w:pPr>
        <w:spacing w:before="120" w:after="60"/>
        <w:ind w:left="624"/>
      </w:pPr>
      <w:r>
        <w:continuationSeparator/>
      </w:r>
    </w:p>
  </w:footnote>
  <w:footnote w:type="continuationNotice" w:id="1">
    <w:p w:rsidR="00636B02" w:rsidRDefault="00636B02">
      <w:pPr>
        <w:spacing w:before="120" w:after="60"/>
        <w:ind w:left="62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7C" w:rsidRPr="00877B7C" w:rsidRDefault="00877B7C" w:rsidP="00033C5D">
    <w:pPr>
      <w:pStyle w:val="Header"/>
      <w:spacing w:after="120"/>
      <w:rPr>
        <w:rFonts w:hAnsi="Times New Roman"/>
        <w:sz w:val="18"/>
        <w:szCs w:val="18"/>
      </w:rPr>
    </w:pPr>
    <w:r w:rsidRPr="00877B7C">
      <w:rPr>
        <w:rFonts w:hAnsi="Times New Roman"/>
        <w:sz w:val="18"/>
      </w:rPr>
      <w:t>IPBES/2/6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7C" w:rsidRPr="00877B7C" w:rsidRDefault="00877B7C" w:rsidP="00033C5D">
    <w:pPr>
      <w:pStyle w:val="Header"/>
      <w:jc w:val="right"/>
      <w:rPr>
        <w:rFonts w:hAnsi="Times New Roman"/>
        <w:sz w:val="18"/>
        <w:szCs w:val="18"/>
      </w:rPr>
    </w:pPr>
    <w:r w:rsidRPr="00877B7C">
      <w:rPr>
        <w:rFonts w:hAnsi="Times New Roman"/>
        <w:sz w:val="18"/>
      </w:rPr>
      <w:t>IPBES/2/6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7C" w:rsidRDefault="00636B02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580727" o:spid="_x0000_s2053" type="#_x0000_t136" style="position:absolute;margin-left:0;margin-top:0;width:525.3pt;height:150.05pt;rotation:315;z-index:-25165926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DVANC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7C" w:rsidRDefault="00636B02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9580728" o:spid="_x0000_s2054" type="#_x0000_t136" style="position:absolute;margin-left:0;margin-top:0;width:525.3pt;height:150.05pt;rotation:315;z-index:-25165824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DVANC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7C" w:rsidRPr="00877B7C" w:rsidRDefault="00877B7C" w:rsidP="00033C5D">
    <w:pPr>
      <w:pStyle w:val="Header"/>
      <w:spacing w:after="120"/>
      <w:rPr>
        <w:rFonts w:hAnsi="Times New Roman"/>
        <w:sz w:val="18"/>
        <w:szCs w:val="18"/>
      </w:rPr>
    </w:pPr>
    <w:r w:rsidRPr="00877B7C">
      <w:rPr>
        <w:rFonts w:hAnsi="Times New Roman"/>
        <w:sz w:val="18"/>
      </w:rPr>
      <w:t>IPBES/2/6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5B" w:rsidRPr="00EB48EF" w:rsidRDefault="00F8265B" w:rsidP="0062380B">
    <w:pPr>
      <w:pStyle w:val="Header"/>
      <w:spacing w:after="120"/>
      <w:rPr>
        <w:sz w:val="18"/>
        <w:szCs w:val="18"/>
      </w:rPr>
    </w:pPr>
    <w:r w:rsidRPr="0062380B">
      <w:rPr>
        <w:sz w:val="18"/>
        <w:szCs w:val="18"/>
        <w:lang w:val="en-US"/>
      </w:rPr>
      <w:t>IPBES</w:t>
    </w:r>
    <w:r w:rsidRPr="0062380B">
      <w:rPr>
        <w:sz w:val="18"/>
        <w:szCs w:val="18"/>
      </w:rPr>
      <w:t>/</w:t>
    </w:r>
    <w:r>
      <w:rPr>
        <w:sz w:val="18"/>
        <w:szCs w:val="18"/>
        <w:lang w:val="en-US"/>
      </w:rPr>
      <w:t>2/16/Add.</w:t>
    </w:r>
    <w:r w:rsidR="00EB48EF">
      <w:rPr>
        <w:sz w:val="18"/>
        <w:szCs w:val="18"/>
      </w:rPr>
      <w:t>6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5B" w:rsidRPr="00EB48EF" w:rsidRDefault="00F8265B" w:rsidP="00A102AA">
    <w:pPr>
      <w:pStyle w:val="Header"/>
      <w:spacing w:after="120"/>
      <w:jc w:val="right"/>
      <w:rPr>
        <w:sz w:val="18"/>
        <w:szCs w:val="18"/>
      </w:rPr>
    </w:pPr>
    <w:r w:rsidRPr="0062380B">
      <w:rPr>
        <w:sz w:val="18"/>
        <w:szCs w:val="18"/>
        <w:lang w:val="en-US"/>
      </w:rPr>
      <w:t>IPBES</w:t>
    </w:r>
    <w:r w:rsidRPr="0062380B">
      <w:rPr>
        <w:sz w:val="18"/>
        <w:szCs w:val="18"/>
      </w:rPr>
      <w:t>/</w:t>
    </w:r>
    <w:r>
      <w:rPr>
        <w:sz w:val="18"/>
        <w:szCs w:val="18"/>
        <w:lang w:val="en-US"/>
      </w:rPr>
      <w:t>2/</w:t>
    </w:r>
    <w:r w:rsidR="00EB48EF">
      <w:rPr>
        <w:sz w:val="18"/>
        <w:szCs w:val="18"/>
      </w:rPr>
      <w:t>6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5B" w:rsidRPr="00BF5EDC" w:rsidRDefault="00F8265B" w:rsidP="0062380B">
    <w:pPr>
      <w:pStyle w:val="Header"/>
      <w:pBdr>
        <w:bottom w:val="none" w:sz="0" w:space="0" w:color="auto"/>
      </w:pBd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5C12"/>
    <w:multiLevelType w:val="hybridMultilevel"/>
    <w:tmpl w:val="F34EA48C"/>
    <w:lvl w:ilvl="0" w:tplc="C51C79C0">
      <w:start w:val="1"/>
      <w:numFmt w:val="upperRoman"/>
      <w:pStyle w:val="Heading1"/>
      <w:lvlText w:val="%1."/>
      <w:lvlJc w:val="left"/>
      <w:pPr>
        <w:tabs>
          <w:tab w:val="num" w:pos="1871"/>
        </w:tabs>
        <w:ind w:left="1247" w:firstLine="0"/>
      </w:pPr>
      <w:rPr>
        <w:rFonts w:hAnsi="Times New Roman Bold" w:hint="default"/>
        <w:b/>
        <w:i w:val="0"/>
        <w:color w:val="auto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44838"/>
    <w:multiLevelType w:val="multilevel"/>
    <w:tmpl w:val="73DEA2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upperLetter"/>
      <w:pStyle w:val="Heading8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9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evenAndOddHeaders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2F"/>
    <w:rsid w:val="000050A4"/>
    <w:rsid w:val="00014DD8"/>
    <w:rsid w:val="0002592C"/>
    <w:rsid w:val="00033C5D"/>
    <w:rsid w:val="00053FE9"/>
    <w:rsid w:val="0006063D"/>
    <w:rsid w:val="00071F60"/>
    <w:rsid w:val="00073EEF"/>
    <w:rsid w:val="000841F1"/>
    <w:rsid w:val="00087F22"/>
    <w:rsid w:val="00095479"/>
    <w:rsid w:val="00096F24"/>
    <w:rsid w:val="000A73E9"/>
    <w:rsid w:val="000A7A4B"/>
    <w:rsid w:val="000C5483"/>
    <w:rsid w:val="000E4374"/>
    <w:rsid w:val="000F67C1"/>
    <w:rsid w:val="000F799F"/>
    <w:rsid w:val="00105BC1"/>
    <w:rsid w:val="0010795B"/>
    <w:rsid w:val="00107A78"/>
    <w:rsid w:val="00112CD6"/>
    <w:rsid w:val="0011549E"/>
    <w:rsid w:val="00175B68"/>
    <w:rsid w:val="00180CE2"/>
    <w:rsid w:val="00181A1C"/>
    <w:rsid w:val="00183044"/>
    <w:rsid w:val="00186FAA"/>
    <w:rsid w:val="001957CE"/>
    <w:rsid w:val="001A15F9"/>
    <w:rsid w:val="001A6E71"/>
    <w:rsid w:val="001D699F"/>
    <w:rsid w:val="001E057A"/>
    <w:rsid w:val="001F1892"/>
    <w:rsid w:val="0020102D"/>
    <w:rsid w:val="002012E7"/>
    <w:rsid w:val="002058FE"/>
    <w:rsid w:val="00233352"/>
    <w:rsid w:val="00234D13"/>
    <w:rsid w:val="00241123"/>
    <w:rsid w:val="00241723"/>
    <w:rsid w:val="00272524"/>
    <w:rsid w:val="00285488"/>
    <w:rsid w:val="002978C0"/>
    <w:rsid w:val="002B71C3"/>
    <w:rsid w:val="002C080C"/>
    <w:rsid w:val="002C109B"/>
    <w:rsid w:val="002D6A71"/>
    <w:rsid w:val="00307E6A"/>
    <w:rsid w:val="00313B41"/>
    <w:rsid w:val="003252BE"/>
    <w:rsid w:val="003307C8"/>
    <w:rsid w:val="003319F8"/>
    <w:rsid w:val="0034494F"/>
    <w:rsid w:val="003508D2"/>
    <w:rsid w:val="003636B5"/>
    <w:rsid w:val="00364904"/>
    <w:rsid w:val="00393359"/>
    <w:rsid w:val="0039436F"/>
    <w:rsid w:val="003B3D05"/>
    <w:rsid w:val="003C748F"/>
    <w:rsid w:val="003E055A"/>
    <w:rsid w:val="00407040"/>
    <w:rsid w:val="004102FE"/>
    <w:rsid w:val="004157ED"/>
    <w:rsid w:val="00432B69"/>
    <w:rsid w:val="004412E8"/>
    <w:rsid w:val="00447224"/>
    <w:rsid w:val="00455229"/>
    <w:rsid w:val="004575BF"/>
    <w:rsid w:val="004636B6"/>
    <w:rsid w:val="004758D9"/>
    <w:rsid w:val="004A23B3"/>
    <w:rsid w:val="004C23D5"/>
    <w:rsid w:val="004C4758"/>
    <w:rsid w:val="004E180E"/>
    <w:rsid w:val="004E61C4"/>
    <w:rsid w:val="004F0E4B"/>
    <w:rsid w:val="004F44B7"/>
    <w:rsid w:val="005061FD"/>
    <w:rsid w:val="005454AE"/>
    <w:rsid w:val="00553F69"/>
    <w:rsid w:val="00554DE5"/>
    <w:rsid w:val="00580798"/>
    <w:rsid w:val="005817BF"/>
    <w:rsid w:val="005B52D5"/>
    <w:rsid w:val="005C0908"/>
    <w:rsid w:val="005C56A7"/>
    <w:rsid w:val="005C6B2E"/>
    <w:rsid w:val="005D3B69"/>
    <w:rsid w:val="005F065F"/>
    <w:rsid w:val="005F63F1"/>
    <w:rsid w:val="0062201A"/>
    <w:rsid w:val="0062380B"/>
    <w:rsid w:val="00636B02"/>
    <w:rsid w:val="00644A20"/>
    <w:rsid w:val="006B79AE"/>
    <w:rsid w:val="006C38D6"/>
    <w:rsid w:val="006E509B"/>
    <w:rsid w:val="006F4F42"/>
    <w:rsid w:val="0072563B"/>
    <w:rsid w:val="00727303"/>
    <w:rsid w:val="00742D10"/>
    <w:rsid w:val="007519BF"/>
    <w:rsid w:val="00790F96"/>
    <w:rsid w:val="0079249D"/>
    <w:rsid w:val="007A07F1"/>
    <w:rsid w:val="007B0840"/>
    <w:rsid w:val="007B16F5"/>
    <w:rsid w:val="007C33DF"/>
    <w:rsid w:val="007C3D01"/>
    <w:rsid w:val="007D0EAE"/>
    <w:rsid w:val="007E0B2E"/>
    <w:rsid w:val="007E49FD"/>
    <w:rsid w:val="007F7997"/>
    <w:rsid w:val="007F7DB1"/>
    <w:rsid w:val="008424D4"/>
    <w:rsid w:val="008715EB"/>
    <w:rsid w:val="00875095"/>
    <w:rsid w:val="00877B7C"/>
    <w:rsid w:val="0088680D"/>
    <w:rsid w:val="008A352A"/>
    <w:rsid w:val="008B4255"/>
    <w:rsid w:val="008B5641"/>
    <w:rsid w:val="008B5797"/>
    <w:rsid w:val="008D5401"/>
    <w:rsid w:val="008E35C8"/>
    <w:rsid w:val="008E57F8"/>
    <w:rsid w:val="009107EC"/>
    <w:rsid w:val="00920ACE"/>
    <w:rsid w:val="00940AD5"/>
    <w:rsid w:val="009550DD"/>
    <w:rsid w:val="00967246"/>
    <w:rsid w:val="00993BDA"/>
    <w:rsid w:val="009B2E17"/>
    <w:rsid w:val="009E2078"/>
    <w:rsid w:val="00A102AA"/>
    <w:rsid w:val="00A14EDD"/>
    <w:rsid w:val="00A23F42"/>
    <w:rsid w:val="00A4755A"/>
    <w:rsid w:val="00A53044"/>
    <w:rsid w:val="00A60904"/>
    <w:rsid w:val="00A6391A"/>
    <w:rsid w:val="00A72B6D"/>
    <w:rsid w:val="00A76F26"/>
    <w:rsid w:val="00A81B0A"/>
    <w:rsid w:val="00AB25CD"/>
    <w:rsid w:val="00AC43B2"/>
    <w:rsid w:val="00AD2430"/>
    <w:rsid w:val="00AD245D"/>
    <w:rsid w:val="00AD6BB1"/>
    <w:rsid w:val="00AF3319"/>
    <w:rsid w:val="00B0105E"/>
    <w:rsid w:val="00B146B0"/>
    <w:rsid w:val="00B239A3"/>
    <w:rsid w:val="00B513F1"/>
    <w:rsid w:val="00B54C32"/>
    <w:rsid w:val="00B54E4C"/>
    <w:rsid w:val="00B667AE"/>
    <w:rsid w:val="00B73E6C"/>
    <w:rsid w:val="00B76EFD"/>
    <w:rsid w:val="00B84389"/>
    <w:rsid w:val="00BD5C68"/>
    <w:rsid w:val="00BE2D16"/>
    <w:rsid w:val="00BF0698"/>
    <w:rsid w:val="00BF5EDC"/>
    <w:rsid w:val="00C0300E"/>
    <w:rsid w:val="00C333E2"/>
    <w:rsid w:val="00C44B44"/>
    <w:rsid w:val="00C46823"/>
    <w:rsid w:val="00C5192F"/>
    <w:rsid w:val="00C60102"/>
    <w:rsid w:val="00C60ACA"/>
    <w:rsid w:val="00C74798"/>
    <w:rsid w:val="00C93C9A"/>
    <w:rsid w:val="00C96D06"/>
    <w:rsid w:val="00CC07A5"/>
    <w:rsid w:val="00D016AE"/>
    <w:rsid w:val="00D2428C"/>
    <w:rsid w:val="00D26430"/>
    <w:rsid w:val="00D5342E"/>
    <w:rsid w:val="00D617C5"/>
    <w:rsid w:val="00D633C1"/>
    <w:rsid w:val="00D63F9D"/>
    <w:rsid w:val="00D760CC"/>
    <w:rsid w:val="00D91D7A"/>
    <w:rsid w:val="00DA3E50"/>
    <w:rsid w:val="00DA5D89"/>
    <w:rsid w:val="00DC073D"/>
    <w:rsid w:val="00DC35C6"/>
    <w:rsid w:val="00DC56A2"/>
    <w:rsid w:val="00DE1A7C"/>
    <w:rsid w:val="00E45AF1"/>
    <w:rsid w:val="00E51248"/>
    <w:rsid w:val="00E524A3"/>
    <w:rsid w:val="00E64317"/>
    <w:rsid w:val="00E6601E"/>
    <w:rsid w:val="00E738D6"/>
    <w:rsid w:val="00E9094C"/>
    <w:rsid w:val="00EB1AC7"/>
    <w:rsid w:val="00EB48EF"/>
    <w:rsid w:val="00EC746F"/>
    <w:rsid w:val="00ED65C1"/>
    <w:rsid w:val="00EE71A1"/>
    <w:rsid w:val="00EF5623"/>
    <w:rsid w:val="00F01037"/>
    <w:rsid w:val="00F102A2"/>
    <w:rsid w:val="00F550EE"/>
    <w:rsid w:val="00F758CC"/>
    <w:rsid w:val="00F8265B"/>
    <w:rsid w:val="00F87519"/>
    <w:rsid w:val="00FA7CB3"/>
    <w:rsid w:val="00FC5FFD"/>
    <w:rsid w:val="00FE1CC8"/>
    <w:rsid w:val="00FE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next w:val="Normal"/>
    <w:autoRedefine/>
    <w:qFormat/>
    <w:pPr>
      <w:keepNext/>
      <w:numPr>
        <w:numId w:val="2"/>
      </w:numPr>
      <w:spacing w:after="240"/>
      <w:ind w:right="567"/>
      <w:outlineLvl w:val="0"/>
    </w:pPr>
    <w:rPr>
      <w:rFonts w:hAnsi="Times New Roman Bold"/>
      <w:b/>
      <w:sz w:val="28"/>
      <w:szCs w:val="28"/>
      <w:lang w:val="en-GB"/>
    </w:rPr>
  </w:style>
  <w:style w:type="paragraph" w:styleId="Heading2">
    <w:name w:val="heading 2"/>
    <w:aliases w:val="Chpt"/>
    <w:next w:val="Normal"/>
    <w:autoRedefine/>
    <w:qFormat/>
    <w:rsid w:val="003508D2"/>
    <w:pPr>
      <w:keepNext/>
      <w:jc w:val="right"/>
      <w:outlineLvl w:val="1"/>
    </w:pPr>
    <w:rPr>
      <w:rFonts w:ascii="Arial" w:hAnsi="Arial" w:cs="Arial"/>
      <w:b/>
      <w:sz w:val="64"/>
      <w:szCs w:val="64"/>
      <w:lang w:val="en-GB"/>
    </w:rPr>
  </w:style>
  <w:style w:type="paragraph" w:styleId="Heading3">
    <w:name w:val="heading 3"/>
    <w:aliases w:val="Sec"/>
    <w:next w:val="Normal"/>
    <w:autoRedefine/>
    <w:qFormat/>
    <w:pPr>
      <w:keepNext/>
      <w:spacing w:after="200"/>
      <w:outlineLvl w:val="2"/>
    </w:pPr>
    <w:rPr>
      <w:b/>
      <w:sz w:val="32"/>
      <w:szCs w:val="32"/>
      <w:lang w:val="ru-RU"/>
    </w:rPr>
  </w:style>
  <w:style w:type="paragraph" w:styleId="Heading4">
    <w:name w:val="heading 4"/>
    <w:aliases w:val="MainPara"/>
    <w:basedOn w:val="Normal"/>
    <w:next w:val="Normal"/>
    <w:qFormat/>
    <w:pPr>
      <w:keepNext/>
      <w:tabs>
        <w:tab w:val="right" w:leader="dot" w:pos="9424"/>
      </w:tabs>
      <w:outlineLvl w:val="3"/>
    </w:pPr>
    <w:rPr>
      <w:rFonts w:ascii="Times New Roman Bold" w:hAnsi="Times New Roman Bold"/>
      <w:b/>
    </w:rPr>
  </w:style>
  <w:style w:type="paragraph" w:styleId="Heading5">
    <w:name w:val="heading 5"/>
    <w:aliases w:val="Subpara 2"/>
    <w:basedOn w:val="Normal"/>
    <w:next w:val="Normal"/>
    <w:qFormat/>
    <w:pPr>
      <w:keepNext/>
      <w:outlineLvl w:val="4"/>
    </w:pPr>
    <w:rPr>
      <w:rFonts w:ascii="Univers" w:hAnsi="Univers"/>
      <w:b/>
      <w:sz w:val="27"/>
    </w:rPr>
  </w:style>
  <w:style w:type="paragraph" w:styleId="Heading6">
    <w:name w:val="heading 6"/>
    <w:aliases w:val="DNV-H6"/>
    <w:basedOn w:val="Normal"/>
    <w:next w:val="Normal"/>
    <w:qFormat/>
    <w:pPr>
      <w:keepNext/>
      <w:jc w:val="center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78"/>
        <w:tab w:val="left" w:pos="1157"/>
        <w:tab w:val="left" w:pos="1735"/>
        <w:tab w:val="left" w:pos="2313"/>
      </w:tabs>
      <w:outlineLvl w:val="6"/>
    </w:pPr>
    <w:rPr>
      <w:b/>
      <w:iCs/>
    </w:rPr>
  </w:style>
  <w:style w:type="paragraph" w:styleId="Heading8">
    <w:name w:val="heading 8"/>
    <w:basedOn w:val="Normal"/>
    <w:next w:val="Normal"/>
    <w:qFormat/>
    <w:pPr>
      <w:keepNext/>
      <w:widowControl w:val="0"/>
      <w:numPr>
        <w:ilvl w:val="3"/>
        <w:numId w:val="1"/>
      </w:numPr>
      <w:outlineLvl w:val="7"/>
    </w:pPr>
    <w:rPr>
      <w:b/>
      <w:snapToGrid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link w:val="FootnoteTextChar"/>
    <w:semiHidden/>
    <w:pPr>
      <w:spacing w:after="120"/>
      <w:ind w:left="1247" w:firstLine="624"/>
    </w:pPr>
    <w:rPr>
      <w:sz w:val="18"/>
      <w:szCs w:val="18"/>
      <w:lang w:val="en-GB"/>
    </w:rPr>
  </w:style>
  <w:style w:type="paragraph" w:styleId="Header">
    <w:name w:val="header"/>
    <w:uiPriority w:val="99"/>
    <w:pPr>
      <w:pBdr>
        <w:bottom w:val="single" w:sz="4" w:space="1" w:color="auto"/>
      </w:pBdr>
      <w:spacing w:after="240"/>
    </w:pPr>
    <w:rPr>
      <w:rFonts w:hAnsi="Times New Roman Bold"/>
      <w:b/>
      <w:sz w:val="17"/>
      <w:szCs w:val="17"/>
      <w:lang w:val="ru-RU"/>
    </w:rPr>
  </w:style>
  <w:style w:type="character" w:customStyle="1" w:styleId="HeaderChar">
    <w:name w:val="Header Char"/>
    <w:uiPriority w:val="99"/>
    <w:rPr>
      <w:rFonts w:hAnsi="Times New Roman Bold"/>
      <w:b/>
      <w:sz w:val="17"/>
      <w:szCs w:val="17"/>
      <w:lang w:val="ru-RU" w:eastAsia="en-US" w:bidi="ar-SA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  <w:spacing w:before="120"/>
    </w:pPr>
    <w:rPr>
      <w:sz w:val="22"/>
      <w:szCs w:val="22"/>
      <w:lang w:val="en-GB"/>
    </w:rPr>
  </w:style>
  <w:style w:type="character" w:styleId="CommentReference">
    <w:name w:val="annotation reference"/>
    <w:semiHidden/>
    <w:rPr>
      <w:sz w:val="16"/>
    </w:rPr>
  </w:style>
  <w:style w:type="paragraph" w:styleId="EndnoteText">
    <w:name w:val="endnote text"/>
    <w:basedOn w:val="Normal"/>
    <w:semiHidden/>
    <w:rPr>
      <w:sz w:val="22"/>
      <w:szCs w:val="22"/>
      <w:lang w:val="ru-RU" w:eastAsia="ru-RU"/>
    </w:rPr>
  </w:style>
  <w:style w:type="paragraph" w:styleId="TableofAuthorities">
    <w:name w:val="table of authorities"/>
    <w:basedOn w:val="Normal"/>
    <w:next w:val="EndnoteText"/>
    <w:semiHidden/>
    <w:pPr>
      <w:ind w:left="240" w:hanging="240"/>
    </w:pPr>
    <w:rPr>
      <w:sz w:val="20"/>
    </w:rPr>
  </w:style>
  <w:style w:type="character" w:styleId="FootnoteReference">
    <w:name w:val="footnote reference"/>
    <w:semiHidden/>
    <w:rPr>
      <w:rFonts w:ascii="Times New Roman" w:hAnsi="Times New Roman"/>
      <w:color w:val="auto"/>
      <w:sz w:val="18"/>
      <w:szCs w:val="18"/>
      <w:u w:val="none"/>
      <w:vertAlign w:val="superscript"/>
      <w:lang w:val="ru-RU"/>
    </w:rPr>
  </w:style>
  <w:style w:type="character" w:styleId="PageNumber">
    <w:name w:val="page number"/>
    <w:rPr>
      <w:rFonts w:hAnsi="Times New Roman Bold"/>
      <w:b/>
      <w:color w:val="auto"/>
      <w:sz w:val="17"/>
      <w:szCs w:val="17"/>
      <w:u w:val="none"/>
    </w:rPr>
  </w:style>
  <w:style w:type="paragraph" w:styleId="TOC1">
    <w:name w:val="toc 1"/>
    <w:next w:val="Normal"/>
    <w:autoRedefine/>
    <w:semiHidden/>
    <w:pPr>
      <w:tabs>
        <w:tab w:val="right" w:pos="624"/>
        <w:tab w:val="left" w:pos="1247"/>
      </w:tabs>
      <w:spacing w:after="120"/>
      <w:ind w:left="1247" w:hanging="1247"/>
    </w:pPr>
    <w:rPr>
      <w:lang w:val="ru-RU"/>
    </w:rPr>
  </w:style>
  <w:style w:type="paragraph" w:styleId="TOC2">
    <w:name w:val="toc 2"/>
    <w:next w:val="Normal"/>
    <w:autoRedefine/>
    <w:semiHidden/>
    <w:pPr>
      <w:spacing w:after="120"/>
      <w:ind w:left="1871" w:hanging="624"/>
    </w:pPr>
    <w:rPr>
      <w:lang w:val="ru-RU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424"/>
      </w:tabs>
    </w:pPr>
    <w:rPr>
      <w:rFonts w:ascii="Times New Roman Bold" w:hAnsi="Times New Roman Bold"/>
      <w:b/>
      <w:caps/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567"/>
        <w:tab w:val="right" w:leader="dot" w:pos="9424"/>
      </w:tabs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424"/>
      </w:tabs>
    </w:pPr>
    <w:rPr>
      <w:rFonts w:ascii="Times New Roman Bold" w:hAnsi="Times New Roman Bold"/>
      <w:b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424"/>
      </w:tabs>
    </w:pPr>
    <w:rPr>
      <w:rFonts w:ascii="Times New Roman Bold" w:hAnsi="Times New Roman Bold"/>
      <w:b/>
    </w:rPr>
  </w:style>
  <w:style w:type="paragraph" w:styleId="TOC7">
    <w:name w:val="toc 7"/>
    <w:basedOn w:val="Normal"/>
    <w:next w:val="Normal"/>
    <w:autoRedefine/>
    <w:semiHidden/>
    <w:pPr>
      <w:tabs>
        <w:tab w:val="left" w:pos="1134"/>
        <w:tab w:val="right" w:leader="dot" w:pos="9424"/>
      </w:tabs>
    </w:pPr>
  </w:style>
  <w:style w:type="paragraph" w:styleId="TOC8">
    <w:name w:val="toc 8"/>
    <w:basedOn w:val="Normal"/>
    <w:next w:val="Normal"/>
    <w:autoRedefine/>
    <w:semiHidden/>
    <w:pPr>
      <w:tabs>
        <w:tab w:val="right" w:leader="dot" w:pos="9424"/>
      </w:tabs>
      <w:ind w:left="709" w:hanging="709"/>
    </w:pPr>
    <w:rPr>
      <w:rFonts w:ascii="Times New Roman Bold" w:hAnsi="Times New Roman Bold"/>
      <w:b/>
    </w:r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MAST-2">
    <w:name w:val="MAST-2"/>
    <w:basedOn w:val="Normal"/>
    <w:pPr>
      <w:jc w:val="right"/>
    </w:pPr>
    <w:rPr>
      <w:b/>
      <w:sz w:val="52"/>
      <w:lang w:val="en-US"/>
    </w:rPr>
  </w:style>
  <w:style w:type="paragraph" w:customStyle="1" w:styleId="MAST-3">
    <w:name w:val="MAST-3"/>
    <w:basedOn w:val="Normal"/>
    <w:pPr>
      <w:ind w:left="2018"/>
    </w:pPr>
    <w:rPr>
      <w:lang w:val="en-US"/>
    </w:rPr>
  </w:style>
  <w:style w:type="paragraph" w:customStyle="1" w:styleId="MAST-4">
    <w:name w:val="MAST-4"/>
    <w:basedOn w:val="Normal"/>
    <w:rPr>
      <w:b/>
      <w:sz w:val="32"/>
    </w:rPr>
  </w:style>
  <w:style w:type="paragraph" w:customStyle="1" w:styleId="MAST-5PTS">
    <w:name w:val="MAST-5PTS"/>
    <w:basedOn w:val="Normal"/>
    <w:rPr>
      <w:sz w:val="10"/>
    </w:rPr>
  </w:style>
  <w:style w:type="paragraph" w:customStyle="1" w:styleId="MAST-8PTS">
    <w:name w:val="MAST-8PTS"/>
    <w:basedOn w:val="Normal"/>
    <w:rPr>
      <w:sz w:val="16"/>
      <w:lang w:val="en-US"/>
    </w:rPr>
  </w:style>
  <w:style w:type="paragraph" w:customStyle="1" w:styleId="MAST-SYMBOL-DOC">
    <w:name w:val="MAST-SYMBOL-DOC"/>
    <w:basedOn w:val="Normal"/>
    <w:pPr>
      <w:spacing w:before="200"/>
      <w:jc w:val="right"/>
    </w:pPr>
    <w:rPr>
      <w:b/>
      <w:bCs/>
      <w:sz w:val="28"/>
      <w:lang w:val="en-US"/>
    </w:rPr>
  </w:style>
  <w:style w:type="paragraph" w:customStyle="1" w:styleId="Chapter-nonumb-12pt">
    <w:name w:val="Chapter-nonumb-12pt"/>
    <w:pPr>
      <w:spacing w:after="120"/>
      <w:ind w:left="1871" w:hanging="624"/>
    </w:pPr>
    <w:rPr>
      <w:rFonts w:hAnsi="Times New Roman Bold"/>
      <w:b/>
      <w:sz w:val="24"/>
      <w:szCs w:val="24"/>
    </w:rPr>
  </w:style>
  <w:style w:type="paragraph" w:styleId="Caption">
    <w:name w:val="caption"/>
    <w:basedOn w:val="Normal"/>
    <w:next w:val="Normal"/>
    <w:qFormat/>
    <w:pPr>
      <w:widowControl w:val="0"/>
    </w:pPr>
    <w:rPr>
      <w:snapToGrid w:val="0"/>
    </w:rPr>
  </w:style>
  <w:style w:type="paragraph" w:customStyle="1" w:styleId="Normal-pool">
    <w:name w:val="Normal-pool"/>
    <w:link w:val="Normal-poolChar"/>
    <w:rsid w:val="00B54C32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snapToGrid w:val="0"/>
      <w:lang w:val="en-GB"/>
    </w:rPr>
  </w:style>
  <w:style w:type="table" w:customStyle="1" w:styleId="Calendar1">
    <w:name w:val="Calendar 1"/>
    <w:basedOn w:val="TableNormal"/>
    <w:uiPriority w:val="99"/>
    <w:qFormat/>
    <w:rsid w:val="004102FE"/>
    <w:rPr>
      <w:rFonts w:ascii="Calibri" w:eastAsia="MS Mincho" w:hAnsi="Calibri" w:cs="Arial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link">
    <w:name w:val="Hyperlink"/>
    <w:uiPriority w:val="99"/>
    <w:rsid w:val="008424D4"/>
    <w:rPr>
      <w:rFonts w:ascii="Times New Roman" w:hAnsi="Times New Roman"/>
      <w:color w:val="auto"/>
      <w:sz w:val="20"/>
      <w:u w:val="none"/>
      <w:lang w:val="fr-FR"/>
    </w:rPr>
  </w:style>
  <w:style w:type="paragraph" w:customStyle="1" w:styleId="NormalNonumber">
    <w:name w:val="Normal_No_number"/>
    <w:basedOn w:val="Normal"/>
    <w:rsid w:val="008424D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120"/>
      <w:ind w:left="1247"/>
    </w:pPr>
    <w:rPr>
      <w:snapToGrid w:val="0"/>
      <w:sz w:val="20"/>
      <w:lang w:val="fr-CA"/>
    </w:rPr>
  </w:style>
  <w:style w:type="paragraph" w:customStyle="1" w:styleId="ZZAnxheader">
    <w:name w:val="ZZ_Anx_header"/>
    <w:basedOn w:val="Normal"/>
    <w:rsid w:val="008424D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b/>
      <w:bCs/>
      <w:snapToGrid w:val="0"/>
      <w:sz w:val="28"/>
      <w:szCs w:val="22"/>
      <w:lang w:val="fr-CA"/>
    </w:rPr>
  </w:style>
  <w:style w:type="character" w:customStyle="1" w:styleId="FootnoteTextChar">
    <w:name w:val="Footnote Text Char"/>
    <w:link w:val="FootnoteText"/>
    <w:semiHidden/>
    <w:rsid w:val="00877B7C"/>
    <w:rPr>
      <w:sz w:val="18"/>
      <w:szCs w:val="18"/>
      <w:lang w:val="en-GB"/>
    </w:rPr>
  </w:style>
  <w:style w:type="paragraph" w:customStyle="1" w:styleId="AATitle">
    <w:name w:val="AA_Title"/>
    <w:basedOn w:val="Normal"/>
    <w:rsid w:val="00877B7C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ind w:right="5103"/>
    </w:pPr>
    <w:rPr>
      <w:b/>
      <w:sz w:val="20"/>
      <w:lang w:val="ru-RU" w:eastAsia="ru-RU"/>
    </w:rPr>
  </w:style>
  <w:style w:type="paragraph" w:customStyle="1" w:styleId="AATitle2">
    <w:name w:val="AA_Title2"/>
    <w:basedOn w:val="AATitle"/>
    <w:rsid w:val="00877B7C"/>
    <w:pPr>
      <w:tabs>
        <w:tab w:val="clear" w:pos="4082"/>
      </w:tabs>
      <w:spacing w:before="120" w:after="120"/>
      <w:ind w:right="4536"/>
    </w:pPr>
  </w:style>
  <w:style w:type="character" w:customStyle="1" w:styleId="FooterChar">
    <w:name w:val="Footer Char"/>
    <w:link w:val="Footer"/>
    <w:uiPriority w:val="99"/>
    <w:rsid w:val="00877B7C"/>
    <w:rPr>
      <w:sz w:val="22"/>
      <w:szCs w:val="22"/>
      <w:lang w:val="en-GB"/>
    </w:rPr>
  </w:style>
  <w:style w:type="character" w:customStyle="1" w:styleId="Normal-poolChar">
    <w:name w:val="Normal-pool Char"/>
    <w:link w:val="Normal-pool"/>
    <w:rsid w:val="00877B7C"/>
    <w:rPr>
      <w:snapToGrid w:val="0"/>
      <w:lang w:val="en-GB"/>
    </w:rPr>
  </w:style>
  <w:style w:type="paragraph" w:styleId="BalloonText">
    <w:name w:val="Balloon Text"/>
    <w:basedOn w:val="Normal"/>
    <w:link w:val="BalloonTextChar"/>
    <w:rsid w:val="00D63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3C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next w:val="Normal"/>
    <w:autoRedefine/>
    <w:qFormat/>
    <w:pPr>
      <w:keepNext/>
      <w:numPr>
        <w:numId w:val="2"/>
      </w:numPr>
      <w:spacing w:after="240"/>
      <w:ind w:right="567"/>
      <w:outlineLvl w:val="0"/>
    </w:pPr>
    <w:rPr>
      <w:rFonts w:hAnsi="Times New Roman Bold"/>
      <w:b/>
      <w:sz w:val="28"/>
      <w:szCs w:val="28"/>
      <w:lang w:val="en-GB"/>
    </w:rPr>
  </w:style>
  <w:style w:type="paragraph" w:styleId="Heading2">
    <w:name w:val="heading 2"/>
    <w:aliases w:val="Chpt"/>
    <w:next w:val="Normal"/>
    <w:autoRedefine/>
    <w:qFormat/>
    <w:rsid w:val="003508D2"/>
    <w:pPr>
      <w:keepNext/>
      <w:jc w:val="right"/>
      <w:outlineLvl w:val="1"/>
    </w:pPr>
    <w:rPr>
      <w:rFonts w:ascii="Arial" w:hAnsi="Arial" w:cs="Arial"/>
      <w:b/>
      <w:sz w:val="64"/>
      <w:szCs w:val="64"/>
      <w:lang w:val="en-GB"/>
    </w:rPr>
  </w:style>
  <w:style w:type="paragraph" w:styleId="Heading3">
    <w:name w:val="heading 3"/>
    <w:aliases w:val="Sec"/>
    <w:next w:val="Normal"/>
    <w:autoRedefine/>
    <w:qFormat/>
    <w:pPr>
      <w:keepNext/>
      <w:spacing w:after="200"/>
      <w:outlineLvl w:val="2"/>
    </w:pPr>
    <w:rPr>
      <w:b/>
      <w:sz w:val="32"/>
      <w:szCs w:val="32"/>
      <w:lang w:val="ru-RU"/>
    </w:rPr>
  </w:style>
  <w:style w:type="paragraph" w:styleId="Heading4">
    <w:name w:val="heading 4"/>
    <w:aliases w:val="MainPara"/>
    <w:basedOn w:val="Normal"/>
    <w:next w:val="Normal"/>
    <w:qFormat/>
    <w:pPr>
      <w:keepNext/>
      <w:tabs>
        <w:tab w:val="right" w:leader="dot" w:pos="9424"/>
      </w:tabs>
      <w:outlineLvl w:val="3"/>
    </w:pPr>
    <w:rPr>
      <w:rFonts w:ascii="Times New Roman Bold" w:hAnsi="Times New Roman Bold"/>
      <w:b/>
    </w:rPr>
  </w:style>
  <w:style w:type="paragraph" w:styleId="Heading5">
    <w:name w:val="heading 5"/>
    <w:aliases w:val="Subpara 2"/>
    <w:basedOn w:val="Normal"/>
    <w:next w:val="Normal"/>
    <w:qFormat/>
    <w:pPr>
      <w:keepNext/>
      <w:outlineLvl w:val="4"/>
    </w:pPr>
    <w:rPr>
      <w:rFonts w:ascii="Univers" w:hAnsi="Univers"/>
      <w:b/>
      <w:sz w:val="27"/>
    </w:rPr>
  </w:style>
  <w:style w:type="paragraph" w:styleId="Heading6">
    <w:name w:val="heading 6"/>
    <w:aliases w:val="DNV-H6"/>
    <w:basedOn w:val="Normal"/>
    <w:next w:val="Normal"/>
    <w:qFormat/>
    <w:pPr>
      <w:keepNext/>
      <w:jc w:val="center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78"/>
        <w:tab w:val="left" w:pos="1157"/>
        <w:tab w:val="left" w:pos="1735"/>
        <w:tab w:val="left" w:pos="2313"/>
      </w:tabs>
      <w:outlineLvl w:val="6"/>
    </w:pPr>
    <w:rPr>
      <w:b/>
      <w:iCs/>
    </w:rPr>
  </w:style>
  <w:style w:type="paragraph" w:styleId="Heading8">
    <w:name w:val="heading 8"/>
    <w:basedOn w:val="Normal"/>
    <w:next w:val="Normal"/>
    <w:qFormat/>
    <w:pPr>
      <w:keepNext/>
      <w:widowControl w:val="0"/>
      <w:numPr>
        <w:ilvl w:val="3"/>
        <w:numId w:val="1"/>
      </w:numPr>
      <w:outlineLvl w:val="7"/>
    </w:pPr>
    <w:rPr>
      <w:b/>
      <w:snapToGrid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link w:val="FootnoteTextChar"/>
    <w:semiHidden/>
    <w:pPr>
      <w:spacing w:after="120"/>
      <w:ind w:left="1247" w:firstLine="624"/>
    </w:pPr>
    <w:rPr>
      <w:sz w:val="18"/>
      <w:szCs w:val="18"/>
      <w:lang w:val="en-GB"/>
    </w:rPr>
  </w:style>
  <w:style w:type="paragraph" w:styleId="Header">
    <w:name w:val="header"/>
    <w:uiPriority w:val="99"/>
    <w:pPr>
      <w:pBdr>
        <w:bottom w:val="single" w:sz="4" w:space="1" w:color="auto"/>
      </w:pBdr>
      <w:spacing w:after="240"/>
    </w:pPr>
    <w:rPr>
      <w:rFonts w:hAnsi="Times New Roman Bold"/>
      <w:b/>
      <w:sz w:val="17"/>
      <w:szCs w:val="17"/>
      <w:lang w:val="ru-RU"/>
    </w:rPr>
  </w:style>
  <w:style w:type="character" w:customStyle="1" w:styleId="HeaderChar">
    <w:name w:val="Header Char"/>
    <w:uiPriority w:val="99"/>
    <w:rPr>
      <w:rFonts w:hAnsi="Times New Roman Bold"/>
      <w:b/>
      <w:sz w:val="17"/>
      <w:szCs w:val="17"/>
      <w:lang w:val="ru-RU" w:eastAsia="en-US" w:bidi="ar-SA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  <w:spacing w:before="120"/>
    </w:pPr>
    <w:rPr>
      <w:sz w:val="22"/>
      <w:szCs w:val="22"/>
      <w:lang w:val="en-GB"/>
    </w:rPr>
  </w:style>
  <w:style w:type="character" w:styleId="CommentReference">
    <w:name w:val="annotation reference"/>
    <w:semiHidden/>
    <w:rPr>
      <w:sz w:val="16"/>
    </w:rPr>
  </w:style>
  <w:style w:type="paragraph" w:styleId="EndnoteText">
    <w:name w:val="endnote text"/>
    <w:basedOn w:val="Normal"/>
    <w:semiHidden/>
    <w:rPr>
      <w:sz w:val="22"/>
      <w:szCs w:val="22"/>
      <w:lang w:val="ru-RU" w:eastAsia="ru-RU"/>
    </w:rPr>
  </w:style>
  <w:style w:type="paragraph" w:styleId="TableofAuthorities">
    <w:name w:val="table of authorities"/>
    <w:basedOn w:val="Normal"/>
    <w:next w:val="EndnoteText"/>
    <w:semiHidden/>
    <w:pPr>
      <w:ind w:left="240" w:hanging="240"/>
    </w:pPr>
    <w:rPr>
      <w:sz w:val="20"/>
    </w:rPr>
  </w:style>
  <w:style w:type="character" w:styleId="FootnoteReference">
    <w:name w:val="footnote reference"/>
    <w:semiHidden/>
    <w:rPr>
      <w:rFonts w:ascii="Times New Roman" w:hAnsi="Times New Roman"/>
      <w:color w:val="auto"/>
      <w:sz w:val="18"/>
      <w:szCs w:val="18"/>
      <w:u w:val="none"/>
      <w:vertAlign w:val="superscript"/>
      <w:lang w:val="ru-RU"/>
    </w:rPr>
  </w:style>
  <w:style w:type="character" w:styleId="PageNumber">
    <w:name w:val="page number"/>
    <w:rPr>
      <w:rFonts w:hAnsi="Times New Roman Bold"/>
      <w:b/>
      <w:color w:val="auto"/>
      <w:sz w:val="17"/>
      <w:szCs w:val="17"/>
      <w:u w:val="none"/>
    </w:rPr>
  </w:style>
  <w:style w:type="paragraph" w:styleId="TOC1">
    <w:name w:val="toc 1"/>
    <w:next w:val="Normal"/>
    <w:autoRedefine/>
    <w:semiHidden/>
    <w:pPr>
      <w:tabs>
        <w:tab w:val="right" w:pos="624"/>
        <w:tab w:val="left" w:pos="1247"/>
      </w:tabs>
      <w:spacing w:after="120"/>
      <w:ind w:left="1247" w:hanging="1247"/>
    </w:pPr>
    <w:rPr>
      <w:lang w:val="ru-RU"/>
    </w:rPr>
  </w:style>
  <w:style w:type="paragraph" w:styleId="TOC2">
    <w:name w:val="toc 2"/>
    <w:next w:val="Normal"/>
    <w:autoRedefine/>
    <w:semiHidden/>
    <w:pPr>
      <w:spacing w:after="120"/>
      <w:ind w:left="1871" w:hanging="624"/>
    </w:pPr>
    <w:rPr>
      <w:lang w:val="ru-RU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424"/>
      </w:tabs>
    </w:pPr>
    <w:rPr>
      <w:rFonts w:ascii="Times New Roman Bold" w:hAnsi="Times New Roman Bold"/>
      <w:b/>
      <w:caps/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567"/>
        <w:tab w:val="right" w:leader="dot" w:pos="9424"/>
      </w:tabs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424"/>
      </w:tabs>
    </w:pPr>
    <w:rPr>
      <w:rFonts w:ascii="Times New Roman Bold" w:hAnsi="Times New Roman Bold"/>
      <w:b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424"/>
      </w:tabs>
    </w:pPr>
    <w:rPr>
      <w:rFonts w:ascii="Times New Roman Bold" w:hAnsi="Times New Roman Bold"/>
      <w:b/>
    </w:rPr>
  </w:style>
  <w:style w:type="paragraph" w:styleId="TOC7">
    <w:name w:val="toc 7"/>
    <w:basedOn w:val="Normal"/>
    <w:next w:val="Normal"/>
    <w:autoRedefine/>
    <w:semiHidden/>
    <w:pPr>
      <w:tabs>
        <w:tab w:val="left" w:pos="1134"/>
        <w:tab w:val="right" w:leader="dot" w:pos="9424"/>
      </w:tabs>
    </w:pPr>
  </w:style>
  <w:style w:type="paragraph" w:styleId="TOC8">
    <w:name w:val="toc 8"/>
    <w:basedOn w:val="Normal"/>
    <w:next w:val="Normal"/>
    <w:autoRedefine/>
    <w:semiHidden/>
    <w:pPr>
      <w:tabs>
        <w:tab w:val="right" w:leader="dot" w:pos="9424"/>
      </w:tabs>
      <w:ind w:left="709" w:hanging="709"/>
    </w:pPr>
    <w:rPr>
      <w:rFonts w:ascii="Times New Roman Bold" w:hAnsi="Times New Roman Bold"/>
      <w:b/>
    </w:r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MAST-2">
    <w:name w:val="MAST-2"/>
    <w:basedOn w:val="Normal"/>
    <w:pPr>
      <w:jc w:val="right"/>
    </w:pPr>
    <w:rPr>
      <w:b/>
      <w:sz w:val="52"/>
      <w:lang w:val="en-US"/>
    </w:rPr>
  </w:style>
  <w:style w:type="paragraph" w:customStyle="1" w:styleId="MAST-3">
    <w:name w:val="MAST-3"/>
    <w:basedOn w:val="Normal"/>
    <w:pPr>
      <w:ind w:left="2018"/>
    </w:pPr>
    <w:rPr>
      <w:lang w:val="en-US"/>
    </w:rPr>
  </w:style>
  <w:style w:type="paragraph" w:customStyle="1" w:styleId="MAST-4">
    <w:name w:val="MAST-4"/>
    <w:basedOn w:val="Normal"/>
    <w:rPr>
      <w:b/>
      <w:sz w:val="32"/>
    </w:rPr>
  </w:style>
  <w:style w:type="paragraph" w:customStyle="1" w:styleId="MAST-5PTS">
    <w:name w:val="MAST-5PTS"/>
    <w:basedOn w:val="Normal"/>
    <w:rPr>
      <w:sz w:val="10"/>
    </w:rPr>
  </w:style>
  <w:style w:type="paragraph" w:customStyle="1" w:styleId="MAST-8PTS">
    <w:name w:val="MAST-8PTS"/>
    <w:basedOn w:val="Normal"/>
    <w:rPr>
      <w:sz w:val="16"/>
      <w:lang w:val="en-US"/>
    </w:rPr>
  </w:style>
  <w:style w:type="paragraph" w:customStyle="1" w:styleId="MAST-SYMBOL-DOC">
    <w:name w:val="MAST-SYMBOL-DOC"/>
    <w:basedOn w:val="Normal"/>
    <w:pPr>
      <w:spacing w:before="200"/>
      <w:jc w:val="right"/>
    </w:pPr>
    <w:rPr>
      <w:b/>
      <w:bCs/>
      <w:sz w:val="28"/>
      <w:lang w:val="en-US"/>
    </w:rPr>
  </w:style>
  <w:style w:type="paragraph" w:customStyle="1" w:styleId="Chapter-nonumb-12pt">
    <w:name w:val="Chapter-nonumb-12pt"/>
    <w:pPr>
      <w:spacing w:after="120"/>
      <w:ind w:left="1871" w:hanging="624"/>
    </w:pPr>
    <w:rPr>
      <w:rFonts w:hAnsi="Times New Roman Bold"/>
      <w:b/>
      <w:sz w:val="24"/>
      <w:szCs w:val="24"/>
    </w:rPr>
  </w:style>
  <w:style w:type="paragraph" w:styleId="Caption">
    <w:name w:val="caption"/>
    <w:basedOn w:val="Normal"/>
    <w:next w:val="Normal"/>
    <w:qFormat/>
    <w:pPr>
      <w:widowControl w:val="0"/>
    </w:pPr>
    <w:rPr>
      <w:snapToGrid w:val="0"/>
    </w:rPr>
  </w:style>
  <w:style w:type="paragraph" w:customStyle="1" w:styleId="Normal-pool">
    <w:name w:val="Normal-pool"/>
    <w:link w:val="Normal-poolChar"/>
    <w:rsid w:val="00B54C32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snapToGrid w:val="0"/>
      <w:lang w:val="en-GB"/>
    </w:rPr>
  </w:style>
  <w:style w:type="table" w:customStyle="1" w:styleId="Calendar1">
    <w:name w:val="Calendar 1"/>
    <w:basedOn w:val="TableNormal"/>
    <w:uiPriority w:val="99"/>
    <w:qFormat/>
    <w:rsid w:val="004102FE"/>
    <w:rPr>
      <w:rFonts w:ascii="Calibri" w:eastAsia="MS Mincho" w:hAnsi="Calibri" w:cs="Arial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link">
    <w:name w:val="Hyperlink"/>
    <w:uiPriority w:val="99"/>
    <w:rsid w:val="008424D4"/>
    <w:rPr>
      <w:rFonts w:ascii="Times New Roman" w:hAnsi="Times New Roman"/>
      <w:color w:val="auto"/>
      <w:sz w:val="20"/>
      <w:u w:val="none"/>
      <w:lang w:val="fr-FR"/>
    </w:rPr>
  </w:style>
  <w:style w:type="paragraph" w:customStyle="1" w:styleId="NormalNonumber">
    <w:name w:val="Normal_No_number"/>
    <w:basedOn w:val="Normal"/>
    <w:rsid w:val="008424D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120"/>
      <w:ind w:left="1247"/>
    </w:pPr>
    <w:rPr>
      <w:snapToGrid w:val="0"/>
      <w:sz w:val="20"/>
      <w:lang w:val="fr-CA"/>
    </w:rPr>
  </w:style>
  <w:style w:type="paragraph" w:customStyle="1" w:styleId="ZZAnxheader">
    <w:name w:val="ZZ_Anx_header"/>
    <w:basedOn w:val="Normal"/>
    <w:rsid w:val="008424D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b/>
      <w:bCs/>
      <w:snapToGrid w:val="0"/>
      <w:sz w:val="28"/>
      <w:szCs w:val="22"/>
      <w:lang w:val="fr-CA"/>
    </w:rPr>
  </w:style>
  <w:style w:type="character" w:customStyle="1" w:styleId="FootnoteTextChar">
    <w:name w:val="Footnote Text Char"/>
    <w:link w:val="FootnoteText"/>
    <w:semiHidden/>
    <w:rsid w:val="00877B7C"/>
    <w:rPr>
      <w:sz w:val="18"/>
      <w:szCs w:val="18"/>
      <w:lang w:val="en-GB"/>
    </w:rPr>
  </w:style>
  <w:style w:type="paragraph" w:customStyle="1" w:styleId="AATitle">
    <w:name w:val="AA_Title"/>
    <w:basedOn w:val="Normal"/>
    <w:rsid w:val="00877B7C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ind w:right="5103"/>
    </w:pPr>
    <w:rPr>
      <w:b/>
      <w:sz w:val="20"/>
      <w:lang w:val="ru-RU" w:eastAsia="ru-RU"/>
    </w:rPr>
  </w:style>
  <w:style w:type="paragraph" w:customStyle="1" w:styleId="AATitle2">
    <w:name w:val="AA_Title2"/>
    <w:basedOn w:val="AATitle"/>
    <w:rsid w:val="00877B7C"/>
    <w:pPr>
      <w:tabs>
        <w:tab w:val="clear" w:pos="4082"/>
      </w:tabs>
      <w:spacing w:before="120" w:after="120"/>
      <w:ind w:right="4536"/>
    </w:pPr>
  </w:style>
  <w:style w:type="character" w:customStyle="1" w:styleId="FooterChar">
    <w:name w:val="Footer Char"/>
    <w:link w:val="Footer"/>
    <w:uiPriority w:val="99"/>
    <w:rsid w:val="00877B7C"/>
    <w:rPr>
      <w:sz w:val="22"/>
      <w:szCs w:val="22"/>
      <w:lang w:val="en-GB"/>
    </w:rPr>
  </w:style>
  <w:style w:type="character" w:customStyle="1" w:styleId="Normal-poolChar">
    <w:name w:val="Normal-pool Char"/>
    <w:link w:val="Normal-pool"/>
    <w:rsid w:val="00877B7C"/>
    <w:rPr>
      <w:snapToGrid w:val="0"/>
      <w:lang w:val="en-GB"/>
    </w:rPr>
  </w:style>
  <w:style w:type="paragraph" w:styleId="BalloonText">
    <w:name w:val="Balloon Text"/>
    <w:basedOn w:val="Normal"/>
    <w:link w:val="BalloonTextChar"/>
    <w:rsid w:val="00D63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3C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http://mptf.undp.org/portfolio/agency" TargetMode="Externa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DEB28-5AA3-4358-84CD-15532DDF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4917</Words>
  <Characters>28029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UNEP/IPBES/2/6</vt:lpstr>
    </vt:vector>
  </TitlesOfParts>
  <Manager>RLU</Manager>
  <Company>UNON</Company>
  <LinksUpToDate>false</LinksUpToDate>
  <CharactersWithSpaces>32881</CharactersWithSpaces>
  <SharedDoc>false</SharedDoc>
  <HLinks>
    <vt:vector size="6" baseType="variant">
      <vt:variant>
        <vt:i4>655430</vt:i4>
      </vt:variant>
      <vt:variant>
        <vt:i4>3</vt:i4>
      </vt:variant>
      <vt:variant>
        <vt:i4>0</vt:i4>
      </vt:variant>
      <vt:variant>
        <vt:i4>5</vt:i4>
      </vt:variant>
      <vt:variant>
        <vt:lpwstr>http://mptf.undp.org/portfolio/agency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UNEP/IPBES/2/6</dc:title>
  <dc:subject>Options for the IPBES trust fund</dc:subject>
  <dc:creator>IPBES</dc:creator>
  <cp:lastModifiedBy>Rohan Shanbhag</cp:lastModifiedBy>
  <cp:revision>2</cp:revision>
  <cp:lastPrinted>2013-11-19T13:16:00Z</cp:lastPrinted>
  <dcterms:created xsi:type="dcterms:W3CDTF">2013-11-20T08:56:00Z</dcterms:created>
  <dcterms:modified xsi:type="dcterms:W3CDTF">2013-11-20T08:56:00Z</dcterms:modified>
</cp:coreProperties>
</file>