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60"/>
        <w:gridCol w:w="5387"/>
        <w:gridCol w:w="2833"/>
      </w:tblGrid>
      <w:tr w:rsidR="00494455" w:rsidRPr="002726C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494455" w:rsidRPr="002726CF" w:rsidRDefault="00494455" w:rsidP="00C95831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2726CF">
              <w:rPr>
                <w:rFonts w:ascii="Univers" w:hAnsi="Univers"/>
                <w:b/>
                <w:noProof/>
                <w:sz w:val="27"/>
                <w:szCs w:val="27"/>
              </w:rPr>
              <w:t>UNITED</w:t>
            </w:r>
            <w:r w:rsidRPr="002726CF">
              <w:rPr>
                <w:rFonts w:ascii="Univers" w:hAnsi="Univers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5387" w:type="dxa"/>
          </w:tcPr>
          <w:p w:rsidR="00494455" w:rsidRPr="002726CF" w:rsidRDefault="00494455" w:rsidP="00C9583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2833" w:type="dxa"/>
          </w:tcPr>
          <w:p w:rsidR="00494455" w:rsidRPr="002726CF" w:rsidRDefault="00494455" w:rsidP="00C95831">
            <w:pPr>
              <w:jc w:val="right"/>
              <w:rPr>
                <w:rFonts w:ascii="Univers" w:hAnsi="Univers"/>
                <w:b/>
                <w:sz w:val="72"/>
                <w:szCs w:val="72"/>
              </w:rPr>
            </w:pPr>
            <w:r w:rsidRPr="002726CF">
              <w:rPr>
                <w:rFonts w:ascii="Univers" w:hAnsi="Univers"/>
                <w:b/>
                <w:sz w:val="72"/>
                <w:szCs w:val="72"/>
              </w:rPr>
              <w:t>EP</w:t>
            </w:r>
          </w:p>
        </w:tc>
      </w:tr>
      <w:tr w:rsidR="00494455" w:rsidRPr="00F47CD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494455" w:rsidRPr="002726CF" w:rsidRDefault="00494455" w:rsidP="00C9583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94455" w:rsidRPr="002726CF" w:rsidRDefault="00494455" w:rsidP="00C9583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94455" w:rsidRPr="00F47CD5" w:rsidRDefault="00494455" w:rsidP="00F41127">
            <w:pPr>
              <w:rPr>
                <w:noProof/>
                <w:sz w:val="18"/>
                <w:szCs w:val="18"/>
                <w:lang w:eastAsia="ja-JP"/>
              </w:rPr>
            </w:pPr>
            <w:r w:rsidRPr="009D59AB">
              <w:rPr>
                <w:b/>
                <w:sz w:val="24"/>
                <w:szCs w:val="24"/>
              </w:rPr>
              <w:t>IPBES</w:t>
            </w:r>
            <w:r w:rsidRPr="00F47CD5">
              <w:rPr>
                <w:lang w:eastAsia="ja-JP"/>
              </w:rPr>
              <w:t>/2/</w:t>
            </w:r>
            <w:r w:rsidR="00A81CD8" w:rsidRPr="00F47CD5">
              <w:rPr>
                <w:lang w:eastAsia="ja-JP"/>
              </w:rPr>
              <w:t>1</w:t>
            </w:r>
          </w:p>
        </w:tc>
      </w:tr>
      <w:bookmarkStart w:id="0" w:name="_MON_1021710482"/>
      <w:bookmarkStart w:id="1" w:name="_MON_1021710510"/>
      <w:bookmarkEnd w:id="0"/>
      <w:bookmarkEnd w:id="1"/>
      <w:tr w:rsidR="00494455" w:rsidRPr="002726CF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2726CF" w:rsidRDefault="00494455" w:rsidP="00C95831">
            <w:pPr>
              <w:rPr>
                <w:noProof/>
              </w:rPr>
            </w:pPr>
            <w:r w:rsidRPr="002726CF">
              <w:rPr>
                <w:noProof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8" o:title=""/>
                </v:shape>
                <o:OLEObject Type="Embed" ProgID="Word.Picture.8" ShapeID="_x0000_i1025" DrawAspect="Content" ObjectID="_1442168622" r:id="rId9"/>
              </w:object>
            </w:r>
            <w:r w:rsidR="00BC4766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2726CF" w:rsidRDefault="00494455" w:rsidP="009D59AB">
            <w:pPr>
              <w:spacing w:before="1400"/>
              <w:rPr>
                <w:rFonts w:ascii="Univers" w:hAnsi="Univers"/>
                <w:b/>
                <w:sz w:val="28"/>
              </w:rPr>
            </w:pPr>
            <w:r w:rsidRPr="002726CF">
              <w:rPr>
                <w:rFonts w:ascii="Univers" w:hAnsi="Univers"/>
                <w:b/>
                <w:sz w:val="32"/>
                <w:szCs w:val="32"/>
              </w:rPr>
              <w:t>United Nations</w:t>
            </w:r>
            <w:r w:rsidRPr="002726CF">
              <w:rPr>
                <w:rFonts w:ascii="Univers" w:hAnsi="Univers"/>
                <w:b/>
                <w:sz w:val="32"/>
                <w:szCs w:val="32"/>
              </w:rPr>
              <w:br/>
              <w:t xml:space="preserve">Environment </w:t>
            </w:r>
            <w:r w:rsidRPr="002726CF">
              <w:rPr>
                <w:rFonts w:ascii="Univers" w:hAnsi="Univers"/>
                <w:b/>
                <w:sz w:val="32"/>
                <w:szCs w:val="32"/>
              </w:rPr>
              <w:br/>
              <w:t>Programme</w:t>
            </w:r>
            <w:r w:rsidR="007F72D1">
              <w:rPr>
                <w:rFonts w:ascii="Univers" w:hAnsi="Univer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494455" w:rsidRPr="002726CF" w:rsidRDefault="00494455" w:rsidP="00494455">
            <w:pPr>
              <w:spacing w:before="240"/>
            </w:pPr>
            <w:r w:rsidRPr="002726CF">
              <w:t>Distr.: General</w:t>
            </w:r>
          </w:p>
          <w:p w:rsidR="00494455" w:rsidRPr="002726CF" w:rsidRDefault="00E110C8" w:rsidP="00C95831">
            <w:r>
              <w:t>5</w:t>
            </w:r>
            <w:r w:rsidR="00F41127">
              <w:t xml:space="preserve"> September 2013</w:t>
            </w:r>
          </w:p>
          <w:p w:rsidR="00494455" w:rsidRPr="002726CF" w:rsidRDefault="00494455" w:rsidP="00C95831"/>
          <w:p w:rsidR="00494455" w:rsidRPr="002726CF" w:rsidRDefault="00494455" w:rsidP="00C95831">
            <w:r w:rsidRPr="002726CF">
              <w:t xml:space="preserve">Original: English </w:t>
            </w:r>
          </w:p>
        </w:tc>
      </w:tr>
    </w:tbl>
    <w:p w:rsidR="00C41236" w:rsidRPr="00F47CD5" w:rsidRDefault="00620F1E" w:rsidP="00187A5D">
      <w:pPr>
        <w:pStyle w:val="AATitle"/>
        <w:keepNext w:val="0"/>
        <w:keepLines w:val="0"/>
      </w:pPr>
      <w:r w:rsidRPr="00F47CD5">
        <w:t>Plenary of the I</w:t>
      </w:r>
      <w:r w:rsidR="00C41236" w:rsidRPr="00F47CD5">
        <w:t xml:space="preserve">ntergovernmental </w:t>
      </w:r>
      <w:r w:rsidR="0095574F" w:rsidRPr="00F47CD5">
        <w:t>Science-P</w:t>
      </w:r>
      <w:r w:rsidR="00C41236" w:rsidRPr="00F47CD5">
        <w:t xml:space="preserve">olicy </w:t>
      </w:r>
      <w:r w:rsidR="00F47CD5">
        <w:br/>
      </w:r>
      <w:r w:rsidRPr="00F47CD5">
        <w:t>Platform on Biodiversity and Ecosystem S</w:t>
      </w:r>
      <w:r w:rsidR="00C41236" w:rsidRPr="00F47CD5">
        <w:t>ervices</w:t>
      </w:r>
    </w:p>
    <w:p w:rsidR="00187A5D" w:rsidRPr="00F47CD5" w:rsidRDefault="00C41236" w:rsidP="00187A5D">
      <w:pPr>
        <w:pStyle w:val="AATitle"/>
        <w:keepNext w:val="0"/>
        <w:keepLines w:val="0"/>
      </w:pPr>
      <w:r w:rsidRPr="00F47CD5">
        <w:t>Second session</w:t>
      </w:r>
    </w:p>
    <w:p w:rsidR="00187A5D" w:rsidRPr="00F47CD5" w:rsidRDefault="00C41236" w:rsidP="00187A5D">
      <w:pPr>
        <w:pStyle w:val="AATitle"/>
        <w:keepNext w:val="0"/>
        <w:keepLines w:val="0"/>
        <w:rPr>
          <w:b w:val="0"/>
          <w:lang w:eastAsia="ja-JP"/>
        </w:rPr>
      </w:pPr>
      <w:r w:rsidRPr="00F47CD5">
        <w:rPr>
          <w:b w:val="0"/>
          <w:lang w:eastAsia="ja-JP"/>
        </w:rPr>
        <w:t xml:space="preserve">Antalya, Turkey, </w:t>
      </w:r>
      <w:r w:rsidR="00187A5D" w:rsidRPr="00F47CD5">
        <w:rPr>
          <w:b w:val="0"/>
          <w:lang w:eastAsia="ja-JP"/>
        </w:rPr>
        <w:t>9–14 December 2013</w:t>
      </w:r>
    </w:p>
    <w:p w:rsidR="00187A5D" w:rsidRPr="00F47CD5" w:rsidRDefault="00187A5D" w:rsidP="00187A5D">
      <w:pPr>
        <w:pStyle w:val="BBTitle"/>
        <w:rPr>
          <w:lang w:val="en-US"/>
        </w:rPr>
      </w:pPr>
      <w:r w:rsidRPr="00F47CD5">
        <w:rPr>
          <w:lang w:val="en-US"/>
        </w:rPr>
        <w:t>Provisional agenda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Opening of the session.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Organizational matters:</w:t>
      </w:r>
    </w:p>
    <w:p w:rsidR="00187A5D" w:rsidRPr="00F47CD5" w:rsidRDefault="00187A5D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Adoption of the agenda and organization of work;</w:t>
      </w:r>
    </w:p>
    <w:p w:rsidR="00187A5D" w:rsidRPr="00F47CD5" w:rsidRDefault="00187A5D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Status of the membership of the Platform;</w:t>
      </w:r>
    </w:p>
    <w:p w:rsidR="00187A5D" w:rsidRPr="00F47CD5" w:rsidRDefault="00187A5D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 xml:space="preserve">Admission of observers to </w:t>
      </w:r>
      <w:r w:rsidR="00C41236" w:rsidRPr="00F47CD5">
        <w:t>the second session of the Plenary of the Platform</w:t>
      </w:r>
      <w:r w:rsidRPr="00F47CD5">
        <w:t>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Credentials of representatives.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Initial work programme of the Platform:</w:t>
      </w:r>
    </w:p>
    <w:p w:rsidR="00187A5D" w:rsidRPr="00F47CD5" w:rsidRDefault="00C41236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W</w:t>
      </w:r>
      <w:r w:rsidR="00187A5D" w:rsidRPr="00F47CD5">
        <w:t xml:space="preserve">ork programme 2014–2018; </w:t>
      </w:r>
    </w:p>
    <w:p w:rsidR="00187A5D" w:rsidRPr="00F47CD5" w:rsidRDefault="00C41236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C</w:t>
      </w:r>
      <w:r w:rsidR="00187A5D" w:rsidRPr="00F47CD5">
        <w:t>onceptual framework.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Financial and budgetary arrangements for the Platform:</w:t>
      </w:r>
    </w:p>
    <w:p w:rsidR="00187A5D" w:rsidRPr="00F47CD5" w:rsidRDefault="00C41236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B</w:t>
      </w:r>
      <w:r w:rsidR="00187A5D" w:rsidRPr="00F47CD5">
        <w:t>udget 2014–2018;</w:t>
      </w:r>
    </w:p>
    <w:p w:rsidR="00187A5D" w:rsidRPr="00F47CD5" w:rsidRDefault="00187A5D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Options for the Trust Fund;</w:t>
      </w:r>
    </w:p>
    <w:p w:rsidR="00187A5D" w:rsidRPr="00F47CD5" w:rsidRDefault="00187A5D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Financial procedures.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 xml:space="preserve">Rules and procedures for </w:t>
      </w:r>
      <w:r w:rsidRPr="004B5666">
        <w:t xml:space="preserve">the </w:t>
      </w:r>
      <w:r w:rsidRPr="009D59AB">
        <w:t>operation</w:t>
      </w:r>
      <w:r w:rsidRPr="004B5666">
        <w:t xml:space="preserve"> of the</w:t>
      </w:r>
      <w:r w:rsidRPr="00F47CD5">
        <w:t xml:space="preserve"> Platform:</w:t>
      </w:r>
      <w:r w:rsidR="00032DB5">
        <w:t xml:space="preserve"> </w:t>
      </w:r>
    </w:p>
    <w:p w:rsidR="00187A5D" w:rsidRPr="00F47CD5" w:rsidRDefault="00187A5D" w:rsidP="009D59AB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</w:pPr>
      <w:r w:rsidRPr="00F47CD5">
        <w:t>Regional structure of the Multidisciplinary Expert Panel;</w:t>
      </w:r>
      <w:r w:rsidR="00AE7DFE">
        <w:t xml:space="preserve"> </w:t>
      </w:r>
    </w:p>
    <w:p w:rsidR="00187A5D" w:rsidRPr="00F47CD5" w:rsidRDefault="00187A5D" w:rsidP="009D59AB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</w:pPr>
      <w:r w:rsidRPr="00F47CD5">
        <w:t>Review of the administrative procedure</w:t>
      </w:r>
      <w:r w:rsidR="00620F1E" w:rsidRPr="00F47CD5">
        <w:t>s</w:t>
      </w:r>
      <w:r w:rsidRPr="00F47CD5">
        <w:t xml:space="preserve"> for the selection of the </w:t>
      </w:r>
      <w:r w:rsidR="00620F1E" w:rsidRPr="00F47CD5">
        <w:t>members of the Multidisciplinary Expert Panel</w:t>
      </w:r>
      <w:r w:rsidRPr="00F47CD5">
        <w:t>;</w:t>
      </w:r>
    </w:p>
    <w:p w:rsidR="00187A5D" w:rsidRPr="00F47CD5" w:rsidRDefault="00187A5D" w:rsidP="009D59AB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</w:pPr>
      <w:r w:rsidRPr="00F47CD5">
        <w:t>Procedures for the preparation, review, acceptance, adoption, approval and publication of assessment reports and other deliverables</w:t>
      </w:r>
      <w:r w:rsidR="002464B8" w:rsidRPr="00F47CD5">
        <w:t xml:space="preserve"> of the Platform</w:t>
      </w:r>
      <w:r w:rsidRPr="00F47CD5">
        <w:t>;</w:t>
      </w:r>
    </w:p>
    <w:p w:rsidR="00187A5D" w:rsidRPr="00F47CD5" w:rsidRDefault="00187A5D" w:rsidP="009D59AB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</w:pPr>
      <w:r w:rsidRPr="00F47CD5">
        <w:t>Policy and procedures for the admission of observers;</w:t>
      </w:r>
    </w:p>
    <w:p w:rsidR="00187A5D" w:rsidRPr="009D59AB" w:rsidRDefault="00187A5D" w:rsidP="009D59AB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</w:pPr>
      <w:r w:rsidRPr="009D59AB">
        <w:t xml:space="preserve">Conflict of </w:t>
      </w:r>
      <w:r w:rsidR="00620F1E" w:rsidRPr="009D59AB">
        <w:t>i</w:t>
      </w:r>
      <w:r w:rsidRPr="009D59AB">
        <w:t xml:space="preserve">nterest </w:t>
      </w:r>
      <w:r w:rsidR="00620F1E" w:rsidRPr="009D59AB">
        <w:t>p</w:t>
      </w:r>
      <w:r w:rsidRPr="009D59AB">
        <w:t>olicy.</w:t>
      </w:r>
    </w:p>
    <w:p w:rsidR="00187A5D" w:rsidRPr="00F47CD5" w:rsidRDefault="00187A5D" w:rsidP="00F47CD5">
      <w:pPr>
        <w:pStyle w:val="Normalnumber"/>
        <w:keepNext/>
        <w:keepLines/>
      </w:pPr>
      <w:r w:rsidRPr="00F47CD5">
        <w:lastRenderedPageBreak/>
        <w:t>Communications and stakeholder engagement:</w:t>
      </w:r>
    </w:p>
    <w:p w:rsidR="00187A5D" w:rsidRPr="00F47CD5" w:rsidRDefault="00187A5D" w:rsidP="00543454">
      <w:pPr>
        <w:pStyle w:val="Normalnumber"/>
        <w:keepNext/>
        <w:keepLines/>
        <w:numPr>
          <w:ilvl w:val="1"/>
          <w:numId w:val="4"/>
        </w:numPr>
        <w:ind w:left="2438" w:hanging="567"/>
      </w:pPr>
      <w:r w:rsidRPr="00F47CD5">
        <w:t>Communications and outreach strategy;</w:t>
      </w:r>
    </w:p>
    <w:p w:rsidR="00187A5D" w:rsidRPr="00F47CD5" w:rsidRDefault="00187A5D" w:rsidP="00543454">
      <w:pPr>
        <w:pStyle w:val="Normalnumber"/>
        <w:keepNext/>
        <w:keepLines/>
        <w:numPr>
          <w:ilvl w:val="1"/>
          <w:numId w:val="4"/>
        </w:numPr>
        <w:ind w:left="2438" w:hanging="567"/>
      </w:pPr>
      <w:r w:rsidRPr="00F47CD5">
        <w:t>Stakeholder engagement strategy;</w:t>
      </w:r>
    </w:p>
    <w:p w:rsidR="00187A5D" w:rsidRPr="00F47CD5" w:rsidRDefault="00187A5D" w:rsidP="00543454">
      <w:pPr>
        <w:pStyle w:val="Normalnumber"/>
        <w:numPr>
          <w:ilvl w:val="1"/>
          <w:numId w:val="4"/>
        </w:numPr>
        <w:ind w:left="2438" w:hanging="567"/>
      </w:pPr>
      <w:r w:rsidRPr="00F47CD5">
        <w:t>Guidance on strategic partnerships.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Institutional arrangements:</w:t>
      </w:r>
      <w:r w:rsidR="00620F1E" w:rsidRPr="00F47CD5">
        <w:t xml:space="preserve"> United Nations collaborative partnership arrangement</w:t>
      </w:r>
      <w:r w:rsidR="00E579BD" w:rsidRPr="00F47CD5">
        <w:t>s</w:t>
      </w:r>
      <w:r w:rsidR="00620F1E" w:rsidRPr="00F47CD5">
        <w:t xml:space="preserve"> for the work of the Platform and its secretariat</w:t>
      </w:r>
      <w:r w:rsidR="00BE2356">
        <w:t>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Provisional agenda, date and venue of future sessions of the Plenary.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Adoption of decisions and the report of the session.</w:t>
      </w:r>
    </w:p>
    <w:p w:rsidR="00187A5D" w:rsidRPr="00F47CD5" w:rsidRDefault="00187A5D" w:rsidP="00543454">
      <w:pPr>
        <w:pStyle w:val="Normalnumber"/>
        <w:ind w:left="1814" w:hanging="567"/>
      </w:pPr>
      <w:r w:rsidRPr="00F47CD5">
        <w:t>Closure of the session.</w:t>
      </w:r>
    </w:p>
    <w:p w:rsidR="00187A5D" w:rsidRDefault="00187A5D" w:rsidP="00187A5D">
      <w:pPr>
        <w:pStyle w:val="Normal-pool"/>
        <w:rPr>
          <w:lang w:val="en-US"/>
        </w:rPr>
      </w:pPr>
    </w:p>
    <w:p w:rsidR="00F41127" w:rsidRDefault="00F41127" w:rsidP="00187A5D">
      <w:pPr>
        <w:pStyle w:val="Normal-pool"/>
      </w:pPr>
    </w:p>
    <w:p w:rsidR="005269C4" w:rsidRPr="002726CF" w:rsidRDefault="005269C4" w:rsidP="00187A5D">
      <w:pPr>
        <w:pStyle w:val="Normal-pool"/>
      </w:pP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5269C4">
        <w:tc>
          <w:tcPr>
            <w:tcW w:w="3237" w:type="dxa"/>
          </w:tcPr>
          <w:p w:rsidR="005269C4" w:rsidRDefault="005269C4" w:rsidP="00187A5D">
            <w:pPr>
              <w:pStyle w:val="Normal-pool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5269C4" w:rsidRDefault="005269C4" w:rsidP="00187A5D">
            <w:pPr>
              <w:pStyle w:val="Normal-pool"/>
            </w:pPr>
          </w:p>
        </w:tc>
        <w:tc>
          <w:tcPr>
            <w:tcW w:w="3238" w:type="dxa"/>
          </w:tcPr>
          <w:p w:rsidR="005269C4" w:rsidRDefault="005269C4" w:rsidP="00187A5D">
            <w:pPr>
              <w:pStyle w:val="Normal-pool"/>
            </w:pPr>
          </w:p>
        </w:tc>
      </w:tr>
    </w:tbl>
    <w:p w:rsidR="00B85A41" w:rsidRPr="002726CF" w:rsidRDefault="00B85A41" w:rsidP="00187A5D">
      <w:pPr>
        <w:pStyle w:val="Normal-pool"/>
      </w:pPr>
    </w:p>
    <w:sectPr w:rsidR="00B85A41" w:rsidRPr="002726CF" w:rsidSect="00943B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85" w:rsidRDefault="00FD2B85">
      <w:r>
        <w:separator/>
      </w:r>
    </w:p>
  </w:endnote>
  <w:endnote w:type="continuationSeparator" w:id="0">
    <w:p w:rsidR="00FD2B85" w:rsidRDefault="00FD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6" w:rsidRDefault="004B566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47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6" w:rsidRDefault="004B5666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6" w:rsidRDefault="004B5666">
    <w:pPr>
      <w:pStyle w:val="Footer"/>
    </w:pPr>
    <w:r>
      <w:t>K1353029</w:t>
    </w:r>
    <w:r>
      <w:tab/>
    </w:r>
    <w:r w:rsidR="003B41D2">
      <w:t>12</w:t>
    </w:r>
    <w:r>
      <w:t>0913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85" w:rsidRDefault="00FD2B85" w:rsidP="00D92DE0">
      <w:pPr>
        <w:ind w:left="624"/>
      </w:pPr>
      <w:r>
        <w:separator/>
      </w:r>
    </w:p>
  </w:footnote>
  <w:footnote w:type="continuationSeparator" w:id="0">
    <w:p w:rsidR="00FD2B85" w:rsidRDefault="00FD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6" w:rsidRPr="00986F26" w:rsidRDefault="002463AF">
    <w:pPr>
      <w:pStyle w:val="Header"/>
      <w:rPr>
        <w:szCs w:val="18"/>
      </w:rPr>
    </w:pPr>
    <w:r w:rsidRPr="00F47CD5" w:rsidDel="002463AF">
      <w:rPr>
        <w:szCs w:val="18"/>
      </w:rPr>
      <w:t xml:space="preserve"> </w:t>
    </w:r>
    <w:r w:rsidR="004B5666" w:rsidRPr="00F47CD5">
      <w:rPr>
        <w:szCs w:val="18"/>
      </w:rPr>
      <w:t>IPBES/</w:t>
    </w:r>
    <w:r w:rsidR="004B5666" w:rsidRPr="00F47CD5">
      <w:rPr>
        <w:szCs w:val="18"/>
        <w:lang w:eastAsia="ja-JP"/>
      </w:rPr>
      <w:t>2/1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6" w:rsidRPr="00494455" w:rsidRDefault="004B5666" w:rsidP="00035EDE">
    <w:pPr>
      <w:pStyle w:val="Header"/>
      <w:jc w:val="right"/>
      <w:rPr>
        <w:szCs w:val="18"/>
      </w:rPr>
    </w:pPr>
    <w:r w:rsidRPr="00986F26">
      <w:rPr>
        <w:szCs w:val="18"/>
        <w:highlight w:val="yellow"/>
      </w:rPr>
      <w:t>UNEP/IPBES/</w:t>
    </w:r>
    <w:r w:rsidRPr="00986F26">
      <w:rPr>
        <w:szCs w:val="18"/>
        <w:highlight w:val="yellow"/>
        <w:lang w:eastAsia="ja-JP"/>
      </w:rPr>
      <w:t>2/10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66" w:rsidRDefault="004B5666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3A7"/>
    <w:multiLevelType w:val="multilevel"/>
    <w:tmpl w:val="48241D10"/>
    <w:numStyleLink w:val="Normallist"/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/>
  <w:defaultTabStop w:val="624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21F9B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8EE"/>
    <w:rsid w:val="0004779A"/>
    <w:rsid w:val="000509B4"/>
    <w:rsid w:val="00055BA7"/>
    <w:rsid w:val="00071886"/>
    <w:rsid w:val="00072509"/>
    <w:rsid w:val="000742BC"/>
    <w:rsid w:val="00081E43"/>
    <w:rsid w:val="00082A0C"/>
    <w:rsid w:val="000917E8"/>
    <w:rsid w:val="00094221"/>
    <w:rsid w:val="0009640C"/>
    <w:rsid w:val="000B59B2"/>
    <w:rsid w:val="000C665C"/>
    <w:rsid w:val="000D33C0"/>
    <w:rsid w:val="000D523B"/>
    <w:rsid w:val="000E13EF"/>
    <w:rsid w:val="000F3B6C"/>
    <w:rsid w:val="00102111"/>
    <w:rsid w:val="001202E3"/>
    <w:rsid w:val="0013059D"/>
    <w:rsid w:val="00141A55"/>
    <w:rsid w:val="001554A3"/>
    <w:rsid w:val="00156281"/>
    <w:rsid w:val="001673CF"/>
    <w:rsid w:val="00181BC9"/>
    <w:rsid w:val="00181EC8"/>
    <w:rsid w:val="00184349"/>
    <w:rsid w:val="00187A5D"/>
    <w:rsid w:val="0019268D"/>
    <w:rsid w:val="001B08F0"/>
    <w:rsid w:val="001B1617"/>
    <w:rsid w:val="001D3874"/>
    <w:rsid w:val="001D4810"/>
    <w:rsid w:val="001D7E75"/>
    <w:rsid w:val="001E56D2"/>
    <w:rsid w:val="001E7D56"/>
    <w:rsid w:val="001F034F"/>
    <w:rsid w:val="001F75DE"/>
    <w:rsid w:val="00200D58"/>
    <w:rsid w:val="002013BE"/>
    <w:rsid w:val="002063A4"/>
    <w:rsid w:val="0021145B"/>
    <w:rsid w:val="00221AE7"/>
    <w:rsid w:val="00234B58"/>
    <w:rsid w:val="002463AF"/>
    <w:rsid w:val="002464B8"/>
    <w:rsid w:val="00247707"/>
    <w:rsid w:val="002726CF"/>
    <w:rsid w:val="002773E9"/>
    <w:rsid w:val="00286740"/>
    <w:rsid w:val="00287E60"/>
    <w:rsid w:val="002929D8"/>
    <w:rsid w:val="002A237D"/>
    <w:rsid w:val="002A4C53"/>
    <w:rsid w:val="002A564F"/>
    <w:rsid w:val="002A6A11"/>
    <w:rsid w:val="002B035E"/>
    <w:rsid w:val="002C145D"/>
    <w:rsid w:val="002C2C3E"/>
    <w:rsid w:val="002C533E"/>
    <w:rsid w:val="002C7132"/>
    <w:rsid w:val="002D027F"/>
    <w:rsid w:val="002D7B60"/>
    <w:rsid w:val="002F4761"/>
    <w:rsid w:val="003056C1"/>
    <w:rsid w:val="0031413F"/>
    <w:rsid w:val="00336901"/>
    <w:rsid w:val="003446B5"/>
    <w:rsid w:val="0034548C"/>
    <w:rsid w:val="003503B6"/>
    <w:rsid w:val="00355EA9"/>
    <w:rsid w:val="00385963"/>
    <w:rsid w:val="00396257"/>
    <w:rsid w:val="00397909"/>
    <w:rsid w:val="00397EB8"/>
    <w:rsid w:val="003A4FD0"/>
    <w:rsid w:val="003A69D1"/>
    <w:rsid w:val="003B0C0D"/>
    <w:rsid w:val="003B1545"/>
    <w:rsid w:val="003B41D2"/>
    <w:rsid w:val="003C409D"/>
    <w:rsid w:val="003C4EFB"/>
    <w:rsid w:val="003E09A0"/>
    <w:rsid w:val="003E395B"/>
    <w:rsid w:val="003E7728"/>
    <w:rsid w:val="003F0E85"/>
    <w:rsid w:val="00400EFD"/>
    <w:rsid w:val="00410C55"/>
    <w:rsid w:val="00417725"/>
    <w:rsid w:val="00425C06"/>
    <w:rsid w:val="00437F26"/>
    <w:rsid w:val="00446EF6"/>
    <w:rsid w:val="00447EF3"/>
    <w:rsid w:val="00454769"/>
    <w:rsid w:val="0046429E"/>
    <w:rsid w:val="00466991"/>
    <w:rsid w:val="0047064C"/>
    <w:rsid w:val="00471DFA"/>
    <w:rsid w:val="004827F3"/>
    <w:rsid w:val="00493E19"/>
    <w:rsid w:val="00494455"/>
    <w:rsid w:val="00495289"/>
    <w:rsid w:val="00496EFB"/>
    <w:rsid w:val="004B5666"/>
    <w:rsid w:val="004C5C96"/>
    <w:rsid w:val="004D06A4"/>
    <w:rsid w:val="004F1A81"/>
    <w:rsid w:val="004F2D0E"/>
    <w:rsid w:val="0050619E"/>
    <w:rsid w:val="0051335F"/>
    <w:rsid w:val="005160EC"/>
    <w:rsid w:val="005218D9"/>
    <w:rsid w:val="005269C4"/>
    <w:rsid w:val="00535BDA"/>
    <w:rsid w:val="00536186"/>
    <w:rsid w:val="00543454"/>
    <w:rsid w:val="005453ED"/>
    <w:rsid w:val="00550273"/>
    <w:rsid w:val="00550DF7"/>
    <w:rsid w:val="0057315F"/>
    <w:rsid w:val="00573200"/>
    <w:rsid w:val="00574792"/>
    <w:rsid w:val="00584B14"/>
    <w:rsid w:val="005A59FE"/>
    <w:rsid w:val="005B584B"/>
    <w:rsid w:val="005C00D1"/>
    <w:rsid w:val="005C67C8"/>
    <w:rsid w:val="005D0249"/>
    <w:rsid w:val="005D4E57"/>
    <w:rsid w:val="005F05FD"/>
    <w:rsid w:val="005F100C"/>
    <w:rsid w:val="005F1648"/>
    <w:rsid w:val="005F7986"/>
    <w:rsid w:val="00620F1E"/>
    <w:rsid w:val="00621F9B"/>
    <w:rsid w:val="00623998"/>
    <w:rsid w:val="006252F5"/>
    <w:rsid w:val="006303B4"/>
    <w:rsid w:val="006370DB"/>
    <w:rsid w:val="00637CE4"/>
    <w:rsid w:val="00641703"/>
    <w:rsid w:val="006431A6"/>
    <w:rsid w:val="006459F6"/>
    <w:rsid w:val="006474E9"/>
    <w:rsid w:val="006501AD"/>
    <w:rsid w:val="00651BFA"/>
    <w:rsid w:val="00686FD9"/>
    <w:rsid w:val="00692E2A"/>
    <w:rsid w:val="006A76F2"/>
    <w:rsid w:val="006C3C12"/>
    <w:rsid w:val="006C740F"/>
    <w:rsid w:val="006D7EFB"/>
    <w:rsid w:val="006E3441"/>
    <w:rsid w:val="006E6722"/>
    <w:rsid w:val="007027B9"/>
    <w:rsid w:val="00705F05"/>
    <w:rsid w:val="00715E88"/>
    <w:rsid w:val="0072504C"/>
    <w:rsid w:val="00734CAA"/>
    <w:rsid w:val="00745F24"/>
    <w:rsid w:val="00757581"/>
    <w:rsid w:val="00757CA2"/>
    <w:rsid w:val="0076107C"/>
    <w:rsid w:val="007737A8"/>
    <w:rsid w:val="007964D9"/>
    <w:rsid w:val="007A5746"/>
    <w:rsid w:val="007A5C12"/>
    <w:rsid w:val="007C2541"/>
    <w:rsid w:val="007D5D6C"/>
    <w:rsid w:val="007D7245"/>
    <w:rsid w:val="007E003F"/>
    <w:rsid w:val="007F154E"/>
    <w:rsid w:val="007F72D1"/>
    <w:rsid w:val="008019EB"/>
    <w:rsid w:val="00804B9B"/>
    <w:rsid w:val="00805E39"/>
    <w:rsid w:val="00830E26"/>
    <w:rsid w:val="00843576"/>
    <w:rsid w:val="00843B64"/>
    <w:rsid w:val="00854EB8"/>
    <w:rsid w:val="00867BFF"/>
    <w:rsid w:val="008739BA"/>
    <w:rsid w:val="00880504"/>
    <w:rsid w:val="0088480A"/>
    <w:rsid w:val="00891B46"/>
    <w:rsid w:val="008926EC"/>
    <w:rsid w:val="008957DD"/>
    <w:rsid w:val="00897D98"/>
    <w:rsid w:val="008A6DF2"/>
    <w:rsid w:val="008B79B4"/>
    <w:rsid w:val="008C005A"/>
    <w:rsid w:val="008D0E23"/>
    <w:rsid w:val="008D37C3"/>
    <w:rsid w:val="008D6BA0"/>
    <w:rsid w:val="008D7C99"/>
    <w:rsid w:val="008E0FCB"/>
    <w:rsid w:val="008F5894"/>
    <w:rsid w:val="00911AB0"/>
    <w:rsid w:val="00914084"/>
    <w:rsid w:val="0092178C"/>
    <w:rsid w:val="00940DCC"/>
    <w:rsid w:val="0094179A"/>
    <w:rsid w:val="00943BDB"/>
    <w:rsid w:val="0094459E"/>
    <w:rsid w:val="00944DBC"/>
    <w:rsid w:val="00950977"/>
    <w:rsid w:val="00951A7B"/>
    <w:rsid w:val="0095574F"/>
    <w:rsid w:val="009564A6"/>
    <w:rsid w:val="00962B5E"/>
    <w:rsid w:val="00963208"/>
    <w:rsid w:val="00983EE2"/>
    <w:rsid w:val="00986F26"/>
    <w:rsid w:val="0098795B"/>
    <w:rsid w:val="009A4ACC"/>
    <w:rsid w:val="009A6528"/>
    <w:rsid w:val="009B4A0F"/>
    <w:rsid w:val="009C1324"/>
    <w:rsid w:val="009C2890"/>
    <w:rsid w:val="009C6D94"/>
    <w:rsid w:val="009D0B63"/>
    <w:rsid w:val="009D3F3B"/>
    <w:rsid w:val="009D59AB"/>
    <w:rsid w:val="009E6DF7"/>
    <w:rsid w:val="00A1348D"/>
    <w:rsid w:val="00A17BA5"/>
    <w:rsid w:val="00A232EE"/>
    <w:rsid w:val="00A41B84"/>
    <w:rsid w:val="00A44411"/>
    <w:rsid w:val="00A469FA"/>
    <w:rsid w:val="00A55B01"/>
    <w:rsid w:val="00A56B5B"/>
    <w:rsid w:val="00A64EE6"/>
    <w:rsid w:val="00A657DD"/>
    <w:rsid w:val="00A666A6"/>
    <w:rsid w:val="00A80611"/>
    <w:rsid w:val="00A81CD8"/>
    <w:rsid w:val="00AA31A3"/>
    <w:rsid w:val="00AA3A0E"/>
    <w:rsid w:val="00AA4E66"/>
    <w:rsid w:val="00AB2918"/>
    <w:rsid w:val="00AB5340"/>
    <w:rsid w:val="00AC7C96"/>
    <w:rsid w:val="00AD7C9B"/>
    <w:rsid w:val="00AE237D"/>
    <w:rsid w:val="00AE5B98"/>
    <w:rsid w:val="00AE7DFE"/>
    <w:rsid w:val="00AF7249"/>
    <w:rsid w:val="00AF7C07"/>
    <w:rsid w:val="00B13586"/>
    <w:rsid w:val="00B275BB"/>
    <w:rsid w:val="00B405B7"/>
    <w:rsid w:val="00B4262C"/>
    <w:rsid w:val="00B46490"/>
    <w:rsid w:val="00B66901"/>
    <w:rsid w:val="00B71E6D"/>
    <w:rsid w:val="00B72070"/>
    <w:rsid w:val="00B779E1"/>
    <w:rsid w:val="00B84371"/>
    <w:rsid w:val="00B85A41"/>
    <w:rsid w:val="00B96BF7"/>
    <w:rsid w:val="00BA1A67"/>
    <w:rsid w:val="00BB15DE"/>
    <w:rsid w:val="00BC093D"/>
    <w:rsid w:val="00BC4766"/>
    <w:rsid w:val="00BE2356"/>
    <w:rsid w:val="00BF3DE7"/>
    <w:rsid w:val="00BF7A7C"/>
    <w:rsid w:val="00C30C63"/>
    <w:rsid w:val="00C41236"/>
    <w:rsid w:val="00C51F45"/>
    <w:rsid w:val="00C558DA"/>
    <w:rsid w:val="00C57664"/>
    <w:rsid w:val="00C725DC"/>
    <w:rsid w:val="00C84759"/>
    <w:rsid w:val="00C93203"/>
    <w:rsid w:val="00C93A3A"/>
    <w:rsid w:val="00C95831"/>
    <w:rsid w:val="00C961BB"/>
    <w:rsid w:val="00CA2CB5"/>
    <w:rsid w:val="00CA6C7F"/>
    <w:rsid w:val="00CB1404"/>
    <w:rsid w:val="00CC10A6"/>
    <w:rsid w:val="00CC2354"/>
    <w:rsid w:val="00CD2A97"/>
    <w:rsid w:val="00CD3D68"/>
    <w:rsid w:val="00CD7044"/>
    <w:rsid w:val="00CE2264"/>
    <w:rsid w:val="00CE2A2D"/>
    <w:rsid w:val="00CE524C"/>
    <w:rsid w:val="00CE5FCF"/>
    <w:rsid w:val="00CF141F"/>
    <w:rsid w:val="00CF4777"/>
    <w:rsid w:val="00D02075"/>
    <w:rsid w:val="00D12B2C"/>
    <w:rsid w:val="00D15118"/>
    <w:rsid w:val="00D169AF"/>
    <w:rsid w:val="00D22513"/>
    <w:rsid w:val="00D25249"/>
    <w:rsid w:val="00D44172"/>
    <w:rsid w:val="00D46C05"/>
    <w:rsid w:val="00D63B8C"/>
    <w:rsid w:val="00D71D25"/>
    <w:rsid w:val="00D739CC"/>
    <w:rsid w:val="00D8093D"/>
    <w:rsid w:val="00D8108C"/>
    <w:rsid w:val="00D82D20"/>
    <w:rsid w:val="00D842AE"/>
    <w:rsid w:val="00D9211C"/>
    <w:rsid w:val="00D92DE0"/>
    <w:rsid w:val="00D93A0F"/>
    <w:rsid w:val="00D96369"/>
    <w:rsid w:val="00DA1BCA"/>
    <w:rsid w:val="00DB1194"/>
    <w:rsid w:val="00DC46FF"/>
    <w:rsid w:val="00DD1A4F"/>
    <w:rsid w:val="00DD7C2C"/>
    <w:rsid w:val="00DE7A06"/>
    <w:rsid w:val="00DF33F6"/>
    <w:rsid w:val="00DF59F6"/>
    <w:rsid w:val="00E04301"/>
    <w:rsid w:val="00E06389"/>
    <w:rsid w:val="00E06797"/>
    <w:rsid w:val="00E10FB7"/>
    <w:rsid w:val="00E110C8"/>
    <w:rsid w:val="00E215B0"/>
    <w:rsid w:val="00E21C83"/>
    <w:rsid w:val="00E302D9"/>
    <w:rsid w:val="00E41FB3"/>
    <w:rsid w:val="00E4612E"/>
    <w:rsid w:val="00E46D9A"/>
    <w:rsid w:val="00E565FF"/>
    <w:rsid w:val="00E579BD"/>
    <w:rsid w:val="00E65388"/>
    <w:rsid w:val="00E76253"/>
    <w:rsid w:val="00E85B7D"/>
    <w:rsid w:val="00E9121B"/>
    <w:rsid w:val="00EA0B53"/>
    <w:rsid w:val="00EA39E5"/>
    <w:rsid w:val="00EB1B8B"/>
    <w:rsid w:val="00EC3219"/>
    <w:rsid w:val="00EC5A46"/>
    <w:rsid w:val="00EC63E2"/>
    <w:rsid w:val="00EF22B3"/>
    <w:rsid w:val="00EF2844"/>
    <w:rsid w:val="00F044F7"/>
    <w:rsid w:val="00F064C1"/>
    <w:rsid w:val="00F113DA"/>
    <w:rsid w:val="00F22D44"/>
    <w:rsid w:val="00F32F67"/>
    <w:rsid w:val="00F37DC8"/>
    <w:rsid w:val="00F41127"/>
    <w:rsid w:val="00F47CD5"/>
    <w:rsid w:val="00F5341A"/>
    <w:rsid w:val="00F650C3"/>
    <w:rsid w:val="00F8091E"/>
    <w:rsid w:val="00F8577F"/>
    <w:rsid w:val="00F8615C"/>
    <w:rsid w:val="00F9516F"/>
    <w:rsid w:val="00FB254A"/>
    <w:rsid w:val="00FB6C90"/>
    <w:rsid w:val="00FD2B85"/>
    <w:rsid w:val="00FD3EE8"/>
    <w:rsid w:val="00FD534F"/>
    <w:rsid w:val="00FD5860"/>
    <w:rsid w:val="00FE352D"/>
    <w:rsid w:val="00F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semiHidden/>
    <w:rsid w:val="00AA4E66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AA4E66"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-pool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A027-2760-444A-9F5E-4A546F9D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Rohan</cp:lastModifiedBy>
  <cp:revision>2</cp:revision>
  <cp:lastPrinted>2012-02-06T11:40:00Z</cp:lastPrinted>
  <dcterms:created xsi:type="dcterms:W3CDTF">2013-10-01T18:37:00Z</dcterms:created>
  <dcterms:modified xsi:type="dcterms:W3CDTF">2013-10-01T18:37:00Z</dcterms:modified>
</cp:coreProperties>
</file>