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728"/>
        <w:gridCol w:w="5040"/>
        <w:gridCol w:w="3012"/>
      </w:tblGrid>
      <w:tr w:rsidR="00194D87" w:rsidRPr="0013798A" w:rsidTr="00B364EC">
        <w:trPr>
          <w:cantSplit/>
          <w:trHeight w:val="850"/>
        </w:trPr>
        <w:tc>
          <w:tcPr>
            <w:tcW w:w="1728" w:type="dxa"/>
          </w:tcPr>
          <w:p w:rsidR="00194D87" w:rsidRPr="0013798A" w:rsidRDefault="005C4BAC" w:rsidP="0013798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rFonts w:ascii="Arial" w:hAnsi="Arial" w:cs="Arial"/>
                <w:b/>
                <w:noProof/>
                <w:sz w:val="27"/>
                <w:szCs w:val="27"/>
                <w:lang w:val="es-ES"/>
              </w:rPr>
            </w:pPr>
            <w:bookmarkStart w:id="0" w:name="_GoBack"/>
            <w:bookmarkEnd w:id="0"/>
            <w:r w:rsidRPr="0013798A">
              <w:rPr>
                <w:rFonts w:ascii="Univers" w:hAnsi="Univers"/>
                <w:b/>
                <w:noProof/>
                <w:sz w:val="27"/>
                <w:szCs w:val="27"/>
                <w:lang w:val="es-ES"/>
              </w:rPr>
              <w:t>NACIONES UNIDAS</w:t>
            </w:r>
          </w:p>
        </w:tc>
        <w:tc>
          <w:tcPr>
            <w:tcW w:w="5040" w:type="dxa"/>
          </w:tcPr>
          <w:p w:rsidR="00194D87" w:rsidRPr="0013798A" w:rsidRDefault="00194D87" w:rsidP="0013798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rFonts w:ascii="Univers" w:hAnsi="Univers"/>
                <w:b/>
                <w:sz w:val="27"/>
                <w:szCs w:val="27"/>
                <w:lang w:val="es-ES"/>
              </w:rPr>
            </w:pPr>
          </w:p>
        </w:tc>
        <w:tc>
          <w:tcPr>
            <w:tcW w:w="3012" w:type="dxa"/>
          </w:tcPr>
          <w:p w:rsidR="00194D87" w:rsidRPr="0013798A" w:rsidRDefault="00194D87" w:rsidP="0013798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jc w:val="right"/>
              <w:rPr>
                <w:rFonts w:ascii="Univers" w:hAnsi="Univers"/>
                <w:b/>
                <w:sz w:val="72"/>
                <w:szCs w:val="72"/>
                <w:lang w:val="es-ES"/>
              </w:rPr>
            </w:pPr>
            <w:r w:rsidRPr="0013798A">
              <w:rPr>
                <w:rFonts w:ascii="Univers" w:hAnsi="Univers"/>
                <w:b/>
                <w:sz w:val="72"/>
                <w:szCs w:val="72"/>
                <w:lang w:val="es-ES"/>
              </w:rPr>
              <w:t>EP</w:t>
            </w:r>
          </w:p>
        </w:tc>
      </w:tr>
      <w:tr w:rsidR="00194D87" w:rsidRPr="0013798A" w:rsidTr="001A08F1">
        <w:trPr>
          <w:cantSplit/>
          <w:trHeight w:val="257"/>
        </w:trPr>
        <w:tc>
          <w:tcPr>
            <w:tcW w:w="1728" w:type="dxa"/>
            <w:tcBorders>
              <w:bottom w:val="single" w:sz="4" w:space="0" w:color="auto"/>
            </w:tcBorders>
          </w:tcPr>
          <w:p w:rsidR="00194D87" w:rsidRPr="0013798A" w:rsidRDefault="00194D87" w:rsidP="0013798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4D87" w:rsidRPr="0013798A" w:rsidRDefault="00194D87" w:rsidP="0013798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rFonts w:ascii="Univers" w:hAnsi="Univers"/>
                <w:b/>
                <w:sz w:val="18"/>
                <w:szCs w:val="18"/>
                <w:lang w:val="es-ES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bottom"/>
          </w:tcPr>
          <w:p w:rsidR="00194D87" w:rsidRPr="001A08F1" w:rsidRDefault="00194D87" w:rsidP="001A08F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es-ES" w:eastAsia="ja-JP"/>
              </w:rPr>
            </w:pPr>
            <w:r w:rsidRPr="001A08F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IPBES</w:t>
            </w:r>
            <w:r w:rsidRPr="001A08F1">
              <w:rPr>
                <w:rFonts w:ascii="Times New Roman" w:hAnsi="Times New Roman"/>
                <w:sz w:val="20"/>
                <w:szCs w:val="20"/>
                <w:lang w:val="es-ES"/>
              </w:rPr>
              <w:t>/</w:t>
            </w:r>
            <w:r w:rsidRPr="001A08F1">
              <w:rPr>
                <w:rFonts w:ascii="Times New Roman" w:hAnsi="Times New Roman"/>
                <w:sz w:val="20"/>
                <w:szCs w:val="20"/>
                <w:lang w:val="es-ES" w:eastAsia="ja-JP"/>
              </w:rPr>
              <w:t>2/1</w:t>
            </w:r>
            <w:r w:rsidR="0058068F" w:rsidRPr="001A08F1">
              <w:rPr>
                <w:rFonts w:ascii="Times New Roman" w:hAnsi="Times New Roman"/>
                <w:sz w:val="20"/>
                <w:szCs w:val="20"/>
                <w:lang w:val="es-ES" w:eastAsia="ja-JP"/>
              </w:rPr>
              <w:t>6/Add.</w:t>
            </w:r>
            <w:r w:rsidR="00B54143" w:rsidRPr="001A08F1">
              <w:rPr>
                <w:rFonts w:ascii="Times New Roman" w:hAnsi="Times New Roman"/>
                <w:sz w:val="20"/>
                <w:szCs w:val="20"/>
                <w:lang w:val="es-ES" w:eastAsia="ja-JP"/>
              </w:rPr>
              <w:t>6</w:t>
            </w:r>
          </w:p>
        </w:tc>
      </w:tr>
      <w:tr w:rsidR="00194D87" w:rsidRPr="0013798A" w:rsidTr="00B364EC">
        <w:trPr>
          <w:cantSplit/>
          <w:trHeight w:val="2549"/>
        </w:trPr>
        <w:tc>
          <w:tcPr>
            <w:tcW w:w="1728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13798A" w:rsidRDefault="00194D87" w:rsidP="0013798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line="240" w:lineRule="auto"/>
              <w:rPr>
                <w:noProof/>
                <w:lang w:val="es-ES"/>
              </w:rPr>
            </w:pPr>
            <w:r w:rsidRPr="0013798A">
              <w:rPr>
                <w:noProof/>
                <w:lang w:val="es-ES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60pt" o:ole="" fillcolor="window">
                  <v:imagedata r:id="rId9" o:title=""/>
                </v:shape>
                <o:OLEObject Type="Embed" ProgID="Word.Picture.8" ShapeID="_x0000_i1025" DrawAspect="Content" ObjectID="_1445240461" r:id="rId10"/>
              </w:object>
            </w:r>
            <w:r w:rsidR="00304C6E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0" t="0" r="0" b="0"/>
                  <wp:docPr id="2" name="Picture 1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13798A" w:rsidRDefault="00B364EC" w:rsidP="0013798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400" w:line="240" w:lineRule="auto"/>
              <w:rPr>
                <w:rFonts w:ascii="Univers" w:hAnsi="Univers"/>
                <w:b/>
                <w:sz w:val="28"/>
                <w:lang w:val="es-ES"/>
              </w:rPr>
            </w:pPr>
            <w:r w:rsidRPr="0013798A">
              <w:rPr>
                <w:rFonts w:ascii="Univers" w:hAnsi="Univers"/>
                <w:b/>
                <w:sz w:val="32"/>
                <w:szCs w:val="32"/>
                <w:lang w:val="es-ES"/>
              </w:rPr>
              <w:t xml:space="preserve">Programa de las </w:t>
            </w:r>
            <w:r w:rsidRPr="0013798A">
              <w:rPr>
                <w:rFonts w:ascii="Univers" w:hAnsi="Univers"/>
                <w:b/>
                <w:sz w:val="32"/>
                <w:szCs w:val="32"/>
                <w:lang w:val="es-ES"/>
              </w:rPr>
              <w:br/>
            </w:r>
            <w:r w:rsidR="005C4BAC" w:rsidRPr="0013798A">
              <w:rPr>
                <w:rFonts w:ascii="Univers" w:hAnsi="Univers"/>
                <w:b/>
                <w:sz w:val="32"/>
                <w:szCs w:val="32"/>
                <w:lang w:val="es-ES"/>
              </w:rPr>
              <w:t>Naciones Unidas</w:t>
            </w:r>
            <w:r w:rsidRPr="0013798A">
              <w:rPr>
                <w:rFonts w:ascii="Univers" w:hAnsi="Univers"/>
                <w:b/>
                <w:sz w:val="32"/>
                <w:szCs w:val="32"/>
                <w:lang w:val="es-ES"/>
              </w:rPr>
              <w:br/>
              <w:t>para el Medio Ambiente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24" w:space="0" w:color="auto"/>
            </w:tcBorders>
          </w:tcPr>
          <w:p w:rsidR="00194D87" w:rsidRPr="0013798A" w:rsidRDefault="00194D87" w:rsidP="001A08F1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3798A">
              <w:rPr>
                <w:rFonts w:ascii="Times New Roman" w:hAnsi="Times New Roman"/>
                <w:sz w:val="20"/>
                <w:szCs w:val="20"/>
                <w:lang w:val="es-ES"/>
              </w:rPr>
              <w:t>Distr.</w:t>
            </w:r>
            <w:r w:rsidR="008739DB" w:rsidRPr="0013798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g</w:t>
            </w:r>
            <w:r w:rsidRPr="0013798A">
              <w:rPr>
                <w:rFonts w:ascii="Times New Roman" w:hAnsi="Times New Roman"/>
                <w:sz w:val="20"/>
                <w:szCs w:val="20"/>
                <w:lang w:val="es-ES"/>
              </w:rPr>
              <w:t>eneral</w:t>
            </w:r>
            <w:r w:rsidR="00870972" w:rsidRPr="0013798A">
              <w:rPr>
                <w:rFonts w:ascii="Times New Roman" w:hAnsi="Times New Roman"/>
                <w:sz w:val="20"/>
                <w:szCs w:val="20"/>
                <w:lang w:val="es-ES"/>
              </w:rPr>
              <w:br/>
            </w:r>
            <w:r w:rsidRPr="0013798A">
              <w:rPr>
                <w:rFonts w:ascii="Times New Roman" w:hAnsi="Times New Roman"/>
                <w:sz w:val="20"/>
                <w:szCs w:val="20"/>
                <w:lang w:val="es-ES" w:eastAsia="ja-JP"/>
              </w:rPr>
              <w:t xml:space="preserve">2 </w:t>
            </w:r>
            <w:r w:rsidR="00B364EC" w:rsidRPr="0013798A">
              <w:rPr>
                <w:rFonts w:ascii="Times New Roman" w:hAnsi="Times New Roman"/>
                <w:sz w:val="20"/>
                <w:szCs w:val="20"/>
                <w:lang w:val="es-ES" w:eastAsia="ja-JP"/>
              </w:rPr>
              <w:t>de octubre de</w:t>
            </w:r>
            <w:r w:rsidR="00D11D69" w:rsidRPr="0013798A">
              <w:rPr>
                <w:rFonts w:ascii="Times New Roman" w:hAnsi="Times New Roman"/>
                <w:sz w:val="20"/>
                <w:szCs w:val="20"/>
                <w:lang w:val="es-ES" w:eastAsia="ja-JP"/>
              </w:rPr>
              <w:t xml:space="preserve"> </w:t>
            </w:r>
            <w:r w:rsidRPr="0013798A">
              <w:rPr>
                <w:rFonts w:ascii="Times New Roman" w:hAnsi="Times New Roman"/>
                <w:sz w:val="20"/>
                <w:szCs w:val="20"/>
                <w:lang w:val="es-ES" w:eastAsia="ja-JP"/>
              </w:rPr>
              <w:t>2013</w:t>
            </w:r>
          </w:p>
          <w:p w:rsidR="00194D87" w:rsidRPr="0013798A" w:rsidRDefault="00B364EC" w:rsidP="0013798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3798A">
              <w:rPr>
                <w:rFonts w:ascii="Times New Roman" w:hAnsi="Times New Roman"/>
                <w:sz w:val="20"/>
                <w:szCs w:val="20"/>
                <w:lang w:val="es-ES"/>
              </w:rPr>
              <w:t>Español</w:t>
            </w:r>
            <w:r w:rsidRPr="0013798A">
              <w:rPr>
                <w:rFonts w:ascii="Times New Roman" w:hAnsi="Times New Roman"/>
                <w:sz w:val="20"/>
                <w:szCs w:val="20"/>
                <w:lang w:val="es-ES"/>
              </w:rPr>
              <w:br/>
              <w:t>Original: inglés</w:t>
            </w:r>
          </w:p>
        </w:tc>
      </w:tr>
    </w:tbl>
    <w:p w:rsidR="00A73EA5" w:rsidRPr="0013798A" w:rsidRDefault="00A73EA5" w:rsidP="0013798A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eastAsia="Times New Roman" w:hAnsi="Times New Roman"/>
          <w:b/>
          <w:sz w:val="20"/>
          <w:szCs w:val="20"/>
          <w:lang w:val="es-ES"/>
        </w:rPr>
      </w:pPr>
      <w:r w:rsidRPr="0013798A">
        <w:rPr>
          <w:rFonts w:ascii="Times New Roman" w:eastAsia="Times New Roman" w:hAnsi="Times New Roman"/>
          <w:b/>
          <w:sz w:val="20"/>
          <w:szCs w:val="20"/>
          <w:lang w:val="es-ES"/>
        </w:rPr>
        <w:t>Plenario de la Plataforma Intergubernamental Científico</w:t>
      </w:r>
      <w:r w:rsidR="005C4BAC" w:rsidRPr="0013798A">
        <w:rPr>
          <w:rFonts w:ascii="Times New Roman" w:eastAsia="Times New Roman" w:hAnsi="Times New Roman"/>
          <w:b/>
          <w:sz w:val="20"/>
          <w:szCs w:val="20"/>
          <w:lang w:val="es-ES"/>
        </w:rPr>
        <w:noBreakHyphen/>
      </w:r>
      <w:r w:rsidRPr="0013798A">
        <w:rPr>
          <w:rFonts w:ascii="Times New Roman" w:eastAsia="Times New Roman" w:hAnsi="Times New Roman"/>
          <w:b/>
          <w:sz w:val="20"/>
          <w:szCs w:val="20"/>
          <w:lang w:val="es-ES"/>
        </w:rPr>
        <w:t>normativa sobre Diversidad Biológica y Servicios de los Ecosistemas</w:t>
      </w:r>
    </w:p>
    <w:p w:rsidR="00A73EA5" w:rsidRPr="0013798A" w:rsidRDefault="00A73EA5" w:rsidP="0013798A"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after="0" w:line="240" w:lineRule="auto"/>
        <w:ind w:right="3402"/>
        <w:rPr>
          <w:rFonts w:ascii="Times New Roman" w:eastAsia="Times New Roman" w:hAnsi="Times New Roman"/>
          <w:b/>
          <w:sz w:val="20"/>
          <w:szCs w:val="20"/>
          <w:lang w:val="es-ES"/>
        </w:rPr>
      </w:pPr>
      <w:r w:rsidRPr="0013798A">
        <w:rPr>
          <w:rFonts w:ascii="Times New Roman" w:eastAsia="Times New Roman" w:hAnsi="Times New Roman"/>
          <w:b/>
          <w:sz w:val="20"/>
          <w:szCs w:val="20"/>
          <w:lang w:val="es-ES"/>
        </w:rPr>
        <w:t>Segundo período de sesiones</w:t>
      </w:r>
    </w:p>
    <w:p w:rsidR="00194D87" w:rsidRPr="0013798A" w:rsidRDefault="00A73EA5" w:rsidP="0013798A">
      <w:pPr>
        <w:pStyle w:val="AATitle"/>
        <w:rPr>
          <w:b w:val="0"/>
          <w:sz w:val="20"/>
          <w:szCs w:val="20"/>
          <w:lang w:val="es-ES"/>
        </w:rPr>
      </w:pPr>
      <w:r w:rsidRPr="0013798A">
        <w:rPr>
          <w:rFonts w:eastAsia="MS Mincho"/>
          <w:b w:val="0"/>
          <w:sz w:val="20"/>
          <w:szCs w:val="20"/>
          <w:lang w:val="es-ES" w:eastAsia="ja-JP"/>
        </w:rPr>
        <w:t>Antalya (Turquía), 9 a 14 de diciembre de 2013</w:t>
      </w:r>
    </w:p>
    <w:p w:rsidR="008A5A06" w:rsidRPr="0013798A" w:rsidRDefault="00A73EA5" w:rsidP="0013798A">
      <w:pPr>
        <w:pStyle w:val="AATitle"/>
        <w:rPr>
          <w:b w:val="0"/>
          <w:sz w:val="20"/>
          <w:szCs w:val="20"/>
          <w:lang w:val="es-ES"/>
        </w:rPr>
      </w:pPr>
      <w:r w:rsidRPr="0013798A">
        <w:rPr>
          <w:b w:val="0"/>
          <w:sz w:val="20"/>
          <w:szCs w:val="20"/>
          <w:lang w:val="es-ES"/>
        </w:rPr>
        <w:t>Tema</w:t>
      </w:r>
      <w:r w:rsidR="008A5A06" w:rsidRPr="0013798A">
        <w:rPr>
          <w:b w:val="0"/>
          <w:sz w:val="20"/>
          <w:szCs w:val="20"/>
          <w:lang w:val="es-ES"/>
        </w:rPr>
        <w:t xml:space="preserve"> 4 a) </w:t>
      </w:r>
      <w:r w:rsidRPr="0013798A">
        <w:rPr>
          <w:b w:val="0"/>
          <w:sz w:val="20"/>
          <w:szCs w:val="20"/>
          <w:lang w:val="es-ES"/>
        </w:rPr>
        <w:t>del progra</w:t>
      </w:r>
      <w:r w:rsidR="00AE0F42" w:rsidRPr="0013798A">
        <w:rPr>
          <w:b w:val="0"/>
          <w:sz w:val="20"/>
          <w:szCs w:val="20"/>
          <w:lang w:val="es-ES"/>
        </w:rPr>
        <w:t>m</w:t>
      </w:r>
      <w:r w:rsidRPr="0013798A">
        <w:rPr>
          <w:b w:val="0"/>
          <w:sz w:val="20"/>
          <w:szCs w:val="20"/>
          <w:lang w:val="es-ES"/>
        </w:rPr>
        <w:t>a provisional</w:t>
      </w:r>
      <w:r w:rsidR="008A5A06" w:rsidRPr="0013798A">
        <w:rPr>
          <w:rStyle w:val="FootnoteReference"/>
          <w:b w:val="0"/>
          <w:szCs w:val="20"/>
          <w:lang w:val="es-ES" w:eastAsia="ja-JP"/>
        </w:rPr>
        <w:footnoteReference w:customMarkFollows="1" w:id="1"/>
        <w:sym w:font="Symbol" w:char="F02A"/>
      </w:r>
    </w:p>
    <w:p w:rsidR="00194D87" w:rsidRPr="0013798A" w:rsidRDefault="00F95528" w:rsidP="0013798A">
      <w:pPr>
        <w:pStyle w:val="AATitle2"/>
        <w:spacing w:before="60"/>
        <w:rPr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>Programa de trabajo inicial de la Plataforma:</w:t>
      </w:r>
      <w:r w:rsidR="008A5A06" w:rsidRPr="0013798A">
        <w:rPr>
          <w:sz w:val="20"/>
          <w:szCs w:val="20"/>
          <w:lang w:val="es-ES"/>
        </w:rPr>
        <w:t xml:space="preserve"> </w:t>
      </w:r>
      <w:r w:rsidR="008739DB" w:rsidRPr="0013798A">
        <w:rPr>
          <w:sz w:val="20"/>
          <w:szCs w:val="20"/>
          <w:lang w:val="es-ES"/>
        </w:rPr>
        <w:t>p</w:t>
      </w:r>
      <w:r w:rsidRPr="0013798A">
        <w:rPr>
          <w:sz w:val="20"/>
          <w:szCs w:val="20"/>
          <w:lang w:val="es-ES"/>
        </w:rPr>
        <w:t>rograma de trabajo para 2014–2018</w:t>
      </w:r>
    </w:p>
    <w:p w:rsidR="0094698A" w:rsidRPr="0013798A" w:rsidRDefault="0094698A" w:rsidP="0013798A">
      <w:pPr>
        <w:spacing w:before="240" w:after="320" w:line="240" w:lineRule="auto"/>
        <w:ind w:left="1247"/>
        <w:rPr>
          <w:rFonts w:ascii="Times New Roman" w:hAnsi="Times New Roman"/>
          <w:b/>
          <w:sz w:val="28"/>
          <w:lang w:val="es-ES"/>
        </w:rPr>
      </w:pPr>
      <w:r w:rsidRPr="0013798A">
        <w:rPr>
          <w:rStyle w:val="FootnoteReference"/>
          <w:b/>
          <w:sz w:val="28"/>
          <w:vertAlign w:val="baseline"/>
          <w:lang w:val="es-ES"/>
        </w:rPr>
        <w:t>Análisis inicial de la evaluación temática de la</w:t>
      </w:r>
      <w:r w:rsidRPr="0013798A">
        <w:rPr>
          <w:rFonts w:ascii="Times New Roman" w:hAnsi="Times New Roman"/>
          <w:b/>
          <w:sz w:val="28"/>
          <w:lang w:val="es-ES"/>
        </w:rPr>
        <w:t xml:space="preserve"> utilización sostenible y la conservación de la diversidad biológica, y </w:t>
      </w:r>
      <w:r w:rsidR="003E1866">
        <w:rPr>
          <w:rFonts w:ascii="Times New Roman" w:hAnsi="Times New Roman"/>
          <w:b/>
          <w:sz w:val="28"/>
          <w:lang w:val="es-ES"/>
        </w:rPr>
        <w:t>del fortalecimiento de las capacidades y herramientas</w:t>
      </w:r>
    </w:p>
    <w:p w:rsidR="0094698A" w:rsidRPr="003E1866" w:rsidRDefault="0094698A" w:rsidP="0013798A">
      <w:pPr>
        <w:spacing w:line="240" w:lineRule="auto"/>
        <w:ind w:left="1247"/>
        <w:rPr>
          <w:rFonts w:ascii="Times New Roman" w:hAnsi="Times New Roman"/>
          <w:b/>
          <w:sz w:val="24"/>
          <w:szCs w:val="24"/>
          <w:lang w:val="es-ES"/>
        </w:rPr>
      </w:pPr>
      <w:r w:rsidRPr="003E1866">
        <w:rPr>
          <w:rFonts w:ascii="Times New Roman" w:hAnsi="Times New Roman"/>
          <w:b/>
          <w:sz w:val="24"/>
          <w:szCs w:val="24"/>
          <w:lang w:val="es-ES"/>
        </w:rPr>
        <w:t>Nota de la secretaría</w:t>
      </w:r>
    </w:p>
    <w:p w:rsidR="0094698A" w:rsidRPr="0013798A" w:rsidRDefault="0094698A" w:rsidP="0013798A">
      <w:pPr>
        <w:pStyle w:val="ListParagraph"/>
        <w:numPr>
          <w:ilvl w:val="0"/>
          <w:numId w:val="36"/>
        </w:numPr>
        <w:spacing w:after="120" w:line="240" w:lineRule="auto"/>
        <w:ind w:left="0" w:firstLine="624"/>
        <w:contextualSpacing w:val="0"/>
        <w:rPr>
          <w:rFonts w:ascii="Times New Roman" w:hAnsi="Times New Roman"/>
          <w:b/>
          <w:sz w:val="28"/>
          <w:lang w:val="es-ES"/>
        </w:rPr>
      </w:pPr>
      <w:r w:rsidRPr="0013798A">
        <w:rPr>
          <w:rFonts w:ascii="Times New Roman" w:hAnsi="Times New Roman"/>
          <w:b/>
          <w:sz w:val="28"/>
          <w:lang w:val="es-ES"/>
        </w:rPr>
        <w:t>Introducción</w:t>
      </w:r>
    </w:p>
    <w:p w:rsidR="0094698A" w:rsidRPr="0013798A" w:rsidRDefault="003E1866" w:rsidP="0013798A">
      <w:pPr>
        <w:pStyle w:val="ListParagraph"/>
        <w:numPr>
          <w:ilvl w:val="0"/>
          <w:numId w:val="37"/>
        </w:numPr>
        <w:spacing w:after="0" w:line="240" w:lineRule="auto"/>
        <w:ind w:left="1247" w:firstLine="0"/>
        <w:rPr>
          <w:rFonts w:ascii="Times New Roman" w:hAnsi="Times New Roman"/>
          <w:sz w:val="20"/>
          <w:lang w:val="es-ES"/>
        </w:rPr>
      </w:pPr>
      <w:r>
        <w:rPr>
          <w:rFonts w:ascii="Times New Roman" w:hAnsi="Times New Roman"/>
          <w:sz w:val="20"/>
          <w:lang w:val="es-AR"/>
        </w:rPr>
        <w:t xml:space="preserve">Reconociendo la necesidad de </w:t>
      </w:r>
      <w:r w:rsidR="006D61CC" w:rsidRPr="006D61CC">
        <w:rPr>
          <w:rFonts w:ascii="Times New Roman" w:hAnsi="Times New Roman"/>
          <w:sz w:val="20"/>
          <w:lang w:val="es-AR"/>
        </w:rPr>
        <w:t xml:space="preserve">avanzar con el programa de trabajo para </w:t>
      </w:r>
      <w:r>
        <w:rPr>
          <w:rFonts w:ascii="Times New Roman" w:hAnsi="Times New Roman"/>
          <w:sz w:val="20"/>
          <w:lang w:val="es-AR"/>
        </w:rPr>
        <w:t>el per</w:t>
      </w:r>
      <w:r>
        <w:rPr>
          <w:rFonts w:ascii="Times New Roman" w:hAnsi="Times New Roman"/>
          <w:sz w:val="20"/>
          <w:lang w:val="es-ES"/>
        </w:rPr>
        <w:t xml:space="preserve">íodo </w:t>
      </w:r>
      <w:r w:rsidR="006D61CC" w:rsidRPr="006D61CC">
        <w:rPr>
          <w:rFonts w:ascii="Times New Roman" w:hAnsi="Times New Roman"/>
          <w:sz w:val="20"/>
          <w:lang w:val="es-AR"/>
        </w:rPr>
        <w:t>2014</w:t>
      </w:r>
      <w:r w:rsidR="006D61CC" w:rsidRPr="006D61CC">
        <w:rPr>
          <w:rFonts w:ascii="Times New Roman" w:hAnsi="Times New Roman"/>
          <w:sz w:val="20"/>
          <w:lang w:val="es-AR"/>
        </w:rPr>
        <w:noBreakHyphen/>
        <w:t>2018 tras su aprobación por el Plenario de la Plataforma Intergubernamental Científico</w:t>
      </w:r>
      <w:r w:rsidR="006D61CC" w:rsidRPr="006D61CC">
        <w:rPr>
          <w:rFonts w:ascii="Times New Roman" w:hAnsi="Times New Roman"/>
          <w:sz w:val="20"/>
          <w:lang w:val="es-AR"/>
        </w:rPr>
        <w:noBreakHyphen/>
        <w:t>normativa sobre Diversidad Biológica y Servicios de los Ecosistemas en su segundo período de sesiones, la Mesa y el Grupo multidisciplinario de expertos acordaron preparar para su examen por el Plenario en ese período de sesiones una serie de documentos de análisis inicial basándose en las</w:t>
      </w:r>
      <w:r>
        <w:rPr>
          <w:rFonts w:ascii="Times New Roman" w:hAnsi="Times New Roman"/>
          <w:sz w:val="20"/>
          <w:lang w:val="es-AR"/>
        </w:rPr>
        <w:t xml:space="preserve"> prioridades asignadas a las</w:t>
      </w:r>
      <w:r w:rsidR="006D61CC" w:rsidRPr="006D61CC">
        <w:rPr>
          <w:rFonts w:ascii="Times New Roman" w:hAnsi="Times New Roman"/>
          <w:sz w:val="20"/>
          <w:lang w:val="es-AR"/>
        </w:rPr>
        <w:t xml:space="preserve"> solicitudes, sugerencias y aportaciones presentadas a la Plataforma y </w:t>
      </w:r>
      <w:r>
        <w:rPr>
          <w:rFonts w:ascii="Times New Roman" w:hAnsi="Times New Roman"/>
          <w:sz w:val="20"/>
          <w:lang w:val="es-AR"/>
        </w:rPr>
        <w:t xml:space="preserve">en </w:t>
      </w:r>
      <w:r w:rsidR="006D61CC" w:rsidRPr="006D61CC">
        <w:rPr>
          <w:rFonts w:ascii="Times New Roman" w:hAnsi="Times New Roman"/>
          <w:sz w:val="20"/>
          <w:lang w:val="es-AR"/>
        </w:rPr>
        <w:t xml:space="preserve">los productos previstos que </w:t>
      </w:r>
      <w:r>
        <w:rPr>
          <w:rFonts w:ascii="Times New Roman" w:hAnsi="Times New Roman"/>
          <w:sz w:val="20"/>
          <w:lang w:val="es-AR"/>
        </w:rPr>
        <w:t xml:space="preserve">se incluían </w:t>
      </w:r>
      <w:r w:rsidR="006D61CC" w:rsidRPr="006D61CC">
        <w:rPr>
          <w:rFonts w:ascii="Times New Roman" w:hAnsi="Times New Roman"/>
          <w:sz w:val="20"/>
          <w:lang w:val="es-AR"/>
        </w:rPr>
        <w:t>en el proyecto de programa de trabajo (IPBES/2/2).</w:t>
      </w:r>
      <w:r w:rsidR="006D61CC">
        <w:rPr>
          <w:rFonts w:ascii="Times New Roman" w:hAnsi="Times New Roman"/>
          <w:sz w:val="20"/>
          <w:lang w:val="es-AR"/>
        </w:rPr>
        <w:t xml:space="preserve"> </w:t>
      </w:r>
      <w:r w:rsidRPr="003E1866">
        <w:rPr>
          <w:rFonts w:ascii="Times New Roman" w:eastAsia="Cambria" w:hAnsi="Times New Roman"/>
          <w:sz w:val="20"/>
          <w:szCs w:val="24"/>
          <w:lang w:val="es-ES_tradnl"/>
        </w:rPr>
        <w:t xml:space="preserve">En la presente nota figura el análisis inicial de una propuesta de evaluación temática de la utilización sostenible y la conservación de la diversidad biológica y del fortalecimiento de las capacidades y herramientas. El análisis se elaboró de conformidad con el proyecto de procedimientos para preparar los resultados previstos </w:t>
      </w:r>
      <w:r w:rsidRPr="005A103F">
        <w:rPr>
          <w:rFonts w:ascii="Times New Roman" w:eastAsia="Cambria" w:hAnsi="Times New Roman"/>
          <w:sz w:val="20"/>
          <w:szCs w:val="24"/>
          <w:lang w:val="es-ES_tradnl"/>
        </w:rPr>
        <w:t>de la Plataforma (IPBES/2/9)</w:t>
      </w:r>
      <w:r w:rsidR="006D61CC" w:rsidRPr="006D61CC">
        <w:rPr>
          <w:rFonts w:ascii="Times New Roman" w:hAnsi="Times New Roman"/>
          <w:sz w:val="20"/>
          <w:lang w:val="es-AR"/>
        </w:rPr>
        <w:t>.</w:t>
      </w:r>
    </w:p>
    <w:p w:rsidR="0094698A" w:rsidRPr="0013798A" w:rsidRDefault="0094698A" w:rsidP="00514526">
      <w:pPr>
        <w:pStyle w:val="ListParagraph"/>
        <w:numPr>
          <w:ilvl w:val="0"/>
          <w:numId w:val="36"/>
        </w:numPr>
        <w:spacing w:before="120" w:after="120" w:line="240" w:lineRule="auto"/>
        <w:ind w:left="0" w:firstLine="624"/>
        <w:contextualSpacing w:val="0"/>
        <w:rPr>
          <w:rFonts w:ascii="Times New Roman" w:hAnsi="Times New Roman"/>
          <w:b/>
          <w:sz w:val="28"/>
          <w:lang w:val="es-ES"/>
        </w:rPr>
      </w:pPr>
      <w:r w:rsidRPr="0013798A">
        <w:rPr>
          <w:rFonts w:ascii="Times New Roman" w:hAnsi="Times New Roman"/>
          <w:b/>
          <w:sz w:val="28"/>
          <w:lang w:val="es-ES"/>
        </w:rPr>
        <w:t>Ámbito, fundamento, utilidad y supuestos</w:t>
      </w:r>
    </w:p>
    <w:p w:rsidR="0094698A" w:rsidRPr="00C13C91" w:rsidRDefault="0094698A" w:rsidP="0013798A">
      <w:pPr>
        <w:pStyle w:val="ListParagraph"/>
        <w:numPr>
          <w:ilvl w:val="0"/>
          <w:numId w:val="38"/>
        </w:numPr>
        <w:spacing w:after="120" w:line="240" w:lineRule="auto"/>
        <w:ind w:left="1248" w:hanging="624"/>
        <w:contextualSpacing w:val="0"/>
        <w:rPr>
          <w:rFonts w:ascii="Times New Roman" w:hAnsi="Times New Roman"/>
          <w:b/>
          <w:sz w:val="24"/>
          <w:szCs w:val="24"/>
          <w:lang w:val="es-ES"/>
        </w:rPr>
      </w:pPr>
      <w:r w:rsidRPr="00C13C91">
        <w:rPr>
          <w:rFonts w:ascii="Times New Roman" w:hAnsi="Times New Roman"/>
          <w:b/>
          <w:sz w:val="24"/>
          <w:szCs w:val="24"/>
          <w:lang w:val="es-ES"/>
        </w:rPr>
        <w:t>Ámbito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0" w:line="240" w:lineRule="auto"/>
        <w:ind w:left="1247" w:firstLine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El objetivo de la evaluación temática propuesta es determinar la importancia ecológica, económica, social y cultural de las especies silvestres que son principalmente objeto de explotación y de comercio, así como su estado de conservación, los factores de cambio que las afectan, los medios de subsistencia relacionados con ellas y el valor que poseen para las comunidades locales y pueblos indígenas, todo ello con el fin de determinar y promover las mejores prácticas y herramientas, que comprenden tanto tecnologías modernas como conocimientos y métodos autóctonos y locales, para una gestión y explotación sostenibles.</w:t>
      </w:r>
    </w:p>
    <w:p w:rsidR="0094698A" w:rsidRPr="00C13C91" w:rsidRDefault="00514526" w:rsidP="0013798A">
      <w:pPr>
        <w:pStyle w:val="ListParagraph"/>
        <w:numPr>
          <w:ilvl w:val="0"/>
          <w:numId w:val="38"/>
        </w:numPr>
        <w:spacing w:after="120" w:line="240" w:lineRule="auto"/>
        <w:ind w:left="1248" w:hanging="624"/>
        <w:contextualSpacing w:val="0"/>
        <w:rPr>
          <w:rFonts w:ascii="Times New Roman" w:hAnsi="Times New Roman"/>
          <w:b/>
          <w:sz w:val="24"/>
          <w:szCs w:val="24"/>
          <w:lang w:val="es-ES"/>
        </w:rPr>
      </w:pPr>
      <w:r w:rsidRPr="00C13C91">
        <w:rPr>
          <w:rFonts w:ascii="Times New Roman" w:hAnsi="Times New Roman"/>
          <w:b/>
          <w:sz w:val="24"/>
          <w:szCs w:val="24"/>
          <w:lang w:val="es-ES"/>
        </w:rPr>
        <w:br w:type="page"/>
      </w:r>
      <w:r w:rsidR="0094698A" w:rsidRPr="00C13C91">
        <w:rPr>
          <w:rFonts w:ascii="Times New Roman" w:hAnsi="Times New Roman"/>
          <w:b/>
          <w:sz w:val="24"/>
          <w:szCs w:val="24"/>
          <w:lang w:val="es-ES"/>
        </w:rPr>
        <w:lastRenderedPageBreak/>
        <w:t>Fundamento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La utilización sostenible de la diversidad biológica es un modo de promover la conservación de dicha diversidad, el mantenimiento de los servicios proporcionados por los ecosistemas y el desarrollo socioeconómico humano, y también una forma de hacer frente a amenazas como la explotación excesiva y la pérdida de hábitats, entre otros factores directos e indirectos que atentan contra la diversidad biológica y cultural en todo el mundo. Además, resulta beneficiosa a nivel local, nacional, regional e internacional.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before="240" w:after="0" w:line="240" w:lineRule="auto"/>
        <w:ind w:left="1247" w:firstLine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Para fomentar la utilización sostenible de la diversidad biológica se necesita información básica de índole biológica y socioeconómica acerca de las especies (es decir, datos como población, estado ecológico y de conservación, mercados, precios, demanda y cadena de valor), herramientas para determinar los niveles sostenibles de explotación, tecnologías adecuadas, conocimientos autóctonos y locales, procesos de organización y la capacidad de los usuarios y las autoridades para velar por una gestión adecuada de los recursos.</w:t>
      </w:r>
    </w:p>
    <w:p w:rsidR="0094698A" w:rsidRPr="00C13C91" w:rsidRDefault="0094698A" w:rsidP="00C13C91">
      <w:pPr>
        <w:pStyle w:val="ListParagraph"/>
        <w:numPr>
          <w:ilvl w:val="0"/>
          <w:numId w:val="38"/>
        </w:numPr>
        <w:spacing w:after="120" w:line="240" w:lineRule="auto"/>
        <w:ind w:left="1248" w:hanging="624"/>
        <w:contextualSpacing w:val="0"/>
        <w:rPr>
          <w:rFonts w:ascii="Times New Roman" w:hAnsi="Times New Roman"/>
          <w:b/>
          <w:sz w:val="24"/>
          <w:szCs w:val="24"/>
          <w:lang w:val="es-ES"/>
        </w:rPr>
      </w:pPr>
      <w:r w:rsidRPr="00C13C91">
        <w:rPr>
          <w:rFonts w:ascii="Times New Roman" w:hAnsi="Times New Roman"/>
          <w:b/>
          <w:sz w:val="24"/>
          <w:szCs w:val="24"/>
          <w:lang w:val="es-ES"/>
        </w:rPr>
        <w:t>Utilidad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0" w:line="240" w:lineRule="auto"/>
        <w:ind w:left="1247" w:firstLine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La evaluación contribuirá a la sostenibilidad de la explotación y comercio de especies silvestres y a la detección de lagunas de conocimiento en la materia y de tecnologías más eficaces, especialmente en lo relativo al conocimiento autóctono y local. Asimismo, ayudará a elaborar herramientas y metodologías de apoyo normativo, a potenciar los sistemas de gestión sostenible (en especial el establecimiento y administración de cupos de captura, tala y recolección), a impulsar medidas coercitivas y de cumplimiento, y a satisfacer las necesidades de los países de origen en materia de fomento de la capacidad.</w:t>
      </w:r>
    </w:p>
    <w:p w:rsidR="0094698A" w:rsidRPr="00C13C91" w:rsidRDefault="0094698A" w:rsidP="00C13C91">
      <w:pPr>
        <w:pStyle w:val="ListParagraph"/>
        <w:numPr>
          <w:ilvl w:val="0"/>
          <w:numId w:val="38"/>
        </w:numPr>
        <w:spacing w:after="120" w:line="240" w:lineRule="auto"/>
        <w:ind w:left="1248" w:hanging="624"/>
        <w:contextualSpacing w:val="0"/>
        <w:rPr>
          <w:rFonts w:ascii="Times New Roman" w:hAnsi="Times New Roman"/>
          <w:b/>
          <w:sz w:val="24"/>
          <w:szCs w:val="24"/>
          <w:lang w:val="es-ES"/>
        </w:rPr>
      </w:pPr>
      <w:r w:rsidRPr="00C13C91">
        <w:rPr>
          <w:rFonts w:ascii="Times New Roman" w:hAnsi="Times New Roman"/>
          <w:b/>
          <w:sz w:val="24"/>
          <w:szCs w:val="24"/>
          <w:lang w:val="es-ES"/>
        </w:rPr>
        <w:t>Supuestos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La evaluación propuesta se basará en la bibliografía científica existente y se apoyará en la labor realizada bajo los auspicios de instituciones como el Convenio sobre la Diversidad Biológica, la Convención sobre el Comercio Internacional de Especies Amenazadas de Fauna y Flora Silvestres (CITES), la Convención sobre la Conservación de las Especies Migratorias de Animales Silvestres, la Organización de las Naciones Unidas para la Alimentación y la Agricultura, la Organización Internacional de Maderas Tropicales, el Centro Mundial de Vigilancia para la Conservación del Programa de Naciones Unidas para el Medio Ambiente y la Unión Internacional para la Conservación de la Naturaleza, entre otras entidades pertinentes. Especial interés reviste la labor realizada en el marco de la CITES y del Convenio sobre la Diversidad Biológica, toda vez que la finalidad de la primera es procurar que el comercio de las especies amparadas por el C</w:t>
      </w:r>
      <w:r w:rsidR="00514526">
        <w:rPr>
          <w:rFonts w:ascii="Times New Roman" w:hAnsi="Times New Roman"/>
          <w:sz w:val="20"/>
          <w:lang w:val="es-ES"/>
        </w:rPr>
        <w:t>onvenio sea legal, sostenible y </w:t>
      </w:r>
      <w:r w:rsidRPr="0013798A">
        <w:rPr>
          <w:rFonts w:ascii="Times New Roman" w:hAnsi="Times New Roman"/>
          <w:sz w:val="20"/>
          <w:lang w:val="es-ES"/>
        </w:rPr>
        <w:t>rastreable, y que la utilización sostenible de la diversidad biológica constituye el</w:t>
      </w:r>
      <w:r w:rsidR="00514526">
        <w:rPr>
          <w:rFonts w:ascii="Times New Roman" w:hAnsi="Times New Roman"/>
          <w:sz w:val="20"/>
          <w:lang w:val="es-ES"/>
        </w:rPr>
        <w:t xml:space="preserve"> segundo objetivo del </w:t>
      </w:r>
      <w:r w:rsidRPr="0013798A">
        <w:rPr>
          <w:rFonts w:ascii="Times New Roman" w:hAnsi="Times New Roman"/>
          <w:sz w:val="20"/>
          <w:lang w:val="es-ES"/>
        </w:rPr>
        <w:t>Convenio y es objeto de mención expresa en las Metas 3, 4, 6, 7 y 18 de Aichi para la Diversidad Biológica.</w:t>
      </w:r>
    </w:p>
    <w:p w:rsidR="0094698A" w:rsidRPr="0013798A" w:rsidRDefault="003E1866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5A103F">
        <w:rPr>
          <w:rFonts w:ascii="Times New Roman" w:hAnsi="Times New Roman"/>
          <w:sz w:val="20"/>
          <w:lang w:val="es-ES_tradnl"/>
        </w:rPr>
        <w:t xml:space="preserve">La evaluación de </w:t>
      </w:r>
      <w:r w:rsidRPr="003E1866">
        <w:rPr>
          <w:rFonts w:ascii="Times New Roman" w:hAnsi="Times New Roman"/>
          <w:sz w:val="20"/>
          <w:lang w:val="es-ES_tradnl"/>
        </w:rPr>
        <w:t xml:space="preserve">grupos temáticos (como las especies de árboles de madera preciosa; las plantas no maderables, en especial las plantas medicinales; las especies marinas capturadas con fines comerciales, como los tiburones; o los vertebrados terrestres, incluidas las pieles de reptiles, procedentes de todas las regiones de las Naciones Unidas), sobre los cuales existen datos relativamente precisos y abundantes, podría brindar una descripción objetiva de los factores ecológicos, comerciales y sociales que determinan si la explotación y el comercio benefician o perjudican a las poblaciones silvestres, los servicios proporcionados por los ecosistemas y otros bienes socioeconómicos y culturales. Los conocimientos obtenidos en estas evaluaciones podrían combinarse posteriormente con las herramientas </w:t>
      </w:r>
      <w:r w:rsidRPr="005A103F">
        <w:rPr>
          <w:rFonts w:ascii="Times New Roman" w:hAnsi="Times New Roman"/>
          <w:sz w:val="20"/>
          <w:lang w:val="es-ES_tradnl"/>
        </w:rPr>
        <w:t>y medidas de fomento de la capacidad necesarias</w:t>
      </w:r>
      <w:r w:rsidR="0094698A" w:rsidRPr="0013798A">
        <w:rPr>
          <w:rFonts w:ascii="Times New Roman" w:hAnsi="Times New Roman"/>
          <w:sz w:val="20"/>
          <w:lang w:val="es-ES"/>
        </w:rPr>
        <w:t>.</w:t>
      </w:r>
    </w:p>
    <w:p w:rsidR="0094698A" w:rsidRPr="0013798A" w:rsidRDefault="0094698A" w:rsidP="00514526">
      <w:pPr>
        <w:pStyle w:val="ListParagraph"/>
        <w:numPr>
          <w:ilvl w:val="0"/>
          <w:numId w:val="36"/>
        </w:numPr>
        <w:spacing w:before="120" w:after="120" w:line="240" w:lineRule="auto"/>
        <w:ind w:left="0" w:firstLine="624"/>
        <w:contextualSpacing w:val="0"/>
        <w:rPr>
          <w:rFonts w:ascii="Times New Roman" w:hAnsi="Times New Roman"/>
          <w:b/>
          <w:sz w:val="28"/>
          <w:lang w:val="es-ES"/>
        </w:rPr>
      </w:pPr>
      <w:r w:rsidRPr="0013798A">
        <w:rPr>
          <w:rFonts w:ascii="Times New Roman" w:hAnsi="Times New Roman"/>
          <w:b/>
          <w:sz w:val="28"/>
          <w:lang w:val="es-ES"/>
        </w:rPr>
        <w:t>Estructura por capítulos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Se prevé que la evaluación temática se presente en un informe de seis capítulos, según se indica a continuación: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 xml:space="preserve">En el capítulo 1 se aportará información básica sobre los principios de la utilización sostenible, en particular las normas reconocidas para la utilización sostenible de la diversidad biológica; el enfoque de precaución; la teoría del máximo rendimiento sostenible; la importancia de la explotación de especies silvestres para las comunidades y medios de subsistencia locales; la contribución de la explotación sostenible a la conservación de los hábitats y de la diversidad biológica; y la sinergia con los convenios relacionados con la diversidad biológica, </w:t>
      </w:r>
      <w:r w:rsidR="003E1866">
        <w:rPr>
          <w:rFonts w:ascii="Times New Roman" w:hAnsi="Times New Roman"/>
          <w:sz w:val="20"/>
          <w:lang w:val="es-ES"/>
        </w:rPr>
        <w:t>los organismos</w:t>
      </w:r>
      <w:r w:rsidRPr="0013798A">
        <w:rPr>
          <w:rFonts w:ascii="Times New Roman" w:hAnsi="Times New Roman"/>
          <w:sz w:val="20"/>
          <w:lang w:val="es-ES"/>
        </w:rPr>
        <w:t xml:space="preserve"> </w:t>
      </w:r>
      <w:r w:rsidR="007E5A87">
        <w:rPr>
          <w:rFonts w:ascii="Times New Roman" w:hAnsi="Times New Roman"/>
          <w:sz w:val="20"/>
          <w:lang w:val="es-ES"/>
        </w:rPr>
        <w:t xml:space="preserve">especializados </w:t>
      </w:r>
      <w:r w:rsidRPr="0013798A">
        <w:rPr>
          <w:rFonts w:ascii="Times New Roman" w:hAnsi="Times New Roman"/>
          <w:sz w:val="20"/>
          <w:lang w:val="es-ES"/>
        </w:rPr>
        <w:t>y otros interesados.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 xml:space="preserve">En el capítulo 2 se determinarán los taxones que han de estudiarse, de preferencia grupos de especies silvestres de valor comercial que sean sobre todo objeto de explotación y presenten sistemas de gestión similares o formas de vida representativas de todas las regiones (por ejemplo, peces de agua </w:t>
      </w:r>
      <w:r w:rsidRPr="0013798A">
        <w:rPr>
          <w:rFonts w:ascii="Times New Roman" w:hAnsi="Times New Roman"/>
          <w:sz w:val="20"/>
          <w:lang w:val="es-ES"/>
        </w:rPr>
        <w:lastRenderedPageBreak/>
        <w:t>dulce y salada, aves, mamíferos, reptiles, plantas maderables y no maderables); y se reseñará a grandes rasgos su estado de conservación.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En el capítulo 3 se ofrecerá una evaluación de la importancia ecológica, económica, social y cultural de los taxones seleccionados.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 xml:space="preserve">En el capítulo 4 se evaluará cómo repercuten en los mercados y comunidades locales los factores socioconómicos que motivan la explotación de determinados taxones, bajo diferentes regímenes de gestión. 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En el capítulo 5 se evaluarán los efectos de la explotación en el estado de conservación de los taxones seleccionados, en los ecosistemas, en los servicios proporcionados por los ecosistemas y en otros sistemas de valores, bajo diferentes regímenes de gestión.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En el capítulo 6 se presentará una recopilación de directrices y herramientas de gestión (entre ellas las mejores prácticas, procedimientos, lecciones aprendidas y recomendaciones) para la utilización sostenible de los taxones seleccionados, que podrían aplicarse a otras especies sometidas a regímenes de gestión similares.</w:t>
      </w:r>
    </w:p>
    <w:p w:rsidR="0094698A" w:rsidRPr="0013798A" w:rsidRDefault="0094698A" w:rsidP="0013798A">
      <w:pPr>
        <w:pStyle w:val="ListParagraph"/>
        <w:numPr>
          <w:ilvl w:val="0"/>
          <w:numId w:val="36"/>
        </w:numPr>
        <w:spacing w:after="120" w:line="240" w:lineRule="auto"/>
        <w:ind w:left="0" w:firstLine="624"/>
        <w:contextualSpacing w:val="0"/>
        <w:rPr>
          <w:rFonts w:ascii="Times New Roman" w:hAnsi="Times New Roman"/>
          <w:sz w:val="28"/>
          <w:lang w:val="es-ES"/>
        </w:rPr>
      </w:pPr>
      <w:r w:rsidRPr="0013798A">
        <w:rPr>
          <w:rFonts w:ascii="Times New Roman" w:hAnsi="Times New Roman"/>
          <w:b/>
          <w:sz w:val="28"/>
          <w:lang w:val="es-ES"/>
        </w:rPr>
        <w:t>Proceso y calendario de trabajo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contextualSpacing w:val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En el siguiente cuadro se proponen un proceso y un calendario de trabajo para llevar a cabo la evaluación temática:</w:t>
      </w:r>
    </w:p>
    <w:tbl>
      <w:tblPr>
        <w:tblW w:w="8362" w:type="dxa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146"/>
        <w:gridCol w:w="6520"/>
      </w:tblGrid>
      <w:tr w:rsidR="0094698A" w:rsidRPr="00514526" w:rsidTr="00CA52C8">
        <w:trPr>
          <w:tblHeader/>
        </w:trPr>
        <w:tc>
          <w:tcPr>
            <w:tcW w:w="1842" w:type="dxa"/>
            <w:gridSpan w:val="2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rFonts w:eastAsia="SimSun"/>
                <w:i/>
                <w:sz w:val="20"/>
                <w:szCs w:val="20"/>
                <w:lang w:val="es-ES" w:eastAsia="zh-CN"/>
              </w:rPr>
            </w:pPr>
            <w:r w:rsidRPr="00514526">
              <w:rPr>
                <w:rFonts w:eastAsia="SimSun"/>
                <w:i/>
                <w:sz w:val="20"/>
                <w:szCs w:val="20"/>
                <w:lang w:val="es-ES" w:eastAsia="zh-CN"/>
              </w:rPr>
              <w:t>Marco temporal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i/>
                <w:sz w:val="20"/>
                <w:szCs w:val="20"/>
                <w:lang w:val="es-ES"/>
              </w:rPr>
            </w:pPr>
            <w:r w:rsidRPr="00514526">
              <w:rPr>
                <w:i/>
                <w:sz w:val="20"/>
                <w:szCs w:val="20"/>
                <w:lang w:val="es-ES"/>
              </w:rPr>
              <w:t>Actividades</w:t>
            </w:r>
          </w:p>
        </w:tc>
      </w:tr>
      <w:tr w:rsidR="0094698A" w:rsidRPr="00514526" w:rsidTr="00CA52C8">
        <w:tc>
          <w:tcPr>
            <w:tcW w:w="696" w:type="dxa"/>
            <w:vMerge w:val="restart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2013</w:t>
            </w: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Cuarto trimestre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El Plenario examina y aprueba el ejercicio de análisis inicial preparado por el Grupo multidisciplinario de expertos y solicita al Grupo y a la Mesa que tras el análisis detallado emprenda, dentro de los márgenes presupuestarios acordados, una evaluación com</w:t>
            </w:r>
            <w:r w:rsidR="00514526" w:rsidRPr="00514526">
              <w:rPr>
                <w:sz w:val="20"/>
                <w:szCs w:val="20"/>
                <w:lang w:val="es-ES"/>
              </w:rPr>
              <w:t>pleta (14 de diciembre de 2013)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Cuarto trimestre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4698A" w:rsidRPr="00CA52C8" w:rsidRDefault="0094698A" w:rsidP="00C13C91">
            <w:pPr>
              <w:pStyle w:val="Normal-pool"/>
              <w:spacing w:after="60"/>
              <w:rPr>
                <w:spacing w:val="-2"/>
                <w:sz w:val="20"/>
                <w:szCs w:val="20"/>
                <w:lang w:val="es-ES"/>
              </w:rPr>
            </w:pPr>
            <w:r w:rsidRPr="00CA52C8">
              <w:rPr>
                <w:spacing w:val="-2"/>
                <w:sz w:val="20"/>
                <w:szCs w:val="20"/>
                <w:lang w:val="es-ES"/>
              </w:rPr>
              <w:t>El Grupo, por conducto de la secretaría, solicita a los gobiernos y otros interesados que propongan la candidatura de expertos que se encarguen de ayudar en el proceso de análisis (16 de dic</w:t>
            </w:r>
            <w:r w:rsidR="00514526" w:rsidRPr="00CA52C8">
              <w:rPr>
                <w:spacing w:val="-2"/>
                <w:sz w:val="20"/>
                <w:szCs w:val="20"/>
                <w:lang w:val="es-ES"/>
              </w:rPr>
              <w:t>iembre de 2013 a 31 de enero de 2014)</w:t>
            </w:r>
          </w:p>
        </w:tc>
      </w:tr>
      <w:tr w:rsidR="0094698A" w:rsidRPr="00514526" w:rsidTr="00CA52C8">
        <w:tc>
          <w:tcPr>
            <w:tcW w:w="696" w:type="dxa"/>
            <w:vMerge w:val="restart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2014</w:t>
            </w: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Primer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 xml:space="preserve">El Grupo, mediante correos </w:t>
            </w:r>
            <w:r w:rsidR="00514526" w:rsidRPr="00514526">
              <w:rPr>
                <w:sz w:val="20"/>
                <w:szCs w:val="20"/>
                <w:lang w:val="es-ES"/>
              </w:rPr>
              <w:t>electrónicos</w:t>
            </w:r>
            <w:r w:rsidRPr="00514526">
              <w:rPr>
                <w:sz w:val="20"/>
                <w:szCs w:val="20"/>
                <w:lang w:val="es-ES"/>
              </w:rPr>
              <w:t xml:space="preserve"> y teleconferencias, selecciona expertos (dos autores principales por cada uno de los siete grupos temáticos) para el estudio analítico, valiéndose de los crit</w:t>
            </w:r>
            <w:r w:rsidR="00514526" w:rsidRPr="00514526">
              <w:rPr>
                <w:sz w:val="20"/>
                <w:szCs w:val="20"/>
                <w:lang w:val="es-ES"/>
              </w:rPr>
              <w:t xml:space="preserve">erios de selección aprobados </w:t>
            </w:r>
            <w:r w:rsidR="00B42BC7" w:rsidRPr="00B42BC7">
              <w:rPr>
                <w:sz w:val="20"/>
                <w:szCs w:val="20"/>
                <w:lang w:val="es-ES"/>
              </w:rPr>
              <w:t xml:space="preserve">(véase IPBES/2/9) </w:t>
            </w:r>
            <w:r w:rsidR="00514526" w:rsidRPr="00514526">
              <w:rPr>
                <w:sz w:val="20"/>
                <w:szCs w:val="20"/>
                <w:lang w:val="es-ES"/>
              </w:rPr>
              <w:t>(1 </w:t>
            </w:r>
            <w:r w:rsidRPr="00514526">
              <w:rPr>
                <w:sz w:val="20"/>
                <w:szCs w:val="20"/>
                <w:lang w:val="es-ES"/>
              </w:rPr>
              <w:t>a 14 de febrero de 2014)</w:t>
            </w:r>
          </w:p>
        </w:tc>
      </w:tr>
      <w:tr w:rsidR="0094698A" w:rsidRPr="00514526" w:rsidTr="00CA52C8">
        <w:trPr>
          <w:trHeight w:val="491"/>
        </w:trPr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Segundo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B42BC7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B42BC7">
              <w:rPr>
                <w:sz w:val="20"/>
                <w:szCs w:val="20"/>
                <w:lang w:val="es-ES"/>
              </w:rPr>
              <w:t>El Grupo y la Mesa supervisan el análisis detallado, con especial atención al concepto general, los costos y la viabilidad (tres meses). A comienzos de abril de 2014 se celebra una reunión de análisis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Segundo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En la segunda quincena de abril de 2014 se envía a los miembros de la Plataforma y otros interesados el informe del análisis detallado para que lo examinen y for</w:t>
            </w:r>
            <w:r w:rsidR="00514526" w:rsidRPr="00514526">
              <w:rPr>
                <w:sz w:val="20"/>
                <w:szCs w:val="20"/>
                <w:lang w:val="es-ES"/>
              </w:rPr>
              <w:t>mulen observaciones al respecto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Segundo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En la primera quincena de mayo de 2014, en función de los resultados del ejercicio de análisis detallado y de las observaciones remitidas por los miembros de la Plataforma y otros interesados, el Grupo y la Mesa deciden si se emprende la evaluación, suponiendo que no se rebasan los márgenes presupuestarios aprobad</w:t>
            </w:r>
            <w:r w:rsidR="00514526" w:rsidRPr="00514526">
              <w:rPr>
                <w:sz w:val="20"/>
                <w:szCs w:val="20"/>
                <w:lang w:val="es-ES"/>
              </w:rPr>
              <w:t>os por el Plenario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Segundo trimestre</w:t>
            </w:r>
          </w:p>
        </w:tc>
        <w:tc>
          <w:tcPr>
            <w:tcW w:w="6520" w:type="dxa"/>
            <w:vAlign w:val="center"/>
          </w:tcPr>
          <w:p w:rsidR="0094698A" w:rsidRPr="00514526" w:rsidDel="00B1616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El Grupo, por conducto de la secretaría, solicita a los gobiernos y otros interesados que propongan la candidatura de expertos encargados de preparar el informe. Las candidaturas deberán presentarse antes de finales de ju</w:t>
            </w:r>
            <w:r w:rsidR="000C1E86">
              <w:rPr>
                <w:sz w:val="20"/>
                <w:szCs w:val="20"/>
                <w:lang w:val="es-ES"/>
              </w:rPr>
              <w:t>nio de </w:t>
            </w:r>
            <w:r w:rsidRPr="00514526">
              <w:rPr>
                <w:sz w:val="20"/>
                <w:szCs w:val="20"/>
                <w:lang w:val="es-ES"/>
              </w:rPr>
              <w:t>2014 (un mes y medio)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401E2D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Tercer trimestre</w:t>
            </w:r>
          </w:p>
        </w:tc>
        <w:tc>
          <w:tcPr>
            <w:tcW w:w="6520" w:type="dxa"/>
            <w:vAlign w:val="center"/>
          </w:tcPr>
          <w:p w:rsidR="00401E2D" w:rsidRDefault="00B42BC7" w:rsidP="00401E2D">
            <w:pPr>
              <w:pStyle w:val="Normal-pool"/>
              <w:rPr>
                <w:sz w:val="20"/>
                <w:szCs w:val="20"/>
                <w:lang w:val="es-ES"/>
              </w:rPr>
            </w:pPr>
            <w:r w:rsidRPr="00B42BC7">
              <w:rPr>
                <w:sz w:val="20"/>
                <w:szCs w:val="20"/>
                <w:lang w:val="es-ES"/>
              </w:rPr>
              <w:t>El Grupo selecciona a los copresidentes del informe, a los autores principales encargados de la coordinación, los autores principales y los revisores, valiéndose de los criterios de selección aprobados (véase IPBES/2/9) (1 de julio a 15 de agosto de 2014) (un mes y medio)</w:t>
            </w:r>
          </w:p>
          <w:p w:rsidR="00401E2D" w:rsidRDefault="00401E2D" w:rsidP="00401E2D">
            <w:pPr>
              <w:pStyle w:val="Normal-pool"/>
              <w:rPr>
                <w:sz w:val="20"/>
                <w:szCs w:val="20"/>
                <w:lang w:val="es-ES"/>
              </w:rPr>
            </w:pPr>
          </w:p>
          <w:p w:rsidR="00401E2D" w:rsidRDefault="00401E2D" w:rsidP="00401E2D">
            <w:pPr>
              <w:pStyle w:val="Normal-pool"/>
              <w:rPr>
                <w:sz w:val="20"/>
                <w:szCs w:val="20"/>
                <w:lang w:val="es-ES"/>
              </w:rPr>
            </w:pPr>
          </w:p>
          <w:p w:rsidR="00401E2D" w:rsidRDefault="00401E2D" w:rsidP="00401E2D">
            <w:pPr>
              <w:pStyle w:val="Normal-pool"/>
              <w:rPr>
                <w:sz w:val="20"/>
                <w:szCs w:val="20"/>
                <w:lang w:val="es-ES"/>
              </w:rPr>
            </w:pPr>
          </w:p>
          <w:p w:rsidR="00401E2D" w:rsidRDefault="00401E2D" w:rsidP="00401E2D">
            <w:pPr>
              <w:pStyle w:val="Normal-pool"/>
              <w:rPr>
                <w:sz w:val="20"/>
                <w:szCs w:val="20"/>
                <w:lang w:val="es-ES"/>
              </w:rPr>
            </w:pPr>
          </w:p>
          <w:p w:rsidR="00401E2D" w:rsidRDefault="00401E2D" w:rsidP="00401E2D">
            <w:pPr>
              <w:pStyle w:val="Normal-pool"/>
              <w:rPr>
                <w:sz w:val="20"/>
                <w:szCs w:val="20"/>
                <w:lang w:val="es-ES"/>
              </w:rPr>
            </w:pPr>
          </w:p>
          <w:p w:rsidR="00401E2D" w:rsidRDefault="00401E2D" w:rsidP="00401E2D">
            <w:pPr>
              <w:pStyle w:val="Normal-pool"/>
              <w:rPr>
                <w:sz w:val="20"/>
                <w:szCs w:val="20"/>
                <w:lang w:val="es-ES"/>
              </w:rPr>
            </w:pPr>
          </w:p>
          <w:p w:rsidR="0094698A" w:rsidRPr="00514526" w:rsidRDefault="0094698A" w:rsidP="00401E2D">
            <w:pPr>
              <w:pStyle w:val="Normal-pool"/>
              <w:rPr>
                <w:sz w:val="20"/>
                <w:szCs w:val="20"/>
                <w:lang w:val="es-ES"/>
              </w:rPr>
            </w:pP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pageBreakBefore/>
              <w:suppressAutoHyphen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Tercer y cuarto trimestres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pageBreakBefore/>
              <w:suppressAutoHyphen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Los copresidentes del informe, los autores principales encargados de la coordinación y los autores principales preparan la primera versión del proyecto de informe, a más tardar a mediados de febrero de 2015 (seis meses). En septiembre de 2014 se celebra la primera reunión de los autores</w:t>
            </w:r>
            <w:r w:rsidR="00B42BC7">
              <w:rPr>
                <w:rStyle w:val="FootnoteReference"/>
                <w:lang w:val="es-ES"/>
              </w:rPr>
              <w:footnoteReference w:id="2"/>
            </w:r>
          </w:p>
        </w:tc>
      </w:tr>
      <w:tr w:rsidR="0094698A" w:rsidRPr="00514526" w:rsidTr="00CA52C8">
        <w:tc>
          <w:tcPr>
            <w:tcW w:w="696" w:type="dxa"/>
            <w:vMerge w:val="restart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2015</w:t>
            </w: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Primer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 xml:space="preserve">Los expertos examinan la primera versión del proyecto de informe hasta finales de marzo de 2015 (un mes y medio </w:t>
            </w:r>
            <w:r w:rsidR="00B42BC7">
              <w:rPr>
                <w:sz w:val="20"/>
                <w:szCs w:val="20"/>
                <w:lang w:val="es-ES"/>
              </w:rPr>
              <w:t>a dos meses)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Segundo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Con la orientación de los revisores y del Grupo, los copresidentes del informe, los autores principales encargados de la coordinación y los autores principales preparan la segunda versión del proyecto de informe y una primera versión del proyecto de resumen para los responsables de formular políticas (abril a junio de 2015 (</w:t>
            </w:r>
            <w:r w:rsidR="00B42BC7">
              <w:rPr>
                <w:sz w:val="20"/>
                <w:szCs w:val="20"/>
                <w:lang w:val="es-ES"/>
              </w:rPr>
              <w:t>3</w:t>
            </w:r>
            <w:r w:rsidRPr="00514526">
              <w:rPr>
                <w:sz w:val="20"/>
                <w:szCs w:val="20"/>
                <w:lang w:val="es-ES"/>
              </w:rPr>
              <w:t xml:space="preserve"> meses)). En junio de 2015 se celebra la</w:t>
            </w:r>
            <w:r w:rsidR="00514526" w:rsidRPr="00514526">
              <w:rPr>
                <w:sz w:val="20"/>
                <w:szCs w:val="20"/>
                <w:lang w:val="es-ES"/>
              </w:rPr>
              <w:t xml:space="preserve"> segunda reunión de los autores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Tercer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En julio y agosto de 2015 (dos meses), los expertos, gobiernos y otros interesados examinan la segunda versión del proyecto de informe y el primer resumen para los res</w:t>
            </w:r>
            <w:r w:rsidR="00514526" w:rsidRPr="00514526">
              <w:rPr>
                <w:sz w:val="20"/>
                <w:szCs w:val="20"/>
                <w:lang w:val="es-ES"/>
              </w:rPr>
              <w:t>ponsables de formular políticas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Tercer y cuarto trimestres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 xml:space="preserve">Con la orientación de los revisores y del Grupo, los copresidentes del informe, los autores principales encargados de la coordinación y los autores principales preparan la versión final del informe y la versión final del resumen para los responsables de formular políticas (septiembre y octubre de 2015 (dos meses)). En octubre de 2015 se celebra la </w:t>
            </w:r>
            <w:r w:rsidR="00514526" w:rsidRPr="00514526">
              <w:rPr>
                <w:sz w:val="20"/>
                <w:szCs w:val="20"/>
                <w:lang w:val="es-ES"/>
              </w:rPr>
              <w:t>tercera reunión de los autores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Cuarto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El resumen para los responsables de formular políticas se traduce a todos los idiomas oficiales de las Naciones Unidas a más tardar a mediados de dici</w:t>
            </w:r>
            <w:r w:rsidR="00514526" w:rsidRPr="00514526">
              <w:rPr>
                <w:sz w:val="20"/>
                <w:szCs w:val="20"/>
                <w:lang w:val="es-ES"/>
              </w:rPr>
              <w:t>embre de 2015 (un mes y medio)</w:t>
            </w:r>
          </w:p>
        </w:tc>
      </w:tr>
      <w:tr w:rsidR="0094698A" w:rsidRPr="00514526" w:rsidTr="00CA52C8">
        <w:tc>
          <w:tcPr>
            <w:tcW w:w="696" w:type="dxa"/>
            <w:vMerge w:val="restart"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2016</w:t>
            </w: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>Primer trimestre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En enero y febrero de 2016 se envía a los gobiernos y otros interesados la versión final del informe y del resumen para los responsables de formular políticas a fin de que efectúen la revisión definiti</w:t>
            </w:r>
            <w:r w:rsidR="00514526" w:rsidRPr="00514526">
              <w:rPr>
                <w:sz w:val="20"/>
                <w:szCs w:val="20"/>
                <w:lang w:val="es-ES"/>
              </w:rPr>
              <w:t>va (un mes y medio a dos meses)</w:t>
            </w:r>
          </w:p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 xml:space="preserve">Se alienta encarecidamente a los gobiernos a que formulen observaciones por escrito sobre el proyecto de resumen para los encargados de formular políticas. Estas observaciones deben presentarse a la secretaría una semana antes del cuarto período de sesiones del </w:t>
            </w:r>
            <w:r w:rsidR="00514526" w:rsidRPr="00514526">
              <w:rPr>
                <w:sz w:val="20"/>
                <w:szCs w:val="20"/>
                <w:lang w:val="es-ES"/>
              </w:rPr>
              <w:t>Plenario</w:t>
            </w:r>
          </w:p>
        </w:tc>
      </w:tr>
      <w:tr w:rsidR="0094698A" w:rsidRPr="00514526" w:rsidTr="00CA52C8">
        <w:tc>
          <w:tcPr>
            <w:tcW w:w="696" w:type="dxa"/>
            <w:vMerge/>
            <w:vAlign w:val="center"/>
          </w:tcPr>
          <w:p w:rsidR="0094698A" w:rsidRPr="00514526" w:rsidRDefault="0094698A" w:rsidP="00C13C91">
            <w:pPr>
              <w:pStyle w:val="Normal-pool"/>
              <w:spacing w:after="6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rFonts w:eastAsia="SimSun"/>
                <w:sz w:val="20"/>
                <w:szCs w:val="20"/>
                <w:lang w:val="es-ES" w:eastAsia="zh-CN"/>
              </w:rPr>
              <w:t xml:space="preserve">Primer trimestre </w:t>
            </w:r>
          </w:p>
        </w:tc>
        <w:tc>
          <w:tcPr>
            <w:tcW w:w="6520" w:type="dxa"/>
            <w:vAlign w:val="center"/>
          </w:tcPr>
          <w:p w:rsidR="0094698A" w:rsidRPr="00514526" w:rsidRDefault="0094698A" w:rsidP="00C13C91">
            <w:pPr>
              <w:pStyle w:val="Normal-pool"/>
              <w:keepNext/>
              <w:keepLines/>
              <w:spacing w:after="60"/>
              <w:rPr>
                <w:sz w:val="20"/>
                <w:szCs w:val="20"/>
                <w:lang w:val="es-ES"/>
              </w:rPr>
            </w:pPr>
            <w:r w:rsidRPr="00514526">
              <w:rPr>
                <w:sz w:val="20"/>
                <w:szCs w:val="20"/>
                <w:lang w:val="es-ES"/>
              </w:rPr>
              <w:t>En marzo de 2016, durante su cuarto período de sesiones, el Plenario examina y acepta el informe y el resumen para los resp</w:t>
            </w:r>
            <w:r w:rsidR="00514526" w:rsidRPr="00514526">
              <w:rPr>
                <w:sz w:val="20"/>
                <w:szCs w:val="20"/>
                <w:lang w:val="es-ES"/>
              </w:rPr>
              <w:t>onsables de formular políticas</w:t>
            </w:r>
          </w:p>
        </w:tc>
      </w:tr>
    </w:tbl>
    <w:p w:rsidR="0094698A" w:rsidRPr="0013798A" w:rsidRDefault="0094698A" w:rsidP="0013798A">
      <w:pPr>
        <w:pStyle w:val="ListParagraph"/>
        <w:numPr>
          <w:ilvl w:val="0"/>
          <w:numId w:val="36"/>
        </w:numPr>
        <w:spacing w:before="240" w:after="120" w:line="240" w:lineRule="auto"/>
        <w:ind w:left="0" w:firstLine="624"/>
        <w:contextualSpacing w:val="0"/>
        <w:rPr>
          <w:rFonts w:ascii="Times New Roman" w:hAnsi="Times New Roman"/>
          <w:b/>
          <w:sz w:val="28"/>
          <w:lang w:val="es-ES"/>
        </w:rPr>
      </w:pPr>
      <w:r w:rsidRPr="0013798A">
        <w:rPr>
          <w:rFonts w:ascii="Times New Roman" w:hAnsi="Times New Roman"/>
          <w:b/>
          <w:sz w:val="28"/>
          <w:lang w:val="es-ES"/>
        </w:rPr>
        <w:t>Estimación de los costos</w:t>
      </w:r>
    </w:p>
    <w:p w:rsidR="0094698A" w:rsidRPr="0013798A" w:rsidRDefault="0094698A" w:rsidP="0013798A">
      <w:pPr>
        <w:pStyle w:val="ListParagraph"/>
        <w:numPr>
          <w:ilvl w:val="0"/>
          <w:numId w:val="37"/>
        </w:numPr>
        <w:spacing w:after="120" w:line="240" w:lineRule="auto"/>
        <w:ind w:left="1247" w:firstLine="0"/>
        <w:rPr>
          <w:rFonts w:ascii="Times New Roman" w:hAnsi="Times New Roman"/>
          <w:sz w:val="20"/>
          <w:lang w:val="es-ES"/>
        </w:rPr>
      </w:pPr>
      <w:r w:rsidRPr="0013798A">
        <w:rPr>
          <w:rFonts w:ascii="Times New Roman" w:hAnsi="Times New Roman"/>
          <w:sz w:val="20"/>
          <w:lang w:val="es-ES"/>
        </w:rPr>
        <w:t>En el siguiente cuadro se indica el costo estimado de realizar la evaluación temática y de preparar el informe correspondiente, en dólares de los Estados Unidos.</w:t>
      </w:r>
    </w:p>
    <w:tbl>
      <w:tblPr>
        <w:tblW w:w="0" w:type="auto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109"/>
        <w:gridCol w:w="2928"/>
        <w:gridCol w:w="801"/>
      </w:tblGrid>
      <w:tr w:rsidR="0094698A" w:rsidRPr="006219D0" w:rsidTr="00401E2D">
        <w:trPr>
          <w:tblHeader/>
        </w:trPr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i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i/>
                <w:sz w:val="18"/>
                <w:szCs w:val="18"/>
                <w:lang w:val="es-ES" w:eastAsia="zh-CN"/>
              </w:rPr>
              <w:t>Año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i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i/>
                <w:sz w:val="18"/>
                <w:szCs w:val="18"/>
                <w:lang w:val="es-ES" w:eastAsia="zh-CN"/>
              </w:rPr>
              <w:t>Partida de gastos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i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i/>
                <w:sz w:val="18"/>
                <w:szCs w:val="18"/>
                <w:lang w:val="es-ES" w:eastAsia="zh-CN"/>
              </w:rPr>
              <w:t>Supuestos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jc w:val="right"/>
              <w:rPr>
                <w:rFonts w:eastAsia="SimSun"/>
                <w:i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i/>
                <w:sz w:val="18"/>
                <w:szCs w:val="18"/>
                <w:lang w:val="es-ES" w:eastAsia="zh-CN"/>
              </w:rPr>
              <w:t>Costo</w:t>
            </w:r>
          </w:p>
        </w:tc>
      </w:tr>
      <w:tr w:rsidR="0094698A" w:rsidRPr="006219D0" w:rsidTr="00401E2D">
        <w:tc>
          <w:tcPr>
            <w:tcW w:w="0" w:type="auto"/>
            <w:vMerge w:val="restart"/>
            <w:vAlign w:val="center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2014</w:t>
            </w:r>
          </w:p>
        </w:tc>
        <w:tc>
          <w:tcPr>
            <w:tcW w:w="0" w:type="auto"/>
            <w:vMerge w:val="restart"/>
            <w:vAlign w:val="center"/>
          </w:tcPr>
          <w:p w:rsidR="0094698A" w:rsidRPr="006219D0" w:rsidRDefault="00B42BC7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B42BC7">
              <w:rPr>
                <w:rFonts w:eastAsia="SimSun"/>
                <w:sz w:val="18"/>
                <w:szCs w:val="18"/>
                <w:lang w:val="es-ES" w:eastAsia="zh-CN"/>
              </w:rPr>
              <w:t>Reunión de análisis (40 participantes: miembros del Grupo m</w:t>
            </w:r>
            <w:r w:rsidR="00555216">
              <w:rPr>
                <w:rFonts w:eastAsia="SimSun"/>
                <w:sz w:val="18"/>
                <w:szCs w:val="18"/>
                <w:lang w:val="es-ES" w:eastAsia="zh-CN"/>
              </w:rPr>
              <w:t>ultidisciplinario de expertos/</w:t>
            </w:r>
            <w:r w:rsidRPr="00B42BC7">
              <w:rPr>
                <w:rFonts w:eastAsia="SimSun"/>
                <w:sz w:val="18"/>
                <w:szCs w:val="18"/>
                <w:lang w:val="es-ES" w:eastAsia="zh-CN"/>
              </w:rPr>
              <w:t xml:space="preserve">Mesa, expertos 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Costos de la reunión (1 semana, 40 participantes) (25% en especie)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11.250</w:t>
            </w:r>
          </w:p>
        </w:tc>
      </w:tr>
      <w:tr w:rsidR="0094698A" w:rsidRPr="006219D0" w:rsidTr="00401E2D">
        <w:trPr>
          <w:trHeight w:val="187"/>
        </w:trPr>
        <w:tc>
          <w:tcPr>
            <w:tcW w:w="0" w:type="auto"/>
            <w:vMerge/>
            <w:vAlign w:val="center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vMerge/>
            <w:vAlign w:val="center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</w:tcPr>
          <w:p w:rsidR="0094698A" w:rsidRPr="006219D0" w:rsidRDefault="00FE666F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>
              <w:rPr>
                <w:rFonts w:eastAsia="SimSun"/>
                <w:sz w:val="18"/>
                <w:szCs w:val="18"/>
                <w:lang w:val="es-ES" w:eastAsia="zh-CN"/>
              </w:rPr>
              <w:t>Viaje</w:t>
            </w:r>
            <w:r w:rsidR="0094698A" w:rsidRPr="006219D0">
              <w:rPr>
                <w:rFonts w:eastAsia="SimSun"/>
                <w:sz w:val="18"/>
                <w:szCs w:val="18"/>
                <w:lang w:val="es-ES" w:eastAsia="zh-CN"/>
              </w:rPr>
              <w:t xml:space="preserve"> y dietas (30 x 3.000</w:t>
            </w:r>
            <w:r w:rsidR="00B42BC7">
              <w:rPr>
                <w:rFonts w:eastAsia="SimSun"/>
                <w:sz w:val="18"/>
                <w:szCs w:val="18"/>
                <w:lang w:val="es-ES" w:eastAsia="zh-CN"/>
              </w:rPr>
              <w:t xml:space="preserve"> dólares</w:t>
            </w:r>
            <w:r w:rsidR="0094698A" w:rsidRPr="006219D0">
              <w:rPr>
                <w:rFonts w:eastAsia="SimSun"/>
                <w:sz w:val="18"/>
                <w:szCs w:val="18"/>
                <w:lang w:val="es-ES" w:eastAsia="zh-CN"/>
              </w:rPr>
              <w:t>)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90.000</w:t>
            </w:r>
          </w:p>
        </w:tc>
      </w:tr>
      <w:tr w:rsidR="0094698A" w:rsidRPr="006219D0" w:rsidTr="00401E2D">
        <w:tc>
          <w:tcPr>
            <w:tcW w:w="0" w:type="auto"/>
            <w:vMerge/>
            <w:vAlign w:val="center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698A" w:rsidRPr="006219D0" w:rsidRDefault="00B42BC7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B42BC7">
              <w:rPr>
                <w:sz w:val="18"/>
                <w:szCs w:val="18"/>
                <w:lang w:val="es-AR"/>
              </w:rPr>
              <w:t>Primera reunión de los autores (70 copresidentes, autores principales encargados de la coordinación y autores principales, más 4 miembros del Grupo/ Mesa, más 1 funcionario de apoyo técnico</w:t>
            </w:r>
            <w:r w:rsidR="006219D0" w:rsidRPr="006219D0">
              <w:rPr>
                <w:sz w:val="18"/>
                <w:szCs w:val="18"/>
                <w:lang w:val="es-AR"/>
              </w:rPr>
              <w:t>)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Costos de la reunión (1 semana, 75 participantes) (25% en especie)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15.000</w:t>
            </w:r>
          </w:p>
        </w:tc>
      </w:tr>
      <w:tr w:rsidR="0094698A" w:rsidRPr="006219D0" w:rsidTr="00401E2D">
        <w:trPr>
          <w:trHeight w:val="339"/>
        </w:trPr>
        <w:tc>
          <w:tcPr>
            <w:tcW w:w="0" w:type="auto"/>
            <w:vMerge/>
            <w:vAlign w:val="center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698A" w:rsidRPr="006219D0" w:rsidRDefault="0064164D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Viaje y dietas (56 x 3.</w:t>
            </w:r>
            <w:r w:rsidR="0094698A" w:rsidRPr="006219D0">
              <w:rPr>
                <w:rFonts w:eastAsia="SimSun"/>
                <w:sz w:val="18"/>
                <w:szCs w:val="18"/>
                <w:lang w:val="es-ES" w:eastAsia="zh-CN"/>
              </w:rPr>
              <w:t>000 dólares)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698A" w:rsidRPr="006219D0" w:rsidRDefault="0094698A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168.000</w:t>
            </w:r>
          </w:p>
        </w:tc>
      </w:tr>
      <w:tr w:rsidR="006219D0" w:rsidRPr="006219D0" w:rsidTr="00401E2D">
        <w:trPr>
          <w:trHeight w:val="36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</w:tcPr>
          <w:p w:rsidR="006219D0" w:rsidRPr="006219D0" w:rsidRDefault="006219D0" w:rsidP="00401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9D0">
              <w:rPr>
                <w:rFonts w:ascii="Times New Roman" w:hAnsi="Times New Roman"/>
                <w:sz w:val="18"/>
                <w:szCs w:val="18"/>
              </w:rPr>
              <w:t>Apoyo técnico</w:t>
            </w:r>
          </w:p>
        </w:tc>
        <w:tc>
          <w:tcPr>
            <w:tcW w:w="0" w:type="auto"/>
          </w:tcPr>
          <w:p w:rsidR="006219D0" w:rsidRPr="006219D0" w:rsidRDefault="006219D0" w:rsidP="00401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9D0">
              <w:rPr>
                <w:rFonts w:ascii="Times New Roman" w:hAnsi="Times New Roman"/>
                <w:sz w:val="18"/>
                <w:szCs w:val="18"/>
              </w:rPr>
              <w:t xml:space="preserve">1 puesto equivalente a funcionario del cuadro orgánico a </w:t>
            </w:r>
            <w:r w:rsidR="00B42BC7">
              <w:rPr>
                <w:rFonts w:ascii="Times New Roman" w:hAnsi="Times New Roman"/>
                <w:sz w:val="18"/>
                <w:szCs w:val="18"/>
              </w:rPr>
              <w:t>jornada completa</w:t>
            </w:r>
            <w:r w:rsidRPr="006219D0">
              <w:rPr>
                <w:rFonts w:ascii="Times New Roman" w:hAnsi="Times New Roman"/>
                <w:sz w:val="18"/>
                <w:szCs w:val="18"/>
              </w:rPr>
              <w:t xml:space="preserve"> (50% en especie)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19D0" w:rsidRPr="006219D0" w:rsidRDefault="006219D0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75.000</w:t>
            </w:r>
          </w:p>
        </w:tc>
      </w:tr>
      <w:tr w:rsidR="006219D0" w:rsidRPr="006219D0" w:rsidTr="00401E2D">
        <w:tc>
          <w:tcPr>
            <w:tcW w:w="0" w:type="auto"/>
            <w:vMerge w:val="restart"/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2015</w:t>
            </w:r>
          </w:p>
        </w:tc>
        <w:tc>
          <w:tcPr>
            <w:tcW w:w="0" w:type="auto"/>
            <w:vMerge w:val="restart"/>
            <w:vAlign w:val="center"/>
          </w:tcPr>
          <w:p w:rsid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AR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>Segunda reunión de</w:t>
            </w:r>
            <w:r w:rsidR="00B42BC7">
              <w:rPr>
                <w:rFonts w:eastAsia="SimSun"/>
                <w:sz w:val="18"/>
                <w:szCs w:val="18"/>
                <w:lang w:val="es-AR" w:eastAsia="zh-CN"/>
              </w:rPr>
              <w:t xml:space="preserve"> los</w:t>
            </w: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 xml:space="preserve"> autores (70 copresidentes, autores principales encargados de la coordinación y autores principales más 14 revisores</w:t>
            </w:r>
            <w:r w:rsidR="00555216">
              <w:rPr>
                <w:rFonts w:eastAsia="SimSun"/>
                <w:sz w:val="18"/>
                <w:szCs w:val="18"/>
                <w:lang w:val="es-AR" w:eastAsia="zh-CN"/>
              </w:rPr>
              <w:t>,</w:t>
            </w: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 xml:space="preserve"> más 4 miembros del Grupo/Mesa</w:t>
            </w:r>
            <w:r w:rsidR="00555216">
              <w:rPr>
                <w:rFonts w:eastAsia="SimSun"/>
                <w:sz w:val="18"/>
                <w:szCs w:val="18"/>
                <w:lang w:val="es-AR" w:eastAsia="zh-CN"/>
              </w:rPr>
              <w:t>,</w:t>
            </w: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 xml:space="preserve"> más 1 funcionario de apoyo técnico)</w:t>
            </w:r>
          </w:p>
          <w:p w:rsidR="00401E2D" w:rsidRDefault="00401E2D" w:rsidP="00401E2D">
            <w:pPr>
              <w:pStyle w:val="Normal-pool"/>
              <w:rPr>
                <w:rFonts w:eastAsia="SimSun"/>
                <w:sz w:val="18"/>
                <w:szCs w:val="18"/>
                <w:lang w:val="es-AR" w:eastAsia="zh-CN"/>
              </w:rPr>
            </w:pPr>
          </w:p>
          <w:p w:rsidR="00401E2D" w:rsidRDefault="00401E2D" w:rsidP="00401E2D">
            <w:pPr>
              <w:pStyle w:val="Normal-pool"/>
              <w:rPr>
                <w:rFonts w:eastAsia="SimSun"/>
                <w:sz w:val="18"/>
                <w:szCs w:val="18"/>
                <w:lang w:val="es-AR" w:eastAsia="zh-CN"/>
              </w:rPr>
            </w:pPr>
          </w:p>
          <w:p w:rsidR="00401E2D" w:rsidRPr="006219D0" w:rsidRDefault="00401E2D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</w:tcPr>
          <w:p w:rsidR="006219D0" w:rsidRPr="006219D0" w:rsidRDefault="006219D0" w:rsidP="00401E2D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es-AR"/>
              </w:rPr>
            </w:pPr>
            <w:r w:rsidRPr="006219D0">
              <w:rPr>
                <w:rFonts w:ascii="Times New Roman" w:hAnsi="Times New Roman"/>
                <w:sz w:val="18"/>
                <w:szCs w:val="18"/>
                <w:lang w:val="es-AR"/>
              </w:rPr>
              <w:t>Costos de la reunión (1 semana, 89 participantes) (25% en especie)</w:t>
            </w:r>
          </w:p>
        </w:tc>
        <w:tc>
          <w:tcPr>
            <w:tcW w:w="0" w:type="auto"/>
          </w:tcPr>
          <w:p w:rsidR="006219D0" w:rsidRPr="006219D0" w:rsidRDefault="006219D0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18.750</w:t>
            </w:r>
          </w:p>
        </w:tc>
      </w:tr>
      <w:tr w:rsidR="006219D0" w:rsidRPr="006219D0" w:rsidTr="00401E2D">
        <w:trPr>
          <w:trHeight w:val="361"/>
        </w:trPr>
        <w:tc>
          <w:tcPr>
            <w:tcW w:w="0" w:type="auto"/>
            <w:vMerge/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19D0" w:rsidRPr="006219D0" w:rsidRDefault="00B42BC7" w:rsidP="00401E2D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Viaje</w:t>
            </w:r>
            <w:r w:rsidR="006219D0" w:rsidRPr="006219D0">
              <w:rPr>
                <w:rFonts w:ascii="Times New Roman" w:hAnsi="Times New Roman"/>
                <w:sz w:val="18"/>
                <w:szCs w:val="18"/>
              </w:rPr>
              <w:t xml:space="preserve"> y dietas (67 x 3.000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dólares</w:t>
            </w:r>
            <w:r w:rsidR="006219D0" w:rsidRPr="006219D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19D0" w:rsidRPr="006219D0" w:rsidRDefault="006219D0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201.000</w:t>
            </w:r>
          </w:p>
        </w:tc>
      </w:tr>
      <w:tr w:rsidR="006219D0" w:rsidRPr="006219D0" w:rsidTr="00401E2D">
        <w:tc>
          <w:tcPr>
            <w:tcW w:w="0" w:type="auto"/>
            <w:vMerge/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>Tercera reunión de</w:t>
            </w:r>
            <w:r w:rsidR="00B42BC7">
              <w:rPr>
                <w:rFonts w:eastAsia="SimSun"/>
                <w:sz w:val="18"/>
                <w:szCs w:val="18"/>
                <w:lang w:val="es-AR" w:eastAsia="zh-CN"/>
              </w:rPr>
              <w:t xml:space="preserve"> los</w:t>
            </w: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 xml:space="preserve"> autores (70 copresidentes, autores principales encargados de la coordinación y autores principales</w:t>
            </w:r>
            <w:r w:rsidR="00555216">
              <w:rPr>
                <w:rFonts w:eastAsia="SimSun"/>
                <w:sz w:val="18"/>
                <w:szCs w:val="18"/>
                <w:lang w:val="es-AR" w:eastAsia="zh-CN"/>
              </w:rPr>
              <w:t>,</w:t>
            </w: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 xml:space="preserve"> más 14 revisores</w:t>
            </w:r>
            <w:r w:rsidR="00555216">
              <w:rPr>
                <w:rFonts w:eastAsia="SimSun"/>
                <w:sz w:val="18"/>
                <w:szCs w:val="18"/>
                <w:lang w:val="es-AR" w:eastAsia="zh-CN"/>
              </w:rPr>
              <w:t>,</w:t>
            </w: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 xml:space="preserve"> más 4 miembros del Grupo/Mesa</w:t>
            </w:r>
            <w:r w:rsidR="00555216">
              <w:rPr>
                <w:rFonts w:eastAsia="SimSun"/>
                <w:sz w:val="18"/>
                <w:szCs w:val="18"/>
                <w:lang w:val="es-AR" w:eastAsia="zh-CN"/>
              </w:rPr>
              <w:t>,</w:t>
            </w:r>
            <w:r w:rsidRPr="006219D0">
              <w:rPr>
                <w:rFonts w:eastAsia="SimSun"/>
                <w:sz w:val="18"/>
                <w:szCs w:val="18"/>
                <w:lang w:val="es-AR" w:eastAsia="zh-CN"/>
              </w:rPr>
              <w:t xml:space="preserve"> más 1 funcionario de apoyo técnico)</w:t>
            </w:r>
          </w:p>
        </w:tc>
        <w:tc>
          <w:tcPr>
            <w:tcW w:w="0" w:type="auto"/>
          </w:tcPr>
          <w:p w:rsidR="006219D0" w:rsidRPr="006219D0" w:rsidRDefault="006219D0" w:rsidP="00401E2D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val="es-AR"/>
              </w:rPr>
            </w:pPr>
            <w:r w:rsidRPr="006219D0">
              <w:rPr>
                <w:rFonts w:ascii="Times New Roman" w:hAnsi="Times New Roman"/>
                <w:sz w:val="18"/>
                <w:szCs w:val="18"/>
                <w:lang w:val="es-AR"/>
              </w:rPr>
              <w:t>Costos de la reunión (1 semana, 89 participantes) (25% en especie)</w:t>
            </w:r>
          </w:p>
        </w:tc>
        <w:tc>
          <w:tcPr>
            <w:tcW w:w="0" w:type="auto"/>
          </w:tcPr>
          <w:p w:rsidR="006219D0" w:rsidRPr="006219D0" w:rsidRDefault="006219D0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15.000</w:t>
            </w:r>
          </w:p>
        </w:tc>
      </w:tr>
      <w:tr w:rsidR="006219D0" w:rsidRPr="006219D0" w:rsidTr="00401E2D">
        <w:trPr>
          <w:trHeight w:val="339"/>
        </w:trPr>
        <w:tc>
          <w:tcPr>
            <w:tcW w:w="0" w:type="auto"/>
            <w:vMerge/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19D0" w:rsidRPr="006219D0" w:rsidRDefault="00B42BC7" w:rsidP="00401E2D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Viaje </w:t>
            </w:r>
            <w:r w:rsidR="006219D0" w:rsidRPr="006219D0">
              <w:rPr>
                <w:rFonts w:ascii="Times New Roman" w:hAnsi="Times New Roman"/>
                <w:sz w:val="18"/>
                <w:szCs w:val="18"/>
              </w:rPr>
              <w:t>y dietas (67 x 3.000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dólares</w:t>
            </w:r>
            <w:r w:rsidR="006219D0" w:rsidRPr="006219D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19D0" w:rsidRPr="006219D0" w:rsidRDefault="006219D0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201.000</w:t>
            </w:r>
          </w:p>
        </w:tc>
      </w:tr>
      <w:tr w:rsidR="006219D0" w:rsidRPr="006219D0" w:rsidTr="00401E2D">
        <w:trPr>
          <w:trHeight w:val="36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  <w:vAlign w:val="center"/>
          </w:tcPr>
          <w:p w:rsidR="006219D0" w:rsidRPr="006219D0" w:rsidRDefault="006219D0" w:rsidP="00401E2D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6219D0">
              <w:rPr>
                <w:rFonts w:ascii="Times New Roman" w:hAnsi="Times New Roman"/>
                <w:sz w:val="18"/>
                <w:szCs w:val="18"/>
              </w:rPr>
              <w:t>Apoyo técnico</w:t>
            </w:r>
          </w:p>
        </w:tc>
        <w:tc>
          <w:tcPr>
            <w:tcW w:w="0" w:type="auto"/>
          </w:tcPr>
          <w:p w:rsidR="006219D0" w:rsidRPr="006219D0" w:rsidRDefault="006219D0" w:rsidP="00401E2D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sz w:val="18"/>
                <w:szCs w:val="18"/>
                <w:lang w:val="es-AR"/>
              </w:rPr>
            </w:pPr>
            <w:r w:rsidRPr="006219D0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1 puesto equivalente a funcionario del cuadro orgánico a </w:t>
            </w:r>
            <w:r w:rsidR="00FE666F">
              <w:rPr>
                <w:rFonts w:ascii="Times New Roman" w:hAnsi="Times New Roman"/>
                <w:sz w:val="18"/>
                <w:szCs w:val="18"/>
                <w:lang w:val="es-AR"/>
              </w:rPr>
              <w:t>jornada completa</w:t>
            </w:r>
            <w:r w:rsidRPr="006219D0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(50% en especie)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19D0" w:rsidRPr="006219D0" w:rsidRDefault="006219D0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75.000</w:t>
            </w:r>
          </w:p>
        </w:tc>
      </w:tr>
      <w:tr w:rsidR="006219D0" w:rsidRPr="006219D0" w:rsidTr="00401E2D">
        <w:trPr>
          <w:trHeight w:val="357"/>
        </w:trPr>
        <w:tc>
          <w:tcPr>
            <w:tcW w:w="0" w:type="auto"/>
            <w:vMerge w:val="restart"/>
            <w:vAlign w:val="center"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2016</w:t>
            </w:r>
          </w:p>
        </w:tc>
        <w:tc>
          <w:tcPr>
            <w:tcW w:w="0" w:type="auto"/>
          </w:tcPr>
          <w:p w:rsidR="006219D0" w:rsidRPr="006219D0" w:rsidRDefault="006219D0" w:rsidP="00401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9D0">
              <w:rPr>
                <w:rFonts w:ascii="Times New Roman" w:hAnsi="Times New Roman"/>
                <w:sz w:val="18"/>
                <w:szCs w:val="18"/>
              </w:rPr>
              <w:t>Participación de 2 copresidentes y 2 autores principales encargados de la coordinación en el cuarto período de sesiones del Plenario</w:t>
            </w:r>
          </w:p>
        </w:tc>
        <w:tc>
          <w:tcPr>
            <w:tcW w:w="0" w:type="auto"/>
          </w:tcPr>
          <w:p w:rsidR="006219D0" w:rsidRPr="006219D0" w:rsidRDefault="006219D0" w:rsidP="00401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9D0">
              <w:rPr>
                <w:rFonts w:ascii="Times New Roman" w:hAnsi="Times New Roman"/>
                <w:sz w:val="18"/>
                <w:szCs w:val="18"/>
              </w:rPr>
              <w:t>Viaje y dietas (3 x 3.000</w:t>
            </w:r>
            <w:r w:rsidR="00FE666F">
              <w:rPr>
                <w:rFonts w:ascii="Times New Roman" w:hAnsi="Times New Roman"/>
                <w:sz w:val="18"/>
                <w:szCs w:val="18"/>
              </w:rPr>
              <w:t xml:space="preserve"> dólares</w:t>
            </w:r>
            <w:r w:rsidRPr="006219D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219D0" w:rsidRPr="006219D0" w:rsidRDefault="006219D0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9.000</w:t>
            </w:r>
          </w:p>
        </w:tc>
      </w:tr>
      <w:tr w:rsidR="006219D0" w:rsidRPr="006219D0" w:rsidDel="001E184E" w:rsidTr="00401E2D">
        <w:trPr>
          <w:trHeight w:val="560"/>
        </w:trPr>
        <w:tc>
          <w:tcPr>
            <w:tcW w:w="0" w:type="auto"/>
            <w:vMerge/>
          </w:tcPr>
          <w:p w:rsidR="006219D0" w:rsidRPr="006219D0" w:rsidRDefault="006219D0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</w:tcPr>
          <w:p w:rsidR="006219D0" w:rsidRPr="006219D0" w:rsidRDefault="006219D0" w:rsidP="00401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9D0">
              <w:rPr>
                <w:rFonts w:ascii="Times New Roman" w:hAnsi="Times New Roman"/>
                <w:sz w:val="18"/>
                <w:szCs w:val="18"/>
              </w:rPr>
              <w:t>Difusión y divulgación (resumen para los responsables de formular políticas (10 páginas) e informe (200 páginas))</w:t>
            </w:r>
          </w:p>
        </w:tc>
        <w:tc>
          <w:tcPr>
            <w:tcW w:w="0" w:type="auto"/>
          </w:tcPr>
          <w:p w:rsidR="006219D0" w:rsidRPr="006219D0" w:rsidRDefault="00FE666F" w:rsidP="00401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66F">
              <w:rPr>
                <w:rFonts w:ascii="Times New Roman" w:hAnsi="Times New Roman"/>
                <w:sz w:val="18"/>
                <w:szCs w:val="18"/>
              </w:rPr>
              <w:t>Traducción del resumen para los encargados de formular políticas a todos los idiomas oficiales de las Naciones unidas, publicación y difusión</w:t>
            </w:r>
          </w:p>
        </w:tc>
        <w:tc>
          <w:tcPr>
            <w:tcW w:w="0" w:type="auto"/>
          </w:tcPr>
          <w:p w:rsidR="006219D0" w:rsidRPr="006219D0" w:rsidDel="001E184E" w:rsidRDefault="006219D0" w:rsidP="00401E2D">
            <w:pPr>
              <w:pStyle w:val="Normal-pool"/>
              <w:jc w:val="right"/>
              <w:rPr>
                <w:rFonts w:eastAsia="SimSun"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sz w:val="18"/>
                <w:szCs w:val="18"/>
                <w:lang w:val="es-ES" w:eastAsia="zh-CN"/>
              </w:rPr>
              <w:t>117.000</w:t>
            </w:r>
          </w:p>
        </w:tc>
      </w:tr>
      <w:tr w:rsidR="0094698A" w:rsidRPr="006219D0" w:rsidTr="00401E2D"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b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b/>
                <w:sz w:val="18"/>
                <w:szCs w:val="18"/>
                <w:lang w:val="es-ES" w:eastAsia="zh-CN"/>
              </w:rPr>
              <w:t>Total</w:t>
            </w: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rPr>
                <w:rFonts w:eastAsia="SimSun"/>
                <w:sz w:val="18"/>
                <w:szCs w:val="18"/>
                <w:lang w:val="es-ES" w:eastAsia="zh-CN"/>
              </w:rPr>
            </w:pPr>
          </w:p>
        </w:tc>
        <w:tc>
          <w:tcPr>
            <w:tcW w:w="0" w:type="auto"/>
          </w:tcPr>
          <w:p w:rsidR="0094698A" w:rsidRPr="006219D0" w:rsidRDefault="0094698A" w:rsidP="00401E2D">
            <w:pPr>
              <w:pStyle w:val="Normal-pool"/>
              <w:jc w:val="right"/>
              <w:rPr>
                <w:rFonts w:eastAsia="SimSun"/>
                <w:b/>
                <w:sz w:val="18"/>
                <w:szCs w:val="18"/>
                <w:lang w:val="es-ES" w:eastAsia="zh-CN"/>
              </w:rPr>
            </w:pPr>
            <w:r w:rsidRPr="006219D0">
              <w:rPr>
                <w:rFonts w:eastAsia="SimSun"/>
                <w:b/>
                <w:sz w:val="18"/>
                <w:szCs w:val="18"/>
                <w:lang w:val="es-ES" w:eastAsia="zh-CN"/>
              </w:rPr>
              <w:t>996.000</w:t>
            </w:r>
          </w:p>
        </w:tc>
      </w:tr>
    </w:tbl>
    <w:p w:rsidR="0094698A" w:rsidRPr="0064164D" w:rsidRDefault="0064164D" w:rsidP="0064164D">
      <w:pPr>
        <w:pStyle w:val="ListParagraph"/>
        <w:tabs>
          <w:tab w:val="left" w:pos="284"/>
          <w:tab w:val="left" w:pos="426"/>
          <w:tab w:val="left" w:pos="1134"/>
          <w:tab w:val="left" w:pos="1418"/>
        </w:tabs>
        <w:spacing w:after="240" w:line="240" w:lineRule="auto"/>
        <w:ind w:left="1247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lang w:val="es-ES"/>
        </w:rPr>
        <w:br w:type="page"/>
      </w:r>
      <w:r w:rsidR="0094698A" w:rsidRPr="0064164D">
        <w:rPr>
          <w:rFonts w:ascii="Times New Roman" w:hAnsi="Times New Roman"/>
          <w:b/>
          <w:sz w:val="28"/>
          <w:szCs w:val="28"/>
          <w:lang w:val="es-ES"/>
        </w:rPr>
        <w:lastRenderedPageBreak/>
        <w:t>Referencias</w:t>
      </w:r>
    </w:p>
    <w:p w:rsidR="0094698A" w:rsidRPr="0013798A" w:rsidRDefault="0094698A" w:rsidP="0013798A">
      <w:pPr>
        <w:pStyle w:val="NormalNonumber"/>
        <w:spacing w:before="360"/>
        <w:rPr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Grupo de Enlace de los convenios relacionados con la diversidad biológica. Principios y directrices de Addis Abeba (AAPG), CD-ROM interactivo. Puede consultarse en: </w:t>
      </w:r>
      <w:hyperlink r:id="rId12" w:history="1">
        <w:r w:rsidRPr="0013798A">
          <w:rPr>
            <w:sz w:val="20"/>
            <w:szCs w:val="20"/>
            <w:lang w:val="es-ES"/>
          </w:rPr>
          <w:t>https://www.cbd.int/doc/programmes/socio-eco/use/aagp/AAGP.zip</w:t>
        </w:r>
      </w:hyperlink>
      <w:r w:rsidRPr="0013798A">
        <w:rPr>
          <w:sz w:val="20"/>
          <w:szCs w:val="20"/>
          <w:lang w:val="es-ES"/>
        </w:rPr>
        <w:t xml:space="preserve">. </w:t>
      </w:r>
    </w:p>
    <w:p w:rsidR="0094698A" w:rsidRPr="0013798A" w:rsidRDefault="0094698A" w:rsidP="0013798A">
      <w:pPr>
        <w:pStyle w:val="NormalNonumber"/>
        <w:rPr>
          <w:i/>
          <w:iCs/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CITES. Documento CoP16 Doc. 33 (Rev. 1). Proyecto de orientación sobre la formulación de dictámenes de extracción no perjudicial, anexo 4: http://www.cites.org/esp/cop/16/doc/E-CoP16-33.pdf. </w:t>
      </w:r>
    </w:p>
    <w:p w:rsidR="0094698A" w:rsidRPr="0013798A" w:rsidRDefault="0094698A" w:rsidP="0013798A">
      <w:pPr>
        <w:pStyle w:val="NormalNonumber"/>
        <w:rPr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CITES. Apéndices: </w:t>
      </w:r>
      <w:hyperlink r:id="rId13" w:history="1">
        <w:r w:rsidRPr="0013798A">
          <w:rPr>
            <w:rStyle w:val="Hyperlink"/>
            <w:lang w:val="es-ES"/>
          </w:rPr>
          <w:t>http://www.cites.org/esp/app/appendices.php</w:t>
        </w:r>
      </w:hyperlink>
      <w:r w:rsidRPr="0013798A">
        <w:rPr>
          <w:sz w:val="20"/>
          <w:szCs w:val="20"/>
          <w:lang w:val="es-ES"/>
        </w:rPr>
        <w:t>.</w:t>
      </w:r>
    </w:p>
    <w:p w:rsidR="0094698A" w:rsidRPr="0013798A" w:rsidRDefault="0094698A" w:rsidP="0013798A">
      <w:pPr>
        <w:pStyle w:val="NormalNonumber"/>
        <w:rPr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CITES. Resolución Conf. 16.6. La CITES y los medios de subsistencia. </w:t>
      </w:r>
      <w:hyperlink r:id="rId14" w:history="1">
        <w:r w:rsidRPr="0013798A">
          <w:rPr>
            <w:rStyle w:val="Hyperlink"/>
            <w:lang w:val="es-ES"/>
          </w:rPr>
          <w:t>http://www.cites.org/esp/res/16/16-06.php</w:t>
        </w:r>
      </w:hyperlink>
      <w:r w:rsidRPr="0013798A">
        <w:rPr>
          <w:sz w:val="20"/>
          <w:szCs w:val="20"/>
          <w:lang w:val="es-ES"/>
        </w:rPr>
        <w:t>.</w:t>
      </w:r>
    </w:p>
    <w:p w:rsidR="0094698A" w:rsidRPr="0013798A" w:rsidRDefault="0094698A" w:rsidP="0013798A">
      <w:pPr>
        <w:pStyle w:val="NormalNonumber"/>
        <w:rPr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CITES. Resolución Conf. 16.7. Dictámenes de extracción no perjudicial. </w:t>
      </w:r>
      <w:hyperlink r:id="rId15" w:history="1">
        <w:r w:rsidRPr="0013798A">
          <w:rPr>
            <w:rStyle w:val="Hyperlink"/>
            <w:lang w:val="es-ES"/>
          </w:rPr>
          <w:t>http://www.cites.org/esp/res/16/16-07.php</w:t>
        </w:r>
      </w:hyperlink>
      <w:r w:rsidRPr="0013798A">
        <w:rPr>
          <w:rStyle w:val="Hyperlink"/>
          <w:lang w:val="es-ES"/>
        </w:rPr>
        <w:t>.</w:t>
      </w:r>
    </w:p>
    <w:p w:rsidR="0094698A" w:rsidRPr="0013798A" w:rsidRDefault="0094698A" w:rsidP="0013798A">
      <w:pPr>
        <w:pStyle w:val="NormalNonumber"/>
        <w:rPr>
          <w:i/>
          <w:iCs/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Matthew J. Smith y otros, “Assessing the impacts of international trade on CITES-listed species: Current practices and opportunities for scientific research”, </w:t>
      </w:r>
      <w:r w:rsidRPr="0013798A">
        <w:rPr>
          <w:i/>
          <w:sz w:val="20"/>
          <w:szCs w:val="20"/>
          <w:lang w:val="es-ES"/>
        </w:rPr>
        <w:t xml:space="preserve">Biological Conservation, </w:t>
      </w:r>
      <w:r w:rsidRPr="0013798A">
        <w:rPr>
          <w:sz w:val="20"/>
          <w:szCs w:val="20"/>
          <w:lang w:val="es-ES"/>
        </w:rPr>
        <w:t>vol. 144, nº 1 (2011), pp. 82 a 91.</w:t>
      </w:r>
    </w:p>
    <w:p w:rsidR="0094698A" w:rsidRPr="0013798A" w:rsidRDefault="0094698A" w:rsidP="0013798A">
      <w:pPr>
        <w:pStyle w:val="NormalNonumber"/>
        <w:rPr>
          <w:rStyle w:val="Hyperlink"/>
          <w:lang w:val="es-ES"/>
        </w:rPr>
      </w:pPr>
      <w:r w:rsidRPr="0013798A">
        <w:rPr>
          <w:sz w:val="20"/>
          <w:szCs w:val="20"/>
          <w:lang w:val="es-ES"/>
        </w:rPr>
        <w:t xml:space="preserve">Sitio web del Taller Internacional de Expertos sobre Dictámenes de Extracción No Perjudicial de CITES, celebrado en Cancún (2008): </w:t>
      </w:r>
      <w:hyperlink r:id="rId16" w:history="1">
        <w:r w:rsidRPr="0013798A">
          <w:rPr>
            <w:rStyle w:val="Hyperlink"/>
            <w:lang w:val="es-ES"/>
          </w:rPr>
          <w:t>http://www.conabio.gob.mx/institucion/cooperacion_internacional/TallerNDF/taller_ndf.html</w:t>
        </w:r>
      </w:hyperlink>
      <w:r w:rsidRPr="0013798A">
        <w:rPr>
          <w:rStyle w:val="Hyperlink"/>
          <w:lang w:val="es-ES"/>
        </w:rPr>
        <w:t>.</w:t>
      </w:r>
    </w:p>
    <w:p w:rsidR="0094698A" w:rsidRPr="0013798A" w:rsidRDefault="0094698A" w:rsidP="0013798A">
      <w:pPr>
        <w:pStyle w:val="NormalNonumber"/>
        <w:rPr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Actualizaciones de la sección “dictámenes de extracción no perjudicial” del sitio web de la CITES: </w:t>
      </w:r>
      <w:hyperlink r:id="rId17" w:history="1">
        <w:r w:rsidRPr="0013798A">
          <w:rPr>
            <w:rStyle w:val="Hyperlink"/>
            <w:lang w:val="es-ES"/>
          </w:rPr>
          <w:t>http://www.cites.org/esp/prog/ndf/index.php</w:t>
        </w:r>
      </w:hyperlink>
      <w:r w:rsidRPr="0013798A">
        <w:rPr>
          <w:sz w:val="20"/>
          <w:szCs w:val="20"/>
          <w:lang w:val="es-ES"/>
        </w:rPr>
        <w:t xml:space="preserve">. </w:t>
      </w:r>
    </w:p>
    <w:p w:rsidR="0094698A" w:rsidRPr="0013798A" w:rsidRDefault="0094698A" w:rsidP="0013798A">
      <w:pPr>
        <w:pStyle w:val="NormalNonumber"/>
        <w:rPr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Consorcio Internacional para Combatir los Delitos contra la Vida Silvestre (ICCWC), “Conjunto de instrumentos analíticos para combatir los delitos contra la vida silvestre y los bosques”. Puede consultarse en el sitio web de la CITES: </w:t>
      </w:r>
      <w:hyperlink r:id="rId18" w:history="1">
        <w:r w:rsidRPr="0013798A">
          <w:rPr>
            <w:sz w:val="20"/>
            <w:szCs w:val="20"/>
            <w:lang w:val="es-ES"/>
          </w:rPr>
          <w:t>www.cites.org/common/resources/pub/ICCWC_Toolkit_v2_english.pdf</w:t>
        </w:r>
      </w:hyperlink>
      <w:r w:rsidRPr="0013798A">
        <w:rPr>
          <w:sz w:val="20"/>
          <w:szCs w:val="20"/>
          <w:lang w:val="es-ES"/>
        </w:rPr>
        <w:t>.</w:t>
      </w:r>
    </w:p>
    <w:p w:rsidR="0094698A" w:rsidRDefault="0094698A" w:rsidP="0013798A">
      <w:pPr>
        <w:pStyle w:val="NormalNonumber"/>
        <w:keepNext/>
        <w:keepLines/>
        <w:rPr>
          <w:color w:val="000000"/>
          <w:sz w:val="20"/>
          <w:szCs w:val="20"/>
          <w:lang w:val="es-ES"/>
        </w:rPr>
      </w:pPr>
      <w:r w:rsidRPr="0013798A">
        <w:rPr>
          <w:sz w:val="20"/>
          <w:szCs w:val="20"/>
          <w:lang w:val="es-ES"/>
        </w:rPr>
        <w:t xml:space="preserve">Declaración de Río sobre el Medio Ambiente y el Desarrollo. Río de Janeiro, </w:t>
      </w:r>
      <w:r w:rsidRPr="0013798A">
        <w:rPr>
          <w:i/>
          <w:iCs/>
          <w:color w:val="000000"/>
          <w:sz w:val="20"/>
          <w:szCs w:val="20"/>
          <w:lang w:val="es-ES"/>
        </w:rPr>
        <w:t>Informe de la Conferencia de las Naciones Unidas sobre el Medio Ambiente y el Desarrollo, Río de Janeiro, 3 a 14 de junio de 1992</w:t>
      </w:r>
      <w:r w:rsidRPr="0013798A">
        <w:rPr>
          <w:iCs/>
          <w:color w:val="000000"/>
          <w:sz w:val="20"/>
          <w:szCs w:val="20"/>
          <w:lang w:val="es-ES"/>
        </w:rPr>
        <w:t>, vol. I</w:t>
      </w:r>
      <w:r w:rsidRPr="0013798A">
        <w:rPr>
          <w:i/>
          <w:iCs/>
          <w:color w:val="000000"/>
          <w:sz w:val="20"/>
          <w:szCs w:val="20"/>
          <w:lang w:val="es-ES"/>
        </w:rPr>
        <w:t xml:space="preserve">, Resoluciones aprobadas por la Conferencia </w:t>
      </w:r>
      <w:r w:rsidR="0064164D">
        <w:rPr>
          <w:iCs/>
          <w:color w:val="000000"/>
          <w:sz w:val="20"/>
          <w:szCs w:val="20"/>
          <w:lang w:val="es-ES"/>
        </w:rPr>
        <w:t>(publicación de las Naciones </w:t>
      </w:r>
      <w:r w:rsidRPr="0013798A">
        <w:rPr>
          <w:iCs/>
          <w:color w:val="000000"/>
          <w:sz w:val="20"/>
          <w:szCs w:val="20"/>
          <w:lang w:val="es-ES"/>
        </w:rPr>
        <w:t>Unidas, núm. de venta: S.</w:t>
      </w:r>
      <w:r w:rsidRPr="0013798A">
        <w:rPr>
          <w:color w:val="000000"/>
          <w:sz w:val="20"/>
          <w:szCs w:val="20"/>
          <w:lang w:val="es-ES"/>
        </w:rPr>
        <w:t xml:space="preserve">93.I.8 y corrección), resolución 1, anexo </w:t>
      </w:r>
      <w:r w:rsidR="00FE666F">
        <w:rPr>
          <w:color w:val="000000"/>
          <w:sz w:val="20"/>
          <w:szCs w:val="20"/>
          <w:lang w:val="es-ES"/>
        </w:rPr>
        <w:t>1</w:t>
      </w:r>
      <w:r w:rsidRPr="0013798A">
        <w:rPr>
          <w:color w:val="000000"/>
          <w:sz w:val="20"/>
          <w:szCs w:val="20"/>
          <w:lang w:val="es-ES"/>
        </w:rPr>
        <w:t>.</w:t>
      </w:r>
    </w:p>
    <w:p w:rsidR="0064164D" w:rsidRPr="0013798A" w:rsidRDefault="0064164D" w:rsidP="0064164D">
      <w:pPr>
        <w:pStyle w:val="NormalNonumber"/>
        <w:keepNext/>
        <w:keepLines/>
        <w:ind w:left="0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</w:t>
      </w:r>
    </w:p>
    <w:sectPr w:rsidR="0064164D" w:rsidRPr="0013798A" w:rsidSect="00713D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lowerLetter"/>
      </w:footnotePr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E6" w:rsidRDefault="001519E6">
      <w:r>
        <w:separator/>
      </w:r>
    </w:p>
  </w:endnote>
  <w:endnote w:type="continuationSeparator" w:id="0">
    <w:p w:rsidR="001519E6" w:rsidRDefault="0015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1" w:rsidRDefault="00C13C9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4C6E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1" w:rsidRDefault="00C13C91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4C6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1" w:rsidRPr="00864922" w:rsidRDefault="00C13C91" w:rsidP="00194D87">
    <w:pPr>
      <w:pStyle w:val="Footer"/>
      <w:tabs>
        <w:tab w:val="clear" w:pos="4320"/>
        <w:tab w:val="clear" w:pos="8640"/>
        <w:tab w:val="left" w:pos="62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K1353337</w:t>
    </w:r>
    <w:r>
      <w:rPr>
        <w:rFonts w:ascii="Times New Roman" w:hAnsi="Times New Roman"/>
        <w:sz w:val="20"/>
        <w:szCs w:val="20"/>
      </w:rPr>
      <w:tab/>
      <w:t>301013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E6" w:rsidRPr="00A53029" w:rsidRDefault="001519E6" w:rsidP="00A53029">
      <w:pPr>
        <w:spacing w:after="120" w:line="240" w:lineRule="auto"/>
        <w:ind w:left="624"/>
        <w:rPr>
          <w:rFonts w:ascii="Times New Roman" w:hAnsi="Times New Roman"/>
          <w:sz w:val="20"/>
          <w:szCs w:val="20"/>
        </w:rPr>
      </w:pPr>
      <w:r w:rsidRPr="00A53029"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1519E6" w:rsidRDefault="001519E6">
      <w:r>
        <w:continuationSeparator/>
      </w:r>
    </w:p>
  </w:footnote>
  <w:footnote w:id="1">
    <w:p w:rsidR="00C13C91" w:rsidRPr="003F7521" w:rsidRDefault="00C13C91" w:rsidP="008A5A06">
      <w:pPr>
        <w:pStyle w:val="FootnoteText"/>
        <w:rPr>
          <w:lang w:val="en-US"/>
        </w:rPr>
      </w:pPr>
      <w:r w:rsidRPr="00416EAB">
        <w:rPr>
          <w:rStyle w:val="FootnoteReference"/>
        </w:rPr>
        <w:sym w:font="Symbol" w:char="F02A"/>
      </w:r>
      <w:r>
        <w:t xml:space="preserve"> </w:t>
      </w:r>
      <w:r w:rsidRPr="003F7521">
        <w:rPr>
          <w:szCs w:val="18"/>
        </w:rPr>
        <w:t>IPBES/</w:t>
      </w:r>
      <w:r w:rsidRPr="003F7521">
        <w:rPr>
          <w:szCs w:val="18"/>
          <w:lang w:eastAsia="ja-JP"/>
        </w:rPr>
        <w:t>2/1</w:t>
      </w:r>
      <w:r>
        <w:rPr>
          <w:lang w:eastAsia="ja-JP"/>
        </w:rPr>
        <w:t>.</w:t>
      </w:r>
    </w:p>
  </w:footnote>
  <w:footnote w:id="2">
    <w:p w:rsidR="00C13C91" w:rsidRPr="00B42BC7" w:rsidRDefault="00C13C9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64164D">
        <w:rPr>
          <w:szCs w:val="18"/>
          <w:lang w:val="es-ES"/>
        </w:rPr>
        <w:t>Todas las reuniones tendrán una participación equilibrada merced a la presencia de representantes con conocimientos locales y autóctonos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1" w:rsidRPr="00194D87" w:rsidRDefault="00C13C91" w:rsidP="00194D87">
    <w:pPr>
      <w:pStyle w:val="Header"/>
      <w:rPr>
        <w:rFonts w:ascii="Times New Roman" w:hAnsi="Times New Roman"/>
        <w:szCs w:val="18"/>
      </w:rPr>
    </w:pPr>
    <w:r w:rsidRPr="00194D87">
      <w:rPr>
        <w:rFonts w:ascii="Times New Roman" w:hAnsi="Times New Roman"/>
        <w:szCs w:val="18"/>
        <w:lang w:val="en-US"/>
      </w:rPr>
      <w:t>IPBES/</w:t>
    </w:r>
    <w:r w:rsidRPr="00194D87">
      <w:rPr>
        <w:rFonts w:ascii="Times New Roman" w:hAnsi="Times New Roman"/>
        <w:szCs w:val="18"/>
        <w:lang w:val="en-US" w:eastAsia="ja-JP"/>
      </w:rPr>
      <w:t>2/</w:t>
    </w:r>
    <w:r>
      <w:rPr>
        <w:rFonts w:ascii="Times New Roman" w:hAnsi="Times New Roman"/>
        <w:szCs w:val="18"/>
        <w:lang w:val="en-US" w:eastAsia="ja-JP"/>
      </w:rPr>
      <w:t>16/Add.6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1" w:rsidRPr="00194D87" w:rsidRDefault="00C13C91" w:rsidP="00194D87">
    <w:pPr>
      <w:pStyle w:val="Header"/>
      <w:jc w:val="right"/>
      <w:rPr>
        <w:rFonts w:ascii="Times New Roman" w:hAnsi="Times New Roman"/>
        <w:szCs w:val="18"/>
      </w:rPr>
    </w:pPr>
    <w:r w:rsidRPr="00194D87">
      <w:rPr>
        <w:rFonts w:ascii="Times New Roman" w:hAnsi="Times New Roman"/>
        <w:szCs w:val="18"/>
        <w:lang w:val="en-US"/>
      </w:rPr>
      <w:t>IPBES/</w:t>
    </w:r>
    <w:r w:rsidRPr="00194D87">
      <w:rPr>
        <w:rFonts w:ascii="Times New Roman" w:hAnsi="Times New Roman"/>
        <w:szCs w:val="18"/>
        <w:lang w:val="en-US" w:eastAsia="ja-JP"/>
      </w:rPr>
      <w:t>2/1</w:t>
    </w:r>
    <w:r>
      <w:rPr>
        <w:rFonts w:ascii="Times New Roman" w:hAnsi="Times New Roman"/>
        <w:szCs w:val="18"/>
        <w:lang w:val="en-US" w:eastAsia="ja-JP"/>
      </w:rPr>
      <w:t>6/Add.6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1" w:rsidRPr="00762016" w:rsidRDefault="00C13C91" w:rsidP="00762016">
    <w:pPr>
      <w:pStyle w:val="Header"/>
      <w:pBdr>
        <w:bottom w:val="none" w:sz="0" w:space="0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FB6"/>
    <w:multiLevelType w:val="hybridMultilevel"/>
    <w:tmpl w:val="0AB8B380"/>
    <w:lvl w:ilvl="0" w:tplc="AC301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E86"/>
    <w:multiLevelType w:val="hybridMultilevel"/>
    <w:tmpl w:val="C772EAEC"/>
    <w:lvl w:ilvl="0" w:tplc="04EAF5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53FB"/>
    <w:multiLevelType w:val="hybridMultilevel"/>
    <w:tmpl w:val="35BA8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96E1B87"/>
    <w:multiLevelType w:val="hybridMultilevel"/>
    <w:tmpl w:val="7FD0E58E"/>
    <w:lvl w:ilvl="0" w:tplc="7062EF0E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AC91E52"/>
    <w:multiLevelType w:val="hybridMultilevel"/>
    <w:tmpl w:val="B56C9D40"/>
    <w:lvl w:ilvl="0" w:tplc="3B14C608">
      <w:start w:val="1"/>
      <w:numFmt w:val="upperLetter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EB61EE"/>
    <w:multiLevelType w:val="hybridMultilevel"/>
    <w:tmpl w:val="B46C2DBE"/>
    <w:lvl w:ilvl="0" w:tplc="FA9A9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3A4541"/>
    <w:multiLevelType w:val="hybridMultilevel"/>
    <w:tmpl w:val="0AB8B380"/>
    <w:lvl w:ilvl="0" w:tplc="AC301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712A5"/>
    <w:multiLevelType w:val="hybridMultilevel"/>
    <w:tmpl w:val="E8B29EF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>
    <w:nsid w:val="5D815D79"/>
    <w:multiLevelType w:val="hybridMultilevel"/>
    <w:tmpl w:val="63A06A16"/>
    <w:lvl w:ilvl="0" w:tplc="658C2C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91BF8"/>
    <w:multiLevelType w:val="multilevel"/>
    <w:tmpl w:val="F4ACF36E"/>
    <w:numStyleLink w:val="Normallist"/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1"/>
  </w:num>
  <w:num w:numId="37">
    <w:abstractNumId w:val="7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9AD108-3C23-4BA0-9A88-CF3B4EBD503C}"/>
    <w:docVar w:name="dgnword-eventsink" w:val="208534480"/>
  </w:docVars>
  <w:rsids>
    <w:rsidRoot w:val="00194D87"/>
    <w:rsid w:val="00013805"/>
    <w:rsid w:val="000149E6"/>
    <w:rsid w:val="000179E3"/>
    <w:rsid w:val="0002237E"/>
    <w:rsid w:val="00022E65"/>
    <w:rsid w:val="000247B0"/>
    <w:rsid w:val="000249A3"/>
    <w:rsid w:val="0002522A"/>
    <w:rsid w:val="000254D1"/>
    <w:rsid w:val="00026997"/>
    <w:rsid w:val="00033E0B"/>
    <w:rsid w:val="00035549"/>
    <w:rsid w:val="00035EDE"/>
    <w:rsid w:val="00046CB9"/>
    <w:rsid w:val="000509B4"/>
    <w:rsid w:val="000537AB"/>
    <w:rsid w:val="0006035B"/>
    <w:rsid w:val="0007166E"/>
    <w:rsid w:val="0007169A"/>
    <w:rsid w:val="00071886"/>
    <w:rsid w:val="000742BC"/>
    <w:rsid w:val="0008221E"/>
    <w:rsid w:val="00082A0C"/>
    <w:rsid w:val="00083504"/>
    <w:rsid w:val="0009640C"/>
    <w:rsid w:val="00096D84"/>
    <w:rsid w:val="000A2EC8"/>
    <w:rsid w:val="000B199B"/>
    <w:rsid w:val="000B21D5"/>
    <w:rsid w:val="000B22A2"/>
    <w:rsid w:val="000B2387"/>
    <w:rsid w:val="000C040B"/>
    <w:rsid w:val="000C1E86"/>
    <w:rsid w:val="000C2A52"/>
    <w:rsid w:val="000D33C0"/>
    <w:rsid w:val="000D6941"/>
    <w:rsid w:val="000E3520"/>
    <w:rsid w:val="000E7E6F"/>
    <w:rsid w:val="000F4B6E"/>
    <w:rsid w:val="001000FC"/>
    <w:rsid w:val="00103B2A"/>
    <w:rsid w:val="001060C8"/>
    <w:rsid w:val="00115F01"/>
    <w:rsid w:val="001202E3"/>
    <w:rsid w:val="00121F0D"/>
    <w:rsid w:val="00123699"/>
    <w:rsid w:val="00123979"/>
    <w:rsid w:val="0013059D"/>
    <w:rsid w:val="0013375C"/>
    <w:rsid w:val="0013798A"/>
    <w:rsid w:val="00141A55"/>
    <w:rsid w:val="001446A3"/>
    <w:rsid w:val="001519E6"/>
    <w:rsid w:val="00155395"/>
    <w:rsid w:val="00156B90"/>
    <w:rsid w:val="00164791"/>
    <w:rsid w:val="00166EBC"/>
    <w:rsid w:val="00166F0C"/>
    <w:rsid w:val="00170D52"/>
    <w:rsid w:val="00171546"/>
    <w:rsid w:val="0017254B"/>
    <w:rsid w:val="00181EC8"/>
    <w:rsid w:val="00184349"/>
    <w:rsid w:val="001867F5"/>
    <w:rsid w:val="00190486"/>
    <w:rsid w:val="00194D87"/>
    <w:rsid w:val="00195F33"/>
    <w:rsid w:val="00196633"/>
    <w:rsid w:val="001A08F1"/>
    <w:rsid w:val="001B1617"/>
    <w:rsid w:val="001B4717"/>
    <w:rsid w:val="001B4912"/>
    <w:rsid w:val="001B504B"/>
    <w:rsid w:val="001B52EE"/>
    <w:rsid w:val="001C2B88"/>
    <w:rsid w:val="001D237E"/>
    <w:rsid w:val="001D3389"/>
    <w:rsid w:val="001D36F3"/>
    <w:rsid w:val="001D3874"/>
    <w:rsid w:val="001D7E75"/>
    <w:rsid w:val="001E56D2"/>
    <w:rsid w:val="001E7D56"/>
    <w:rsid w:val="001F1737"/>
    <w:rsid w:val="001F46DB"/>
    <w:rsid w:val="001F60D3"/>
    <w:rsid w:val="001F75DE"/>
    <w:rsid w:val="00200313"/>
    <w:rsid w:val="00200D58"/>
    <w:rsid w:val="002013BE"/>
    <w:rsid w:val="002063A4"/>
    <w:rsid w:val="00207792"/>
    <w:rsid w:val="0021145B"/>
    <w:rsid w:val="002144E6"/>
    <w:rsid w:val="00221178"/>
    <w:rsid w:val="002268EF"/>
    <w:rsid w:val="00226A82"/>
    <w:rsid w:val="002324CD"/>
    <w:rsid w:val="002326D5"/>
    <w:rsid w:val="002417AA"/>
    <w:rsid w:val="00243D36"/>
    <w:rsid w:val="0024552A"/>
    <w:rsid w:val="0024570E"/>
    <w:rsid w:val="0024619E"/>
    <w:rsid w:val="00247707"/>
    <w:rsid w:val="002536DA"/>
    <w:rsid w:val="002678C6"/>
    <w:rsid w:val="002734BF"/>
    <w:rsid w:val="002826F5"/>
    <w:rsid w:val="00286740"/>
    <w:rsid w:val="002929D8"/>
    <w:rsid w:val="00293850"/>
    <w:rsid w:val="002965FE"/>
    <w:rsid w:val="002A237D"/>
    <w:rsid w:val="002A49D2"/>
    <w:rsid w:val="002A4C53"/>
    <w:rsid w:val="002A693D"/>
    <w:rsid w:val="002B0672"/>
    <w:rsid w:val="002B1474"/>
    <w:rsid w:val="002B1B4C"/>
    <w:rsid w:val="002B247F"/>
    <w:rsid w:val="002B3767"/>
    <w:rsid w:val="002C145D"/>
    <w:rsid w:val="002C2C3E"/>
    <w:rsid w:val="002C533E"/>
    <w:rsid w:val="002D027F"/>
    <w:rsid w:val="002D058F"/>
    <w:rsid w:val="002D7A85"/>
    <w:rsid w:val="002D7B60"/>
    <w:rsid w:val="002E3BD1"/>
    <w:rsid w:val="002F4761"/>
    <w:rsid w:val="002F5C79"/>
    <w:rsid w:val="003019E2"/>
    <w:rsid w:val="00304C6E"/>
    <w:rsid w:val="00305EB8"/>
    <w:rsid w:val="00310FD9"/>
    <w:rsid w:val="00313D12"/>
    <w:rsid w:val="0031413F"/>
    <w:rsid w:val="003148BB"/>
    <w:rsid w:val="00315D2C"/>
    <w:rsid w:val="00316934"/>
    <w:rsid w:val="003176C7"/>
    <w:rsid w:val="00317976"/>
    <w:rsid w:val="00332292"/>
    <w:rsid w:val="00332E81"/>
    <w:rsid w:val="003433B6"/>
    <w:rsid w:val="003447AA"/>
    <w:rsid w:val="00355B0F"/>
    <w:rsid w:val="00355EA9"/>
    <w:rsid w:val="003578DE"/>
    <w:rsid w:val="00361489"/>
    <w:rsid w:val="00364DCD"/>
    <w:rsid w:val="00396257"/>
    <w:rsid w:val="00397EB8"/>
    <w:rsid w:val="003A086E"/>
    <w:rsid w:val="003A4FD0"/>
    <w:rsid w:val="003A69D1"/>
    <w:rsid w:val="003A7375"/>
    <w:rsid w:val="003A7705"/>
    <w:rsid w:val="003B1545"/>
    <w:rsid w:val="003C1D33"/>
    <w:rsid w:val="003C34EA"/>
    <w:rsid w:val="003C409D"/>
    <w:rsid w:val="003C5BA6"/>
    <w:rsid w:val="003C6B53"/>
    <w:rsid w:val="003E1866"/>
    <w:rsid w:val="003F0E85"/>
    <w:rsid w:val="003F3DDC"/>
    <w:rsid w:val="003F523D"/>
    <w:rsid w:val="00401E2D"/>
    <w:rsid w:val="00405251"/>
    <w:rsid w:val="00410C55"/>
    <w:rsid w:val="00416854"/>
    <w:rsid w:val="00417725"/>
    <w:rsid w:val="004217F6"/>
    <w:rsid w:val="00425A77"/>
    <w:rsid w:val="004316DC"/>
    <w:rsid w:val="00436B31"/>
    <w:rsid w:val="00437F26"/>
    <w:rsid w:val="00443B94"/>
    <w:rsid w:val="00444097"/>
    <w:rsid w:val="00445487"/>
    <w:rsid w:val="00445CEC"/>
    <w:rsid w:val="0045080B"/>
    <w:rsid w:val="0045436D"/>
    <w:rsid w:val="00454769"/>
    <w:rsid w:val="004605C9"/>
    <w:rsid w:val="00466991"/>
    <w:rsid w:val="0047064C"/>
    <w:rsid w:val="00471638"/>
    <w:rsid w:val="004834FE"/>
    <w:rsid w:val="004863D2"/>
    <w:rsid w:val="004A42E1"/>
    <w:rsid w:val="004B162C"/>
    <w:rsid w:val="004B2985"/>
    <w:rsid w:val="004B76E9"/>
    <w:rsid w:val="004C3DBE"/>
    <w:rsid w:val="004C5C96"/>
    <w:rsid w:val="004D06A4"/>
    <w:rsid w:val="004D0FDD"/>
    <w:rsid w:val="004F00DD"/>
    <w:rsid w:val="004F1A81"/>
    <w:rsid w:val="004F3725"/>
    <w:rsid w:val="004F38BA"/>
    <w:rsid w:val="00500621"/>
    <w:rsid w:val="00514526"/>
    <w:rsid w:val="00517AD5"/>
    <w:rsid w:val="005218D9"/>
    <w:rsid w:val="0052544A"/>
    <w:rsid w:val="00535AB5"/>
    <w:rsid w:val="00536186"/>
    <w:rsid w:val="00536907"/>
    <w:rsid w:val="00541632"/>
    <w:rsid w:val="00542EC4"/>
    <w:rsid w:val="00544CBB"/>
    <w:rsid w:val="00555216"/>
    <w:rsid w:val="00561740"/>
    <w:rsid w:val="00571C52"/>
    <w:rsid w:val="0057315F"/>
    <w:rsid w:val="00574B38"/>
    <w:rsid w:val="00576104"/>
    <w:rsid w:val="0057716D"/>
    <w:rsid w:val="0058068F"/>
    <w:rsid w:val="005926C2"/>
    <w:rsid w:val="005A103F"/>
    <w:rsid w:val="005B52FF"/>
    <w:rsid w:val="005C04E2"/>
    <w:rsid w:val="005C4BAC"/>
    <w:rsid w:val="005C67C8"/>
    <w:rsid w:val="005D0249"/>
    <w:rsid w:val="005D6E8C"/>
    <w:rsid w:val="005D7BA5"/>
    <w:rsid w:val="005E32F2"/>
    <w:rsid w:val="005E5D9D"/>
    <w:rsid w:val="005E6ECC"/>
    <w:rsid w:val="005F100C"/>
    <w:rsid w:val="005F1D0A"/>
    <w:rsid w:val="005F68DA"/>
    <w:rsid w:val="005F7F13"/>
    <w:rsid w:val="0060773B"/>
    <w:rsid w:val="006116FA"/>
    <w:rsid w:val="006128EA"/>
    <w:rsid w:val="00613E01"/>
    <w:rsid w:val="006157B5"/>
    <w:rsid w:val="006200DC"/>
    <w:rsid w:val="00621627"/>
    <w:rsid w:val="006219D0"/>
    <w:rsid w:val="006254B2"/>
    <w:rsid w:val="00626FC6"/>
    <w:rsid w:val="006303B4"/>
    <w:rsid w:val="00633D3D"/>
    <w:rsid w:val="00633FDE"/>
    <w:rsid w:val="00640A43"/>
    <w:rsid w:val="0064164D"/>
    <w:rsid w:val="00641703"/>
    <w:rsid w:val="006431A6"/>
    <w:rsid w:val="006436C2"/>
    <w:rsid w:val="006459F6"/>
    <w:rsid w:val="006501AD"/>
    <w:rsid w:val="00651BFA"/>
    <w:rsid w:val="00663A51"/>
    <w:rsid w:val="00665A4B"/>
    <w:rsid w:val="006709E3"/>
    <w:rsid w:val="006835C5"/>
    <w:rsid w:val="0068619D"/>
    <w:rsid w:val="00692E2A"/>
    <w:rsid w:val="006A4EDE"/>
    <w:rsid w:val="006A76F2"/>
    <w:rsid w:val="006B6A7B"/>
    <w:rsid w:val="006C0E5B"/>
    <w:rsid w:val="006C41F5"/>
    <w:rsid w:val="006C5FA6"/>
    <w:rsid w:val="006D61CC"/>
    <w:rsid w:val="006D7EFB"/>
    <w:rsid w:val="006E6672"/>
    <w:rsid w:val="006E6722"/>
    <w:rsid w:val="006E7F64"/>
    <w:rsid w:val="006F21D2"/>
    <w:rsid w:val="006F43A0"/>
    <w:rsid w:val="007015F3"/>
    <w:rsid w:val="007020E4"/>
    <w:rsid w:val="007027B9"/>
    <w:rsid w:val="00713D8F"/>
    <w:rsid w:val="00715E88"/>
    <w:rsid w:val="00734CAA"/>
    <w:rsid w:val="007469A7"/>
    <w:rsid w:val="007528C4"/>
    <w:rsid w:val="0075533C"/>
    <w:rsid w:val="00757581"/>
    <w:rsid w:val="007611A0"/>
    <w:rsid w:val="007616B0"/>
    <w:rsid w:val="00762016"/>
    <w:rsid w:val="0076224E"/>
    <w:rsid w:val="00796B96"/>
    <w:rsid w:val="00796D3F"/>
    <w:rsid w:val="007A1683"/>
    <w:rsid w:val="007A36F8"/>
    <w:rsid w:val="007A5C12"/>
    <w:rsid w:val="007A7CB0"/>
    <w:rsid w:val="007B68A3"/>
    <w:rsid w:val="007C00D1"/>
    <w:rsid w:val="007C0F3E"/>
    <w:rsid w:val="007C2541"/>
    <w:rsid w:val="007D66A8"/>
    <w:rsid w:val="007D705A"/>
    <w:rsid w:val="007E003F"/>
    <w:rsid w:val="007E5A87"/>
    <w:rsid w:val="007F305C"/>
    <w:rsid w:val="007F746C"/>
    <w:rsid w:val="00802E72"/>
    <w:rsid w:val="008117F0"/>
    <w:rsid w:val="008155AB"/>
    <w:rsid w:val="008164F2"/>
    <w:rsid w:val="00821395"/>
    <w:rsid w:val="00830E26"/>
    <w:rsid w:val="00842585"/>
    <w:rsid w:val="00843576"/>
    <w:rsid w:val="00843B64"/>
    <w:rsid w:val="008478FC"/>
    <w:rsid w:val="00867BFF"/>
    <w:rsid w:val="00870972"/>
    <w:rsid w:val="008739DB"/>
    <w:rsid w:val="00880463"/>
    <w:rsid w:val="00883036"/>
    <w:rsid w:val="0088480A"/>
    <w:rsid w:val="0088757A"/>
    <w:rsid w:val="008957DD"/>
    <w:rsid w:val="00897D98"/>
    <w:rsid w:val="008A26B4"/>
    <w:rsid w:val="008A5A06"/>
    <w:rsid w:val="008A6DF2"/>
    <w:rsid w:val="008A7807"/>
    <w:rsid w:val="008B4CC9"/>
    <w:rsid w:val="008C13ED"/>
    <w:rsid w:val="008C315A"/>
    <w:rsid w:val="008C57F9"/>
    <w:rsid w:val="008C5971"/>
    <w:rsid w:val="008C6D65"/>
    <w:rsid w:val="008D2BB5"/>
    <w:rsid w:val="008D55E9"/>
    <w:rsid w:val="008D7C99"/>
    <w:rsid w:val="008E0FCB"/>
    <w:rsid w:val="008E329D"/>
    <w:rsid w:val="008E7253"/>
    <w:rsid w:val="008F6070"/>
    <w:rsid w:val="00912B47"/>
    <w:rsid w:val="009179CE"/>
    <w:rsid w:val="009204AA"/>
    <w:rsid w:val="0092178C"/>
    <w:rsid w:val="00930B88"/>
    <w:rsid w:val="00940DCC"/>
    <w:rsid w:val="0094179A"/>
    <w:rsid w:val="0094459E"/>
    <w:rsid w:val="00944DBC"/>
    <w:rsid w:val="0094698A"/>
    <w:rsid w:val="00950977"/>
    <w:rsid w:val="0095189F"/>
    <w:rsid w:val="00951A7B"/>
    <w:rsid w:val="009538D4"/>
    <w:rsid w:val="009564A6"/>
    <w:rsid w:val="009622A1"/>
    <w:rsid w:val="00967436"/>
    <w:rsid w:val="00967621"/>
    <w:rsid w:val="00967E6A"/>
    <w:rsid w:val="009815A4"/>
    <w:rsid w:val="00985183"/>
    <w:rsid w:val="00990620"/>
    <w:rsid w:val="009935AC"/>
    <w:rsid w:val="00996D53"/>
    <w:rsid w:val="009979BF"/>
    <w:rsid w:val="009A4BF5"/>
    <w:rsid w:val="009A61CE"/>
    <w:rsid w:val="009B07F4"/>
    <w:rsid w:val="009B1D37"/>
    <w:rsid w:val="009B4A0F"/>
    <w:rsid w:val="009C11D2"/>
    <w:rsid w:val="009C289F"/>
    <w:rsid w:val="009C6C3C"/>
    <w:rsid w:val="009C6C70"/>
    <w:rsid w:val="009D0B63"/>
    <w:rsid w:val="009D4BA6"/>
    <w:rsid w:val="009D4C74"/>
    <w:rsid w:val="009D51D3"/>
    <w:rsid w:val="009E307E"/>
    <w:rsid w:val="009F46B5"/>
    <w:rsid w:val="009F7261"/>
    <w:rsid w:val="00A00D32"/>
    <w:rsid w:val="00A07870"/>
    <w:rsid w:val="00A07F19"/>
    <w:rsid w:val="00A1348D"/>
    <w:rsid w:val="00A22B54"/>
    <w:rsid w:val="00A232EE"/>
    <w:rsid w:val="00A31DBD"/>
    <w:rsid w:val="00A365CD"/>
    <w:rsid w:val="00A3704C"/>
    <w:rsid w:val="00A4175F"/>
    <w:rsid w:val="00A44411"/>
    <w:rsid w:val="00A45053"/>
    <w:rsid w:val="00A469FA"/>
    <w:rsid w:val="00A53029"/>
    <w:rsid w:val="00A55B01"/>
    <w:rsid w:val="00A56936"/>
    <w:rsid w:val="00A56B5B"/>
    <w:rsid w:val="00A603FF"/>
    <w:rsid w:val="00A60E3D"/>
    <w:rsid w:val="00A62259"/>
    <w:rsid w:val="00A657DD"/>
    <w:rsid w:val="00A666A6"/>
    <w:rsid w:val="00A67480"/>
    <w:rsid w:val="00A675FD"/>
    <w:rsid w:val="00A67713"/>
    <w:rsid w:val="00A70EC1"/>
    <w:rsid w:val="00A72437"/>
    <w:rsid w:val="00A73096"/>
    <w:rsid w:val="00A73EA5"/>
    <w:rsid w:val="00A80611"/>
    <w:rsid w:val="00A900EC"/>
    <w:rsid w:val="00A93108"/>
    <w:rsid w:val="00A934EE"/>
    <w:rsid w:val="00AA3073"/>
    <w:rsid w:val="00AB3AF1"/>
    <w:rsid w:val="00AB5340"/>
    <w:rsid w:val="00AB7DF0"/>
    <w:rsid w:val="00AC03F7"/>
    <w:rsid w:val="00AC5674"/>
    <w:rsid w:val="00AC7C96"/>
    <w:rsid w:val="00AD3292"/>
    <w:rsid w:val="00AD5F9A"/>
    <w:rsid w:val="00AE0F42"/>
    <w:rsid w:val="00AE237D"/>
    <w:rsid w:val="00AE502A"/>
    <w:rsid w:val="00AF7C07"/>
    <w:rsid w:val="00B11A54"/>
    <w:rsid w:val="00B12A58"/>
    <w:rsid w:val="00B13585"/>
    <w:rsid w:val="00B141EB"/>
    <w:rsid w:val="00B15482"/>
    <w:rsid w:val="00B20DD4"/>
    <w:rsid w:val="00B22C93"/>
    <w:rsid w:val="00B26131"/>
    <w:rsid w:val="00B27589"/>
    <w:rsid w:val="00B27EA9"/>
    <w:rsid w:val="00B34557"/>
    <w:rsid w:val="00B364EC"/>
    <w:rsid w:val="00B405B7"/>
    <w:rsid w:val="00B42BC7"/>
    <w:rsid w:val="00B46922"/>
    <w:rsid w:val="00B52222"/>
    <w:rsid w:val="00B54143"/>
    <w:rsid w:val="00B54FE7"/>
    <w:rsid w:val="00B64938"/>
    <w:rsid w:val="00B658EA"/>
    <w:rsid w:val="00B66901"/>
    <w:rsid w:val="00B670A1"/>
    <w:rsid w:val="00B71E6D"/>
    <w:rsid w:val="00B72070"/>
    <w:rsid w:val="00B779E1"/>
    <w:rsid w:val="00B91EE1"/>
    <w:rsid w:val="00B94CAD"/>
    <w:rsid w:val="00BA0090"/>
    <w:rsid w:val="00BA1A67"/>
    <w:rsid w:val="00BA3B66"/>
    <w:rsid w:val="00BA4F2F"/>
    <w:rsid w:val="00BA5125"/>
    <w:rsid w:val="00BB495B"/>
    <w:rsid w:val="00BB5AF5"/>
    <w:rsid w:val="00BB6E64"/>
    <w:rsid w:val="00BD54EA"/>
    <w:rsid w:val="00BD6CE0"/>
    <w:rsid w:val="00BE0A18"/>
    <w:rsid w:val="00BE5B5F"/>
    <w:rsid w:val="00C01669"/>
    <w:rsid w:val="00C02879"/>
    <w:rsid w:val="00C07B45"/>
    <w:rsid w:val="00C115F6"/>
    <w:rsid w:val="00C13C91"/>
    <w:rsid w:val="00C149E1"/>
    <w:rsid w:val="00C24E2D"/>
    <w:rsid w:val="00C26F55"/>
    <w:rsid w:val="00C30C63"/>
    <w:rsid w:val="00C36B8B"/>
    <w:rsid w:val="00C36B9E"/>
    <w:rsid w:val="00C42885"/>
    <w:rsid w:val="00C46B5E"/>
    <w:rsid w:val="00C47DBF"/>
    <w:rsid w:val="00C54419"/>
    <w:rsid w:val="00C552FF"/>
    <w:rsid w:val="00C558DA"/>
    <w:rsid w:val="00C55AF3"/>
    <w:rsid w:val="00C610A0"/>
    <w:rsid w:val="00C62828"/>
    <w:rsid w:val="00C84759"/>
    <w:rsid w:val="00C85653"/>
    <w:rsid w:val="00C861BD"/>
    <w:rsid w:val="00C946D6"/>
    <w:rsid w:val="00CA52C8"/>
    <w:rsid w:val="00CA6C7F"/>
    <w:rsid w:val="00CB38B7"/>
    <w:rsid w:val="00CC10A6"/>
    <w:rsid w:val="00CC36D1"/>
    <w:rsid w:val="00CC386A"/>
    <w:rsid w:val="00CC4547"/>
    <w:rsid w:val="00CC52A0"/>
    <w:rsid w:val="00CC5BFB"/>
    <w:rsid w:val="00CD5180"/>
    <w:rsid w:val="00CD5EB8"/>
    <w:rsid w:val="00CD7044"/>
    <w:rsid w:val="00CE08B9"/>
    <w:rsid w:val="00CE524C"/>
    <w:rsid w:val="00CE5293"/>
    <w:rsid w:val="00CF141F"/>
    <w:rsid w:val="00CF4777"/>
    <w:rsid w:val="00D01633"/>
    <w:rsid w:val="00D03EB5"/>
    <w:rsid w:val="00D067BB"/>
    <w:rsid w:val="00D07536"/>
    <w:rsid w:val="00D11D69"/>
    <w:rsid w:val="00D127BC"/>
    <w:rsid w:val="00D1352A"/>
    <w:rsid w:val="00D169AF"/>
    <w:rsid w:val="00D25249"/>
    <w:rsid w:val="00D405A7"/>
    <w:rsid w:val="00D4108C"/>
    <w:rsid w:val="00D44172"/>
    <w:rsid w:val="00D448A3"/>
    <w:rsid w:val="00D56715"/>
    <w:rsid w:val="00D63B8C"/>
    <w:rsid w:val="00D739CC"/>
    <w:rsid w:val="00D753B1"/>
    <w:rsid w:val="00D8093D"/>
    <w:rsid w:val="00D8108C"/>
    <w:rsid w:val="00D842AE"/>
    <w:rsid w:val="00D90044"/>
    <w:rsid w:val="00D91AB5"/>
    <w:rsid w:val="00D9211C"/>
    <w:rsid w:val="00D92DE0"/>
    <w:rsid w:val="00D92FEF"/>
    <w:rsid w:val="00D93A0F"/>
    <w:rsid w:val="00DA07D4"/>
    <w:rsid w:val="00DA1BCA"/>
    <w:rsid w:val="00DB0348"/>
    <w:rsid w:val="00DC46FF"/>
    <w:rsid w:val="00DC5254"/>
    <w:rsid w:val="00DD1A4F"/>
    <w:rsid w:val="00DD3107"/>
    <w:rsid w:val="00DD3120"/>
    <w:rsid w:val="00DD376A"/>
    <w:rsid w:val="00DD7C2C"/>
    <w:rsid w:val="00DE0ADE"/>
    <w:rsid w:val="00E00600"/>
    <w:rsid w:val="00E0468F"/>
    <w:rsid w:val="00E04A85"/>
    <w:rsid w:val="00E06797"/>
    <w:rsid w:val="00E10214"/>
    <w:rsid w:val="00E1265B"/>
    <w:rsid w:val="00E13B48"/>
    <w:rsid w:val="00E1404F"/>
    <w:rsid w:val="00E21C83"/>
    <w:rsid w:val="00E231E9"/>
    <w:rsid w:val="00E24ADA"/>
    <w:rsid w:val="00E31C32"/>
    <w:rsid w:val="00E32F59"/>
    <w:rsid w:val="00E331E3"/>
    <w:rsid w:val="00E34AFE"/>
    <w:rsid w:val="00E401AF"/>
    <w:rsid w:val="00E40E47"/>
    <w:rsid w:val="00E46D9A"/>
    <w:rsid w:val="00E518A1"/>
    <w:rsid w:val="00E5257E"/>
    <w:rsid w:val="00E542AB"/>
    <w:rsid w:val="00E565FF"/>
    <w:rsid w:val="00E578CA"/>
    <w:rsid w:val="00E64C58"/>
    <w:rsid w:val="00E65388"/>
    <w:rsid w:val="00E65B1B"/>
    <w:rsid w:val="00E7227E"/>
    <w:rsid w:val="00E759A8"/>
    <w:rsid w:val="00E8147B"/>
    <w:rsid w:val="00E81EEE"/>
    <w:rsid w:val="00E85B7D"/>
    <w:rsid w:val="00E87234"/>
    <w:rsid w:val="00E9121B"/>
    <w:rsid w:val="00E94271"/>
    <w:rsid w:val="00E9595F"/>
    <w:rsid w:val="00EA0AE2"/>
    <w:rsid w:val="00EA39E5"/>
    <w:rsid w:val="00EC2457"/>
    <w:rsid w:val="00EC2C1F"/>
    <w:rsid w:val="00EC52D5"/>
    <w:rsid w:val="00EC5A46"/>
    <w:rsid w:val="00EC63E2"/>
    <w:rsid w:val="00EE3051"/>
    <w:rsid w:val="00EF22B3"/>
    <w:rsid w:val="00F028AF"/>
    <w:rsid w:val="00F03422"/>
    <w:rsid w:val="00F03B69"/>
    <w:rsid w:val="00F05FB0"/>
    <w:rsid w:val="00F07A50"/>
    <w:rsid w:val="00F113DA"/>
    <w:rsid w:val="00F14C6B"/>
    <w:rsid w:val="00F33A52"/>
    <w:rsid w:val="00F3679B"/>
    <w:rsid w:val="00F37DC8"/>
    <w:rsid w:val="00F40452"/>
    <w:rsid w:val="00F41A60"/>
    <w:rsid w:val="00F439B3"/>
    <w:rsid w:val="00F525F1"/>
    <w:rsid w:val="00F529FB"/>
    <w:rsid w:val="00F64DC4"/>
    <w:rsid w:val="00F650C3"/>
    <w:rsid w:val="00F65D85"/>
    <w:rsid w:val="00F738F2"/>
    <w:rsid w:val="00F8091E"/>
    <w:rsid w:val="00F83B22"/>
    <w:rsid w:val="00F85246"/>
    <w:rsid w:val="00F8615C"/>
    <w:rsid w:val="00F91BEE"/>
    <w:rsid w:val="00F95528"/>
    <w:rsid w:val="00F969E5"/>
    <w:rsid w:val="00FA30A2"/>
    <w:rsid w:val="00FA406A"/>
    <w:rsid w:val="00FA6BB0"/>
    <w:rsid w:val="00FC04B3"/>
    <w:rsid w:val="00FD0C6D"/>
    <w:rsid w:val="00FD0CB0"/>
    <w:rsid w:val="00FD2D22"/>
    <w:rsid w:val="00FD4070"/>
    <w:rsid w:val="00FD5860"/>
    <w:rsid w:val="00FE015B"/>
    <w:rsid w:val="00FE2323"/>
    <w:rsid w:val="00FE352D"/>
    <w:rsid w:val="00FE40EB"/>
    <w:rsid w:val="00FE4102"/>
    <w:rsid w:val="00FE4D02"/>
    <w:rsid w:val="00FE666F"/>
    <w:rsid w:val="00FE7D62"/>
    <w:rsid w:val="00FF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94D87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D3107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D3107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DD3107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</w:rPr>
  </w:style>
  <w:style w:type="paragraph" w:customStyle="1" w:styleId="CH3">
    <w:name w:val="CH3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D3107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DD3107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3A086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fr-CA"/>
    </w:rPr>
  </w:style>
  <w:style w:type="paragraph" w:customStyle="1" w:styleId="Footer-pool">
    <w:name w:val="Footer-pool"/>
    <w:basedOn w:val="Normal-pool"/>
    <w:next w:val="Normal-pool"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D310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A6225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en-GB"/>
    </w:rPr>
  </w:style>
  <w:style w:type="character" w:styleId="FootnoteReference">
    <w:name w:val="footnote reference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DD3107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D3107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D3107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DD3107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DD3107"/>
    <w:pPr>
      <w:numPr>
        <w:numId w:val="1"/>
      </w:numPr>
    </w:pPr>
  </w:style>
  <w:style w:type="paragraph" w:customStyle="1" w:styleId="NormalNonumber">
    <w:name w:val="Normal_No_number"/>
    <w:basedOn w:val="Normalpool"/>
    <w:rsid w:val="003A086E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DD3107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DD3107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DD3107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DD3107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Normal"/>
    <w:rsid w:val="00194D8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/>
      <w:b/>
      <w:spacing w:val="-2"/>
      <w:w w:val="103"/>
      <w:kern w:val="14"/>
      <w:sz w:val="28"/>
      <w:szCs w:val="20"/>
    </w:rPr>
  </w:style>
  <w:style w:type="character" w:customStyle="1" w:styleId="FootnoteTextChar">
    <w:name w:val="Footnote Text Char"/>
    <w:link w:val="FootnoteText"/>
    <w:rsid w:val="00194D87"/>
    <w:rPr>
      <w:sz w:val="18"/>
      <w:lang w:val="fr-CA" w:eastAsia="en-US"/>
    </w:rPr>
  </w:style>
  <w:style w:type="paragraph" w:customStyle="1" w:styleId="ListParagraph1">
    <w:name w:val="List Paragraph1"/>
    <w:basedOn w:val="Normal"/>
    <w:qFormat/>
    <w:rsid w:val="00194D87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en-GB"/>
    </w:rPr>
  </w:style>
  <w:style w:type="paragraph" w:customStyle="1" w:styleId="Body">
    <w:name w:val="Body"/>
    <w:rsid w:val="00194D87"/>
    <w:rPr>
      <w:rFonts w:ascii="Calibri" w:eastAsia="ヒラギノ角ゴ Pro W3" w:hAnsi="Calibri"/>
      <w:color w:val="000000"/>
      <w:sz w:val="22"/>
      <w:szCs w:val="24"/>
    </w:rPr>
  </w:style>
  <w:style w:type="character" w:customStyle="1" w:styleId="NormalnumberChar">
    <w:name w:val="Normal_number Char"/>
    <w:link w:val="Normalnumber"/>
    <w:rsid w:val="00194D87"/>
    <w:rPr>
      <w:lang w:val="fr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D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4D8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BalloonText">
    <w:name w:val="Balloon Text"/>
    <w:basedOn w:val="Normal"/>
    <w:link w:val="BalloonTextChar"/>
    <w:rsid w:val="0019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D87"/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94D87"/>
    <w:rPr>
      <w:rFonts w:ascii="Calibri" w:eastAsia="Calibri" w:hAnsi="Calibri" w:cs="Times New Roman"/>
      <w:sz w:val="18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194D87"/>
    <w:rPr>
      <w:rFonts w:ascii="Calibri" w:eastAsia="Calibri" w:hAnsi="Calibri" w:cs="Times New Roman"/>
      <w:b/>
      <w:sz w:val="18"/>
      <w:szCs w:val="22"/>
      <w:lang w:val="en-GB" w:eastAsia="en-US"/>
    </w:rPr>
  </w:style>
  <w:style w:type="character" w:customStyle="1" w:styleId="Normal-poolChar">
    <w:name w:val="Normal-pool Char"/>
    <w:link w:val="Normal-pool"/>
    <w:rsid w:val="00D405A7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65B1B"/>
    <w:pPr>
      <w:ind w:left="720"/>
      <w:contextualSpacing/>
    </w:pPr>
  </w:style>
  <w:style w:type="table" w:styleId="TableGrid">
    <w:name w:val="Table Grid"/>
    <w:basedOn w:val="TableNormal"/>
    <w:uiPriority w:val="59"/>
    <w:rsid w:val="00E65B1B"/>
    <w:rPr>
      <w:rFonts w:ascii="Calibri" w:eastAsia="Calibri" w:hAnsi="Calibr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E65B1B"/>
    <w:pPr>
      <w:autoSpaceDE w:val="0"/>
      <w:autoSpaceDN w:val="0"/>
      <w:adjustRightInd w:val="0"/>
      <w:spacing w:after="0" w:line="216" w:lineRule="atLeast"/>
    </w:pPr>
    <w:rPr>
      <w:rFonts w:ascii="Whitman" w:hAnsi="Whitman"/>
      <w:sz w:val="24"/>
      <w:szCs w:val="24"/>
      <w:lang w:val="en-US"/>
    </w:rPr>
  </w:style>
  <w:style w:type="character" w:customStyle="1" w:styleId="A13">
    <w:name w:val="A13"/>
    <w:uiPriority w:val="99"/>
    <w:rsid w:val="00E65B1B"/>
    <w:rPr>
      <w:rFonts w:ascii="Symbol" w:hAnsi="Symbol" w:cs="Symbol"/>
      <w:color w:val="221E1F"/>
      <w:sz w:val="21"/>
      <w:szCs w:val="21"/>
    </w:rPr>
  </w:style>
  <w:style w:type="paragraph" w:styleId="EndnoteText">
    <w:name w:val="endnote text"/>
    <w:basedOn w:val="Normal"/>
    <w:link w:val="EndnoteTextChar"/>
    <w:rsid w:val="00A73EA5"/>
    <w:rPr>
      <w:sz w:val="20"/>
      <w:szCs w:val="20"/>
    </w:rPr>
  </w:style>
  <w:style w:type="character" w:customStyle="1" w:styleId="EndnoteTextChar">
    <w:name w:val="Endnote Text Char"/>
    <w:link w:val="EndnoteText"/>
    <w:rsid w:val="00A73EA5"/>
    <w:rPr>
      <w:rFonts w:ascii="Calibri" w:eastAsia="Calibri" w:hAnsi="Calibri"/>
      <w:lang w:val="en-GB"/>
    </w:rPr>
  </w:style>
  <w:style w:type="character" w:styleId="CommentReference">
    <w:name w:val="annotation reference"/>
    <w:rsid w:val="00621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9D0"/>
    <w:rPr>
      <w:sz w:val="20"/>
      <w:szCs w:val="20"/>
    </w:rPr>
  </w:style>
  <w:style w:type="character" w:customStyle="1" w:styleId="CommentTextChar">
    <w:name w:val="Comment Text Char"/>
    <w:link w:val="CommentText"/>
    <w:rsid w:val="006219D0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19D0"/>
    <w:rPr>
      <w:b/>
      <w:bCs/>
    </w:rPr>
  </w:style>
  <w:style w:type="character" w:customStyle="1" w:styleId="CommentSubjectChar">
    <w:name w:val="Comment Subject Char"/>
    <w:link w:val="CommentSubject"/>
    <w:rsid w:val="006219D0"/>
    <w:rPr>
      <w:rFonts w:ascii="Calibri" w:eastAsia="Calibri" w:hAnsi="Calibri"/>
      <w:b/>
      <w:bCs/>
      <w:lang w:val="en-GB" w:eastAsia="en-US"/>
    </w:rPr>
  </w:style>
  <w:style w:type="paragraph" w:styleId="Revision">
    <w:name w:val="Revision"/>
    <w:hidden/>
    <w:rsid w:val="006219D0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94D87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DD3107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DD3107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DD3107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</w:rPr>
  </w:style>
  <w:style w:type="paragraph" w:customStyle="1" w:styleId="CH3">
    <w:name w:val="CH3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DD3107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DD3107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DD3107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3A086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fr-CA"/>
    </w:rPr>
  </w:style>
  <w:style w:type="paragraph" w:customStyle="1" w:styleId="Footer-pool">
    <w:name w:val="Footer-pool"/>
    <w:basedOn w:val="Normal-pool"/>
    <w:next w:val="Normal-pool"/>
    <w:rsid w:val="00DD3107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DD3107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A6225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en-GB"/>
    </w:rPr>
  </w:style>
  <w:style w:type="character" w:styleId="FootnoteReference">
    <w:name w:val="footnote reference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DD3107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DD3107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DD3107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DD3107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DD3107"/>
    <w:pPr>
      <w:numPr>
        <w:numId w:val="1"/>
      </w:numPr>
    </w:pPr>
  </w:style>
  <w:style w:type="paragraph" w:customStyle="1" w:styleId="NormalNonumber">
    <w:name w:val="Normal_No_number"/>
    <w:basedOn w:val="Normalpool"/>
    <w:rsid w:val="003A086E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DD3107"/>
    <w:pPr>
      <w:numPr>
        <w:numId w:val="4"/>
      </w:numPr>
      <w:spacing w:after="120"/>
    </w:pPr>
  </w:style>
  <w:style w:type="paragraph" w:customStyle="1" w:styleId="Titletable">
    <w:name w:val="Title_table"/>
    <w:basedOn w:val="Normalpool"/>
    <w:rsid w:val="00DD3107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DD3107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DD3107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Normal"/>
    <w:rsid w:val="00194D8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300" w:lineRule="exact"/>
      <w:outlineLvl w:val="0"/>
    </w:pPr>
    <w:rPr>
      <w:rFonts w:ascii="Times New Roman" w:eastAsia="Times New Roman" w:hAnsi="Times New Roman"/>
      <w:b/>
      <w:spacing w:val="-2"/>
      <w:w w:val="103"/>
      <w:kern w:val="14"/>
      <w:sz w:val="28"/>
      <w:szCs w:val="20"/>
    </w:rPr>
  </w:style>
  <w:style w:type="character" w:customStyle="1" w:styleId="FootnoteTextChar">
    <w:name w:val="Footnote Text Char"/>
    <w:link w:val="FootnoteText"/>
    <w:rsid w:val="00194D87"/>
    <w:rPr>
      <w:sz w:val="18"/>
      <w:lang w:val="fr-CA" w:eastAsia="en-US"/>
    </w:rPr>
  </w:style>
  <w:style w:type="paragraph" w:customStyle="1" w:styleId="ListParagraph1">
    <w:name w:val="List Paragraph1"/>
    <w:basedOn w:val="Normal"/>
    <w:qFormat/>
    <w:rsid w:val="00194D87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en-GB"/>
    </w:rPr>
  </w:style>
  <w:style w:type="paragraph" w:customStyle="1" w:styleId="Body">
    <w:name w:val="Body"/>
    <w:rsid w:val="00194D87"/>
    <w:rPr>
      <w:rFonts w:ascii="Calibri" w:eastAsia="ヒラギノ角ゴ Pro W3" w:hAnsi="Calibri"/>
      <w:color w:val="000000"/>
      <w:sz w:val="22"/>
      <w:szCs w:val="24"/>
    </w:rPr>
  </w:style>
  <w:style w:type="character" w:customStyle="1" w:styleId="NormalnumberChar">
    <w:name w:val="Normal_number Char"/>
    <w:link w:val="Normalnumber"/>
    <w:rsid w:val="00194D87"/>
    <w:rPr>
      <w:lang w:val="fr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D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94D8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BalloonText">
    <w:name w:val="Balloon Text"/>
    <w:basedOn w:val="Normal"/>
    <w:link w:val="BalloonTextChar"/>
    <w:rsid w:val="0019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D87"/>
    <w:rPr>
      <w:rFonts w:ascii="Tahoma" w:eastAsia="Calibri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94D87"/>
    <w:rPr>
      <w:rFonts w:ascii="Calibri" w:eastAsia="Calibri" w:hAnsi="Calibri" w:cs="Times New Roman"/>
      <w:sz w:val="18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194D87"/>
    <w:rPr>
      <w:rFonts w:ascii="Calibri" w:eastAsia="Calibri" w:hAnsi="Calibri" w:cs="Times New Roman"/>
      <w:b/>
      <w:sz w:val="18"/>
      <w:szCs w:val="22"/>
      <w:lang w:val="en-GB" w:eastAsia="en-US"/>
    </w:rPr>
  </w:style>
  <w:style w:type="character" w:customStyle="1" w:styleId="Normal-poolChar">
    <w:name w:val="Normal-pool Char"/>
    <w:link w:val="Normal-pool"/>
    <w:rsid w:val="00D405A7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65B1B"/>
    <w:pPr>
      <w:ind w:left="720"/>
      <w:contextualSpacing/>
    </w:pPr>
  </w:style>
  <w:style w:type="table" w:styleId="TableGrid">
    <w:name w:val="Table Grid"/>
    <w:basedOn w:val="TableNormal"/>
    <w:uiPriority w:val="59"/>
    <w:rsid w:val="00E65B1B"/>
    <w:rPr>
      <w:rFonts w:ascii="Calibri" w:eastAsia="Calibri" w:hAnsi="Calibr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Normal"/>
    <w:next w:val="Normal"/>
    <w:uiPriority w:val="99"/>
    <w:rsid w:val="00E65B1B"/>
    <w:pPr>
      <w:autoSpaceDE w:val="0"/>
      <w:autoSpaceDN w:val="0"/>
      <w:adjustRightInd w:val="0"/>
      <w:spacing w:after="0" w:line="216" w:lineRule="atLeast"/>
    </w:pPr>
    <w:rPr>
      <w:rFonts w:ascii="Whitman" w:hAnsi="Whitman"/>
      <w:sz w:val="24"/>
      <w:szCs w:val="24"/>
      <w:lang w:val="en-US"/>
    </w:rPr>
  </w:style>
  <w:style w:type="character" w:customStyle="1" w:styleId="A13">
    <w:name w:val="A13"/>
    <w:uiPriority w:val="99"/>
    <w:rsid w:val="00E65B1B"/>
    <w:rPr>
      <w:rFonts w:ascii="Symbol" w:hAnsi="Symbol" w:cs="Symbol"/>
      <w:color w:val="221E1F"/>
      <w:sz w:val="21"/>
      <w:szCs w:val="21"/>
    </w:rPr>
  </w:style>
  <w:style w:type="paragraph" w:styleId="EndnoteText">
    <w:name w:val="endnote text"/>
    <w:basedOn w:val="Normal"/>
    <w:link w:val="EndnoteTextChar"/>
    <w:rsid w:val="00A73EA5"/>
    <w:rPr>
      <w:sz w:val="20"/>
      <w:szCs w:val="20"/>
    </w:rPr>
  </w:style>
  <w:style w:type="character" w:customStyle="1" w:styleId="EndnoteTextChar">
    <w:name w:val="Endnote Text Char"/>
    <w:link w:val="EndnoteText"/>
    <w:rsid w:val="00A73EA5"/>
    <w:rPr>
      <w:rFonts w:ascii="Calibri" w:eastAsia="Calibri" w:hAnsi="Calibri"/>
      <w:lang w:val="en-GB"/>
    </w:rPr>
  </w:style>
  <w:style w:type="character" w:styleId="CommentReference">
    <w:name w:val="annotation reference"/>
    <w:rsid w:val="00621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9D0"/>
    <w:rPr>
      <w:sz w:val="20"/>
      <w:szCs w:val="20"/>
    </w:rPr>
  </w:style>
  <w:style w:type="character" w:customStyle="1" w:styleId="CommentTextChar">
    <w:name w:val="Comment Text Char"/>
    <w:link w:val="CommentText"/>
    <w:rsid w:val="006219D0"/>
    <w:rPr>
      <w:rFonts w:ascii="Calibri" w:eastAsia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19D0"/>
    <w:rPr>
      <w:b/>
      <w:bCs/>
    </w:rPr>
  </w:style>
  <w:style w:type="character" w:customStyle="1" w:styleId="CommentSubjectChar">
    <w:name w:val="Comment Subject Char"/>
    <w:link w:val="CommentSubject"/>
    <w:rsid w:val="006219D0"/>
    <w:rPr>
      <w:rFonts w:ascii="Calibri" w:eastAsia="Calibri" w:hAnsi="Calibri"/>
      <w:b/>
      <w:bCs/>
      <w:lang w:val="en-GB" w:eastAsia="en-US"/>
    </w:rPr>
  </w:style>
  <w:style w:type="paragraph" w:styleId="Revision">
    <w:name w:val="Revision"/>
    <w:hidden/>
    <w:rsid w:val="006219D0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es.org/esp/app/appendices.php" TargetMode="External"/><Relationship Id="rId18" Type="http://schemas.openxmlformats.org/officeDocument/2006/relationships/hyperlink" Target="http://www.cites.org/common/resources/pub/ICCWC_Toolkit_v2_english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programmes/socio-eco/use/aagp/AAGP.zip" TargetMode="External"/><Relationship Id="rId17" Type="http://schemas.openxmlformats.org/officeDocument/2006/relationships/hyperlink" Target="http://www.cites.org/esp/prog/ndf/index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abio.gob.mx/institucion/cooperacion_internacional/TallerNDF/taller_ndf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ites.org/esp/res/16/16-07.php" TargetMode="External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cites.org/esp/res/16/16-06.ph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1EE5-9532-4076-BEF3-62EFE806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Toshiba</Company>
  <LinksUpToDate>false</LinksUpToDate>
  <CharactersWithSpaces>17630</CharactersWithSpaces>
  <SharedDoc>false</SharedDoc>
  <HLinks>
    <vt:vector size="42" baseType="variant">
      <vt:variant>
        <vt:i4>3670090</vt:i4>
      </vt:variant>
      <vt:variant>
        <vt:i4>21</vt:i4>
      </vt:variant>
      <vt:variant>
        <vt:i4>0</vt:i4>
      </vt:variant>
      <vt:variant>
        <vt:i4>5</vt:i4>
      </vt:variant>
      <vt:variant>
        <vt:lpwstr>http://www.cites.org/common/resources/pub/ICCWC_Toolkit_v2_english.pdf</vt:lpwstr>
      </vt:variant>
      <vt:variant>
        <vt:lpwstr/>
      </vt:variant>
      <vt:variant>
        <vt:i4>6553707</vt:i4>
      </vt:variant>
      <vt:variant>
        <vt:i4>18</vt:i4>
      </vt:variant>
      <vt:variant>
        <vt:i4>0</vt:i4>
      </vt:variant>
      <vt:variant>
        <vt:i4>5</vt:i4>
      </vt:variant>
      <vt:variant>
        <vt:lpwstr>http://www.cites.org/esp/prog/ndf/index.php</vt:lpwstr>
      </vt:variant>
      <vt:variant>
        <vt:lpwstr/>
      </vt:variant>
      <vt:variant>
        <vt:i4>8257570</vt:i4>
      </vt:variant>
      <vt:variant>
        <vt:i4>15</vt:i4>
      </vt:variant>
      <vt:variant>
        <vt:i4>0</vt:i4>
      </vt:variant>
      <vt:variant>
        <vt:i4>5</vt:i4>
      </vt:variant>
      <vt:variant>
        <vt:lpwstr>http://www.conabio.gob.mx/institucion/cooperacion_internacional/TallerNDF/taller_ndf.html</vt:lpwstr>
      </vt:variant>
      <vt:variant>
        <vt:lpwstr/>
      </vt:variant>
      <vt:variant>
        <vt:i4>852052</vt:i4>
      </vt:variant>
      <vt:variant>
        <vt:i4>12</vt:i4>
      </vt:variant>
      <vt:variant>
        <vt:i4>0</vt:i4>
      </vt:variant>
      <vt:variant>
        <vt:i4>5</vt:i4>
      </vt:variant>
      <vt:variant>
        <vt:lpwstr>http://www.cites.org/esp/res/16/16-07.php</vt:lpwstr>
      </vt:variant>
      <vt:variant>
        <vt:lpwstr/>
      </vt:variant>
      <vt:variant>
        <vt:i4>852053</vt:i4>
      </vt:variant>
      <vt:variant>
        <vt:i4>9</vt:i4>
      </vt:variant>
      <vt:variant>
        <vt:i4>0</vt:i4>
      </vt:variant>
      <vt:variant>
        <vt:i4>5</vt:i4>
      </vt:variant>
      <vt:variant>
        <vt:lpwstr>http://www.cites.org/esp/res/16/16-06.php</vt:lpwstr>
      </vt:variant>
      <vt:variant>
        <vt:lpwstr/>
      </vt:variant>
      <vt:variant>
        <vt:i4>7733309</vt:i4>
      </vt:variant>
      <vt:variant>
        <vt:i4>6</vt:i4>
      </vt:variant>
      <vt:variant>
        <vt:i4>0</vt:i4>
      </vt:variant>
      <vt:variant>
        <vt:i4>5</vt:i4>
      </vt:variant>
      <vt:variant>
        <vt:lpwstr>http://www.cites.org/esp/app/appendices.php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https://www.cbd.int/doc/programmes/socio-eco/use/aagp/AAGP.zip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English Pool1</dc:creator>
  <cp:lastModifiedBy>Rohan Shanbhag</cp:lastModifiedBy>
  <cp:revision>2</cp:revision>
  <cp:lastPrinted>2013-10-10T07:49:00Z</cp:lastPrinted>
  <dcterms:created xsi:type="dcterms:W3CDTF">2013-11-06T07:55:00Z</dcterms:created>
  <dcterms:modified xsi:type="dcterms:W3CDTF">2013-11-06T07:55:00Z</dcterms:modified>
</cp:coreProperties>
</file>