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D7505A" w:rsidRPr="00C9391E" w:rsidTr="003E4043">
        <w:tblPrEx>
          <w:tblCellMar>
            <w:top w:w="0" w:type="dxa"/>
            <w:bottom w:w="0" w:type="dxa"/>
          </w:tblCellMar>
        </w:tblPrEx>
        <w:trPr>
          <w:cantSplit/>
          <w:trHeight w:val="850"/>
        </w:trPr>
        <w:tc>
          <w:tcPr>
            <w:tcW w:w="1560" w:type="dxa"/>
          </w:tcPr>
          <w:p w:rsidR="00D7505A" w:rsidRPr="00C9391E" w:rsidRDefault="00EE6CA7" w:rsidP="00D173AD">
            <w:pPr>
              <w:spacing w:after="0" w:line="240" w:lineRule="auto"/>
              <w:rPr>
                <w:rFonts w:ascii="Univers" w:eastAsia="MS Mincho" w:hAnsi="Univers"/>
                <w:b/>
                <w:sz w:val="27"/>
                <w:szCs w:val="27"/>
                <w:lang w:val="fr-CA"/>
              </w:rPr>
            </w:pPr>
            <w:bookmarkStart w:id="0" w:name="_GoBack"/>
            <w:bookmarkEnd w:id="0"/>
            <w:r w:rsidRPr="00C9391E">
              <w:rPr>
                <w:rFonts w:ascii="Univers" w:eastAsia="MS Mincho" w:hAnsi="Univers"/>
                <w:b/>
                <w:sz w:val="27"/>
                <w:szCs w:val="27"/>
                <w:lang w:val="fr-CA"/>
              </w:rPr>
              <w:t>NATION</w:t>
            </w:r>
            <w:r w:rsidR="00D173AD" w:rsidRPr="00C9391E">
              <w:rPr>
                <w:rFonts w:ascii="Univers" w:eastAsia="MS Mincho" w:hAnsi="Univers"/>
                <w:b/>
                <w:sz w:val="27"/>
                <w:szCs w:val="27"/>
                <w:lang w:val="fr-CA"/>
              </w:rPr>
              <w:t>S</w:t>
            </w:r>
            <w:r w:rsidRPr="00C9391E">
              <w:rPr>
                <w:rFonts w:ascii="Univers" w:eastAsia="MS Mincho" w:hAnsi="Univers"/>
                <w:b/>
                <w:sz w:val="27"/>
                <w:szCs w:val="27"/>
                <w:lang w:val="fr-CA"/>
              </w:rPr>
              <w:t>UNIES</w:t>
            </w:r>
          </w:p>
        </w:tc>
        <w:tc>
          <w:tcPr>
            <w:tcW w:w="5387" w:type="dxa"/>
          </w:tcPr>
          <w:p w:rsidR="00D7505A" w:rsidRPr="00C9391E" w:rsidRDefault="00D7505A" w:rsidP="00D7505A">
            <w:pPr>
              <w:spacing w:after="0" w:line="240" w:lineRule="auto"/>
              <w:rPr>
                <w:rFonts w:ascii="Univers" w:eastAsia="MS Mincho" w:hAnsi="Univers"/>
                <w:b/>
                <w:sz w:val="27"/>
                <w:szCs w:val="27"/>
                <w:lang w:val="fr-CA"/>
              </w:rPr>
            </w:pPr>
          </w:p>
        </w:tc>
        <w:tc>
          <w:tcPr>
            <w:tcW w:w="2833" w:type="dxa"/>
          </w:tcPr>
          <w:p w:rsidR="00D7505A" w:rsidRPr="00C9391E" w:rsidRDefault="00D7505A" w:rsidP="00D7505A">
            <w:pPr>
              <w:spacing w:after="0" w:line="240" w:lineRule="auto"/>
              <w:jc w:val="right"/>
              <w:rPr>
                <w:rFonts w:ascii="Univers" w:eastAsia="MS Mincho" w:hAnsi="Univers"/>
                <w:b/>
                <w:sz w:val="72"/>
                <w:szCs w:val="72"/>
                <w:lang w:val="fr-CA"/>
              </w:rPr>
            </w:pPr>
            <w:r w:rsidRPr="00C9391E">
              <w:rPr>
                <w:rFonts w:ascii="Univers" w:eastAsia="MS Mincho" w:hAnsi="Univers"/>
                <w:b/>
                <w:sz w:val="72"/>
                <w:szCs w:val="72"/>
                <w:lang w:val="fr-CA"/>
              </w:rPr>
              <w:t>EP</w:t>
            </w:r>
          </w:p>
        </w:tc>
      </w:tr>
      <w:tr w:rsidR="00D7505A" w:rsidRPr="00C9391E" w:rsidTr="003E4043">
        <w:tblPrEx>
          <w:tblCellMar>
            <w:top w:w="0" w:type="dxa"/>
            <w:bottom w:w="0" w:type="dxa"/>
          </w:tblCellMar>
        </w:tblPrEx>
        <w:trPr>
          <w:cantSplit/>
          <w:trHeight w:val="281"/>
        </w:trPr>
        <w:tc>
          <w:tcPr>
            <w:tcW w:w="1560" w:type="dxa"/>
            <w:tcBorders>
              <w:bottom w:val="single" w:sz="4" w:space="0" w:color="auto"/>
            </w:tcBorders>
          </w:tcPr>
          <w:p w:rsidR="00D7505A" w:rsidRPr="00C9391E" w:rsidRDefault="00D7505A" w:rsidP="00D7505A">
            <w:pPr>
              <w:spacing w:after="0" w:line="240" w:lineRule="auto"/>
              <w:rPr>
                <w:rFonts w:ascii="Times New Roman" w:eastAsia="MS Mincho" w:hAnsi="Times New Roman"/>
                <w:sz w:val="18"/>
                <w:szCs w:val="18"/>
                <w:lang w:val="fr-CA"/>
              </w:rPr>
            </w:pPr>
          </w:p>
        </w:tc>
        <w:tc>
          <w:tcPr>
            <w:tcW w:w="5387" w:type="dxa"/>
            <w:tcBorders>
              <w:bottom w:val="single" w:sz="4" w:space="0" w:color="auto"/>
            </w:tcBorders>
          </w:tcPr>
          <w:p w:rsidR="00D7505A" w:rsidRPr="00C9391E" w:rsidRDefault="00D7505A" w:rsidP="00D7505A">
            <w:pPr>
              <w:spacing w:after="0" w:line="240" w:lineRule="auto"/>
              <w:rPr>
                <w:rFonts w:ascii="Univers" w:eastAsia="MS Mincho" w:hAnsi="Univers"/>
                <w:b/>
                <w:sz w:val="18"/>
                <w:szCs w:val="18"/>
                <w:lang w:val="fr-CA"/>
              </w:rPr>
            </w:pPr>
          </w:p>
        </w:tc>
        <w:tc>
          <w:tcPr>
            <w:tcW w:w="2833" w:type="dxa"/>
            <w:tcBorders>
              <w:bottom w:val="single" w:sz="4" w:space="0" w:color="auto"/>
            </w:tcBorders>
          </w:tcPr>
          <w:p w:rsidR="00D7505A" w:rsidRPr="00C9391E" w:rsidRDefault="00D7505A" w:rsidP="00D7505A">
            <w:pPr>
              <w:spacing w:after="0" w:line="240" w:lineRule="auto"/>
              <w:rPr>
                <w:rFonts w:ascii="Times New Roman" w:eastAsia="MS Mincho" w:hAnsi="Times New Roman"/>
                <w:sz w:val="18"/>
                <w:szCs w:val="18"/>
                <w:lang w:val="fr-CA" w:eastAsia="ja-JP"/>
              </w:rPr>
            </w:pPr>
            <w:r w:rsidRPr="00C9391E">
              <w:rPr>
                <w:rFonts w:ascii="Times New Roman" w:eastAsia="MS Mincho" w:hAnsi="Times New Roman"/>
                <w:b/>
                <w:sz w:val="24"/>
                <w:szCs w:val="24"/>
                <w:lang w:val="fr-CA"/>
              </w:rPr>
              <w:t>IPBES</w:t>
            </w:r>
            <w:r w:rsidRPr="00C9391E">
              <w:rPr>
                <w:rFonts w:ascii="Times New Roman" w:eastAsia="MS Mincho" w:hAnsi="Times New Roman"/>
                <w:sz w:val="20"/>
                <w:szCs w:val="20"/>
                <w:lang w:val="fr-CA" w:eastAsia="ja-JP"/>
              </w:rPr>
              <w:t>/2/16/A</w:t>
            </w:r>
            <w:r w:rsidR="005A5500" w:rsidRPr="00C9391E">
              <w:rPr>
                <w:rFonts w:ascii="Times New Roman" w:eastAsia="MS Mincho" w:hAnsi="Times New Roman"/>
                <w:sz w:val="20"/>
                <w:szCs w:val="20"/>
                <w:lang w:val="fr-CA" w:eastAsia="ja-JP"/>
              </w:rPr>
              <w:t>dd.5</w:t>
            </w:r>
          </w:p>
        </w:tc>
      </w:tr>
      <w:bookmarkStart w:id="1" w:name="_MON_1021710482"/>
      <w:bookmarkStart w:id="2" w:name="_MON_1021710510"/>
      <w:bookmarkEnd w:id="1"/>
      <w:bookmarkEnd w:id="2"/>
      <w:tr w:rsidR="00D7505A" w:rsidRPr="00C9391E" w:rsidTr="003E4043">
        <w:tblPrEx>
          <w:tblCellMar>
            <w:top w:w="0" w:type="dxa"/>
            <w:bottom w:w="0" w:type="dxa"/>
          </w:tblCellMar>
        </w:tblPrEx>
        <w:trPr>
          <w:cantSplit/>
          <w:trHeight w:val="2549"/>
        </w:trPr>
        <w:tc>
          <w:tcPr>
            <w:tcW w:w="1560" w:type="dxa"/>
            <w:tcBorders>
              <w:top w:val="single" w:sz="4" w:space="0" w:color="auto"/>
              <w:bottom w:val="single" w:sz="24" w:space="0" w:color="auto"/>
            </w:tcBorders>
          </w:tcPr>
          <w:p w:rsidR="00D7505A" w:rsidRPr="00C9391E" w:rsidRDefault="00D7505A" w:rsidP="00D7505A">
            <w:pPr>
              <w:spacing w:after="0" w:line="240" w:lineRule="auto"/>
              <w:rPr>
                <w:rFonts w:ascii="Times New Roman" w:eastAsia="MS Mincho" w:hAnsi="Times New Roman"/>
                <w:sz w:val="20"/>
                <w:szCs w:val="20"/>
                <w:lang w:val="fr-CA"/>
              </w:rPr>
            </w:pPr>
            <w:r w:rsidRPr="00C9391E">
              <w:rPr>
                <w:rFonts w:ascii="Times New Roman" w:eastAsia="MS Mincho" w:hAnsi="Times New Roman"/>
                <w:sz w:val="20"/>
                <w:szCs w:val="20"/>
                <w:lang w:val="fr-CA"/>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fillcolor="window">
                  <v:imagedata r:id="rId8" o:title=""/>
                </v:shape>
              </w:object>
            </w:r>
            <w:r w:rsidR="00B01268">
              <w:rPr>
                <w:rFonts w:ascii="Times New Roman" w:eastAsia="MS Mincho" w:hAnsi="Times New Roman"/>
                <w:noProof/>
                <w:sz w:val="20"/>
                <w:szCs w:val="20"/>
                <w:lang w:val="en-US"/>
              </w:rPr>
              <w:drawing>
                <wp:inline distT="0" distB="0" distL="0" distR="0">
                  <wp:extent cx="723265" cy="764540"/>
                  <wp:effectExtent l="19050" t="0" r="635"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9" cstate="print"/>
                          <a:srcRect/>
                          <a:stretch>
                            <a:fillRect/>
                          </a:stretch>
                        </pic:blipFill>
                        <pic:spPr bwMode="auto">
                          <a:xfrm>
                            <a:off x="0" y="0"/>
                            <a:ext cx="723265" cy="76454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D7505A" w:rsidRPr="00C9391E" w:rsidRDefault="00517B98" w:rsidP="00517B98">
            <w:pPr>
              <w:spacing w:before="1400" w:after="0" w:line="240" w:lineRule="auto"/>
              <w:rPr>
                <w:rFonts w:ascii="Univers" w:eastAsia="MS Mincho" w:hAnsi="Univers"/>
                <w:b/>
                <w:sz w:val="28"/>
                <w:szCs w:val="20"/>
                <w:lang w:val="fr-CA"/>
              </w:rPr>
            </w:pPr>
            <w:r w:rsidRPr="00C9391E">
              <w:rPr>
                <w:rFonts w:ascii="Univers" w:eastAsia="MS Mincho" w:hAnsi="Univers"/>
                <w:b/>
                <w:sz w:val="32"/>
                <w:szCs w:val="32"/>
                <w:lang w:val="fr-CA"/>
              </w:rPr>
              <w:t xml:space="preserve">Programme </w:t>
            </w:r>
            <w:r w:rsidR="00853F92">
              <w:rPr>
                <w:rFonts w:ascii="Univers" w:eastAsia="MS Mincho" w:hAnsi="Univers"/>
                <w:b/>
                <w:sz w:val="32"/>
                <w:szCs w:val="32"/>
                <w:lang w:val="fr-CA"/>
              </w:rPr>
              <w:br/>
            </w:r>
            <w:r w:rsidRPr="00C9391E">
              <w:rPr>
                <w:rFonts w:ascii="Univers" w:eastAsia="MS Mincho" w:hAnsi="Univers"/>
                <w:b/>
                <w:sz w:val="32"/>
                <w:szCs w:val="32"/>
                <w:lang w:val="fr-CA"/>
              </w:rPr>
              <w:t xml:space="preserve">des Nations Unies </w:t>
            </w:r>
            <w:r w:rsidR="00853F92">
              <w:rPr>
                <w:rFonts w:ascii="Univers" w:eastAsia="MS Mincho" w:hAnsi="Univers"/>
                <w:b/>
                <w:sz w:val="32"/>
                <w:szCs w:val="32"/>
                <w:lang w:val="fr-CA"/>
              </w:rPr>
              <w:br/>
            </w:r>
            <w:r w:rsidRPr="00C9391E">
              <w:rPr>
                <w:rFonts w:ascii="Univers" w:eastAsia="MS Mincho" w:hAnsi="Univers"/>
                <w:b/>
                <w:sz w:val="32"/>
                <w:szCs w:val="32"/>
                <w:lang w:val="fr-CA"/>
              </w:rPr>
              <w:t>pour l’environnement</w:t>
            </w:r>
            <w:r w:rsidR="00D7505A" w:rsidRPr="00C9391E">
              <w:rPr>
                <w:rFonts w:ascii="Univers" w:eastAsia="MS Mincho" w:hAnsi="Univers"/>
                <w:b/>
                <w:sz w:val="32"/>
                <w:szCs w:val="32"/>
                <w:lang w:val="fr-CA"/>
              </w:rPr>
              <w:t xml:space="preserve"> </w:t>
            </w:r>
          </w:p>
        </w:tc>
        <w:tc>
          <w:tcPr>
            <w:tcW w:w="2833" w:type="dxa"/>
            <w:tcBorders>
              <w:top w:val="single" w:sz="4" w:space="0" w:color="auto"/>
              <w:bottom w:val="single" w:sz="24" w:space="0" w:color="auto"/>
            </w:tcBorders>
          </w:tcPr>
          <w:p w:rsidR="00D7505A" w:rsidRPr="00C9391E" w:rsidRDefault="003F78D2" w:rsidP="003F78D2">
            <w:pPr>
              <w:spacing w:before="240" w:after="0" w:line="240" w:lineRule="auto"/>
              <w:rPr>
                <w:rFonts w:ascii="Times New Roman" w:eastAsia="MS Mincho" w:hAnsi="Times New Roman"/>
                <w:sz w:val="20"/>
                <w:szCs w:val="20"/>
                <w:lang w:val="fr-CA"/>
              </w:rPr>
            </w:pPr>
            <w:r w:rsidRPr="00C9391E">
              <w:rPr>
                <w:rFonts w:ascii="Times New Roman" w:eastAsia="MS Mincho" w:hAnsi="Times New Roman"/>
                <w:sz w:val="20"/>
                <w:szCs w:val="20"/>
                <w:lang w:val="fr-CA"/>
              </w:rPr>
              <w:t xml:space="preserve">Distr.: </w:t>
            </w:r>
            <w:r w:rsidR="00EE6CA7" w:rsidRPr="00C9391E">
              <w:rPr>
                <w:rFonts w:ascii="Times New Roman" w:eastAsia="MS Mincho" w:hAnsi="Times New Roman"/>
                <w:sz w:val="20"/>
                <w:szCs w:val="20"/>
                <w:lang w:val="fr-CA"/>
              </w:rPr>
              <w:t>générale</w:t>
            </w:r>
            <w:r w:rsidRPr="00C9391E">
              <w:rPr>
                <w:rFonts w:ascii="Times New Roman" w:eastAsia="MS Mincho" w:hAnsi="Times New Roman"/>
                <w:sz w:val="20"/>
                <w:szCs w:val="20"/>
                <w:lang w:val="fr-CA"/>
              </w:rPr>
              <w:br/>
            </w:r>
            <w:r w:rsidR="005A5500" w:rsidRPr="00C9391E">
              <w:rPr>
                <w:rFonts w:ascii="Times New Roman" w:eastAsia="MS Mincho" w:hAnsi="Times New Roman"/>
                <w:sz w:val="20"/>
                <w:szCs w:val="20"/>
                <w:lang w:val="fr-CA"/>
              </w:rPr>
              <w:t>26 septem</w:t>
            </w:r>
            <w:r w:rsidR="00D7505A" w:rsidRPr="00C9391E">
              <w:rPr>
                <w:rFonts w:ascii="Times New Roman" w:eastAsia="MS Mincho" w:hAnsi="Times New Roman"/>
                <w:sz w:val="20"/>
                <w:szCs w:val="20"/>
                <w:lang w:val="fr-CA"/>
              </w:rPr>
              <w:t>b</w:t>
            </w:r>
            <w:r w:rsidR="00EE6CA7" w:rsidRPr="00C9391E">
              <w:rPr>
                <w:rFonts w:ascii="Times New Roman" w:eastAsia="MS Mincho" w:hAnsi="Times New Roman"/>
                <w:sz w:val="20"/>
                <w:szCs w:val="20"/>
                <w:lang w:val="fr-CA"/>
              </w:rPr>
              <w:t>re</w:t>
            </w:r>
            <w:r w:rsidR="00D7505A" w:rsidRPr="00C9391E">
              <w:rPr>
                <w:rFonts w:ascii="Times New Roman" w:eastAsia="MS Mincho" w:hAnsi="Times New Roman"/>
                <w:sz w:val="20"/>
                <w:szCs w:val="20"/>
                <w:lang w:val="fr-CA"/>
              </w:rPr>
              <w:t xml:space="preserve"> 2013</w:t>
            </w:r>
          </w:p>
          <w:p w:rsidR="00D7505A" w:rsidRPr="00C9391E" w:rsidRDefault="00517B98" w:rsidP="00853F92">
            <w:pPr>
              <w:spacing w:before="120" w:after="0" w:line="240" w:lineRule="auto"/>
              <w:rPr>
                <w:rFonts w:ascii="Times New Roman" w:eastAsia="MS Mincho" w:hAnsi="Times New Roman"/>
                <w:sz w:val="20"/>
                <w:szCs w:val="20"/>
                <w:lang w:val="fr-CA"/>
              </w:rPr>
            </w:pPr>
            <w:r w:rsidRPr="00C9391E">
              <w:rPr>
                <w:rFonts w:ascii="Times New Roman" w:eastAsia="MS Mincho" w:hAnsi="Times New Roman"/>
                <w:sz w:val="20"/>
                <w:szCs w:val="20"/>
                <w:lang w:val="fr-CA"/>
              </w:rPr>
              <w:t>Français</w:t>
            </w:r>
            <w:r w:rsidR="00853F92">
              <w:rPr>
                <w:rFonts w:ascii="Times New Roman" w:eastAsia="MS Mincho" w:hAnsi="Times New Roman"/>
                <w:sz w:val="20"/>
                <w:szCs w:val="20"/>
                <w:lang w:val="fr-CA"/>
              </w:rPr>
              <w:br/>
            </w:r>
            <w:r w:rsidR="00D7505A" w:rsidRPr="00C9391E">
              <w:rPr>
                <w:rFonts w:ascii="Times New Roman" w:eastAsia="MS Mincho" w:hAnsi="Times New Roman"/>
                <w:sz w:val="20"/>
                <w:szCs w:val="20"/>
                <w:lang w:val="fr-CA"/>
              </w:rPr>
              <w:t>Original</w:t>
            </w:r>
            <w:r w:rsidRPr="00C9391E">
              <w:rPr>
                <w:rFonts w:ascii="Times New Roman" w:eastAsia="MS Mincho" w:hAnsi="Times New Roman"/>
                <w:sz w:val="20"/>
                <w:szCs w:val="20"/>
                <w:lang w:val="fr-CA"/>
              </w:rPr>
              <w:t> </w:t>
            </w:r>
            <w:r w:rsidR="00D7505A" w:rsidRPr="00C9391E">
              <w:rPr>
                <w:rFonts w:ascii="Times New Roman" w:eastAsia="MS Mincho" w:hAnsi="Times New Roman"/>
                <w:sz w:val="20"/>
                <w:szCs w:val="20"/>
                <w:lang w:val="fr-CA"/>
              </w:rPr>
              <w:t xml:space="preserve">: </w:t>
            </w:r>
            <w:r w:rsidRPr="00C9391E">
              <w:rPr>
                <w:rFonts w:ascii="Times New Roman" w:eastAsia="MS Mincho" w:hAnsi="Times New Roman"/>
                <w:sz w:val="20"/>
                <w:szCs w:val="20"/>
                <w:lang w:val="fr-CA"/>
              </w:rPr>
              <w:t>anglais</w:t>
            </w:r>
          </w:p>
        </w:tc>
      </w:tr>
    </w:tbl>
    <w:p w:rsidR="00D7505A" w:rsidRPr="00C9391E" w:rsidRDefault="00D7505A" w:rsidP="00D7505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b/>
          <w:sz w:val="20"/>
          <w:szCs w:val="20"/>
          <w:lang w:val="fr-CA"/>
        </w:rPr>
      </w:pPr>
      <w:r w:rsidRPr="00C9391E">
        <w:rPr>
          <w:rFonts w:ascii="Times New Roman" w:eastAsia="Times New Roman" w:hAnsi="Times New Roman"/>
          <w:b/>
          <w:sz w:val="20"/>
          <w:szCs w:val="20"/>
          <w:lang w:val="fr-CA"/>
        </w:rPr>
        <w:t>Pl</w:t>
      </w:r>
      <w:r w:rsidR="00517B98" w:rsidRPr="00C9391E">
        <w:rPr>
          <w:rFonts w:ascii="Times New Roman" w:eastAsia="Times New Roman" w:hAnsi="Times New Roman"/>
          <w:b/>
          <w:sz w:val="20"/>
          <w:szCs w:val="20"/>
          <w:lang w:val="fr-CA"/>
        </w:rPr>
        <w:t xml:space="preserve">énière de la Plateforme </w:t>
      </w:r>
      <w:r w:rsidR="008671EE" w:rsidRPr="00C9391E">
        <w:rPr>
          <w:rFonts w:ascii="Times New Roman" w:eastAsia="Times New Roman" w:hAnsi="Times New Roman"/>
          <w:b/>
          <w:sz w:val="20"/>
          <w:szCs w:val="20"/>
          <w:lang w:val="fr-CA"/>
        </w:rPr>
        <w:t>intergouvernementale</w:t>
      </w:r>
      <w:r w:rsidR="005A5500" w:rsidRPr="00C9391E">
        <w:rPr>
          <w:rFonts w:ascii="Times New Roman" w:eastAsia="Times New Roman" w:hAnsi="Times New Roman"/>
          <w:b/>
          <w:sz w:val="20"/>
          <w:szCs w:val="20"/>
          <w:lang w:val="fr-CA"/>
        </w:rPr>
        <w:br/>
      </w:r>
      <w:r w:rsidR="00517B98" w:rsidRPr="00C9391E">
        <w:rPr>
          <w:rFonts w:ascii="Times New Roman" w:eastAsia="Times New Roman" w:hAnsi="Times New Roman"/>
          <w:b/>
          <w:sz w:val="20"/>
          <w:szCs w:val="20"/>
          <w:lang w:val="fr-CA"/>
        </w:rPr>
        <w:t>scientifique et politique sur la biodiversité et les services écosystémiques</w:t>
      </w:r>
    </w:p>
    <w:p w:rsidR="00D7505A" w:rsidRPr="00C9391E" w:rsidRDefault="00517B98" w:rsidP="00D7505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b/>
          <w:sz w:val="20"/>
          <w:szCs w:val="20"/>
          <w:lang w:val="fr-CA"/>
        </w:rPr>
      </w:pPr>
      <w:r w:rsidRPr="00C9391E">
        <w:rPr>
          <w:rFonts w:ascii="Times New Roman" w:eastAsia="Times New Roman" w:hAnsi="Times New Roman"/>
          <w:b/>
          <w:sz w:val="20"/>
          <w:szCs w:val="20"/>
          <w:lang w:val="fr-CA"/>
        </w:rPr>
        <w:t>Deuxième session</w:t>
      </w:r>
    </w:p>
    <w:p w:rsidR="00D7505A" w:rsidRPr="00C9391E" w:rsidRDefault="00D7505A" w:rsidP="00D7505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sz w:val="20"/>
          <w:szCs w:val="20"/>
          <w:lang w:val="fr-CA" w:eastAsia="ja-JP"/>
        </w:rPr>
      </w:pPr>
      <w:r w:rsidRPr="00C9391E">
        <w:rPr>
          <w:rFonts w:ascii="Times New Roman" w:eastAsia="Times New Roman" w:hAnsi="Times New Roman"/>
          <w:sz w:val="20"/>
          <w:szCs w:val="20"/>
          <w:lang w:val="fr-CA" w:eastAsia="ja-JP"/>
        </w:rPr>
        <w:t>Antalya</w:t>
      </w:r>
      <w:r w:rsidR="00517B98" w:rsidRPr="00C9391E">
        <w:rPr>
          <w:rFonts w:ascii="Times New Roman" w:eastAsia="Times New Roman" w:hAnsi="Times New Roman"/>
          <w:sz w:val="20"/>
          <w:szCs w:val="20"/>
          <w:lang w:val="fr-CA" w:eastAsia="ja-JP"/>
        </w:rPr>
        <w:t xml:space="preserve"> (</w:t>
      </w:r>
      <w:r w:rsidRPr="00C9391E">
        <w:rPr>
          <w:rFonts w:ascii="Times New Roman" w:eastAsia="Times New Roman" w:hAnsi="Times New Roman"/>
          <w:sz w:val="20"/>
          <w:szCs w:val="20"/>
          <w:lang w:val="fr-CA" w:eastAsia="ja-JP"/>
        </w:rPr>
        <w:t>Tur</w:t>
      </w:r>
      <w:r w:rsidR="00517B98" w:rsidRPr="00C9391E">
        <w:rPr>
          <w:rFonts w:ascii="Times New Roman" w:eastAsia="Times New Roman" w:hAnsi="Times New Roman"/>
          <w:sz w:val="20"/>
          <w:szCs w:val="20"/>
          <w:lang w:val="fr-CA" w:eastAsia="ja-JP"/>
        </w:rPr>
        <w:t>quie)</w:t>
      </w:r>
      <w:r w:rsidRPr="00C9391E">
        <w:rPr>
          <w:rFonts w:ascii="Times New Roman" w:eastAsia="Times New Roman" w:hAnsi="Times New Roman"/>
          <w:sz w:val="20"/>
          <w:szCs w:val="20"/>
          <w:lang w:val="fr-CA" w:eastAsia="ja-JP"/>
        </w:rPr>
        <w:t>, 9–14</w:t>
      </w:r>
      <w:r w:rsidR="00517B98" w:rsidRPr="00C9391E">
        <w:rPr>
          <w:rFonts w:ascii="Times New Roman" w:eastAsia="Times New Roman" w:hAnsi="Times New Roman"/>
          <w:sz w:val="20"/>
          <w:szCs w:val="20"/>
          <w:lang w:val="fr-CA" w:eastAsia="ja-JP"/>
        </w:rPr>
        <w:t> décembre </w:t>
      </w:r>
      <w:r w:rsidRPr="00C9391E">
        <w:rPr>
          <w:rFonts w:ascii="Times New Roman" w:eastAsia="Times New Roman" w:hAnsi="Times New Roman"/>
          <w:sz w:val="20"/>
          <w:szCs w:val="20"/>
          <w:lang w:val="fr-CA" w:eastAsia="ja-JP"/>
        </w:rPr>
        <w:t>2013</w:t>
      </w:r>
    </w:p>
    <w:p w:rsidR="00D7505A" w:rsidRPr="00C9391E" w:rsidRDefault="00517B98" w:rsidP="00D7505A">
      <w:pPr>
        <w:pStyle w:val="AATitle"/>
        <w:rPr>
          <w:b w:val="0"/>
        </w:rPr>
      </w:pPr>
      <w:r w:rsidRPr="00C9391E">
        <w:rPr>
          <w:b w:val="0"/>
          <w:lang w:eastAsia="ja-JP"/>
        </w:rPr>
        <w:t>Point</w:t>
      </w:r>
      <w:r w:rsidR="00D7505A" w:rsidRPr="00C9391E">
        <w:rPr>
          <w:b w:val="0"/>
          <w:lang w:eastAsia="ja-JP"/>
        </w:rPr>
        <w:t xml:space="preserve"> 4</w:t>
      </w:r>
      <w:r w:rsidRPr="00C9391E">
        <w:rPr>
          <w:b w:val="0"/>
          <w:lang w:eastAsia="ja-JP"/>
        </w:rPr>
        <w:t> </w:t>
      </w:r>
      <w:r w:rsidR="00D7505A" w:rsidRPr="00C9391E">
        <w:rPr>
          <w:b w:val="0"/>
          <w:lang w:eastAsia="ja-JP"/>
        </w:rPr>
        <w:t xml:space="preserve">a) </w:t>
      </w:r>
      <w:r w:rsidRPr="00C9391E">
        <w:rPr>
          <w:b w:val="0"/>
          <w:lang w:eastAsia="ja-JP"/>
        </w:rPr>
        <w:t>de l’ordre du jour provisoire</w:t>
      </w:r>
      <w:r w:rsidR="00D7505A" w:rsidRPr="00C9391E">
        <w:rPr>
          <w:rStyle w:val="FootnoteReference"/>
          <w:b w:val="0"/>
          <w:lang w:eastAsia="ja-JP"/>
        </w:rPr>
        <w:footnoteReference w:customMarkFollows="1" w:id="1"/>
        <w:sym w:font="Symbol" w:char="F02A"/>
      </w:r>
      <w:r w:rsidR="00D7505A" w:rsidRPr="00C9391E">
        <w:rPr>
          <w:b w:val="0"/>
          <w:lang w:eastAsia="ja-JP"/>
        </w:rPr>
        <w:t> </w:t>
      </w:r>
    </w:p>
    <w:p w:rsidR="00D7505A" w:rsidRPr="00C9391E" w:rsidRDefault="00517B98" w:rsidP="00D7505A">
      <w:pPr>
        <w:pStyle w:val="AATitle2"/>
        <w:spacing w:before="60"/>
      </w:pPr>
      <w:r w:rsidRPr="00C9391E">
        <w:t>Programme de travail initial de la Plateforme</w:t>
      </w:r>
      <w:r w:rsidR="00C3645D" w:rsidRPr="00C9391E">
        <w:t xml:space="preserve"> </w:t>
      </w:r>
      <w:r w:rsidR="00D7505A" w:rsidRPr="00C9391E">
        <w:t>:</w:t>
      </w:r>
      <w:r w:rsidR="00D7505A" w:rsidRPr="00C9391E">
        <w:br/>
      </w:r>
      <w:r w:rsidRPr="00C9391E">
        <w:t>programme de travail</w:t>
      </w:r>
      <w:r w:rsidR="00B8187F" w:rsidRPr="00C9391E">
        <w:t xml:space="preserve"> pour la période </w:t>
      </w:r>
      <w:r w:rsidR="00D7505A" w:rsidRPr="00C9391E">
        <w:t>2014</w:t>
      </w:r>
      <w:r w:rsidR="00367FC7" w:rsidRPr="00C9391E">
        <w:t>–</w:t>
      </w:r>
      <w:r w:rsidR="00D7505A" w:rsidRPr="00C9391E">
        <w:t>2018</w:t>
      </w:r>
    </w:p>
    <w:p w:rsidR="00D7505A" w:rsidRPr="00C9391E" w:rsidRDefault="007133EF" w:rsidP="00D7505A">
      <w:pPr>
        <w:pStyle w:val="BBTitle"/>
      </w:pPr>
      <w:r w:rsidRPr="00C9391E">
        <w:t>Étude</w:t>
      </w:r>
      <w:r w:rsidR="00517B98" w:rsidRPr="00C9391E">
        <w:t xml:space="preserve"> de cadrage initiale pour l’évaluation </w:t>
      </w:r>
      <w:r w:rsidR="002F536A">
        <w:t xml:space="preserve">méthodologique </w:t>
      </w:r>
      <w:r w:rsidR="00517B98" w:rsidRPr="00C9391E">
        <w:t xml:space="preserve">accélérée de la </w:t>
      </w:r>
      <w:r w:rsidR="005A5500" w:rsidRPr="00C9391E">
        <w:t>conceptualisation</w:t>
      </w:r>
      <w:r w:rsidR="008B37D3">
        <w:t>,</w:t>
      </w:r>
      <w:r w:rsidR="004F1B37">
        <w:t xml:space="preserve"> de la </w:t>
      </w:r>
      <w:r w:rsidR="008B37D3">
        <w:t>détermin</w:t>
      </w:r>
      <w:r w:rsidR="0090672F">
        <w:t>ation</w:t>
      </w:r>
      <w:r w:rsidR="005A5500" w:rsidRPr="00C9391E">
        <w:t xml:space="preserve"> </w:t>
      </w:r>
      <w:r w:rsidR="0022502A">
        <w:br/>
      </w:r>
      <w:r w:rsidR="005A5500" w:rsidRPr="00C9391E">
        <w:t xml:space="preserve">et de la comptabilisation de la valeur de la biodiversité </w:t>
      </w:r>
      <w:r w:rsidR="0022502A">
        <w:br/>
      </w:r>
      <w:r w:rsidR="005A5500" w:rsidRPr="00C9391E">
        <w:t>et des services écosystémiques</w:t>
      </w:r>
    </w:p>
    <w:p w:rsidR="006A45CB" w:rsidRDefault="006A45CB" w:rsidP="00E43702">
      <w:pPr>
        <w:pStyle w:val="CH2"/>
        <w:ind w:left="2494"/>
      </w:pPr>
      <w:r w:rsidRPr="00C9391E">
        <w:t xml:space="preserve">Note </w:t>
      </w:r>
      <w:r w:rsidR="00517B98" w:rsidRPr="00C9391E">
        <w:t xml:space="preserve">du </w:t>
      </w:r>
      <w:r w:rsidRPr="00C9391E">
        <w:t>secr</w:t>
      </w:r>
      <w:r w:rsidR="00517B98" w:rsidRPr="00C9391E">
        <w:t>é</w:t>
      </w:r>
      <w:r w:rsidRPr="00C9391E">
        <w:t>tariat</w:t>
      </w:r>
    </w:p>
    <w:p w:rsidR="002F536A" w:rsidRPr="002F536A" w:rsidRDefault="002F536A" w:rsidP="002F536A">
      <w:pPr>
        <w:pStyle w:val="CH1"/>
        <w:numPr>
          <w:ilvl w:val="0"/>
          <w:numId w:val="16"/>
        </w:numPr>
      </w:pPr>
      <w:r>
        <w:t>Introduction</w:t>
      </w:r>
    </w:p>
    <w:p w:rsidR="00AF2776" w:rsidRPr="00C9391E" w:rsidRDefault="00AB64FD" w:rsidP="004E0A3B">
      <w:pPr>
        <w:pStyle w:val="Normalnumber"/>
      </w:pPr>
      <w:r w:rsidRPr="00C9391E">
        <w:t>Reco</w:t>
      </w:r>
      <w:r w:rsidR="00517B98" w:rsidRPr="00C9391E">
        <w:t xml:space="preserve">nnaissant la nécessité </w:t>
      </w:r>
      <w:r w:rsidR="00B8187F" w:rsidRPr="00C9391E">
        <w:t xml:space="preserve">de </w:t>
      </w:r>
      <w:r w:rsidR="0090672F">
        <w:t>faire avancer le</w:t>
      </w:r>
      <w:r w:rsidR="00B8187F" w:rsidRPr="00C9391E">
        <w:t xml:space="preserve"> programme de travail pour la période</w:t>
      </w:r>
      <w:r w:rsidRPr="00C9391E">
        <w:t xml:space="preserve"> 2014–2018 </w:t>
      </w:r>
      <w:r w:rsidR="00B8187F" w:rsidRPr="00C9391E">
        <w:t xml:space="preserve">une fois </w:t>
      </w:r>
      <w:r w:rsidR="00D173AD" w:rsidRPr="00C9391E">
        <w:t>ce</w:t>
      </w:r>
      <w:r w:rsidR="0090672F">
        <w:t>lui-ci</w:t>
      </w:r>
      <w:r w:rsidR="00D173AD" w:rsidRPr="00C9391E">
        <w:t xml:space="preserve"> </w:t>
      </w:r>
      <w:r w:rsidR="00B8187F" w:rsidRPr="00C9391E">
        <w:t xml:space="preserve">approuvé par la Plénière de la Plateforme </w:t>
      </w:r>
      <w:r w:rsidR="008671EE" w:rsidRPr="00C9391E">
        <w:t xml:space="preserve">intergouvernementale </w:t>
      </w:r>
      <w:r w:rsidR="00B8187F" w:rsidRPr="00C9391E">
        <w:t>scientifique et politique sur la biodiversité et les services écosystémiques à sa deuxième session</w:t>
      </w:r>
      <w:r w:rsidRPr="00C9391E">
        <w:t xml:space="preserve">, </w:t>
      </w:r>
      <w:r w:rsidR="00B8187F" w:rsidRPr="00C9391E">
        <w:t>le</w:t>
      </w:r>
      <w:r w:rsidR="00AF2776" w:rsidRPr="00C9391E">
        <w:t xml:space="preserve"> Bureau </w:t>
      </w:r>
      <w:r w:rsidR="008E167F" w:rsidRPr="00C9391E">
        <w:t>et le Groupe d’experts multidi</w:t>
      </w:r>
      <w:r w:rsidR="005159A3" w:rsidRPr="00C9391E">
        <w:t>sciplinaire ont convenu d’é</w:t>
      </w:r>
      <w:r w:rsidR="00FC3403">
        <w:t>tablir</w:t>
      </w:r>
      <w:r w:rsidR="005A5500" w:rsidRPr="00C9391E">
        <w:t>,</w:t>
      </w:r>
      <w:r w:rsidR="005159A3" w:rsidRPr="00C9391E">
        <w:t xml:space="preserve"> pour examen à </w:t>
      </w:r>
      <w:r w:rsidR="00D173AD" w:rsidRPr="00C9391E">
        <w:t>ladite</w:t>
      </w:r>
      <w:r w:rsidR="005159A3" w:rsidRPr="00C9391E">
        <w:t xml:space="preserve"> session</w:t>
      </w:r>
      <w:r w:rsidR="005A5500" w:rsidRPr="00C9391E">
        <w:t>,</w:t>
      </w:r>
      <w:r w:rsidR="005159A3" w:rsidRPr="00C9391E">
        <w:t xml:space="preserve"> </w:t>
      </w:r>
      <w:r w:rsidR="005A5500" w:rsidRPr="00C9391E">
        <w:t>un</w:t>
      </w:r>
      <w:r w:rsidR="00695D8A" w:rsidRPr="00C9391E">
        <w:t xml:space="preserve"> </w:t>
      </w:r>
      <w:r w:rsidR="005A5500" w:rsidRPr="00C9391E">
        <w:t xml:space="preserve">certain nombre de </w:t>
      </w:r>
      <w:r w:rsidR="00D173AD" w:rsidRPr="00C9391E">
        <w:t>documents</w:t>
      </w:r>
      <w:r w:rsidR="005159A3" w:rsidRPr="00C9391E">
        <w:t xml:space="preserve"> de cadrage</w:t>
      </w:r>
      <w:r w:rsidR="005A5500" w:rsidRPr="00C9391E">
        <w:t xml:space="preserve"> initial</w:t>
      </w:r>
      <w:r w:rsidR="003A76CA">
        <w:t xml:space="preserve"> tenant compte de</w:t>
      </w:r>
      <w:r w:rsidR="005159A3" w:rsidRPr="00C9391E">
        <w:t xml:space="preserve"> la hiérarchisation des demandes, suggestions et contributions présentées à la Plateforme et </w:t>
      </w:r>
      <w:r w:rsidR="003A76CA">
        <w:t>des</w:t>
      </w:r>
      <w:r w:rsidR="005159A3" w:rsidRPr="00C9391E">
        <w:t xml:space="preserve"> produits </w:t>
      </w:r>
      <w:r w:rsidR="00771E6E">
        <w:t xml:space="preserve">définis dans le </w:t>
      </w:r>
      <w:r w:rsidR="005159A3" w:rsidRPr="00C9391E">
        <w:t xml:space="preserve">projet de programme de travail </w:t>
      </w:r>
      <w:r w:rsidR="00AF2776" w:rsidRPr="00C9391E">
        <w:t xml:space="preserve">(IPBES/2/2). </w:t>
      </w:r>
      <w:r w:rsidR="002A57E2" w:rsidRPr="00C9391E">
        <w:t>On trouvera dans la présente note</w:t>
      </w:r>
      <w:r w:rsidR="00771E6E">
        <w:t xml:space="preserve"> </w:t>
      </w:r>
      <w:r w:rsidR="005159A3" w:rsidRPr="00C9391E">
        <w:t xml:space="preserve">l’étude de cadrage </w:t>
      </w:r>
      <w:r w:rsidR="00A87BD8" w:rsidRPr="00C9391E">
        <w:t xml:space="preserve">initiale pour </w:t>
      </w:r>
      <w:r w:rsidR="00771E6E">
        <w:t xml:space="preserve">une éventuelle </w:t>
      </w:r>
      <w:r w:rsidR="00A87BD8" w:rsidRPr="00C9391E">
        <w:t>évaluation accélérée de la conceptualisation</w:t>
      </w:r>
      <w:r w:rsidR="008B37D3">
        <w:t>,</w:t>
      </w:r>
      <w:r w:rsidR="004F1B37">
        <w:t xml:space="preserve"> de la </w:t>
      </w:r>
      <w:r w:rsidR="008B37D3">
        <w:t>détermina</w:t>
      </w:r>
      <w:r w:rsidR="00A87BD8">
        <w:t>tion</w:t>
      </w:r>
      <w:r w:rsidR="00A87BD8" w:rsidRPr="00C9391E">
        <w:t xml:space="preserve"> et de la comptabilisation </w:t>
      </w:r>
      <w:r w:rsidR="008B37D3">
        <w:t xml:space="preserve">de la valeur </w:t>
      </w:r>
      <w:r w:rsidR="00A87BD8" w:rsidRPr="00C9391E">
        <w:t>de la biodiversité et des services écosystémiques</w:t>
      </w:r>
      <w:r w:rsidR="005159A3" w:rsidRPr="00C9391E">
        <w:t>.</w:t>
      </w:r>
      <w:r w:rsidR="000F1A70" w:rsidRPr="00C9391E">
        <w:t xml:space="preserve"> </w:t>
      </w:r>
      <w:r w:rsidR="00771E6E">
        <w:t xml:space="preserve">Elle </w:t>
      </w:r>
      <w:r w:rsidR="002A57E2" w:rsidRPr="00C9391E">
        <w:t xml:space="preserve">a été </w:t>
      </w:r>
      <w:r w:rsidR="00771E6E">
        <w:t>réalisée</w:t>
      </w:r>
      <w:r w:rsidR="00FC3403">
        <w:t xml:space="preserve"> conformément au</w:t>
      </w:r>
      <w:r w:rsidR="00771E6E">
        <w:t xml:space="preserve"> </w:t>
      </w:r>
      <w:r w:rsidR="005159A3" w:rsidRPr="00C9391E">
        <w:t>projet de procédures pour l’établissement des produits de la Plateforme</w:t>
      </w:r>
      <w:r w:rsidR="00AF2776" w:rsidRPr="00C9391E">
        <w:t xml:space="preserve"> (IPBES/2/9). </w:t>
      </w:r>
    </w:p>
    <w:p w:rsidR="00D7505A" w:rsidRPr="00C9391E" w:rsidRDefault="00517B98" w:rsidP="001126B6">
      <w:pPr>
        <w:pStyle w:val="CH1"/>
        <w:numPr>
          <w:ilvl w:val="0"/>
          <w:numId w:val="16"/>
        </w:numPr>
      </w:pPr>
      <w:r w:rsidRPr="00C9391E">
        <w:t>Portée</w:t>
      </w:r>
      <w:r w:rsidR="00D7505A" w:rsidRPr="00C9391E">
        <w:t xml:space="preserve">, </w:t>
      </w:r>
      <w:r w:rsidRPr="00C9391E">
        <w:t>bien-fondé</w:t>
      </w:r>
      <w:r w:rsidR="001126B6" w:rsidRPr="00C9391E">
        <w:t xml:space="preserve"> et</w:t>
      </w:r>
      <w:r w:rsidR="00D7505A" w:rsidRPr="00C9391E">
        <w:t xml:space="preserve"> utilit</w:t>
      </w:r>
      <w:r w:rsidRPr="00C9391E">
        <w:t>é</w:t>
      </w:r>
    </w:p>
    <w:p w:rsidR="00D858B9" w:rsidRPr="00C9391E" w:rsidRDefault="00D858B9" w:rsidP="004E0A3B">
      <w:pPr>
        <w:pStyle w:val="CH2"/>
      </w:pPr>
      <w:r w:rsidRPr="00C9391E">
        <w:tab/>
        <w:t>A.</w:t>
      </w:r>
      <w:r w:rsidRPr="00C9391E">
        <w:tab/>
      </w:r>
      <w:r w:rsidR="00517B98" w:rsidRPr="00C9391E">
        <w:t>Portée</w:t>
      </w:r>
    </w:p>
    <w:p w:rsidR="00D7505A" w:rsidRPr="00C9391E" w:rsidRDefault="00181555" w:rsidP="004E0A3B">
      <w:pPr>
        <w:pStyle w:val="Normalnumber"/>
      </w:pPr>
      <w:r w:rsidRPr="00C9391E">
        <w:t>L’objectif de l</w:t>
      </w:r>
      <w:r w:rsidR="002A57E2" w:rsidRPr="00C9391E">
        <w:t>’</w:t>
      </w:r>
      <w:r w:rsidRPr="00C9391E">
        <w:t xml:space="preserve">évaluation </w:t>
      </w:r>
      <w:r w:rsidR="00771E6E">
        <w:t xml:space="preserve">méthodologique </w:t>
      </w:r>
      <w:r w:rsidRPr="00C9391E">
        <w:t xml:space="preserve">accélérée </w:t>
      </w:r>
      <w:r w:rsidR="00C9391E" w:rsidRPr="00C9391E">
        <w:t xml:space="preserve">qu’il est proposé d’entreprendre </w:t>
      </w:r>
      <w:r w:rsidRPr="00C9391E">
        <w:t xml:space="preserve">est d’évaluer </w:t>
      </w:r>
      <w:r w:rsidR="00C9391E" w:rsidRPr="00C9391E">
        <w:t>le bien-être humain (aussi bien subjecti</w:t>
      </w:r>
      <w:r w:rsidR="00C9391E">
        <w:t>f</w:t>
      </w:r>
      <w:r w:rsidR="00C9391E" w:rsidRPr="00C9391E">
        <w:t xml:space="preserve"> qu’objecti</w:t>
      </w:r>
      <w:r w:rsidR="00C9391E">
        <w:t>f</w:t>
      </w:r>
      <w:r w:rsidR="00C9391E" w:rsidRPr="00C9391E">
        <w:t xml:space="preserve">); </w:t>
      </w:r>
      <w:r w:rsidR="00C9391E">
        <w:t xml:space="preserve">la conceptualisation de la valeur; </w:t>
      </w:r>
      <w:r w:rsidR="00055058">
        <w:t>la manière dont</w:t>
      </w:r>
      <w:r w:rsidR="00C9391E">
        <w:t xml:space="preserve"> les valeurs, </w:t>
      </w:r>
      <w:r w:rsidRPr="00C9391E">
        <w:t xml:space="preserve">les </w:t>
      </w:r>
      <w:r w:rsidR="00C9391E">
        <w:t xml:space="preserve">croyances et les normes </w:t>
      </w:r>
      <w:r w:rsidR="0090672F">
        <w:t>guid</w:t>
      </w:r>
      <w:r w:rsidR="00C9391E">
        <w:t>ent les comportements et l</w:t>
      </w:r>
      <w:r w:rsidR="00477183">
        <w:t xml:space="preserve">es </w:t>
      </w:r>
      <w:r w:rsidR="00C9391E">
        <w:t xml:space="preserve">décisions; la formation de </w:t>
      </w:r>
      <w:r w:rsidR="004F1B37">
        <w:t xml:space="preserve">la </w:t>
      </w:r>
      <w:r w:rsidR="00C9391E">
        <w:t>valeur; les méthodes de détermination de la valeur (</w:t>
      </w:r>
      <w:r w:rsidR="00477183">
        <w:t>valeur économique marchande et non marchande, valeur du point de vue de la santé humaine, et valeur sociale (économique et non économique) partagée); et les méthodes de comptabilisation applicables aux écosystèmes ainsi qu’aux services d’approvisionnement, de régulation et culturels qu’ils fournissent.</w:t>
      </w:r>
    </w:p>
    <w:p w:rsidR="00D858B9" w:rsidRPr="00C9391E" w:rsidRDefault="00D858B9" w:rsidP="004E0A3B">
      <w:pPr>
        <w:pStyle w:val="CH2"/>
      </w:pPr>
      <w:r w:rsidRPr="00C9391E">
        <w:lastRenderedPageBreak/>
        <w:tab/>
        <w:t>B.</w:t>
      </w:r>
      <w:r w:rsidRPr="00C9391E">
        <w:tab/>
      </w:r>
      <w:r w:rsidR="001E3854" w:rsidRPr="00C9391E">
        <w:t>Bien-fondé</w:t>
      </w:r>
    </w:p>
    <w:p w:rsidR="00D7505A" w:rsidRPr="00C9391E" w:rsidRDefault="00477183" w:rsidP="004E0A3B">
      <w:pPr>
        <w:pStyle w:val="Normalnumber"/>
      </w:pPr>
      <w:r>
        <w:t>L’</w:t>
      </w:r>
      <w:r w:rsidR="009B384C" w:rsidRPr="00C9391E">
        <w:t>é</w:t>
      </w:r>
      <w:r w:rsidR="001E3854" w:rsidRPr="00C9391E">
        <w:t>valuation propos</w:t>
      </w:r>
      <w:r w:rsidR="00E9264D" w:rsidRPr="00C9391E">
        <w:t>é</w:t>
      </w:r>
      <w:r>
        <w:t xml:space="preserve">e répond à la nécessité de définir un point de comparaison </w:t>
      </w:r>
      <w:r w:rsidR="00055058">
        <w:t>permettant de procéder plus facilement à des évaluations mondiales, régionales,</w:t>
      </w:r>
      <w:r>
        <w:t xml:space="preserve"> </w:t>
      </w:r>
      <w:r w:rsidR="00055058">
        <w:t>sous-régionales et thématiques cohérentes tenant compte des limites au plan de la disponibilité de données.</w:t>
      </w:r>
    </w:p>
    <w:p w:rsidR="00D858B9" w:rsidRPr="00C9391E" w:rsidRDefault="00D858B9" w:rsidP="004E0A3B">
      <w:pPr>
        <w:pStyle w:val="CH2"/>
      </w:pPr>
      <w:r w:rsidRPr="00C9391E">
        <w:tab/>
        <w:t>C.</w:t>
      </w:r>
      <w:r w:rsidRPr="00C9391E">
        <w:tab/>
      </w:r>
      <w:r w:rsidR="00D7505A" w:rsidRPr="00C9391E">
        <w:t>Utilit</w:t>
      </w:r>
      <w:r w:rsidR="00497162" w:rsidRPr="00C9391E">
        <w:t>é</w:t>
      </w:r>
    </w:p>
    <w:p w:rsidR="00160890" w:rsidRPr="00C9391E" w:rsidRDefault="00F36557" w:rsidP="004E0A3B">
      <w:pPr>
        <w:pStyle w:val="Normalnumber"/>
      </w:pPr>
      <w:r>
        <w:t xml:space="preserve">L’évaluation </w:t>
      </w:r>
      <w:r w:rsidR="002C09AB">
        <w:t xml:space="preserve">aboutira à l’élaboration de directives pour les évaluations thématiques et les évaluations régionales, sous-régionales et mondiales, ainsi que d’outils politiques permettant d’incorporer les valeurs économiques, </w:t>
      </w:r>
      <w:r w:rsidR="00166A62">
        <w:t>les valeurs liées à la santé</w:t>
      </w:r>
      <w:r w:rsidR="002C09AB">
        <w:t xml:space="preserve"> et </w:t>
      </w:r>
      <w:r w:rsidR="00166A62">
        <w:t xml:space="preserve">les valeurs </w:t>
      </w:r>
      <w:r w:rsidR="002C09AB">
        <w:t>non économiques</w:t>
      </w:r>
      <w:r w:rsidR="001B4FFA">
        <w:t xml:space="preserve"> dans les processus décisionnels des gouvernements, du secteur privé et de la société civile.</w:t>
      </w:r>
    </w:p>
    <w:p w:rsidR="00D7505A" w:rsidRPr="00C9391E" w:rsidRDefault="00353E7F" w:rsidP="001126B6">
      <w:pPr>
        <w:pStyle w:val="CH1"/>
        <w:numPr>
          <w:ilvl w:val="0"/>
          <w:numId w:val="16"/>
        </w:numPr>
      </w:pPr>
      <w:r w:rsidRPr="00C9391E">
        <w:t>Plan des chapitres</w:t>
      </w:r>
    </w:p>
    <w:p w:rsidR="00FC2738" w:rsidRPr="00C9391E" w:rsidRDefault="00FC2738" w:rsidP="004E0A3B">
      <w:pPr>
        <w:pStyle w:val="Normalnumber"/>
      </w:pPr>
      <w:r w:rsidRPr="00C9391E">
        <w:t>I</w:t>
      </w:r>
      <w:r w:rsidR="00353E7F" w:rsidRPr="00C9391E">
        <w:t xml:space="preserve">l est </w:t>
      </w:r>
      <w:r w:rsidR="001B4FFA">
        <w:t>envisagé</w:t>
      </w:r>
      <w:r w:rsidR="00353E7F" w:rsidRPr="00C9391E">
        <w:t xml:space="preserve"> de présenter les résultats de l’évaluation accélérée dans un rapport comp</w:t>
      </w:r>
      <w:r w:rsidR="001B4FFA">
        <w:t>renant les neuf</w:t>
      </w:r>
      <w:r w:rsidR="00353E7F" w:rsidRPr="00C9391E">
        <w:t xml:space="preserve"> chapitres</w:t>
      </w:r>
      <w:r w:rsidR="00E9264D" w:rsidRPr="00C9391E">
        <w:t xml:space="preserve"> décrits ci-après</w:t>
      </w:r>
      <w:r w:rsidRPr="00C9391E">
        <w:t>.</w:t>
      </w:r>
    </w:p>
    <w:p w:rsidR="00D7505A" w:rsidRPr="00C9391E" w:rsidRDefault="00E9264D" w:rsidP="004E0A3B">
      <w:pPr>
        <w:pStyle w:val="Normalnumber"/>
      </w:pPr>
      <w:r w:rsidRPr="00C9391E">
        <w:t>Le c</w:t>
      </w:r>
      <w:r w:rsidR="00D7505A" w:rsidRPr="00C9391E">
        <w:t>hap</w:t>
      </w:r>
      <w:r w:rsidRPr="00C9391E">
        <w:t>itre </w:t>
      </w:r>
      <w:r w:rsidR="00D7505A" w:rsidRPr="00C9391E">
        <w:t>1</w:t>
      </w:r>
      <w:r w:rsidR="00FC2738" w:rsidRPr="00C9391E">
        <w:t xml:space="preserve"> </w:t>
      </w:r>
      <w:r w:rsidR="0090672F">
        <w:t>introduira le</w:t>
      </w:r>
      <w:r w:rsidR="00166A62">
        <w:t xml:space="preserve"> sujet du</w:t>
      </w:r>
      <w:r w:rsidR="0090672F">
        <w:t xml:space="preserve"> bien-être humain et </w:t>
      </w:r>
      <w:r w:rsidR="00166A62">
        <w:t xml:space="preserve">la notion </w:t>
      </w:r>
      <w:r w:rsidR="0090672F">
        <w:t>de bien-être subjectif et objectif, les constituants et déterminants du bien-être et la distinction entre valeurs sociales individuelles et partagées.</w:t>
      </w:r>
    </w:p>
    <w:p w:rsidR="00D7505A" w:rsidRPr="00C9391E" w:rsidRDefault="00B7097E" w:rsidP="004E0A3B">
      <w:pPr>
        <w:pStyle w:val="Normalnumber"/>
      </w:pPr>
      <w:r w:rsidRPr="00C9391E">
        <w:t>Le chapitre </w:t>
      </w:r>
      <w:r w:rsidR="00D7505A" w:rsidRPr="00C9391E">
        <w:t xml:space="preserve">2 </w:t>
      </w:r>
      <w:r w:rsidR="00F71C50" w:rsidRPr="00C9391E">
        <w:t xml:space="preserve">examinera </w:t>
      </w:r>
      <w:r w:rsidR="0090672F">
        <w:t xml:space="preserve">comment les valeurs sont conceptualisées; comment les croyances, les valeurs et les normes guident les comportements et les décisions; </w:t>
      </w:r>
      <w:r w:rsidR="00166A62">
        <w:t xml:space="preserve">comment </w:t>
      </w:r>
      <w:r w:rsidR="0090672F">
        <w:t xml:space="preserve">la </w:t>
      </w:r>
      <w:r w:rsidR="00166A62">
        <w:t>formation de</w:t>
      </w:r>
      <w:r w:rsidR="0090672F">
        <w:t xml:space="preserve"> valeurs </w:t>
      </w:r>
      <w:r w:rsidR="00166A62">
        <w:t xml:space="preserve">s’est effectuée dans le passé et les facteurs qui contribuent à cette formation aux niveaux individuel, familial, communautaire, infranational, national, régional et mondial; et comment la formation de valeurs se fait </w:t>
      </w:r>
      <w:r w:rsidR="00ED1F36">
        <w:t>dan</w:t>
      </w:r>
      <w:r w:rsidR="00166A62">
        <w:t xml:space="preserve">s diverses </w:t>
      </w:r>
      <w:r w:rsidR="00ED1F36">
        <w:t>condi</w:t>
      </w:r>
      <w:r w:rsidR="00166A62">
        <w:t>tions extérieures et intérieures.</w:t>
      </w:r>
    </w:p>
    <w:p w:rsidR="00D7505A" w:rsidRDefault="00002294" w:rsidP="004E0A3B">
      <w:pPr>
        <w:pStyle w:val="Normalnumber"/>
      </w:pPr>
      <w:r w:rsidRPr="00C9391E">
        <w:t>Le c</w:t>
      </w:r>
      <w:r w:rsidR="00D7505A" w:rsidRPr="00C9391E">
        <w:t>hap</w:t>
      </w:r>
      <w:r w:rsidRPr="00C9391E">
        <w:t>itre </w:t>
      </w:r>
      <w:r w:rsidR="00D7505A" w:rsidRPr="00C9391E">
        <w:t xml:space="preserve">3 </w:t>
      </w:r>
      <w:r w:rsidR="00ED1F36">
        <w:t xml:space="preserve">introduira les concepts de détermination et de comptabilisation de la valeur (en se penchant sur l’application, l’utilité et la complémentarité de ces deux approches différentes) et expliquera l’importance ainsi que l’utilisation des valeurs économiques et non économiques et des systèmes de comptabilisation lors de l’établissement </w:t>
      </w:r>
      <w:r w:rsidR="00EB6868">
        <w:t>d’évaluations, de la rédaction de rapports et de la prise de décisions</w:t>
      </w:r>
      <w:r w:rsidR="00D7505A" w:rsidRPr="00C9391E">
        <w:t>.</w:t>
      </w:r>
      <w:r w:rsidR="00EB6868">
        <w:t xml:space="preserve"> Il fera fond sur </w:t>
      </w:r>
      <w:r w:rsidR="004F1B37">
        <w:t>d</w:t>
      </w:r>
      <w:r w:rsidR="00EB6868">
        <w:t xml:space="preserve">es travaux antérieurs, en particulier </w:t>
      </w:r>
      <w:r w:rsidR="00E43702">
        <w:t>les travaux</w:t>
      </w:r>
      <w:r w:rsidR="00EB6868">
        <w:t xml:space="preserve"> sur l’économie des écosystèmes et de la biodiversité</w:t>
      </w:r>
      <w:r w:rsidR="00E43702">
        <w:t>;</w:t>
      </w:r>
      <w:r w:rsidR="00EB6868">
        <w:t xml:space="preserve"> l’évaluation nationale des écosystèmes du Royaume-Uni de </w:t>
      </w:r>
      <w:r w:rsidR="00035AE6">
        <w:br/>
      </w:r>
      <w:r w:rsidR="00EB6868">
        <w:t>Grande-Bretagne et d’Irlande du Nord, le programme WAVES (Comptabilisation de la richesse naturelle et valorisation des services écosystémiques) de la Banque mondiale</w:t>
      </w:r>
      <w:r w:rsidR="00E43702">
        <w:t>;</w:t>
      </w:r>
      <w:r w:rsidR="00EB6868">
        <w:t xml:space="preserve"> </w:t>
      </w:r>
      <w:r w:rsidR="00B67D84">
        <w:t xml:space="preserve">INCIES, </w:t>
      </w:r>
      <w:r w:rsidR="00EB6868">
        <w:t xml:space="preserve">le projet turc </w:t>
      </w:r>
      <w:r w:rsidR="00DA0BB6">
        <w:t>axé sur la</w:t>
      </w:r>
      <w:r w:rsidR="00E43702">
        <w:t xml:space="preserve"> formation des groupes </w:t>
      </w:r>
      <w:r w:rsidR="004002B3">
        <w:t>d’</w:t>
      </w:r>
      <w:r w:rsidR="00E43702">
        <w:t>intér</w:t>
      </w:r>
      <w:r w:rsidR="004002B3">
        <w:t>êt</w:t>
      </w:r>
      <w:r w:rsidR="00E43702">
        <w:t xml:space="preserve"> et </w:t>
      </w:r>
      <w:r w:rsidR="00DA0BB6">
        <w:t>l</w:t>
      </w:r>
      <w:r w:rsidR="00E43702">
        <w:t>’établissement de directives pour l’intégration de la conservation de la nature dans le système économique</w:t>
      </w:r>
      <w:r w:rsidR="00B67D84">
        <w:t>; les travaux du Comité d’experts sur la comptabilité économique et environnementale de l’ONU; le Système de comptabilité économique et environnementale intégrée de l’ONU,</w:t>
      </w:r>
      <w:r w:rsidR="00596673">
        <w:t xml:space="preserve"> et le Rapport sur la richesse globale. </w:t>
      </w:r>
      <w:r w:rsidR="00E20231">
        <w:t>Y seront abordés, entre autres, les sujets suivants :</w:t>
      </w:r>
    </w:p>
    <w:p w:rsidR="00E20231" w:rsidRDefault="00A32A26" w:rsidP="00A32A26">
      <w:pPr>
        <w:pStyle w:val="Normalnumber"/>
        <w:numPr>
          <w:ilvl w:val="0"/>
          <w:numId w:val="17"/>
        </w:numPr>
        <w:tabs>
          <w:tab w:val="clear" w:pos="567"/>
          <w:tab w:val="num" w:pos="1134"/>
        </w:tabs>
        <w:ind w:firstLine="567"/>
      </w:pPr>
      <w:r>
        <w:t>Les v</w:t>
      </w:r>
      <w:r w:rsidR="00E20231">
        <w:t xml:space="preserve">aleurs totale et marginale, </w:t>
      </w:r>
      <w:r>
        <w:t>l’</w:t>
      </w:r>
      <w:r w:rsidR="00E20231">
        <w:t xml:space="preserve">actualisation, </w:t>
      </w:r>
      <w:r>
        <w:t xml:space="preserve">les </w:t>
      </w:r>
      <w:r w:rsidR="00E20231">
        <w:t xml:space="preserve">limitations, </w:t>
      </w:r>
      <w:r>
        <w:t xml:space="preserve">les </w:t>
      </w:r>
      <w:r w:rsidR="00E20231">
        <w:t xml:space="preserve">incertitudes, </w:t>
      </w:r>
      <w:r>
        <w:t xml:space="preserve">les </w:t>
      </w:r>
      <w:r w:rsidR="00E20231">
        <w:t xml:space="preserve">principes d’analyse économique, </w:t>
      </w:r>
      <w:r>
        <w:t xml:space="preserve">les </w:t>
      </w:r>
      <w:r w:rsidR="00E20231">
        <w:t xml:space="preserve">stocks et </w:t>
      </w:r>
      <w:r>
        <w:t xml:space="preserve">les </w:t>
      </w:r>
      <w:r w:rsidR="00E20231">
        <w:t xml:space="preserve">flux de services écosystémiques, et </w:t>
      </w:r>
      <w:r>
        <w:t xml:space="preserve">les </w:t>
      </w:r>
      <w:r w:rsidR="00E20231">
        <w:t>implications sectorielles et macroéconomiques;</w:t>
      </w:r>
    </w:p>
    <w:p w:rsidR="00E20231" w:rsidRDefault="00A32A26" w:rsidP="00A32A26">
      <w:pPr>
        <w:pStyle w:val="Normalnumber"/>
        <w:numPr>
          <w:ilvl w:val="0"/>
          <w:numId w:val="17"/>
        </w:numPr>
        <w:ind w:firstLine="567"/>
      </w:pPr>
      <w:r>
        <w:t>Les i</w:t>
      </w:r>
      <w:r w:rsidR="00E20231">
        <w:t>nteractions entre l’économie et l'environnement, y compris les stocks d’actifs environnementaux et le</w:t>
      </w:r>
      <w:r>
        <w:t>ur</w:t>
      </w:r>
      <w:r w:rsidR="00E20231">
        <w:t>s variations;</w:t>
      </w:r>
    </w:p>
    <w:p w:rsidR="004F1B37" w:rsidRDefault="004F1B37" w:rsidP="004F1B37">
      <w:pPr>
        <w:pStyle w:val="Normalnumber"/>
        <w:numPr>
          <w:ilvl w:val="0"/>
          <w:numId w:val="17"/>
        </w:numPr>
        <w:tabs>
          <w:tab w:val="clear" w:pos="567"/>
          <w:tab w:val="num" w:pos="1134"/>
        </w:tabs>
        <w:ind w:firstLine="567"/>
      </w:pPr>
      <w:r w:rsidRPr="004F1B37">
        <w:t xml:space="preserve">Les questions théoriques </w:t>
      </w:r>
      <w:r>
        <w:t>d</w:t>
      </w:r>
      <w:r w:rsidRPr="004F1B37">
        <w:t>’évaluation de la biodiversité; la valeur d’existence, les coûts d’opportunité (perte non réversible de biodiversité), les valeurs partagées et l’utilisation de la théorie du portefeuille (groupage);</w:t>
      </w:r>
    </w:p>
    <w:p w:rsidR="00E20231" w:rsidRDefault="00A32A26" w:rsidP="00A32A26">
      <w:pPr>
        <w:pStyle w:val="Normalnumber"/>
        <w:numPr>
          <w:ilvl w:val="0"/>
          <w:numId w:val="17"/>
        </w:numPr>
        <w:ind w:firstLine="567"/>
      </w:pPr>
      <w:r>
        <w:t>Les différents degrés de d</w:t>
      </w:r>
      <w:r w:rsidR="00E20231">
        <w:t>urabilité</w:t>
      </w:r>
      <w:r w:rsidR="00E639C6">
        <w:t>;</w:t>
      </w:r>
    </w:p>
    <w:p w:rsidR="00A32A26" w:rsidRDefault="00A32A26" w:rsidP="00A32A26">
      <w:pPr>
        <w:pStyle w:val="Normalnumber"/>
        <w:numPr>
          <w:ilvl w:val="0"/>
          <w:numId w:val="17"/>
        </w:numPr>
        <w:ind w:firstLine="567"/>
      </w:pPr>
      <w:r>
        <w:t>Les taux marginaux de substitution et de transformation du premier et du second ordre;</w:t>
      </w:r>
    </w:p>
    <w:p w:rsidR="00A32A26" w:rsidRDefault="00A32A26" w:rsidP="00A32A26">
      <w:pPr>
        <w:pStyle w:val="Normalnumber"/>
        <w:numPr>
          <w:ilvl w:val="0"/>
          <w:numId w:val="17"/>
        </w:numPr>
        <w:ind w:firstLine="567"/>
      </w:pPr>
      <w:r>
        <w:t>La valeur économique totale – valeur d’usage (utilisation directe), valeur de non-usage (utilisation indirecte), valeur de transmission ou d’existence et valeurs sociales individuelles et partagées;</w:t>
      </w:r>
    </w:p>
    <w:p w:rsidR="002202FD" w:rsidRDefault="002202FD" w:rsidP="00A32A26">
      <w:pPr>
        <w:pStyle w:val="Normalnumber"/>
        <w:numPr>
          <w:ilvl w:val="0"/>
          <w:numId w:val="17"/>
        </w:numPr>
        <w:ind w:firstLine="567"/>
      </w:pPr>
      <w:r>
        <w:rPr>
          <w:lang w:val="fr-FR"/>
        </w:rPr>
        <w:t>L’é</w:t>
      </w:r>
      <w:r w:rsidRPr="00EC7BCD">
        <w:rPr>
          <w:lang w:val="fr-FR"/>
        </w:rPr>
        <w:t xml:space="preserve">valuation dans </w:t>
      </w:r>
      <w:r>
        <w:rPr>
          <w:lang w:val="fr-FR"/>
        </w:rPr>
        <w:t xml:space="preserve">une </w:t>
      </w:r>
      <w:r w:rsidRPr="00EC7BCD">
        <w:rPr>
          <w:lang w:val="fr-FR"/>
        </w:rPr>
        <w:t xml:space="preserve">perspective à long terme des </w:t>
      </w:r>
      <w:r>
        <w:rPr>
          <w:lang w:val="fr-FR"/>
        </w:rPr>
        <w:t>évolutions d</w:t>
      </w:r>
      <w:r w:rsidRPr="00EC7BCD">
        <w:rPr>
          <w:lang w:val="fr-FR"/>
        </w:rPr>
        <w:t xml:space="preserve">es </w:t>
      </w:r>
      <w:r>
        <w:rPr>
          <w:lang w:val="fr-FR"/>
        </w:rPr>
        <w:t>systèmes sociaux-écologiques liés;</w:t>
      </w:r>
    </w:p>
    <w:p w:rsidR="00A32A26" w:rsidRDefault="00A32A26" w:rsidP="00A32A26">
      <w:pPr>
        <w:pStyle w:val="Normalnumber"/>
        <w:numPr>
          <w:ilvl w:val="0"/>
          <w:numId w:val="17"/>
        </w:numPr>
        <w:ind w:firstLine="567"/>
      </w:pPr>
      <w:r>
        <w:t>Les implications des futurs flux de services écosystémiques, y compris pour l’équité intergénérationnelle;</w:t>
      </w:r>
    </w:p>
    <w:p w:rsidR="00A32A26" w:rsidRPr="00C9391E" w:rsidRDefault="00A32A26" w:rsidP="00A32A26">
      <w:pPr>
        <w:pStyle w:val="Normalnumber"/>
        <w:numPr>
          <w:ilvl w:val="0"/>
          <w:numId w:val="17"/>
        </w:numPr>
        <w:ind w:firstLine="567"/>
      </w:pPr>
      <w:r>
        <w:t>La théorie et les applications pratiques des systèmes de comptabilité nationale.</w:t>
      </w:r>
    </w:p>
    <w:p w:rsidR="00D7505A" w:rsidRPr="00C9391E" w:rsidRDefault="007C7B77" w:rsidP="004E0A3B">
      <w:pPr>
        <w:pStyle w:val="Normalnumber"/>
      </w:pPr>
      <w:r w:rsidRPr="00C9391E">
        <w:lastRenderedPageBreak/>
        <w:t>Le chapitre </w:t>
      </w:r>
      <w:r w:rsidR="00D7505A" w:rsidRPr="00C9391E">
        <w:t xml:space="preserve">4 </w:t>
      </w:r>
      <w:r w:rsidR="00A86A4C">
        <w:t>port</w:t>
      </w:r>
      <w:r w:rsidR="000E4580">
        <w:t>era</w:t>
      </w:r>
      <w:r w:rsidR="00A32A26">
        <w:t xml:space="preserve"> </w:t>
      </w:r>
      <w:r w:rsidR="00A86A4C">
        <w:t xml:space="preserve">sur </w:t>
      </w:r>
      <w:r w:rsidR="00A32A26">
        <w:t xml:space="preserve">les méthodes et </w:t>
      </w:r>
      <w:r w:rsidR="00C03453">
        <w:t xml:space="preserve">approches économiques </w:t>
      </w:r>
      <w:r w:rsidR="00A86A4C">
        <w:t>pertinentes pour les</w:t>
      </w:r>
      <w:r w:rsidR="00C03453">
        <w:t xml:space="preserve"> services écosystémiques</w:t>
      </w:r>
      <w:r w:rsidR="00A86A4C">
        <w:t xml:space="preserve"> comme</w:t>
      </w:r>
      <w:r w:rsidR="00C03453">
        <w:t xml:space="preserve">, </w:t>
      </w:r>
      <w:r w:rsidR="00A86A4C">
        <w:t xml:space="preserve">par exemple, </w:t>
      </w:r>
      <w:r w:rsidR="005C4E57">
        <w:t>l’</w:t>
      </w:r>
      <w:r w:rsidR="00201720">
        <w:t xml:space="preserve">ajustement des prix du marché à la valeur, </w:t>
      </w:r>
      <w:r w:rsidR="005C4E57">
        <w:t xml:space="preserve">la </w:t>
      </w:r>
      <w:r w:rsidR="00201720">
        <w:t>contribution au</w:t>
      </w:r>
      <w:r w:rsidR="00771E6E">
        <w:t xml:space="preserve"> rendement</w:t>
      </w:r>
      <w:r w:rsidR="00201720">
        <w:t xml:space="preserve">, </w:t>
      </w:r>
      <w:r w:rsidR="005C4E57">
        <w:t xml:space="preserve">les </w:t>
      </w:r>
      <w:r w:rsidR="00201720">
        <w:t xml:space="preserve">coûts évités, </w:t>
      </w:r>
      <w:r w:rsidR="005C4E57">
        <w:t xml:space="preserve">la </w:t>
      </w:r>
      <w:r w:rsidR="00201720">
        <w:t xml:space="preserve">fonction de production, </w:t>
      </w:r>
      <w:r w:rsidR="005C4E57">
        <w:t xml:space="preserve">le </w:t>
      </w:r>
      <w:r w:rsidR="00201720">
        <w:t xml:space="preserve">comportement observé et expérimental et </w:t>
      </w:r>
      <w:r w:rsidR="005C4E57">
        <w:t xml:space="preserve">les </w:t>
      </w:r>
      <w:r w:rsidR="00201720">
        <w:t>préférences déclarées, dans divers domaines</w:t>
      </w:r>
      <w:r w:rsidR="002202FD">
        <w:t xml:space="preserve"> touchés par les services écosystémiques</w:t>
      </w:r>
      <w:r w:rsidR="00201720">
        <w:t>, dont les suivants : production agroalimentaire, quantité et qualité de l’approvisionnement en eau, santé humaine, stockage de carbone, récréation et tourisme, pollinisation, production d’énergie, dépollution, assimilation des déchets</w:t>
      </w:r>
      <w:r w:rsidR="005C4E57">
        <w:t xml:space="preserve"> et valeurs d’usage et de non usage de la biodiversité. </w:t>
      </w:r>
      <w:r w:rsidR="000E4580">
        <w:t xml:space="preserve">La nécessité de se pencher sur les risques et incertitudes, l’incertitude irréductible entourant la répartition des risques pour certains éléments </w:t>
      </w:r>
      <w:r w:rsidR="00E627AE">
        <w:t xml:space="preserve">des </w:t>
      </w:r>
      <w:r w:rsidR="000E4580">
        <w:t>événements futurs sera également abordée.</w:t>
      </w:r>
    </w:p>
    <w:p w:rsidR="00D7505A" w:rsidRDefault="007C7B77" w:rsidP="002202FD">
      <w:pPr>
        <w:pStyle w:val="Normalnumber"/>
      </w:pPr>
      <w:r w:rsidRPr="00C9391E">
        <w:t>Le chapitre </w:t>
      </w:r>
      <w:r w:rsidR="00D7505A" w:rsidRPr="00C9391E">
        <w:t xml:space="preserve">5 </w:t>
      </w:r>
      <w:r w:rsidR="005C6FE2">
        <w:t xml:space="preserve">examinera les services écosystémiques qui </w:t>
      </w:r>
      <w:r w:rsidR="00AB413A">
        <w:t xml:space="preserve">apportent des </w:t>
      </w:r>
      <w:r w:rsidR="005C6FE2">
        <w:t>contribu</w:t>
      </w:r>
      <w:r w:rsidR="00AB413A">
        <w:t>tions dans le domaine de</w:t>
      </w:r>
      <w:r w:rsidR="005C6FE2">
        <w:t xml:space="preserve"> la santé (</w:t>
      </w:r>
      <w:r w:rsidR="007E3421">
        <w:t xml:space="preserve">en </w:t>
      </w:r>
      <w:r w:rsidR="005C6FE2">
        <w:t xml:space="preserve">prenant en compte et </w:t>
      </w:r>
      <w:r w:rsidR="007E3421">
        <w:t xml:space="preserve">en </w:t>
      </w:r>
      <w:r w:rsidR="005C6FE2">
        <w:t>évitant l</w:t>
      </w:r>
      <w:r w:rsidR="00AB413A">
        <w:t>e comptage</w:t>
      </w:r>
      <w:r w:rsidR="005C6FE2">
        <w:t xml:space="preserve"> double de ceux </w:t>
      </w:r>
      <w:r w:rsidR="002202FD" w:rsidRPr="002202FD">
        <w:t xml:space="preserve">qui pourraient être examinés en rapport non seulement avec la santé, mais également avec d’autres domaines comme la nutrition et la santé humaine, tels qu’analysés aux chapitres 4 et 6). </w:t>
      </w:r>
      <w:r w:rsidR="0072602E">
        <w:t>Au nombre d</w:t>
      </w:r>
      <w:r w:rsidR="002202FD" w:rsidRPr="002202FD">
        <w:t xml:space="preserve">es </w:t>
      </w:r>
      <w:r w:rsidR="0072602E">
        <w:t>sujets abordé</w:t>
      </w:r>
      <w:r w:rsidR="002202FD" w:rsidRPr="002202FD">
        <w:t xml:space="preserve">s </w:t>
      </w:r>
      <w:r w:rsidR="0072602E">
        <w:t>se trouve</w:t>
      </w:r>
      <w:r w:rsidR="002202FD" w:rsidRPr="002202FD">
        <w:t>ront les méthod</w:t>
      </w:r>
      <w:r w:rsidR="00771E6E">
        <w:t>es d</w:t>
      </w:r>
      <w:r w:rsidR="002202FD" w:rsidRPr="002202FD">
        <w:t>’évaluation de la valeur des services écosystémiques par rapport à la santé mentale (par exemple, le sentiment d’appartenance), la santé physique et l’engagement social</w:t>
      </w:r>
      <w:r w:rsidR="00771E6E">
        <w:t>.</w:t>
      </w:r>
    </w:p>
    <w:p w:rsidR="002202FD" w:rsidRDefault="002202FD" w:rsidP="002202FD">
      <w:pPr>
        <w:pStyle w:val="Normalnumber"/>
      </w:pPr>
      <w:r>
        <w:t>Le chapitre</w:t>
      </w:r>
      <w:r w:rsidR="0072602E">
        <w:t> </w:t>
      </w:r>
      <w:r>
        <w:t>6 sera axé sur les méthod</w:t>
      </w:r>
      <w:r w:rsidR="00771E6E">
        <w:t>es d</w:t>
      </w:r>
      <w:r>
        <w:t>'évaluation de la valeur partagée, plurielle et sociale des écosystèmes (par exemple la conceptualisation de</w:t>
      </w:r>
      <w:r w:rsidR="00771E6E">
        <w:t xml:space="preserve"> la</w:t>
      </w:r>
      <w:r>
        <w:t xml:space="preserve"> valeur </w:t>
      </w:r>
      <w:r w:rsidR="00771E6E">
        <w:t xml:space="preserve">culturelle et sociale et de la valeur </w:t>
      </w:r>
      <w:r>
        <w:t>non économique partagée</w:t>
      </w:r>
      <w:r w:rsidR="0072602E">
        <w:t xml:space="preserve"> dans le cas, entre autres, d</w:t>
      </w:r>
      <w:r>
        <w:t xml:space="preserve">es services écosystémiques culturels et </w:t>
      </w:r>
      <w:r w:rsidR="0072602E">
        <w:t xml:space="preserve">de </w:t>
      </w:r>
      <w:r>
        <w:t>leurs avantages spirituels et esthétiques</w:t>
      </w:r>
      <w:r w:rsidR="0072602E">
        <w:t>, et d</w:t>
      </w:r>
      <w:r>
        <w:t xml:space="preserve">es méthodes </w:t>
      </w:r>
      <w:r w:rsidR="0072602E">
        <w:t>de</w:t>
      </w:r>
      <w:r>
        <w:t xml:space="preserve"> comparaison des valeurs individuelles agrégées (monétaires et non monétaires) avec les valeurs partagées).</w:t>
      </w:r>
    </w:p>
    <w:p w:rsidR="002202FD" w:rsidRDefault="002202FD" w:rsidP="002202FD">
      <w:pPr>
        <w:pStyle w:val="Normalnumber"/>
      </w:pPr>
      <w:r>
        <w:t>Le chapitre</w:t>
      </w:r>
      <w:r w:rsidR="0072602E">
        <w:t> </w:t>
      </w:r>
      <w:r>
        <w:t xml:space="preserve">7 </w:t>
      </w:r>
      <w:r w:rsidR="0072602E">
        <w:t xml:space="preserve">comprendra une discussion de la manière de passer </w:t>
      </w:r>
      <w:r>
        <w:t xml:space="preserve">de la théorie à la pratique dans les systèmes </w:t>
      </w:r>
      <w:r w:rsidR="0072602E">
        <w:t xml:space="preserve">de </w:t>
      </w:r>
      <w:r>
        <w:t>comptab</w:t>
      </w:r>
      <w:r w:rsidR="0072602E">
        <w:t>ilité</w:t>
      </w:r>
      <w:r>
        <w:t xml:space="preserve"> environnementa</w:t>
      </w:r>
      <w:r w:rsidR="0072602E">
        <w:t>le</w:t>
      </w:r>
      <w:r>
        <w:t xml:space="preserve"> tels que le </w:t>
      </w:r>
      <w:r w:rsidR="0072602E">
        <w:t>Système de comptabilité économique et environnementale intégrée</w:t>
      </w:r>
      <w:r>
        <w:t xml:space="preserve">. </w:t>
      </w:r>
      <w:r w:rsidR="0072602E">
        <w:t>Parmi les sujets abordés se trouve</w:t>
      </w:r>
      <w:r>
        <w:t xml:space="preserve">ront les liens avec les comptes nationaux, les concepts, les principes et procédures, les cadres, les méthodes et les études de cas qui testent la capacité de ces systèmes </w:t>
      </w:r>
      <w:r w:rsidR="00116D9D">
        <w:t>satisfaire les</w:t>
      </w:r>
      <w:r>
        <w:t xml:space="preserve"> besoins </w:t>
      </w:r>
      <w:r w:rsidR="00116D9D">
        <w:t>aux plans</w:t>
      </w:r>
      <w:r w:rsidR="00767CFE">
        <w:t xml:space="preserve"> </w:t>
      </w:r>
      <w:r w:rsidR="00116D9D">
        <w:t>de la communication d’informations</w:t>
      </w:r>
      <w:r>
        <w:t xml:space="preserve"> et de</w:t>
      </w:r>
      <w:r w:rsidR="00116D9D">
        <w:t>s</w:t>
      </w:r>
      <w:r>
        <w:t xml:space="preserve"> politiques.</w:t>
      </w:r>
    </w:p>
    <w:p w:rsidR="002202FD" w:rsidRDefault="002202FD" w:rsidP="002202FD">
      <w:pPr>
        <w:pStyle w:val="Normalnumber"/>
      </w:pPr>
      <w:r>
        <w:t>Le chapitre</w:t>
      </w:r>
      <w:r w:rsidR="00116D9D">
        <w:t> </w:t>
      </w:r>
      <w:r>
        <w:t xml:space="preserve">8 </w:t>
      </w:r>
      <w:r w:rsidR="00116D9D">
        <w:t>étudie</w:t>
      </w:r>
      <w:r>
        <w:t>ra l</w:t>
      </w:r>
      <w:r w:rsidR="00116D9D">
        <w:t>’actuelle</w:t>
      </w:r>
      <w:r>
        <w:t xml:space="preserve"> capacité </w:t>
      </w:r>
      <w:r w:rsidR="00116D9D">
        <w:t>de</w:t>
      </w:r>
      <w:r>
        <w:t xml:space="preserve"> travail</w:t>
      </w:r>
      <w:r w:rsidR="00116D9D">
        <w:t>ler</w:t>
      </w:r>
      <w:r>
        <w:t xml:space="preserve"> avec les techniques de val</w:t>
      </w:r>
      <w:r w:rsidR="00B20BCA">
        <w:t>orisation</w:t>
      </w:r>
      <w:r>
        <w:t xml:space="preserve">, d'évaluation et de comptabilité évaluées, en </w:t>
      </w:r>
      <w:r w:rsidR="00116D9D">
        <w:t>faisant ressortir</w:t>
      </w:r>
      <w:r>
        <w:t xml:space="preserve"> les </w:t>
      </w:r>
      <w:r w:rsidR="00116D9D">
        <w:t xml:space="preserve">lacunes en matière </w:t>
      </w:r>
      <w:r>
        <w:t xml:space="preserve">de connaissances et d'expertise. Il </w:t>
      </w:r>
      <w:r w:rsidR="00B20BCA">
        <w:t>se pench</w:t>
      </w:r>
      <w:r>
        <w:t xml:space="preserve">era </w:t>
      </w:r>
      <w:r w:rsidR="00B20BCA">
        <w:t>sur l</w:t>
      </w:r>
      <w:r>
        <w:t xml:space="preserve">es activités de renforcement des capacités nécessaires pour permettre aux </w:t>
      </w:r>
      <w:r w:rsidR="00B20BCA">
        <w:t>intervenants</w:t>
      </w:r>
      <w:r>
        <w:t xml:space="preserve"> de tenir compte de la valeur, de l'évaluation et de la comptabilité dans les évaluations sous-régionales, régionales et mondiales.</w:t>
      </w:r>
    </w:p>
    <w:p w:rsidR="002202FD" w:rsidRDefault="002202FD" w:rsidP="002202FD">
      <w:pPr>
        <w:pStyle w:val="Normalnumber"/>
      </w:pPr>
      <w:r>
        <w:t>Le chapitre 9 examinera la création d'un cadre pour l'intégration de l'approche et des valeurs écosystémiques dans les processus d'évaluation, d'élaboration des politiques et de prise de décisions. Il</w:t>
      </w:r>
      <w:r w:rsidR="00146A89">
        <w:t> </w:t>
      </w:r>
      <w:r>
        <w:t>comprendra, entre autres, un cadre conceptuel, une typologie des outils, des méthodes et une évaluation des barrières et des opportunités, y compris les coûts liés à la mise en œuvre.</w:t>
      </w:r>
    </w:p>
    <w:p w:rsidR="00D7505A" w:rsidRPr="00C9391E" w:rsidRDefault="00035AE6" w:rsidP="009C3A9E">
      <w:pPr>
        <w:pStyle w:val="CH1"/>
        <w:spacing w:before="0"/>
        <w:ind w:left="1248" w:hanging="624"/>
      </w:pPr>
      <w:r>
        <w:t>IV</w:t>
      </w:r>
      <w:r w:rsidR="00B92858">
        <w:t>.</w:t>
      </w:r>
      <w:r w:rsidR="00B92858">
        <w:tab/>
      </w:r>
      <w:r w:rsidR="008A6546" w:rsidRPr="00C9391E">
        <w:t>Déroulement et calendrier des travaux</w:t>
      </w:r>
    </w:p>
    <w:p w:rsidR="008F45EB" w:rsidRPr="00C9391E" w:rsidRDefault="008A6546" w:rsidP="004E0A3B">
      <w:pPr>
        <w:pStyle w:val="Normalnumber"/>
      </w:pPr>
      <w:r w:rsidRPr="00C9391E">
        <w:t>Le déroulement et le calendrier des travaux envisagés pour la réalisation de l’évaluation sont indiqués dans le tableau ci-après</w:t>
      </w:r>
      <w:r w:rsidR="008F45EB" w:rsidRPr="00C9391E">
        <w:t>.</w:t>
      </w:r>
    </w:p>
    <w:tbl>
      <w:tblPr>
        <w:tblW w:w="822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59"/>
        <w:gridCol w:w="5754"/>
      </w:tblGrid>
      <w:tr w:rsidR="00D33A85" w:rsidRPr="00C9391E" w:rsidTr="009A0723">
        <w:trPr>
          <w:cantSplit/>
          <w:trHeight w:val="584"/>
        </w:trPr>
        <w:tc>
          <w:tcPr>
            <w:tcW w:w="709" w:type="dxa"/>
            <w:vMerge w:val="restart"/>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r w:rsidRPr="009C3A9E">
              <w:rPr>
                <w:rFonts w:eastAsia="SimSun"/>
                <w:sz w:val="18"/>
                <w:szCs w:val="18"/>
                <w:lang w:val="fr-CA" w:eastAsia="zh-CN"/>
              </w:rPr>
              <w:t>2013</w:t>
            </w:r>
          </w:p>
        </w:tc>
        <w:tc>
          <w:tcPr>
            <w:tcW w:w="1759" w:type="dxa"/>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r w:rsidRPr="009C3A9E">
              <w:rPr>
                <w:rFonts w:eastAsia="SimSun"/>
                <w:sz w:val="18"/>
                <w:szCs w:val="18"/>
                <w:lang w:val="fr-CA" w:eastAsia="zh-CN"/>
              </w:rPr>
              <w:t>Quatrième trimestre</w:t>
            </w:r>
          </w:p>
        </w:tc>
        <w:tc>
          <w:tcPr>
            <w:tcW w:w="5754" w:type="dxa"/>
            <w:shd w:val="clear" w:color="auto" w:fill="auto"/>
            <w:vAlign w:val="center"/>
          </w:tcPr>
          <w:p w:rsidR="00D33A85" w:rsidRPr="009C3A9E" w:rsidRDefault="00D33A85" w:rsidP="004E0A3B">
            <w:pPr>
              <w:pStyle w:val="Normal-pool"/>
              <w:spacing w:before="40" w:after="40"/>
              <w:rPr>
                <w:sz w:val="18"/>
                <w:szCs w:val="18"/>
                <w:lang w:val="fr-CA"/>
              </w:rPr>
            </w:pPr>
            <w:r w:rsidRPr="009C3A9E">
              <w:rPr>
                <w:sz w:val="18"/>
                <w:szCs w:val="18"/>
                <w:lang w:val="fr-CA"/>
              </w:rPr>
              <w:t>La Plénière à sa deuxième session examine et approuve l’étude de cadrage initiale établie par le Groupe d’experts multidisciplinaire (14 décembre 2013).</w:t>
            </w:r>
          </w:p>
        </w:tc>
      </w:tr>
      <w:tr w:rsidR="00D33A85" w:rsidRPr="00C9391E" w:rsidTr="009A0723">
        <w:trPr>
          <w:cantSplit/>
          <w:trHeight w:val="584"/>
        </w:trPr>
        <w:tc>
          <w:tcPr>
            <w:tcW w:w="709" w:type="dxa"/>
            <w:vMerge/>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p>
        </w:tc>
        <w:tc>
          <w:tcPr>
            <w:tcW w:w="1759" w:type="dxa"/>
            <w:shd w:val="clear" w:color="auto" w:fill="auto"/>
            <w:vAlign w:val="center"/>
          </w:tcPr>
          <w:p w:rsidR="00D33A85" w:rsidRPr="009C3A9E" w:rsidRDefault="008826B2" w:rsidP="004E0A3B">
            <w:pPr>
              <w:pStyle w:val="Normal-pool"/>
              <w:spacing w:before="40" w:after="40"/>
              <w:rPr>
                <w:rFonts w:eastAsia="SimSun"/>
                <w:sz w:val="18"/>
                <w:szCs w:val="18"/>
                <w:lang w:val="fr-CA" w:eastAsia="zh-CN"/>
              </w:rPr>
            </w:pPr>
            <w:r w:rsidRPr="009C3A9E">
              <w:rPr>
                <w:rFonts w:eastAsia="SimSun"/>
                <w:sz w:val="18"/>
                <w:szCs w:val="18"/>
                <w:lang w:val="fr-CA" w:eastAsia="zh-CN"/>
              </w:rPr>
              <w:t>Quatrième trimestre</w:t>
            </w:r>
          </w:p>
        </w:tc>
        <w:tc>
          <w:tcPr>
            <w:tcW w:w="5754" w:type="dxa"/>
            <w:shd w:val="clear" w:color="auto" w:fill="auto"/>
            <w:vAlign w:val="center"/>
          </w:tcPr>
          <w:p w:rsidR="00D33A85" w:rsidRPr="009C3A9E" w:rsidRDefault="00D33A85" w:rsidP="00B20BCA">
            <w:pPr>
              <w:pStyle w:val="Normal-pool"/>
              <w:spacing w:before="40" w:after="40"/>
              <w:rPr>
                <w:sz w:val="18"/>
                <w:szCs w:val="18"/>
                <w:lang w:val="fr-CA"/>
              </w:rPr>
            </w:pPr>
            <w:r w:rsidRPr="009C3A9E">
              <w:rPr>
                <w:sz w:val="18"/>
                <w:szCs w:val="18"/>
                <w:lang w:val="fr-CA"/>
              </w:rPr>
              <w:t>Le Groupe d’experts multidisciplinaire, par l’intermédiaire du secrétariat, demande aux gouvernements et aux autres parties prenantes de désigner des experts (coprésidents de l’équipe chargée du rapport, auteurs coordonnateurs principaux, auteurs principaux et éditeurs-réviseurs) pour réaliser l’évaluation sur la base des résultats de l’étude de cadrage approuvée par la Plénière (9 décembre 2013–10 janvier 2014).</w:t>
            </w:r>
          </w:p>
        </w:tc>
      </w:tr>
      <w:tr w:rsidR="00D33A85" w:rsidRPr="00C9391E" w:rsidTr="009A0723">
        <w:trPr>
          <w:cantSplit/>
          <w:trHeight w:val="584"/>
        </w:trPr>
        <w:tc>
          <w:tcPr>
            <w:tcW w:w="709" w:type="dxa"/>
            <w:vMerge w:val="restart"/>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r w:rsidRPr="009C3A9E">
              <w:rPr>
                <w:rFonts w:eastAsia="SimSun"/>
                <w:sz w:val="18"/>
                <w:szCs w:val="18"/>
                <w:lang w:val="fr-CA" w:eastAsia="zh-CN"/>
              </w:rPr>
              <w:t>2014</w:t>
            </w:r>
          </w:p>
        </w:tc>
        <w:tc>
          <w:tcPr>
            <w:tcW w:w="1759" w:type="dxa"/>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r w:rsidRPr="009C3A9E">
              <w:rPr>
                <w:rFonts w:eastAsia="SimSun"/>
                <w:sz w:val="18"/>
                <w:szCs w:val="18"/>
                <w:lang w:val="fr-CA" w:eastAsia="zh-CN"/>
              </w:rPr>
              <w:t>Premier trimestre</w:t>
            </w:r>
          </w:p>
        </w:tc>
        <w:tc>
          <w:tcPr>
            <w:tcW w:w="5754" w:type="dxa"/>
            <w:shd w:val="clear" w:color="auto" w:fill="auto"/>
            <w:vAlign w:val="center"/>
          </w:tcPr>
          <w:p w:rsidR="00D33A85" w:rsidRPr="009C3A9E" w:rsidRDefault="00D33A85" w:rsidP="009A0723">
            <w:pPr>
              <w:pStyle w:val="Normal-pool"/>
              <w:spacing w:before="40" w:after="40"/>
              <w:rPr>
                <w:sz w:val="18"/>
                <w:szCs w:val="18"/>
                <w:lang w:val="fr-CA"/>
              </w:rPr>
            </w:pPr>
            <w:r w:rsidRPr="009C3A9E">
              <w:rPr>
                <w:sz w:val="18"/>
                <w:szCs w:val="18"/>
                <w:lang w:val="fr-CA"/>
              </w:rPr>
              <w:t>Le Groupe d’experts multidisciplinaire, par courriel et par téléconférences, choisit les coprésidents, les auteurs coordonnateurs principaux, les auteurs principaux et les éditeurs-réviseurs, en appliquant les critères de sélection approuvés (voir IPBES/2/9) (11–24 janvier 2014).</w:t>
            </w:r>
          </w:p>
        </w:tc>
      </w:tr>
      <w:tr w:rsidR="00D33A85" w:rsidRPr="00C9391E" w:rsidTr="009A0723">
        <w:trPr>
          <w:cantSplit/>
          <w:trHeight w:val="584"/>
        </w:trPr>
        <w:tc>
          <w:tcPr>
            <w:tcW w:w="709" w:type="dxa"/>
            <w:vMerge/>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p>
        </w:tc>
        <w:tc>
          <w:tcPr>
            <w:tcW w:w="1759" w:type="dxa"/>
            <w:shd w:val="clear" w:color="auto" w:fill="auto"/>
            <w:vAlign w:val="center"/>
          </w:tcPr>
          <w:p w:rsidR="00D33A85" w:rsidRPr="009C3A9E" w:rsidRDefault="00D33A85" w:rsidP="00DD23E2">
            <w:pPr>
              <w:pStyle w:val="Normal-pool"/>
              <w:spacing w:before="40" w:after="40"/>
              <w:rPr>
                <w:rFonts w:eastAsia="SimSun"/>
                <w:sz w:val="18"/>
                <w:szCs w:val="18"/>
                <w:lang w:val="fr-CA" w:eastAsia="zh-CN"/>
              </w:rPr>
            </w:pPr>
            <w:r w:rsidRPr="009C3A9E">
              <w:rPr>
                <w:rFonts w:eastAsia="SimSun"/>
                <w:sz w:val="18"/>
                <w:szCs w:val="18"/>
                <w:lang w:val="fr-CA" w:eastAsia="zh-CN"/>
              </w:rPr>
              <w:t>Premier</w:t>
            </w:r>
            <w:r w:rsidR="00DD23E2" w:rsidRPr="009C3A9E">
              <w:rPr>
                <w:rFonts w:eastAsia="SimSun"/>
                <w:sz w:val="18"/>
                <w:szCs w:val="18"/>
                <w:lang w:val="fr-CA" w:eastAsia="zh-CN"/>
              </w:rPr>
              <w:t>/</w:t>
            </w:r>
            <w:r w:rsidRPr="009C3A9E">
              <w:rPr>
                <w:rFonts w:eastAsia="SimSun"/>
                <w:sz w:val="18"/>
                <w:szCs w:val="18"/>
                <w:lang w:val="fr-CA" w:eastAsia="zh-CN"/>
              </w:rPr>
              <w:t>deuxième/</w:t>
            </w:r>
            <w:r w:rsidR="009C3A9E">
              <w:rPr>
                <w:rFonts w:eastAsia="SimSun"/>
                <w:sz w:val="18"/>
                <w:szCs w:val="18"/>
                <w:lang w:val="fr-CA" w:eastAsia="zh-CN"/>
              </w:rPr>
              <w:br/>
            </w:r>
            <w:r w:rsidRPr="009C3A9E">
              <w:rPr>
                <w:rFonts w:eastAsia="SimSun"/>
                <w:sz w:val="18"/>
                <w:szCs w:val="18"/>
                <w:lang w:val="fr-CA" w:eastAsia="zh-CN"/>
              </w:rPr>
              <w:t>troisième trimestre</w:t>
            </w:r>
            <w:r w:rsidR="009A0723">
              <w:rPr>
                <w:rFonts w:eastAsia="SimSun"/>
                <w:sz w:val="18"/>
                <w:szCs w:val="18"/>
                <w:lang w:val="fr-CA" w:eastAsia="zh-CN"/>
              </w:rPr>
              <w:t>s</w:t>
            </w:r>
          </w:p>
        </w:tc>
        <w:tc>
          <w:tcPr>
            <w:tcW w:w="5754" w:type="dxa"/>
            <w:shd w:val="clear" w:color="auto" w:fill="auto"/>
            <w:vAlign w:val="center"/>
          </w:tcPr>
          <w:p w:rsidR="00D33A85" w:rsidRPr="009C3A9E" w:rsidRDefault="00D33A85" w:rsidP="00915ABD">
            <w:pPr>
              <w:pStyle w:val="Normal-pool"/>
              <w:spacing w:before="40" w:after="40"/>
              <w:rPr>
                <w:sz w:val="18"/>
                <w:szCs w:val="18"/>
                <w:lang w:val="fr-CA"/>
              </w:rPr>
            </w:pPr>
            <w:r w:rsidRPr="009C3A9E">
              <w:rPr>
                <w:sz w:val="18"/>
                <w:szCs w:val="18"/>
                <w:lang w:val="fr-CA"/>
              </w:rPr>
              <w:t>Les coprésidents, les auteurs coordonnateurs principaux et les auteurs principaux établissent l’avant-projet de rapport et de résumé à l’intention des décideurs (25 janvier–25 juillet 2014). Les auteurs se réunissent en février pour progresser dans l’élaboration du plan annoté et des sections et chapitres qui leur ont été assignés et de nouveau début juillet pour finaliser le rapport et établir le résumé à l’intention des décideurs.</w:t>
            </w:r>
          </w:p>
        </w:tc>
      </w:tr>
      <w:tr w:rsidR="00D33A85" w:rsidRPr="00C9391E" w:rsidTr="009A0723">
        <w:trPr>
          <w:cantSplit/>
          <w:trHeight w:val="584"/>
        </w:trPr>
        <w:tc>
          <w:tcPr>
            <w:tcW w:w="709" w:type="dxa"/>
            <w:vMerge/>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p>
        </w:tc>
        <w:tc>
          <w:tcPr>
            <w:tcW w:w="1759" w:type="dxa"/>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r w:rsidRPr="009C3A9E">
              <w:rPr>
                <w:rFonts w:eastAsia="SimSun"/>
                <w:sz w:val="18"/>
                <w:szCs w:val="18"/>
                <w:lang w:val="fr-CA" w:eastAsia="zh-CN"/>
              </w:rPr>
              <w:t>Troisième trimestre</w:t>
            </w:r>
          </w:p>
        </w:tc>
        <w:tc>
          <w:tcPr>
            <w:tcW w:w="5754" w:type="dxa"/>
            <w:shd w:val="clear" w:color="auto" w:fill="auto"/>
            <w:vAlign w:val="center"/>
          </w:tcPr>
          <w:p w:rsidR="00D33A85" w:rsidRPr="009C3A9E" w:rsidRDefault="00D33A85" w:rsidP="004E0A3B">
            <w:pPr>
              <w:pStyle w:val="Normal-pool"/>
              <w:spacing w:before="40" w:after="40"/>
              <w:rPr>
                <w:sz w:val="18"/>
                <w:szCs w:val="18"/>
                <w:lang w:val="fr-CA"/>
              </w:rPr>
            </w:pPr>
            <w:r w:rsidRPr="009C3A9E">
              <w:rPr>
                <w:sz w:val="18"/>
                <w:szCs w:val="18"/>
                <w:lang w:val="fr-CA"/>
              </w:rPr>
              <w:t>L’avant-projet de rapport et de résumé à l’intention des décideurs est examiné par les experts, les gouvernements et les autres parties prenantes (26 juillet–12 septembre 2014).</w:t>
            </w:r>
          </w:p>
        </w:tc>
      </w:tr>
      <w:tr w:rsidR="00D33A85" w:rsidRPr="00C9391E" w:rsidTr="009A0723">
        <w:trPr>
          <w:cantSplit/>
          <w:trHeight w:val="120"/>
        </w:trPr>
        <w:tc>
          <w:tcPr>
            <w:tcW w:w="709" w:type="dxa"/>
            <w:vMerge/>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p>
        </w:tc>
        <w:tc>
          <w:tcPr>
            <w:tcW w:w="1759" w:type="dxa"/>
            <w:shd w:val="clear" w:color="auto" w:fill="auto"/>
            <w:vAlign w:val="center"/>
          </w:tcPr>
          <w:p w:rsidR="00D33A85" w:rsidRPr="009C3A9E" w:rsidRDefault="00D33A85" w:rsidP="009A0723">
            <w:pPr>
              <w:pStyle w:val="Normal-pool"/>
              <w:spacing w:before="40" w:after="40"/>
              <w:rPr>
                <w:rFonts w:eastAsia="SimSun"/>
                <w:sz w:val="18"/>
                <w:szCs w:val="18"/>
                <w:lang w:val="fr-CA" w:eastAsia="zh-CN"/>
              </w:rPr>
            </w:pPr>
            <w:r w:rsidRPr="009C3A9E">
              <w:rPr>
                <w:rFonts w:eastAsia="SimSun"/>
                <w:sz w:val="18"/>
                <w:szCs w:val="18"/>
                <w:lang w:val="fr-CA" w:eastAsia="zh-CN"/>
              </w:rPr>
              <w:t>Troisième/quatrième trimestre</w:t>
            </w:r>
            <w:r w:rsidR="009A0723">
              <w:rPr>
                <w:rFonts w:eastAsia="SimSun"/>
                <w:sz w:val="18"/>
                <w:szCs w:val="18"/>
                <w:lang w:val="fr-CA" w:eastAsia="zh-CN"/>
              </w:rPr>
              <w:t>s</w:t>
            </w:r>
          </w:p>
        </w:tc>
        <w:tc>
          <w:tcPr>
            <w:tcW w:w="5754" w:type="dxa"/>
            <w:shd w:val="clear" w:color="auto" w:fill="auto"/>
            <w:vAlign w:val="center"/>
          </w:tcPr>
          <w:p w:rsidR="00D33A85" w:rsidRPr="009C3A9E" w:rsidRDefault="00D33A85" w:rsidP="00915ABD">
            <w:pPr>
              <w:pStyle w:val="Normal-pool"/>
              <w:spacing w:before="40" w:after="40"/>
              <w:rPr>
                <w:sz w:val="18"/>
                <w:szCs w:val="18"/>
                <w:lang w:val="fr-CA"/>
              </w:rPr>
            </w:pPr>
            <w:r w:rsidRPr="009C3A9E">
              <w:rPr>
                <w:sz w:val="18"/>
                <w:szCs w:val="18"/>
                <w:lang w:val="fr-CA"/>
              </w:rPr>
              <w:t xml:space="preserve">Les coprésidents, les auteurs coordonnateurs principaux et les auteurs principaux révisent l’avant-projet de rapport et de résumé à l’intention des décideurs sous la supervision des éditeurs-réviseurs et du Groupe d’experts multidisciplinaire. Les auteurs et les éditeurs-réviseurs ainsi que quelques membres du Groupe d’experts multidisciplinaire se réunissent une fois pour établir le projet final de rapport et de résumé à l’intention des décideurs (13 septembre–7 novembre 2014). </w:t>
            </w:r>
          </w:p>
        </w:tc>
      </w:tr>
      <w:tr w:rsidR="00D33A85" w:rsidRPr="00C9391E" w:rsidTr="009A0723">
        <w:trPr>
          <w:cantSplit/>
          <w:trHeight w:val="584"/>
        </w:trPr>
        <w:tc>
          <w:tcPr>
            <w:tcW w:w="709" w:type="dxa"/>
            <w:vMerge/>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p>
        </w:tc>
        <w:tc>
          <w:tcPr>
            <w:tcW w:w="1759" w:type="dxa"/>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r w:rsidRPr="009C3A9E">
              <w:rPr>
                <w:rFonts w:eastAsia="SimSun"/>
                <w:sz w:val="18"/>
                <w:szCs w:val="18"/>
                <w:lang w:val="fr-CA" w:eastAsia="zh-CN"/>
              </w:rPr>
              <w:t>Quatrième trimestre</w:t>
            </w:r>
          </w:p>
        </w:tc>
        <w:tc>
          <w:tcPr>
            <w:tcW w:w="5754" w:type="dxa"/>
            <w:shd w:val="clear" w:color="auto" w:fill="auto"/>
            <w:vAlign w:val="center"/>
          </w:tcPr>
          <w:p w:rsidR="00D33A85" w:rsidRPr="009C3A9E" w:rsidRDefault="00D33A85" w:rsidP="004E0A3B">
            <w:pPr>
              <w:pStyle w:val="Normal-pool"/>
              <w:spacing w:before="40" w:after="40"/>
              <w:rPr>
                <w:sz w:val="18"/>
                <w:szCs w:val="18"/>
                <w:lang w:val="fr-CA"/>
              </w:rPr>
            </w:pPr>
            <w:r w:rsidRPr="009C3A9E">
              <w:rPr>
                <w:sz w:val="18"/>
                <w:szCs w:val="18"/>
                <w:lang w:val="fr-CA"/>
              </w:rPr>
              <w:t>Le résumé à l’intention des décideurs est traduit dans les six langues officielles de l’ONU (8 novembre–5 décembre 2014).</w:t>
            </w:r>
          </w:p>
        </w:tc>
      </w:tr>
      <w:tr w:rsidR="00D33A85" w:rsidRPr="00C9391E" w:rsidTr="009A0723">
        <w:trPr>
          <w:cantSplit/>
          <w:trHeight w:val="584"/>
        </w:trPr>
        <w:tc>
          <w:tcPr>
            <w:tcW w:w="709" w:type="dxa"/>
            <w:vMerge/>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p>
        </w:tc>
        <w:tc>
          <w:tcPr>
            <w:tcW w:w="1759" w:type="dxa"/>
            <w:shd w:val="clear" w:color="auto" w:fill="auto"/>
            <w:vAlign w:val="center"/>
          </w:tcPr>
          <w:p w:rsidR="00D33A85" w:rsidRPr="009C3A9E" w:rsidRDefault="00D33A85" w:rsidP="004E0A3B">
            <w:pPr>
              <w:pStyle w:val="Normal-pool"/>
              <w:spacing w:before="40" w:after="40"/>
              <w:rPr>
                <w:rFonts w:eastAsia="SimSun"/>
                <w:sz w:val="18"/>
                <w:szCs w:val="18"/>
                <w:lang w:val="fr-CA" w:eastAsia="zh-CN"/>
              </w:rPr>
            </w:pPr>
            <w:r w:rsidRPr="009C3A9E">
              <w:rPr>
                <w:rFonts w:eastAsia="SimSun"/>
                <w:sz w:val="18"/>
                <w:szCs w:val="18"/>
                <w:lang w:val="fr-CA" w:eastAsia="zh-CN"/>
              </w:rPr>
              <w:t>Quatrième trimestre</w:t>
            </w:r>
          </w:p>
        </w:tc>
        <w:tc>
          <w:tcPr>
            <w:tcW w:w="5754" w:type="dxa"/>
            <w:shd w:val="clear" w:color="auto" w:fill="auto"/>
            <w:vAlign w:val="center"/>
          </w:tcPr>
          <w:p w:rsidR="00D33A85" w:rsidRPr="009C3A9E" w:rsidRDefault="00D33A85" w:rsidP="004E0A3B">
            <w:pPr>
              <w:pStyle w:val="Normal-pool"/>
              <w:spacing w:before="40" w:after="40"/>
              <w:rPr>
                <w:sz w:val="18"/>
                <w:szCs w:val="18"/>
                <w:lang w:val="fr-CA"/>
              </w:rPr>
            </w:pPr>
            <w:r w:rsidRPr="009C3A9E">
              <w:rPr>
                <w:sz w:val="18"/>
                <w:szCs w:val="18"/>
                <w:lang w:val="fr-CA"/>
              </w:rPr>
              <w:t>Le projet final de rapport et de résumé à l’intention des décideurs est adressé aux gouvernements et aux autres parties prenantes pour examen final (6 décembre 2014 – 6 février 2015).</w:t>
            </w:r>
          </w:p>
        </w:tc>
      </w:tr>
      <w:tr w:rsidR="00947ED6" w:rsidRPr="00C9391E" w:rsidTr="009A0723">
        <w:trPr>
          <w:cantSplit/>
          <w:trHeight w:val="504"/>
        </w:trPr>
        <w:tc>
          <w:tcPr>
            <w:tcW w:w="709" w:type="dxa"/>
            <w:vMerge w:val="restart"/>
            <w:shd w:val="clear" w:color="auto" w:fill="auto"/>
            <w:vAlign w:val="center"/>
          </w:tcPr>
          <w:p w:rsidR="00D7505A" w:rsidRPr="009C3A9E" w:rsidRDefault="00D7505A" w:rsidP="004E0A3B">
            <w:pPr>
              <w:pStyle w:val="Normal-pool"/>
              <w:spacing w:before="40" w:after="40"/>
              <w:rPr>
                <w:rFonts w:eastAsia="SimSun"/>
                <w:sz w:val="18"/>
                <w:szCs w:val="18"/>
                <w:lang w:val="fr-CA" w:eastAsia="zh-CN"/>
              </w:rPr>
            </w:pPr>
            <w:r w:rsidRPr="009C3A9E">
              <w:rPr>
                <w:rFonts w:eastAsia="SimSun"/>
                <w:sz w:val="18"/>
                <w:szCs w:val="18"/>
                <w:lang w:val="fr-CA" w:eastAsia="zh-CN"/>
              </w:rPr>
              <w:t>2015</w:t>
            </w:r>
          </w:p>
        </w:tc>
        <w:tc>
          <w:tcPr>
            <w:tcW w:w="1759" w:type="dxa"/>
            <w:shd w:val="clear" w:color="auto" w:fill="auto"/>
            <w:vAlign w:val="center"/>
          </w:tcPr>
          <w:p w:rsidR="00D7505A" w:rsidRPr="009C3A9E" w:rsidRDefault="00B20BCA" w:rsidP="004E0A3B">
            <w:pPr>
              <w:pStyle w:val="Normal-pool"/>
              <w:spacing w:before="40" w:after="40"/>
              <w:rPr>
                <w:rFonts w:eastAsia="SimSun"/>
                <w:sz w:val="18"/>
                <w:szCs w:val="18"/>
                <w:lang w:val="fr-CA" w:eastAsia="zh-CN"/>
              </w:rPr>
            </w:pPr>
            <w:r w:rsidRPr="009C3A9E">
              <w:rPr>
                <w:rFonts w:eastAsia="SimSun"/>
                <w:sz w:val="18"/>
                <w:szCs w:val="18"/>
                <w:lang w:val="fr-CA" w:eastAsia="zh-CN"/>
              </w:rPr>
              <w:t>Premier trimestre</w:t>
            </w:r>
          </w:p>
        </w:tc>
        <w:tc>
          <w:tcPr>
            <w:tcW w:w="5754" w:type="dxa"/>
            <w:shd w:val="clear" w:color="auto" w:fill="auto"/>
            <w:vAlign w:val="center"/>
          </w:tcPr>
          <w:p w:rsidR="00D7505A" w:rsidRPr="009C3A9E" w:rsidRDefault="00921F14" w:rsidP="00D33A85">
            <w:pPr>
              <w:pStyle w:val="Normal-pool"/>
              <w:spacing w:before="40" w:after="40"/>
              <w:rPr>
                <w:b/>
                <w:sz w:val="18"/>
                <w:szCs w:val="18"/>
                <w:lang w:val="fr-CA"/>
              </w:rPr>
            </w:pPr>
            <w:r w:rsidRPr="009C3A9E">
              <w:rPr>
                <w:sz w:val="18"/>
                <w:szCs w:val="18"/>
                <w:lang w:val="fr-CA"/>
              </w:rPr>
              <w:t xml:space="preserve">Les gouvernements envoient </w:t>
            </w:r>
            <w:r w:rsidR="00D33A85" w:rsidRPr="009C3A9E">
              <w:rPr>
                <w:sz w:val="18"/>
                <w:szCs w:val="18"/>
                <w:lang w:val="fr-CA"/>
              </w:rPr>
              <w:t xml:space="preserve">par écrit </w:t>
            </w:r>
            <w:r w:rsidRPr="009C3A9E">
              <w:rPr>
                <w:sz w:val="18"/>
                <w:szCs w:val="18"/>
                <w:lang w:val="fr-CA"/>
              </w:rPr>
              <w:t xml:space="preserve">au secrétariat </w:t>
            </w:r>
            <w:r w:rsidR="00D33A85" w:rsidRPr="009C3A9E">
              <w:rPr>
                <w:sz w:val="18"/>
                <w:szCs w:val="18"/>
                <w:lang w:val="fr-CA"/>
              </w:rPr>
              <w:t>leurs observations</w:t>
            </w:r>
            <w:r w:rsidRPr="009C3A9E">
              <w:rPr>
                <w:sz w:val="18"/>
                <w:szCs w:val="18"/>
                <w:lang w:val="fr-CA"/>
              </w:rPr>
              <w:t xml:space="preserve"> sur le résumé à l’intention des décideurs </w:t>
            </w:r>
            <w:r w:rsidR="00D33A85" w:rsidRPr="009C3A9E">
              <w:rPr>
                <w:sz w:val="18"/>
                <w:szCs w:val="18"/>
                <w:lang w:val="fr-CA"/>
              </w:rPr>
              <w:t>au plus tard le</w:t>
            </w:r>
            <w:r w:rsidRPr="009C3A9E">
              <w:rPr>
                <w:sz w:val="18"/>
                <w:szCs w:val="18"/>
                <w:lang w:val="fr-CA"/>
              </w:rPr>
              <w:t xml:space="preserve"> 31 janvier</w:t>
            </w:r>
            <w:r w:rsidR="00915ABD" w:rsidRPr="009C3A9E">
              <w:rPr>
                <w:sz w:val="18"/>
                <w:szCs w:val="18"/>
                <w:lang w:val="fr-CA"/>
              </w:rPr>
              <w:t xml:space="preserve"> 2015</w:t>
            </w:r>
            <w:r w:rsidR="00801060" w:rsidRPr="009C3A9E">
              <w:rPr>
                <w:sz w:val="18"/>
                <w:szCs w:val="18"/>
                <w:lang w:val="fr-CA"/>
              </w:rPr>
              <w:t>.</w:t>
            </w:r>
          </w:p>
        </w:tc>
      </w:tr>
      <w:tr w:rsidR="00947ED6" w:rsidRPr="00C9391E" w:rsidTr="009A0723">
        <w:trPr>
          <w:cantSplit/>
          <w:trHeight w:val="567"/>
        </w:trPr>
        <w:tc>
          <w:tcPr>
            <w:tcW w:w="709" w:type="dxa"/>
            <w:vMerge/>
            <w:shd w:val="clear" w:color="auto" w:fill="auto"/>
            <w:vAlign w:val="center"/>
          </w:tcPr>
          <w:p w:rsidR="00D7505A" w:rsidRPr="009C3A9E" w:rsidRDefault="00D7505A" w:rsidP="004E0A3B">
            <w:pPr>
              <w:pStyle w:val="Normal-pool"/>
              <w:spacing w:before="40" w:after="40"/>
              <w:rPr>
                <w:rFonts w:eastAsia="SimSun"/>
                <w:sz w:val="18"/>
                <w:szCs w:val="18"/>
                <w:lang w:val="fr-CA" w:eastAsia="zh-CN"/>
              </w:rPr>
            </w:pPr>
          </w:p>
        </w:tc>
        <w:tc>
          <w:tcPr>
            <w:tcW w:w="1759" w:type="dxa"/>
            <w:shd w:val="clear" w:color="auto" w:fill="auto"/>
            <w:vAlign w:val="center"/>
          </w:tcPr>
          <w:p w:rsidR="00D7505A" w:rsidRPr="009C3A9E" w:rsidRDefault="00B20BCA" w:rsidP="004E0A3B">
            <w:pPr>
              <w:pStyle w:val="Normal-pool"/>
              <w:spacing w:before="40" w:after="40"/>
              <w:rPr>
                <w:rFonts w:eastAsia="SimSun"/>
                <w:sz w:val="18"/>
                <w:szCs w:val="18"/>
                <w:lang w:val="fr-CA" w:eastAsia="zh-CN"/>
              </w:rPr>
            </w:pPr>
            <w:r w:rsidRPr="009C3A9E">
              <w:rPr>
                <w:rFonts w:eastAsia="SimSun"/>
                <w:sz w:val="18"/>
                <w:szCs w:val="18"/>
                <w:lang w:val="fr-CA" w:eastAsia="zh-CN"/>
              </w:rPr>
              <w:t>Premier trimestre</w:t>
            </w:r>
          </w:p>
        </w:tc>
        <w:tc>
          <w:tcPr>
            <w:tcW w:w="5754" w:type="dxa"/>
            <w:shd w:val="clear" w:color="auto" w:fill="auto"/>
            <w:vAlign w:val="center"/>
          </w:tcPr>
          <w:p w:rsidR="00D7505A" w:rsidRPr="009C3A9E" w:rsidRDefault="007133EF" w:rsidP="004E0A3B">
            <w:pPr>
              <w:pStyle w:val="Normal-pool"/>
              <w:spacing w:before="40" w:after="40"/>
              <w:rPr>
                <w:sz w:val="18"/>
                <w:szCs w:val="18"/>
                <w:lang w:val="fr-CA"/>
              </w:rPr>
            </w:pPr>
            <w:r w:rsidRPr="009C3A9E">
              <w:rPr>
                <w:sz w:val="18"/>
                <w:szCs w:val="18"/>
                <w:lang w:val="fr-CA"/>
              </w:rPr>
              <w:t>La Plénière examine et accepte le</w:t>
            </w:r>
            <w:r w:rsidR="00D7505A" w:rsidRPr="009C3A9E">
              <w:rPr>
                <w:sz w:val="18"/>
                <w:szCs w:val="18"/>
                <w:lang w:val="fr-CA"/>
              </w:rPr>
              <w:t xml:space="preserve"> r</w:t>
            </w:r>
            <w:r w:rsidRPr="009C3A9E">
              <w:rPr>
                <w:sz w:val="18"/>
                <w:szCs w:val="18"/>
                <w:lang w:val="fr-CA"/>
              </w:rPr>
              <w:t>apport et approuve le résumé à l’intention des décideurs</w:t>
            </w:r>
            <w:r w:rsidR="00F5798B" w:rsidRPr="009C3A9E">
              <w:rPr>
                <w:sz w:val="18"/>
                <w:szCs w:val="18"/>
                <w:lang w:val="fr-CA"/>
              </w:rPr>
              <w:t xml:space="preserve"> </w:t>
            </w:r>
            <w:r w:rsidR="00D7505A" w:rsidRPr="009C3A9E">
              <w:rPr>
                <w:sz w:val="18"/>
                <w:szCs w:val="18"/>
                <w:lang w:val="fr-CA"/>
              </w:rPr>
              <w:t>(</w:t>
            </w:r>
            <w:r w:rsidR="00CD7F8B" w:rsidRPr="009C3A9E">
              <w:rPr>
                <w:sz w:val="18"/>
                <w:szCs w:val="18"/>
                <w:lang w:val="fr-CA"/>
              </w:rPr>
              <w:t>après le 8 février</w:t>
            </w:r>
            <w:r w:rsidR="00915ABD" w:rsidRPr="009C3A9E">
              <w:rPr>
                <w:sz w:val="18"/>
                <w:szCs w:val="18"/>
                <w:lang w:val="fr-CA"/>
              </w:rPr>
              <w:t xml:space="preserve"> 2015</w:t>
            </w:r>
            <w:r w:rsidR="00D7505A" w:rsidRPr="009C3A9E">
              <w:rPr>
                <w:sz w:val="18"/>
                <w:szCs w:val="18"/>
                <w:lang w:val="fr-CA"/>
              </w:rPr>
              <w:t>).</w:t>
            </w:r>
          </w:p>
        </w:tc>
      </w:tr>
    </w:tbl>
    <w:p w:rsidR="00D7505A" w:rsidRPr="00C9391E" w:rsidRDefault="00AF7ED1" w:rsidP="00AC0B9F">
      <w:pPr>
        <w:pStyle w:val="CH1"/>
        <w:ind w:left="1248" w:hanging="624"/>
      </w:pPr>
      <w:r>
        <w:rPr>
          <w:lang w:val="fr-FR"/>
        </w:rPr>
        <w:t>V.</w:t>
      </w:r>
      <w:r>
        <w:rPr>
          <w:lang w:val="fr-FR"/>
        </w:rPr>
        <w:tab/>
      </w:r>
      <w:r w:rsidR="00D33A85" w:rsidRPr="00EC7BCD">
        <w:rPr>
          <w:lang w:val="fr-FR"/>
        </w:rPr>
        <w:t>Coût estimatif</w:t>
      </w:r>
    </w:p>
    <w:p w:rsidR="00A206D5" w:rsidRPr="00C9391E" w:rsidRDefault="00FE6E54" w:rsidP="004E0A3B">
      <w:pPr>
        <w:pStyle w:val="Normalnumber"/>
        <w:keepNext/>
        <w:keepLines/>
      </w:pPr>
      <w:r w:rsidRPr="00C9391E">
        <w:t xml:space="preserve">Le tableau ci-après </w:t>
      </w:r>
      <w:r w:rsidR="00D33A85">
        <w:t>montre les coûts estimatifs</w:t>
      </w:r>
      <w:r w:rsidRPr="00C9391E">
        <w:t xml:space="preserve">, en dollars des </w:t>
      </w:r>
      <w:r w:rsidR="00CD7F8B" w:rsidRPr="00C9391E">
        <w:t>États-Unis</w:t>
      </w:r>
      <w:r w:rsidRPr="00C9391E">
        <w:t xml:space="preserve">, de l’évaluation </w:t>
      </w:r>
      <w:r w:rsidR="00D33A85">
        <w:t xml:space="preserve">accélérée </w:t>
      </w:r>
      <w:r w:rsidRPr="00C9391E">
        <w:t>et de l’établissement du rapport correspondant</w:t>
      </w:r>
      <w:r w:rsidR="00A206D5" w:rsidRPr="00C9391E">
        <w:t>.</w:t>
      </w:r>
    </w:p>
    <w:tbl>
      <w:tblPr>
        <w:tblW w:w="8505"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402"/>
        <w:gridCol w:w="2693"/>
        <w:gridCol w:w="1418"/>
      </w:tblGrid>
      <w:tr w:rsidR="00947ED6" w:rsidRPr="00CC27C0" w:rsidTr="009C3A9E">
        <w:trPr>
          <w:cantSplit/>
        </w:trPr>
        <w:tc>
          <w:tcPr>
            <w:tcW w:w="992" w:type="dxa"/>
            <w:shd w:val="clear" w:color="auto" w:fill="auto"/>
          </w:tcPr>
          <w:p w:rsidR="00D7505A" w:rsidRPr="009C3A9E" w:rsidRDefault="00FE6E54" w:rsidP="00CC27C0">
            <w:pPr>
              <w:pStyle w:val="Normal-pool"/>
              <w:keepNext/>
              <w:keepLines/>
              <w:spacing w:before="40" w:after="40"/>
              <w:jc w:val="center"/>
              <w:rPr>
                <w:rFonts w:eastAsia="SimSun"/>
                <w:i/>
                <w:sz w:val="18"/>
                <w:szCs w:val="18"/>
                <w:lang w:val="fr-CA" w:eastAsia="zh-CN"/>
              </w:rPr>
            </w:pPr>
            <w:r w:rsidRPr="009C3A9E">
              <w:rPr>
                <w:rFonts w:eastAsia="SimSun"/>
                <w:i/>
                <w:sz w:val="18"/>
                <w:szCs w:val="18"/>
                <w:lang w:val="fr-CA" w:eastAsia="zh-CN"/>
              </w:rPr>
              <w:t>Année</w:t>
            </w:r>
          </w:p>
        </w:tc>
        <w:tc>
          <w:tcPr>
            <w:tcW w:w="3402" w:type="dxa"/>
            <w:shd w:val="clear" w:color="auto" w:fill="auto"/>
          </w:tcPr>
          <w:p w:rsidR="00D7505A" w:rsidRPr="009C3A9E" w:rsidRDefault="00FE6E54" w:rsidP="00CC27C0">
            <w:pPr>
              <w:pStyle w:val="Normal-pool"/>
              <w:keepNext/>
              <w:keepLines/>
              <w:spacing w:before="40" w:after="40"/>
              <w:jc w:val="center"/>
              <w:rPr>
                <w:rFonts w:eastAsia="SimSun"/>
                <w:i/>
                <w:sz w:val="18"/>
                <w:szCs w:val="18"/>
                <w:lang w:val="fr-CA" w:eastAsia="zh-CN"/>
              </w:rPr>
            </w:pPr>
            <w:r w:rsidRPr="009C3A9E">
              <w:rPr>
                <w:rFonts w:eastAsia="SimSun"/>
                <w:i/>
                <w:sz w:val="18"/>
                <w:szCs w:val="18"/>
                <w:lang w:val="fr-CA" w:eastAsia="zh-CN"/>
              </w:rPr>
              <w:t>Poste de dépense</w:t>
            </w:r>
          </w:p>
        </w:tc>
        <w:tc>
          <w:tcPr>
            <w:tcW w:w="2693" w:type="dxa"/>
            <w:shd w:val="clear" w:color="auto" w:fill="auto"/>
          </w:tcPr>
          <w:p w:rsidR="00D7505A" w:rsidRPr="009C3A9E" w:rsidRDefault="00FE6E54" w:rsidP="00CC27C0">
            <w:pPr>
              <w:pStyle w:val="Normal-pool"/>
              <w:keepNext/>
              <w:keepLines/>
              <w:spacing w:before="40" w:after="40"/>
              <w:jc w:val="center"/>
              <w:rPr>
                <w:rFonts w:eastAsia="SimSun"/>
                <w:i/>
                <w:sz w:val="18"/>
                <w:szCs w:val="18"/>
                <w:lang w:val="fr-CA" w:eastAsia="zh-CN"/>
              </w:rPr>
            </w:pPr>
            <w:r w:rsidRPr="009C3A9E">
              <w:rPr>
                <w:rFonts w:eastAsia="SimSun"/>
                <w:i/>
                <w:sz w:val="18"/>
                <w:szCs w:val="18"/>
                <w:lang w:val="fr-CA" w:eastAsia="zh-CN"/>
              </w:rPr>
              <w:t>Hypothèses</w:t>
            </w:r>
          </w:p>
        </w:tc>
        <w:tc>
          <w:tcPr>
            <w:tcW w:w="1418" w:type="dxa"/>
            <w:shd w:val="clear" w:color="auto" w:fill="auto"/>
          </w:tcPr>
          <w:p w:rsidR="00D7505A" w:rsidRPr="009C3A9E" w:rsidRDefault="00D7505A" w:rsidP="00CC27C0">
            <w:pPr>
              <w:pStyle w:val="Normal-pool"/>
              <w:keepNext/>
              <w:keepLines/>
              <w:jc w:val="center"/>
              <w:rPr>
                <w:rFonts w:eastAsia="SimSun"/>
                <w:i/>
                <w:sz w:val="18"/>
                <w:szCs w:val="18"/>
                <w:lang w:val="fr-CA" w:eastAsia="zh-CN"/>
              </w:rPr>
            </w:pPr>
            <w:r w:rsidRPr="009C3A9E">
              <w:rPr>
                <w:rFonts w:eastAsia="SimSun"/>
                <w:i/>
                <w:sz w:val="18"/>
                <w:szCs w:val="18"/>
                <w:lang w:val="fr-CA" w:eastAsia="zh-CN"/>
              </w:rPr>
              <w:t>Co</w:t>
            </w:r>
            <w:r w:rsidR="00FE6E54" w:rsidRPr="009C3A9E">
              <w:rPr>
                <w:rFonts w:eastAsia="SimSun"/>
                <w:i/>
                <w:sz w:val="18"/>
                <w:szCs w:val="18"/>
                <w:lang w:val="fr-CA" w:eastAsia="zh-CN"/>
              </w:rPr>
              <w:t>ût</w:t>
            </w:r>
          </w:p>
        </w:tc>
      </w:tr>
      <w:tr w:rsidR="00BB7648" w:rsidRPr="00C9391E" w:rsidTr="009C3A9E">
        <w:trPr>
          <w:cantSplit/>
        </w:trPr>
        <w:tc>
          <w:tcPr>
            <w:tcW w:w="992" w:type="dxa"/>
            <w:vMerge w:val="restart"/>
            <w:shd w:val="clear" w:color="auto" w:fill="auto"/>
            <w:vAlign w:val="center"/>
          </w:tcPr>
          <w:p w:rsidR="00BB7648" w:rsidRPr="009C3A9E" w:rsidRDefault="00BB7648" w:rsidP="004E0A3B">
            <w:pPr>
              <w:pStyle w:val="Normal-pool"/>
              <w:keepNext/>
              <w:keepLines/>
              <w:rPr>
                <w:rFonts w:eastAsia="SimSun"/>
                <w:sz w:val="18"/>
                <w:szCs w:val="18"/>
                <w:lang w:val="fr-CA" w:eastAsia="zh-CN"/>
              </w:rPr>
            </w:pPr>
            <w:r w:rsidRPr="009C3A9E">
              <w:rPr>
                <w:rFonts w:eastAsia="SimSun"/>
                <w:sz w:val="18"/>
                <w:szCs w:val="18"/>
                <w:lang w:val="fr-CA" w:eastAsia="zh-CN"/>
              </w:rPr>
              <w:t>2014</w:t>
            </w:r>
          </w:p>
        </w:tc>
        <w:tc>
          <w:tcPr>
            <w:tcW w:w="3402" w:type="dxa"/>
            <w:vMerge w:val="restart"/>
            <w:shd w:val="clear" w:color="auto" w:fill="auto"/>
            <w:vAlign w:val="center"/>
          </w:tcPr>
          <w:p w:rsidR="00BB7648" w:rsidRPr="009C3A9E" w:rsidRDefault="00BB7648" w:rsidP="00D33A85">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sidRPr="009C3A9E">
              <w:rPr>
                <w:rFonts w:ascii="Times New Roman" w:eastAsia="SimSun" w:hAnsi="Times New Roman"/>
                <w:sz w:val="18"/>
                <w:szCs w:val="18"/>
                <w:lang w:val="fr-CA" w:eastAsia="zh-CN"/>
              </w:rPr>
              <w:t>Première réunion des auteurs (80 coprésidents, auteurs coordonnateurs principaux et auteurs principaux + 4 membres du Groupe d’experts multidisciplinaire/Bureau +1 agent des services d’appui technique)</w:t>
            </w:r>
          </w:p>
        </w:tc>
        <w:tc>
          <w:tcPr>
            <w:tcW w:w="2693" w:type="dxa"/>
            <w:shd w:val="clear" w:color="auto" w:fill="auto"/>
          </w:tcPr>
          <w:p w:rsidR="00BB7648" w:rsidRPr="009C3A9E" w:rsidRDefault="00BB7648" w:rsidP="00D33A85">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sidRPr="009C3A9E">
              <w:rPr>
                <w:rFonts w:ascii="Times New Roman" w:eastAsia="SimSun" w:hAnsi="Times New Roman"/>
                <w:sz w:val="18"/>
                <w:szCs w:val="18"/>
                <w:lang w:val="fr-CA" w:eastAsia="zh-CN"/>
              </w:rPr>
              <w:t xml:space="preserve">Coûts de la réunion </w:t>
            </w:r>
            <w:r w:rsidR="008826B2">
              <w:rPr>
                <w:rFonts w:ascii="Times New Roman" w:eastAsia="SimSun" w:hAnsi="Times New Roman"/>
                <w:sz w:val="18"/>
                <w:szCs w:val="18"/>
                <w:lang w:val="fr-CA" w:eastAsia="zh-CN"/>
              </w:rPr>
              <w:br/>
            </w:r>
            <w:r w:rsidRPr="009C3A9E">
              <w:rPr>
                <w:rFonts w:ascii="Times New Roman" w:eastAsia="SimSun" w:hAnsi="Times New Roman"/>
                <w:sz w:val="18"/>
                <w:szCs w:val="18"/>
                <w:lang w:val="fr-CA" w:eastAsia="zh-CN"/>
              </w:rPr>
              <w:t xml:space="preserve">(1 semaine, 85 participants) </w:t>
            </w:r>
            <w:r w:rsidR="00B92858" w:rsidRPr="009C3A9E">
              <w:rPr>
                <w:rFonts w:ascii="Times New Roman" w:eastAsia="SimSun" w:hAnsi="Times New Roman"/>
                <w:sz w:val="18"/>
                <w:szCs w:val="18"/>
                <w:lang w:val="fr-CA" w:eastAsia="zh-CN"/>
              </w:rPr>
              <w:br/>
            </w:r>
            <w:r w:rsidRPr="009C3A9E">
              <w:rPr>
                <w:rFonts w:ascii="Times New Roman" w:eastAsia="SimSun" w:hAnsi="Times New Roman"/>
                <w:sz w:val="18"/>
                <w:szCs w:val="18"/>
                <w:lang w:val="fr-CA" w:eastAsia="zh-CN"/>
              </w:rPr>
              <w:t>(25 % en nature)</w:t>
            </w:r>
          </w:p>
        </w:tc>
        <w:tc>
          <w:tcPr>
            <w:tcW w:w="1418" w:type="dxa"/>
            <w:shd w:val="clear" w:color="auto" w:fill="auto"/>
          </w:tcPr>
          <w:p w:rsidR="00BB7648" w:rsidRPr="009C3A9E" w:rsidRDefault="00BB7648" w:rsidP="00A23A15">
            <w:pPr>
              <w:pStyle w:val="Normal-pool"/>
              <w:spacing w:before="20" w:after="20"/>
              <w:jc w:val="right"/>
              <w:rPr>
                <w:rFonts w:eastAsia="SimSun"/>
                <w:sz w:val="18"/>
                <w:szCs w:val="18"/>
                <w:lang w:val="fr-FR" w:eastAsia="zh-CN"/>
              </w:rPr>
            </w:pPr>
            <w:r w:rsidRPr="009C3A9E">
              <w:rPr>
                <w:rFonts w:eastAsia="SimSun"/>
                <w:sz w:val="18"/>
                <w:szCs w:val="18"/>
                <w:lang w:val="fr-FR" w:eastAsia="zh-CN"/>
              </w:rPr>
              <w:t>15</w:t>
            </w:r>
            <w:r w:rsidR="00E251F3" w:rsidRPr="009C3A9E">
              <w:rPr>
                <w:rFonts w:eastAsia="SimSun"/>
                <w:sz w:val="18"/>
                <w:szCs w:val="18"/>
                <w:lang w:val="fr-FR" w:eastAsia="zh-CN"/>
              </w:rPr>
              <w:t> </w:t>
            </w:r>
            <w:r w:rsidRPr="009C3A9E">
              <w:rPr>
                <w:rFonts w:eastAsia="SimSun"/>
                <w:sz w:val="18"/>
                <w:szCs w:val="18"/>
                <w:lang w:val="fr-FR" w:eastAsia="zh-CN"/>
              </w:rPr>
              <w:t>000</w:t>
            </w:r>
          </w:p>
        </w:tc>
      </w:tr>
      <w:tr w:rsidR="00BB7648" w:rsidRPr="00C9391E" w:rsidTr="009C3A9E">
        <w:trPr>
          <w:cantSplit/>
          <w:trHeight w:val="337"/>
        </w:trPr>
        <w:tc>
          <w:tcPr>
            <w:tcW w:w="992" w:type="dxa"/>
            <w:vMerge/>
            <w:shd w:val="clear" w:color="auto" w:fill="auto"/>
            <w:vAlign w:val="center"/>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402" w:type="dxa"/>
            <w:vMerge/>
            <w:shd w:val="clear" w:color="auto" w:fill="auto"/>
            <w:vAlign w:val="center"/>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2693" w:type="dxa"/>
            <w:shd w:val="clear" w:color="auto" w:fill="auto"/>
          </w:tcPr>
          <w:p w:rsidR="00BB7648" w:rsidRPr="009C3A9E" w:rsidRDefault="00205E3C" w:rsidP="00BB7648">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r>
              <w:rPr>
                <w:rFonts w:ascii="Times New Roman" w:eastAsia="SimSun" w:hAnsi="Times New Roman"/>
                <w:sz w:val="18"/>
                <w:szCs w:val="18"/>
                <w:lang w:val="fr-CA" w:eastAsia="zh-CN"/>
              </w:rPr>
              <w:t>Frais de voyage et indemnités journalières</w:t>
            </w:r>
            <w:r w:rsidR="00BB7648" w:rsidRPr="009C3A9E">
              <w:rPr>
                <w:rFonts w:ascii="Times New Roman" w:eastAsia="SimSun" w:hAnsi="Times New Roman"/>
                <w:sz w:val="18"/>
                <w:szCs w:val="18"/>
                <w:lang w:val="fr-CA" w:eastAsia="zh-CN"/>
              </w:rPr>
              <w:t xml:space="preserve"> de subsistance (64 x 3 000 dollars)</w:t>
            </w:r>
          </w:p>
        </w:tc>
        <w:tc>
          <w:tcPr>
            <w:tcW w:w="1418" w:type="dxa"/>
            <w:shd w:val="clear" w:color="auto" w:fill="auto"/>
          </w:tcPr>
          <w:p w:rsidR="00BB7648" w:rsidRPr="009C3A9E" w:rsidRDefault="00BB7648" w:rsidP="00A23A15">
            <w:pPr>
              <w:pStyle w:val="Normal-pool"/>
              <w:spacing w:before="20" w:after="20"/>
              <w:jc w:val="right"/>
              <w:rPr>
                <w:rFonts w:eastAsia="SimSun"/>
                <w:sz w:val="18"/>
                <w:szCs w:val="18"/>
                <w:lang w:val="fr-FR" w:eastAsia="zh-CN"/>
              </w:rPr>
            </w:pPr>
            <w:r w:rsidRPr="009C3A9E">
              <w:rPr>
                <w:rFonts w:eastAsia="SimSun"/>
                <w:sz w:val="18"/>
                <w:szCs w:val="18"/>
                <w:lang w:val="fr-FR" w:eastAsia="zh-CN"/>
              </w:rPr>
              <w:t>192</w:t>
            </w:r>
            <w:r w:rsidR="00E251F3" w:rsidRPr="009C3A9E">
              <w:rPr>
                <w:rFonts w:eastAsia="SimSun"/>
                <w:sz w:val="18"/>
                <w:szCs w:val="18"/>
                <w:lang w:val="fr-FR" w:eastAsia="zh-CN"/>
              </w:rPr>
              <w:t> </w:t>
            </w:r>
            <w:r w:rsidRPr="009C3A9E">
              <w:rPr>
                <w:rFonts w:eastAsia="SimSun"/>
                <w:sz w:val="18"/>
                <w:szCs w:val="18"/>
                <w:lang w:val="fr-FR" w:eastAsia="zh-CN"/>
              </w:rPr>
              <w:t>000</w:t>
            </w:r>
          </w:p>
        </w:tc>
      </w:tr>
      <w:tr w:rsidR="00BB7648" w:rsidRPr="00C9391E" w:rsidTr="009C3A9E">
        <w:trPr>
          <w:cantSplit/>
        </w:trPr>
        <w:tc>
          <w:tcPr>
            <w:tcW w:w="992" w:type="dxa"/>
            <w:vMerge/>
            <w:shd w:val="clear" w:color="auto" w:fill="auto"/>
            <w:vAlign w:val="center"/>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402" w:type="dxa"/>
            <w:vMerge w:val="restart"/>
            <w:shd w:val="clear" w:color="auto" w:fill="auto"/>
            <w:vAlign w:val="center"/>
          </w:tcPr>
          <w:p w:rsidR="00BB7648" w:rsidRPr="009C3A9E" w:rsidRDefault="00BB7648" w:rsidP="00BB7648">
            <w:pPr>
              <w:pStyle w:val="Normal-pool"/>
              <w:rPr>
                <w:rFonts w:eastAsia="SimSun"/>
                <w:sz w:val="18"/>
                <w:szCs w:val="18"/>
                <w:lang w:val="fr-CA" w:eastAsia="zh-CN"/>
              </w:rPr>
            </w:pPr>
            <w:r w:rsidRPr="009C3A9E">
              <w:rPr>
                <w:rFonts w:eastAsia="SimSun"/>
                <w:sz w:val="18"/>
                <w:szCs w:val="18"/>
                <w:lang w:val="fr-CA" w:eastAsia="zh-CN"/>
              </w:rPr>
              <w:t>Deuxième réunion des auteurs (80 coprésidents, auteurs coordonnateurs principaux et auteurs principaux + 4 membres du Groupe d’experts multidisciplinaire/Bureau + 1 agent des services d’appui technique)</w:t>
            </w:r>
          </w:p>
        </w:tc>
        <w:tc>
          <w:tcPr>
            <w:tcW w:w="2693" w:type="dxa"/>
            <w:shd w:val="clear" w:color="auto" w:fill="auto"/>
          </w:tcPr>
          <w:p w:rsidR="00BB7648" w:rsidRPr="009C3A9E" w:rsidRDefault="00BB7648" w:rsidP="00BB7648">
            <w:pPr>
              <w:pStyle w:val="Normal-pool"/>
              <w:rPr>
                <w:rFonts w:eastAsia="SimSun"/>
                <w:sz w:val="18"/>
                <w:szCs w:val="18"/>
                <w:lang w:val="fr-CA" w:eastAsia="zh-CN"/>
              </w:rPr>
            </w:pPr>
            <w:r w:rsidRPr="009C3A9E">
              <w:rPr>
                <w:rFonts w:eastAsia="SimSun"/>
                <w:sz w:val="18"/>
                <w:szCs w:val="18"/>
                <w:lang w:val="fr-CA" w:eastAsia="zh-CN"/>
              </w:rPr>
              <w:t xml:space="preserve">Coûts de la réunion </w:t>
            </w:r>
            <w:r w:rsidR="008826B2">
              <w:rPr>
                <w:rFonts w:eastAsia="SimSun"/>
                <w:sz w:val="18"/>
                <w:szCs w:val="18"/>
                <w:lang w:val="fr-CA" w:eastAsia="zh-CN"/>
              </w:rPr>
              <w:br/>
            </w:r>
            <w:r w:rsidRPr="009C3A9E">
              <w:rPr>
                <w:rFonts w:eastAsia="SimSun"/>
                <w:sz w:val="18"/>
                <w:szCs w:val="18"/>
                <w:lang w:val="fr-CA" w:eastAsia="zh-CN"/>
              </w:rPr>
              <w:t xml:space="preserve">(1 semaine, 85 participants) </w:t>
            </w:r>
            <w:r w:rsidR="00B92858" w:rsidRPr="009C3A9E">
              <w:rPr>
                <w:rFonts w:eastAsia="SimSun"/>
                <w:sz w:val="18"/>
                <w:szCs w:val="18"/>
                <w:lang w:val="fr-CA" w:eastAsia="zh-CN"/>
              </w:rPr>
              <w:br/>
            </w:r>
            <w:r w:rsidRPr="009C3A9E">
              <w:rPr>
                <w:rFonts w:eastAsia="SimSun"/>
                <w:sz w:val="18"/>
                <w:szCs w:val="18"/>
                <w:lang w:val="fr-CA" w:eastAsia="zh-CN"/>
              </w:rPr>
              <w:t>(25 % en nature)</w:t>
            </w:r>
          </w:p>
        </w:tc>
        <w:tc>
          <w:tcPr>
            <w:tcW w:w="1418" w:type="dxa"/>
            <w:shd w:val="clear" w:color="auto" w:fill="auto"/>
          </w:tcPr>
          <w:p w:rsidR="00BB7648" w:rsidRPr="009C3A9E" w:rsidRDefault="00BB7648" w:rsidP="00A23A15">
            <w:pPr>
              <w:pStyle w:val="Normal-pool"/>
              <w:spacing w:before="20" w:after="20"/>
              <w:jc w:val="right"/>
              <w:rPr>
                <w:rFonts w:eastAsia="SimSun"/>
                <w:sz w:val="18"/>
                <w:szCs w:val="18"/>
                <w:lang w:val="fr-FR" w:eastAsia="zh-CN"/>
              </w:rPr>
            </w:pPr>
            <w:r w:rsidRPr="009C3A9E">
              <w:rPr>
                <w:rFonts w:eastAsia="SimSun"/>
                <w:sz w:val="18"/>
                <w:szCs w:val="18"/>
                <w:lang w:val="fr-FR" w:eastAsia="zh-CN"/>
              </w:rPr>
              <w:t>15</w:t>
            </w:r>
            <w:r w:rsidR="00E251F3" w:rsidRPr="009C3A9E">
              <w:rPr>
                <w:rFonts w:eastAsia="SimSun"/>
                <w:sz w:val="18"/>
                <w:szCs w:val="18"/>
                <w:lang w:val="fr-FR" w:eastAsia="zh-CN"/>
              </w:rPr>
              <w:t> </w:t>
            </w:r>
            <w:r w:rsidRPr="009C3A9E">
              <w:rPr>
                <w:rFonts w:eastAsia="SimSun"/>
                <w:sz w:val="18"/>
                <w:szCs w:val="18"/>
                <w:lang w:val="fr-FR" w:eastAsia="zh-CN"/>
              </w:rPr>
              <w:t>000</w:t>
            </w:r>
          </w:p>
        </w:tc>
      </w:tr>
      <w:tr w:rsidR="00BB7648" w:rsidRPr="00C9391E" w:rsidTr="009C3A9E">
        <w:trPr>
          <w:cantSplit/>
          <w:trHeight w:val="337"/>
        </w:trPr>
        <w:tc>
          <w:tcPr>
            <w:tcW w:w="992" w:type="dxa"/>
            <w:vMerge/>
            <w:shd w:val="clear" w:color="auto" w:fill="auto"/>
            <w:vAlign w:val="center"/>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402" w:type="dxa"/>
            <w:vMerge/>
            <w:shd w:val="clear" w:color="auto" w:fill="auto"/>
            <w:vAlign w:val="center"/>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2693" w:type="dxa"/>
            <w:shd w:val="clear" w:color="auto" w:fill="auto"/>
          </w:tcPr>
          <w:p w:rsidR="00BB7648" w:rsidRPr="009C3A9E" w:rsidRDefault="00205E3C" w:rsidP="00BB7648">
            <w:pPr>
              <w:pStyle w:val="Normal-pool"/>
              <w:rPr>
                <w:rFonts w:eastAsia="SimSun"/>
                <w:sz w:val="18"/>
                <w:szCs w:val="18"/>
                <w:lang w:val="fr-CA" w:eastAsia="zh-CN"/>
              </w:rPr>
            </w:pPr>
            <w:r>
              <w:rPr>
                <w:rFonts w:eastAsia="SimSun"/>
                <w:sz w:val="18"/>
                <w:szCs w:val="18"/>
                <w:lang w:val="fr-CA" w:eastAsia="zh-CN"/>
              </w:rPr>
              <w:t>Frais de voyage et indemnités journalières</w:t>
            </w:r>
            <w:r w:rsidR="00BB7648" w:rsidRPr="009C3A9E">
              <w:rPr>
                <w:rFonts w:eastAsia="SimSun"/>
                <w:sz w:val="18"/>
                <w:szCs w:val="18"/>
                <w:lang w:val="fr-CA" w:eastAsia="zh-CN"/>
              </w:rPr>
              <w:t xml:space="preserve"> de subsistance (64 x 3 000 dollars)</w:t>
            </w:r>
          </w:p>
        </w:tc>
        <w:tc>
          <w:tcPr>
            <w:tcW w:w="1418" w:type="dxa"/>
            <w:shd w:val="clear" w:color="auto" w:fill="auto"/>
          </w:tcPr>
          <w:p w:rsidR="00BB7648" w:rsidRPr="009C3A9E" w:rsidRDefault="00BB7648" w:rsidP="00A23A15">
            <w:pPr>
              <w:pStyle w:val="Normal-pool"/>
              <w:spacing w:before="20" w:after="20"/>
              <w:jc w:val="right"/>
              <w:rPr>
                <w:rFonts w:eastAsia="SimSun"/>
                <w:sz w:val="18"/>
                <w:szCs w:val="18"/>
                <w:lang w:val="fr-FR" w:eastAsia="zh-CN"/>
              </w:rPr>
            </w:pPr>
            <w:r w:rsidRPr="009C3A9E">
              <w:rPr>
                <w:rFonts w:eastAsia="SimSun"/>
                <w:sz w:val="18"/>
                <w:szCs w:val="18"/>
                <w:lang w:val="fr-FR" w:eastAsia="zh-CN"/>
              </w:rPr>
              <w:t>192</w:t>
            </w:r>
            <w:r w:rsidR="00E251F3" w:rsidRPr="009C3A9E">
              <w:rPr>
                <w:rFonts w:eastAsia="SimSun"/>
                <w:sz w:val="18"/>
                <w:szCs w:val="18"/>
                <w:lang w:val="fr-FR" w:eastAsia="zh-CN"/>
              </w:rPr>
              <w:t> </w:t>
            </w:r>
            <w:r w:rsidRPr="009C3A9E">
              <w:rPr>
                <w:rFonts w:eastAsia="SimSun"/>
                <w:sz w:val="18"/>
                <w:szCs w:val="18"/>
                <w:lang w:val="fr-FR" w:eastAsia="zh-CN"/>
              </w:rPr>
              <w:t>000</w:t>
            </w:r>
          </w:p>
        </w:tc>
      </w:tr>
      <w:tr w:rsidR="00BB7648" w:rsidRPr="00C9391E" w:rsidTr="009C3A9E">
        <w:trPr>
          <w:cantSplit/>
        </w:trPr>
        <w:tc>
          <w:tcPr>
            <w:tcW w:w="992" w:type="dxa"/>
            <w:vMerge/>
            <w:shd w:val="clear" w:color="auto" w:fill="auto"/>
            <w:vAlign w:val="center"/>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402" w:type="dxa"/>
            <w:vMerge w:val="restart"/>
            <w:shd w:val="clear" w:color="auto" w:fill="auto"/>
            <w:vAlign w:val="center"/>
          </w:tcPr>
          <w:p w:rsidR="00BB7648" w:rsidRPr="009C3A9E" w:rsidRDefault="00BB7648" w:rsidP="00BB7648">
            <w:pPr>
              <w:pStyle w:val="Normal-pool"/>
              <w:rPr>
                <w:rFonts w:eastAsia="SimSun"/>
                <w:sz w:val="18"/>
                <w:szCs w:val="18"/>
                <w:lang w:val="fr-CA" w:eastAsia="zh-CN"/>
              </w:rPr>
            </w:pPr>
            <w:r w:rsidRPr="009C3A9E">
              <w:rPr>
                <w:rFonts w:eastAsia="SimSun"/>
                <w:sz w:val="18"/>
                <w:szCs w:val="18"/>
                <w:lang w:val="fr-CA" w:eastAsia="zh-CN"/>
              </w:rPr>
              <w:t>Troisième réunion des auteurs (80 coprésidents, auteurs coordonnateurs principaux et auteurs principaux +18 éditeurs-réviseurs + 4 membres du Groupe d’experts multidisciplinaire/Bureau + 1 agent des services d’appui technique)</w:t>
            </w:r>
          </w:p>
        </w:tc>
        <w:tc>
          <w:tcPr>
            <w:tcW w:w="2693" w:type="dxa"/>
            <w:shd w:val="clear" w:color="auto" w:fill="auto"/>
          </w:tcPr>
          <w:p w:rsidR="00BB7648" w:rsidRPr="009C3A9E" w:rsidRDefault="00BB7648" w:rsidP="00BB7648">
            <w:pPr>
              <w:pStyle w:val="Normal-pool"/>
              <w:rPr>
                <w:rFonts w:eastAsia="SimSun"/>
                <w:sz w:val="18"/>
                <w:szCs w:val="18"/>
                <w:lang w:val="fr-CA" w:eastAsia="zh-CN"/>
              </w:rPr>
            </w:pPr>
            <w:r w:rsidRPr="009C3A9E">
              <w:rPr>
                <w:rFonts w:eastAsia="SimSun"/>
                <w:sz w:val="18"/>
                <w:szCs w:val="18"/>
                <w:lang w:val="fr-CA" w:eastAsia="zh-CN"/>
              </w:rPr>
              <w:t xml:space="preserve">Coûts de la réunion </w:t>
            </w:r>
            <w:r w:rsidR="008826B2">
              <w:rPr>
                <w:rFonts w:eastAsia="SimSun"/>
                <w:sz w:val="18"/>
                <w:szCs w:val="18"/>
                <w:lang w:val="fr-CA" w:eastAsia="zh-CN"/>
              </w:rPr>
              <w:br/>
            </w:r>
            <w:r w:rsidRPr="009C3A9E">
              <w:rPr>
                <w:rFonts w:eastAsia="SimSun"/>
                <w:sz w:val="18"/>
                <w:szCs w:val="18"/>
                <w:lang w:val="fr-CA" w:eastAsia="zh-CN"/>
              </w:rPr>
              <w:t xml:space="preserve">(1 semaine, 104 participants) </w:t>
            </w:r>
            <w:r w:rsidR="00B92858" w:rsidRPr="009C3A9E">
              <w:rPr>
                <w:rFonts w:eastAsia="SimSun"/>
                <w:sz w:val="18"/>
                <w:szCs w:val="18"/>
                <w:lang w:val="fr-CA" w:eastAsia="zh-CN"/>
              </w:rPr>
              <w:br/>
            </w:r>
            <w:r w:rsidRPr="009C3A9E">
              <w:rPr>
                <w:rFonts w:eastAsia="SimSun"/>
                <w:sz w:val="18"/>
                <w:szCs w:val="18"/>
                <w:lang w:val="fr-CA" w:eastAsia="zh-CN"/>
              </w:rPr>
              <w:t>(25 % en nature)</w:t>
            </w:r>
          </w:p>
        </w:tc>
        <w:tc>
          <w:tcPr>
            <w:tcW w:w="1418" w:type="dxa"/>
            <w:shd w:val="clear" w:color="auto" w:fill="auto"/>
          </w:tcPr>
          <w:p w:rsidR="00BB7648" w:rsidRPr="009C3A9E" w:rsidRDefault="00BB7648" w:rsidP="00A23A15">
            <w:pPr>
              <w:pStyle w:val="Normal-pool"/>
              <w:spacing w:before="20" w:after="20"/>
              <w:jc w:val="right"/>
              <w:rPr>
                <w:rFonts w:eastAsia="SimSun"/>
                <w:sz w:val="18"/>
                <w:szCs w:val="18"/>
                <w:lang w:val="fr-FR" w:eastAsia="zh-CN"/>
              </w:rPr>
            </w:pPr>
            <w:r w:rsidRPr="009C3A9E">
              <w:rPr>
                <w:rFonts w:eastAsia="SimSun"/>
                <w:sz w:val="18"/>
                <w:szCs w:val="18"/>
                <w:lang w:val="fr-FR" w:eastAsia="zh-CN"/>
              </w:rPr>
              <w:t>18</w:t>
            </w:r>
            <w:r w:rsidR="00E251F3" w:rsidRPr="009C3A9E">
              <w:rPr>
                <w:rFonts w:eastAsia="SimSun"/>
                <w:sz w:val="18"/>
                <w:szCs w:val="18"/>
                <w:lang w:val="fr-FR" w:eastAsia="zh-CN"/>
              </w:rPr>
              <w:t> </w:t>
            </w:r>
            <w:r w:rsidRPr="009C3A9E">
              <w:rPr>
                <w:rFonts w:eastAsia="SimSun"/>
                <w:sz w:val="18"/>
                <w:szCs w:val="18"/>
                <w:lang w:val="fr-FR" w:eastAsia="zh-CN"/>
              </w:rPr>
              <w:t>750</w:t>
            </w:r>
          </w:p>
        </w:tc>
      </w:tr>
      <w:tr w:rsidR="00BB7648" w:rsidRPr="00C9391E" w:rsidTr="009C3A9E">
        <w:trPr>
          <w:cantSplit/>
          <w:trHeight w:val="339"/>
        </w:trPr>
        <w:tc>
          <w:tcPr>
            <w:tcW w:w="992" w:type="dxa"/>
            <w:vMerge/>
            <w:shd w:val="clear" w:color="auto" w:fill="auto"/>
            <w:vAlign w:val="center"/>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402" w:type="dxa"/>
            <w:vMerge/>
            <w:tcBorders>
              <w:bottom w:val="single" w:sz="4" w:space="0" w:color="auto"/>
            </w:tcBorders>
            <w:shd w:val="clear" w:color="auto" w:fill="auto"/>
            <w:vAlign w:val="center"/>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2693" w:type="dxa"/>
            <w:tcBorders>
              <w:bottom w:val="single" w:sz="4" w:space="0" w:color="auto"/>
            </w:tcBorders>
            <w:shd w:val="clear" w:color="auto" w:fill="auto"/>
          </w:tcPr>
          <w:p w:rsidR="00BB7648" w:rsidRPr="009C3A9E" w:rsidRDefault="00205E3C" w:rsidP="00BB7648">
            <w:pPr>
              <w:pStyle w:val="Normal-pool"/>
              <w:rPr>
                <w:rFonts w:eastAsia="SimSun"/>
                <w:sz w:val="18"/>
                <w:szCs w:val="18"/>
                <w:lang w:val="fr-CA" w:eastAsia="zh-CN"/>
              </w:rPr>
            </w:pPr>
            <w:r>
              <w:rPr>
                <w:rFonts w:eastAsia="SimSun"/>
                <w:sz w:val="18"/>
                <w:szCs w:val="18"/>
                <w:lang w:val="fr-CA" w:eastAsia="zh-CN"/>
              </w:rPr>
              <w:t>Frais de voyage et indemnités journalières</w:t>
            </w:r>
            <w:r w:rsidR="00BB7648" w:rsidRPr="009C3A9E">
              <w:rPr>
                <w:rFonts w:eastAsia="SimSun"/>
                <w:sz w:val="18"/>
                <w:szCs w:val="18"/>
                <w:lang w:val="fr-CA" w:eastAsia="zh-CN"/>
              </w:rPr>
              <w:t xml:space="preserve"> de subsistance (78 x 3 000 dollars)</w:t>
            </w:r>
          </w:p>
        </w:tc>
        <w:tc>
          <w:tcPr>
            <w:tcW w:w="1418" w:type="dxa"/>
            <w:tcBorders>
              <w:bottom w:val="single" w:sz="4" w:space="0" w:color="auto"/>
            </w:tcBorders>
            <w:shd w:val="clear" w:color="auto" w:fill="auto"/>
          </w:tcPr>
          <w:p w:rsidR="00BB7648" w:rsidRPr="009C3A9E" w:rsidRDefault="00BB7648" w:rsidP="00A23A15">
            <w:pPr>
              <w:pStyle w:val="Normal-pool"/>
              <w:spacing w:before="20" w:after="20"/>
              <w:jc w:val="right"/>
              <w:rPr>
                <w:rFonts w:eastAsia="SimSun"/>
                <w:sz w:val="18"/>
                <w:szCs w:val="18"/>
                <w:lang w:val="fr-FR" w:eastAsia="zh-CN"/>
              </w:rPr>
            </w:pPr>
            <w:r w:rsidRPr="009C3A9E">
              <w:rPr>
                <w:rFonts w:eastAsia="SimSun"/>
                <w:sz w:val="18"/>
                <w:szCs w:val="18"/>
                <w:lang w:val="fr-FR" w:eastAsia="zh-CN"/>
              </w:rPr>
              <w:t>234</w:t>
            </w:r>
            <w:r w:rsidR="00E251F3" w:rsidRPr="009C3A9E">
              <w:rPr>
                <w:rFonts w:eastAsia="SimSun"/>
                <w:sz w:val="18"/>
                <w:szCs w:val="18"/>
                <w:lang w:val="fr-FR" w:eastAsia="zh-CN"/>
              </w:rPr>
              <w:t> </w:t>
            </w:r>
            <w:r w:rsidRPr="009C3A9E">
              <w:rPr>
                <w:rFonts w:eastAsia="SimSun"/>
                <w:sz w:val="18"/>
                <w:szCs w:val="18"/>
                <w:lang w:val="fr-FR" w:eastAsia="zh-CN"/>
              </w:rPr>
              <w:t>000</w:t>
            </w:r>
          </w:p>
        </w:tc>
      </w:tr>
      <w:tr w:rsidR="00BB7648" w:rsidRPr="00C9391E" w:rsidTr="009C3A9E">
        <w:trPr>
          <w:cantSplit/>
          <w:trHeight w:val="361"/>
        </w:trPr>
        <w:tc>
          <w:tcPr>
            <w:tcW w:w="992" w:type="dxa"/>
            <w:vMerge/>
            <w:tcBorders>
              <w:bottom w:val="single" w:sz="4" w:space="0" w:color="auto"/>
            </w:tcBorders>
            <w:shd w:val="clear" w:color="auto" w:fill="auto"/>
            <w:vAlign w:val="center"/>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402" w:type="dxa"/>
            <w:shd w:val="clear" w:color="auto" w:fill="auto"/>
            <w:vAlign w:val="center"/>
          </w:tcPr>
          <w:p w:rsidR="00BB7648" w:rsidRPr="009C3A9E" w:rsidRDefault="00BB7648" w:rsidP="004E0A3B">
            <w:pPr>
              <w:pStyle w:val="Normal-pool"/>
              <w:rPr>
                <w:rFonts w:eastAsia="SimSun"/>
                <w:sz w:val="18"/>
                <w:szCs w:val="18"/>
                <w:lang w:val="fr-CA" w:eastAsia="zh-CN"/>
              </w:rPr>
            </w:pPr>
            <w:r w:rsidRPr="009C3A9E">
              <w:rPr>
                <w:rFonts w:eastAsia="SimSun"/>
                <w:sz w:val="18"/>
                <w:szCs w:val="18"/>
                <w:lang w:val="fr-CA" w:eastAsia="zh-CN"/>
              </w:rPr>
              <w:t>Appui technique</w:t>
            </w:r>
          </w:p>
        </w:tc>
        <w:tc>
          <w:tcPr>
            <w:tcW w:w="2693" w:type="dxa"/>
            <w:shd w:val="clear" w:color="auto" w:fill="auto"/>
          </w:tcPr>
          <w:p w:rsidR="00BB7648" w:rsidRPr="009C3A9E" w:rsidRDefault="00BB7648" w:rsidP="00205E3C">
            <w:pPr>
              <w:pStyle w:val="Normal-pool"/>
              <w:rPr>
                <w:rFonts w:eastAsia="SimSun"/>
                <w:sz w:val="18"/>
                <w:szCs w:val="18"/>
                <w:lang w:val="fr-CA" w:eastAsia="zh-CN"/>
              </w:rPr>
            </w:pPr>
            <w:r w:rsidRPr="009C3A9E">
              <w:rPr>
                <w:rFonts w:eastAsia="SimSun"/>
                <w:sz w:val="18"/>
                <w:szCs w:val="18"/>
                <w:lang w:val="fr-CA" w:eastAsia="zh-CN"/>
              </w:rPr>
              <w:t>1 </w:t>
            </w:r>
            <w:r w:rsidR="00205E3C">
              <w:rPr>
                <w:rFonts w:eastAsia="SimSun"/>
                <w:sz w:val="18"/>
                <w:szCs w:val="18"/>
                <w:lang w:val="fr-CA" w:eastAsia="zh-CN"/>
              </w:rPr>
              <w:t>poste d’administrateur équivalent plein temps</w:t>
            </w:r>
            <w:r w:rsidRPr="009C3A9E">
              <w:rPr>
                <w:rFonts w:eastAsia="SimSun"/>
                <w:sz w:val="18"/>
                <w:szCs w:val="18"/>
                <w:lang w:val="fr-CA" w:eastAsia="zh-CN"/>
              </w:rPr>
              <w:t xml:space="preserve"> (50 % en nature)</w:t>
            </w:r>
          </w:p>
        </w:tc>
        <w:tc>
          <w:tcPr>
            <w:tcW w:w="1418" w:type="dxa"/>
            <w:tcBorders>
              <w:bottom w:val="single" w:sz="4" w:space="0" w:color="auto"/>
            </w:tcBorders>
            <w:shd w:val="clear" w:color="auto" w:fill="auto"/>
          </w:tcPr>
          <w:p w:rsidR="00BB7648" w:rsidRPr="009C3A9E" w:rsidRDefault="00BB7648" w:rsidP="00A23A15">
            <w:pPr>
              <w:pStyle w:val="Normal-pool"/>
              <w:spacing w:before="20" w:after="20"/>
              <w:jc w:val="right"/>
              <w:rPr>
                <w:rFonts w:eastAsia="SimSun"/>
                <w:sz w:val="18"/>
                <w:szCs w:val="18"/>
                <w:lang w:eastAsia="zh-CN"/>
              </w:rPr>
            </w:pPr>
            <w:r w:rsidRPr="009C3A9E">
              <w:rPr>
                <w:rFonts w:eastAsia="SimSun"/>
                <w:sz w:val="18"/>
                <w:szCs w:val="18"/>
                <w:lang w:eastAsia="zh-CN"/>
              </w:rPr>
              <w:t>75</w:t>
            </w:r>
            <w:r w:rsidR="00E251F3" w:rsidRPr="009C3A9E">
              <w:rPr>
                <w:rFonts w:eastAsia="SimSun"/>
                <w:sz w:val="18"/>
                <w:szCs w:val="18"/>
                <w:lang w:eastAsia="zh-CN"/>
              </w:rPr>
              <w:t> </w:t>
            </w:r>
            <w:r w:rsidRPr="009C3A9E">
              <w:rPr>
                <w:rFonts w:eastAsia="SimSun"/>
                <w:sz w:val="18"/>
                <w:szCs w:val="18"/>
                <w:lang w:eastAsia="zh-CN"/>
              </w:rPr>
              <w:t>000</w:t>
            </w:r>
          </w:p>
        </w:tc>
      </w:tr>
      <w:tr w:rsidR="00BB7648" w:rsidRPr="00C9391E" w:rsidTr="009C3A9E">
        <w:trPr>
          <w:cantSplit/>
          <w:trHeight w:val="317"/>
        </w:trPr>
        <w:tc>
          <w:tcPr>
            <w:tcW w:w="992" w:type="dxa"/>
            <w:vMerge w:val="restart"/>
            <w:shd w:val="clear" w:color="auto" w:fill="auto"/>
            <w:vAlign w:val="center"/>
          </w:tcPr>
          <w:p w:rsidR="00BB7648" w:rsidRPr="009C3A9E" w:rsidRDefault="00BB7648" w:rsidP="004E0A3B">
            <w:pPr>
              <w:pStyle w:val="Normal-pool"/>
              <w:rPr>
                <w:rFonts w:eastAsia="SimSun"/>
                <w:sz w:val="18"/>
                <w:szCs w:val="18"/>
                <w:lang w:val="fr-CA" w:eastAsia="zh-CN"/>
              </w:rPr>
            </w:pPr>
            <w:r w:rsidRPr="009C3A9E">
              <w:rPr>
                <w:rFonts w:eastAsia="SimSun"/>
                <w:sz w:val="18"/>
                <w:szCs w:val="18"/>
                <w:lang w:val="fr-CA" w:eastAsia="zh-CN"/>
              </w:rPr>
              <w:t>2015</w:t>
            </w:r>
          </w:p>
        </w:tc>
        <w:tc>
          <w:tcPr>
            <w:tcW w:w="3402" w:type="dxa"/>
            <w:shd w:val="clear" w:color="auto" w:fill="auto"/>
            <w:vAlign w:val="center"/>
          </w:tcPr>
          <w:p w:rsidR="00BB7648" w:rsidRPr="009C3A9E" w:rsidRDefault="00BB7648" w:rsidP="00BB7648">
            <w:pPr>
              <w:pStyle w:val="Normal-pool"/>
              <w:rPr>
                <w:rFonts w:eastAsia="SimSun"/>
                <w:sz w:val="18"/>
                <w:szCs w:val="18"/>
                <w:lang w:val="fr-CA" w:eastAsia="zh-CN"/>
              </w:rPr>
            </w:pPr>
            <w:r w:rsidRPr="009C3A9E">
              <w:rPr>
                <w:rFonts w:eastAsia="SimSun"/>
                <w:sz w:val="18"/>
                <w:szCs w:val="18"/>
                <w:lang w:val="fr-CA" w:eastAsia="zh-CN"/>
              </w:rPr>
              <w:t>Participation de deux coprésidents et de deux auteurs coordonnateurs principaux à la troisième session de la Plénière</w:t>
            </w:r>
          </w:p>
        </w:tc>
        <w:tc>
          <w:tcPr>
            <w:tcW w:w="2693" w:type="dxa"/>
            <w:shd w:val="clear" w:color="auto" w:fill="auto"/>
          </w:tcPr>
          <w:p w:rsidR="00BB7648" w:rsidRPr="009C3A9E" w:rsidRDefault="00205E3C" w:rsidP="004E0A3B">
            <w:pPr>
              <w:pStyle w:val="Normal-pool"/>
              <w:rPr>
                <w:rFonts w:eastAsia="SimSun"/>
                <w:sz w:val="18"/>
                <w:szCs w:val="18"/>
                <w:lang w:val="fr-CA" w:eastAsia="zh-CN"/>
              </w:rPr>
            </w:pPr>
            <w:r>
              <w:rPr>
                <w:rFonts w:eastAsia="SimSun"/>
                <w:sz w:val="18"/>
                <w:szCs w:val="18"/>
                <w:lang w:val="fr-CA" w:eastAsia="zh-CN"/>
              </w:rPr>
              <w:t>Frais de voyage et indemnités journalières</w:t>
            </w:r>
            <w:r w:rsidR="00BB7648" w:rsidRPr="009C3A9E">
              <w:rPr>
                <w:rFonts w:eastAsia="SimSun"/>
                <w:sz w:val="18"/>
                <w:szCs w:val="18"/>
                <w:lang w:val="fr-CA" w:eastAsia="zh-CN"/>
              </w:rPr>
              <w:t xml:space="preserve"> de subsistance (3 x 3 000 dollars)</w:t>
            </w:r>
          </w:p>
        </w:tc>
        <w:tc>
          <w:tcPr>
            <w:tcW w:w="1418" w:type="dxa"/>
            <w:shd w:val="clear" w:color="auto" w:fill="auto"/>
          </w:tcPr>
          <w:p w:rsidR="00BB7648" w:rsidRPr="009C3A9E" w:rsidRDefault="00BB7648" w:rsidP="00A23A15">
            <w:pPr>
              <w:pStyle w:val="Normal-pool"/>
              <w:spacing w:before="20" w:after="20"/>
              <w:jc w:val="right"/>
              <w:rPr>
                <w:rFonts w:eastAsia="SimSun"/>
                <w:sz w:val="18"/>
                <w:szCs w:val="18"/>
                <w:lang w:eastAsia="zh-CN"/>
              </w:rPr>
            </w:pPr>
            <w:r w:rsidRPr="009C3A9E">
              <w:rPr>
                <w:rFonts w:eastAsia="SimSun"/>
                <w:sz w:val="18"/>
                <w:szCs w:val="18"/>
                <w:lang w:eastAsia="zh-CN"/>
              </w:rPr>
              <w:t>9</w:t>
            </w:r>
            <w:r w:rsidR="00E251F3" w:rsidRPr="009C3A9E">
              <w:rPr>
                <w:rFonts w:eastAsia="SimSun"/>
                <w:sz w:val="18"/>
                <w:szCs w:val="18"/>
                <w:lang w:eastAsia="zh-CN"/>
              </w:rPr>
              <w:t> </w:t>
            </w:r>
            <w:r w:rsidRPr="009C3A9E">
              <w:rPr>
                <w:rFonts w:eastAsia="SimSun"/>
                <w:sz w:val="18"/>
                <w:szCs w:val="18"/>
                <w:lang w:eastAsia="zh-CN"/>
              </w:rPr>
              <w:t>000</w:t>
            </w:r>
          </w:p>
        </w:tc>
      </w:tr>
      <w:tr w:rsidR="00BB7648" w:rsidRPr="00C9391E" w:rsidDel="001E184E" w:rsidTr="009C3A9E">
        <w:trPr>
          <w:cantSplit/>
          <w:trHeight w:val="560"/>
        </w:trPr>
        <w:tc>
          <w:tcPr>
            <w:tcW w:w="992" w:type="dxa"/>
            <w:vMerge/>
            <w:shd w:val="clear" w:color="auto" w:fill="auto"/>
          </w:tcPr>
          <w:p w:rsidR="00BB7648" w:rsidRPr="009C3A9E" w:rsidRDefault="00BB7648" w:rsidP="004E0A3B">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8"/>
                <w:szCs w:val="18"/>
                <w:lang w:val="fr-CA" w:eastAsia="zh-CN"/>
              </w:rPr>
            </w:pPr>
          </w:p>
        </w:tc>
        <w:tc>
          <w:tcPr>
            <w:tcW w:w="3402" w:type="dxa"/>
            <w:shd w:val="clear" w:color="auto" w:fill="auto"/>
          </w:tcPr>
          <w:p w:rsidR="00BB7648" w:rsidRPr="009C3A9E" w:rsidRDefault="00BB7648" w:rsidP="00BB7648">
            <w:pPr>
              <w:pStyle w:val="Normal-pool"/>
              <w:rPr>
                <w:rFonts w:eastAsia="SimSun"/>
                <w:b/>
                <w:sz w:val="18"/>
                <w:szCs w:val="18"/>
                <w:lang w:val="fr-CA" w:eastAsia="zh-CN"/>
              </w:rPr>
            </w:pPr>
            <w:r w:rsidRPr="009C3A9E">
              <w:rPr>
                <w:rFonts w:eastAsia="SimSun"/>
                <w:sz w:val="18"/>
                <w:szCs w:val="18"/>
                <w:lang w:val="fr-CA" w:eastAsia="zh-CN"/>
              </w:rPr>
              <w:t>Diffusion du rapport d’évaluation (résumé à l’intention des décideurs (10 pages) et rapport (200 pages)) et activités de sensibilisation</w:t>
            </w:r>
          </w:p>
        </w:tc>
        <w:tc>
          <w:tcPr>
            <w:tcW w:w="2693" w:type="dxa"/>
            <w:shd w:val="clear" w:color="auto" w:fill="auto"/>
          </w:tcPr>
          <w:p w:rsidR="00BB7648" w:rsidRPr="009C3A9E" w:rsidRDefault="00BB7648" w:rsidP="004E0A3B">
            <w:pPr>
              <w:pStyle w:val="Normal-pool"/>
              <w:rPr>
                <w:rFonts w:eastAsia="SimSun"/>
                <w:sz w:val="18"/>
                <w:szCs w:val="18"/>
                <w:lang w:val="fr-CA" w:eastAsia="zh-CN"/>
              </w:rPr>
            </w:pPr>
            <w:r w:rsidRPr="009C3A9E">
              <w:rPr>
                <w:rFonts w:eastAsia="SimSun"/>
                <w:sz w:val="18"/>
                <w:szCs w:val="18"/>
                <w:lang w:val="fr-CA" w:eastAsia="zh-CN"/>
              </w:rPr>
              <w:t>Traduction du résumé à l’intention des décideurs dans les six langues officielles de l’ONU, publication, activités de sensibilisation</w:t>
            </w:r>
          </w:p>
        </w:tc>
        <w:tc>
          <w:tcPr>
            <w:tcW w:w="1418" w:type="dxa"/>
            <w:shd w:val="clear" w:color="auto" w:fill="auto"/>
          </w:tcPr>
          <w:p w:rsidR="00BB7648" w:rsidRPr="009C3A9E" w:rsidDel="001E184E" w:rsidRDefault="00BB7648" w:rsidP="00A23A15">
            <w:pPr>
              <w:pStyle w:val="Normal-pool"/>
              <w:spacing w:before="20" w:after="20"/>
              <w:jc w:val="right"/>
              <w:rPr>
                <w:rFonts w:eastAsia="SimSun"/>
                <w:sz w:val="18"/>
                <w:szCs w:val="18"/>
                <w:lang w:eastAsia="zh-CN"/>
              </w:rPr>
            </w:pPr>
            <w:r w:rsidRPr="009C3A9E">
              <w:rPr>
                <w:rFonts w:eastAsia="SimSun"/>
                <w:sz w:val="18"/>
                <w:szCs w:val="18"/>
                <w:lang w:eastAsia="zh-CN"/>
              </w:rPr>
              <w:t>117</w:t>
            </w:r>
            <w:r w:rsidR="00E251F3" w:rsidRPr="009C3A9E">
              <w:rPr>
                <w:rFonts w:eastAsia="SimSun"/>
                <w:sz w:val="18"/>
                <w:szCs w:val="18"/>
                <w:lang w:eastAsia="zh-CN"/>
              </w:rPr>
              <w:t> </w:t>
            </w:r>
            <w:r w:rsidRPr="009C3A9E">
              <w:rPr>
                <w:rFonts w:eastAsia="SimSun"/>
                <w:sz w:val="18"/>
                <w:szCs w:val="18"/>
                <w:lang w:eastAsia="zh-CN"/>
              </w:rPr>
              <w:t>000</w:t>
            </w:r>
          </w:p>
        </w:tc>
      </w:tr>
      <w:tr w:rsidR="00BB7648" w:rsidRPr="00C9391E" w:rsidTr="009C3A9E">
        <w:trPr>
          <w:cantSplit/>
        </w:trPr>
        <w:tc>
          <w:tcPr>
            <w:tcW w:w="992" w:type="dxa"/>
            <w:shd w:val="clear" w:color="auto" w:fill="auto"/>
          </w:tcPr>
          <w:p w:rsidR="00BB7648" w:rsidRPr="009C3A9E" w:rsidRDefault="00BB7648" w:rsidP="00B92858">
            <w:pPr>
              <w:pStyle w:val="ListParagraph"/>
              <w:tabs>
                <w:tab w:val="left" w:pos="426"/>
              </w:tabs>
              <w:autoSpaceDE w:val="0"/>
              <w:autoSpaceDN w:val="0"/>
              <w:adjustRightInd w:val="0"/>
              <w:spacing w:before="120" w:after="120" w:line="240" w:lineRule="auto"/>
              <w:ind w:left="0"/>
              <w:contextualSpacing w:val="0"/>
              <w:rPr>
                <w:rFonts w:ascii="Times New Roman" w:eastAsia="SimSun" w:hAnsi="Times New Roman"/>
                <w:b/>
                <w:sz w:val="18"/>
                <w:szCs w:val="18"/>
                <w:lang w:val="fr-CA" w:eastAsia="zh-CN"/>
              </w:rPr>
            </w:pPr>
            <w:r w:rsidRPr="009C3A9E">
              <w:rPr>
                <w:rFonts w:ascii="Times New Roman" w:eastAsia="SimSun" w:hAnsi="Times New Roman"/>
                <w:b/>
                <w:sz w:val="18"/>
                <w:szCs w:val="18"/>
                <w:lang w:val="fr-CA" w:eastAsia="zh-CN"/>
              </w:rPr>
              <w:t>Total</w:t>
            </w:r>
          </w:p>
        </w:tc>
        <w:tc>
          <w:tcPr>
            <w:tcW w:w="3402" w:type="dxa"/>
            <w:shd w:val="clear" w:color="auto" w:fill="auto"/>
          </w:tcPr>
          <w:p w:rsidR="00BB7648" w:rsidRPr="009C3A9E" w:rsidRDefault="00BB7648" w:rsidP="00B92858">
            <w:pPr>
              <w:pStyle w:val="ListParagraph"/>
              <w:tabs>
                <w:tab w:val="left" w:pos="426"/>
              </w:tabs>
              <w:autoSpaceDE w:val="0"/>
              <w:autoSpaceDN w:val="0"/>
              <w:adjustRightInd w:val="0"/>
              <w:spacing w:before="120" w:after="120" w:line="240" w:lineRule="auto"/>
              <w:ind w:left="0"/>
              <w:contextualSpacing w:val="0"/>
              <w:rPr>
                <w:rFonts w:ascii="Times New Roman" w:eastAsia="SimSun" w:hAnsi="Times New Roman"/>
                <w:sz w:val="18"/>
                <w:szCs w:val="18"/>
                <w:lang w:val="fr-CA" w:eastAsia="zh-CN"/>
              </w:rPr>
            </w:pPr>
          </w:p>
        </w:tc>
        <w:tc>
          <w:tcPr>
            <w:tcW w:w="2693" w:type="dxa"/>
            <w:shd w:val="clear" w:color="auto" w:fill="auto"/>
          </w:tcPr>
          <w:p w:rsidR="00BB7648" w:rsidRPr="009C3A9E" w:rsidRDefault="00BB7648" w:rsidP="00B92858">
            <w:pPr>
              <w:pStyle w:val="ListParagraph"/>
              <w:tabs>
                <w:tab w:val="left" w:pos="426"/>
              </w:tabs>
              <w:autoSpaceDE w:val="0"/>
              <w:autoSpaceDN w:val="0"/>
              <w:adjustRightInd w:val="0"/>
              <w:spacing w:before="120" w:after="120" w:line="240" w:lineRule="auto"/>
              <w:ind w:left="0"/>
              <w:contextualSpacing w:val="0"/>
              <w:rPr>
                <w:rFonts w:ascii="Times New Roman" w:eastAsia="SimSun" w:hAnsi="Times New Roman"/>
                <w:sz w:val="18"/>
                <w:szCs w:val="18"/>
                <w:lang w:val="fr-CA" w:eastAsia="zh-CN"/>
              </w:rPr>
            </w:pPr>
          </w:p>
        </w:tc>
        <w:tc>
          <w:tcPr>
            <w:tcW w:w="1418" w:type="dxa"/>
            <w:shd w:val="clear" w:color="auto" w:fill="auto"/>
          </w:tcPr>
          <w:p w:rsidR="00BB7648" w:rsidRPr="009C3A9E" w:rsidRDefault="00BB7648" w:rsidP="00B92858">
            <w:pPr>
              <w:pStyle w:val="Normal-pool"/>
              <w:spacing w:before="120" w:after="120"/>
              <w:jc w:val="right"/>
              <w:rPr>
                <w:rFonts w:eastAsia="SimSun"/>
                <w:b/>
                <w:sz w:val="18"/>
                <w:szCs w:val="18"/>
                <w:lang w:eastAsia="zh-CN"/>
              </w:rPr>
            </w:pPr>
            <w:r w:rsidRPr="009C3A9E">
              <w:rPr>
                <w:rFonts w:eastAsia="SimSun"/>
                <w:b/>
                <w:sz w:val="18"/>
                <w:szCs w:val="18"/>
                <w:lang w:eastAsia="zh-CN"/>
              </w:rPr>
              <w:t>867</w:t>
            </w:r>
            <w:r w:rsidR="00E251F3" w:rsidRPr="009C3A9E">
              <w:rPr>
                <w:rFonts w:eastAsia="SimSun"/>
                <w:b/>
                <w:sz w:val="18"/>
                <w:szCs w:val="18"/>
                <w:lang w:eastAsia="zh-CN"/>
              </w:rPr>
              <w:t> </w:t>
            </w:r>
            <w:r w:rsidRPr="009C3A9E">
              <w:rPr>
                <w:rFonts w:eastAsia="SimSun"/>
                <w:b/>
                <w:sz w:val="18"/>
                <w:szCs w:val="18"/>
                <w:lang w:eastAsia="zh-CN"/>
              </w:rPr>
              <w:t>750</w:t>
            </w:r>
          </w:p>
        </w:tc>
      </w:tr>
    </w:tbl>
    <w:p w:rsidR="00D7505A" w:rsidRPr="00C9391E" w:rsidRDefault="00D7505A" w:rsidP="004E0A3B">
      <w:pPr>
        <w:pStyle w:val="Normal-pool"/>
        <w:rPr>
          <w:lang w:val="fr-CA"/>
        </w:rPr>
      </w:pPr>
    </w:p>
    <w:tbl>
      <w:tblPr>
        <w:tblW w:w="0" w:type="auto"/>
        <w:tblLook w:val="01E0"/>
      </w:tblPr>
      <w:tblGrid>
        <w:gridCol w:w="3237"/>
        <w:gridCol w:w="3237"/>
        <w:gridCol w:w="3238"/>
      </w:tblGrid>
      <w:tr w:rsidR="00D7505A" w:rsidRPr="00C9391E" w:rsidTr="003E4043">
        <w:tc>
          <w:tcPr>
            <w:tcW w:w="3237" w:type="dxa"/>
          </w:tcPr>
          <w:p w:rsidR="00D7505A" w:rsidRPr="00C9391E" w:rsidRDefault="00D7505A" w:rsidP="004E0A3B">
            <w:pPr>
              <w:pStyle w:val="Normal-pool"/>
              <w:rPr>
                <w:sz w:val="18"/>
                <w:szCs w:val="18"/>
                <w:lang w:val="fr-CA"/>
              </w:rPr>
            </w:pPr>
          </w:p>
        </w:tc>
        <w:tc>
          <w:tcPr>
            <w:tcW w:w="3237" w:type="dxa"/>
            <w:tcBorders>
              <w:bottom w:val="single" w:sz="4" w:space="0" w:color="auto"/>
            </w:tcBorders>
          </w:tcPr>
          <w:p w:rsidR="00D7505A" w:rsidRPr="00C9391E" w:rsidRDefault="00D7505A" w:rsidP="004E0A3B">
            <w:pPr>
              <w:pStyle w:val="Normal-pool"/>
              <w:rPr>
                <w:sz w:val="18"/>
                <w:szCs w:val="18"/>
                <w:lang w:val="fr-CA"/>
              </w:rPr>
            </w:pPr>
          </w:p>
        </w:tc>
        <w:tc>
          <w:tcPr>
            <w:tcW w:w="3238" w:type="dxa"/>
          </w:tcPr>
          <w:p w:rsidR="00D7505A" w:rsidRPr="00C9391E" w:rsidRDefault="00D7505A" w:rsidP="004E0A3B">
            <w:pPr>
              <w:pStyle w:val="Normal-pool"/>
              <w:rPr>
                <w:sz w:val="18"/>
                <w:szCs w:val="18"/>
                <w:lang w:val="fr-CA"/>
              </w:rPr>
            </w:pPr>
          </w:p>
        </w:tc>
      </w:tr>
    </w:tbl>
    <w:p w:rsidR="003A086E" w:rsidRPr="00C9391E" w:rsidRDefault="003A086E" w:rsidP="004E0A3B">
      <w:pPr>
        <w:pStyle w:val="Normal-pool"/>
        <w:rPr>
          <w:lang w:val="fr-CA"/>
        </w:rPr>
      </w:pPr>
    </w:p>
    <w:sectPr w:rsidR="003A086E" w:rsidRPr="00C9391E" w:rsidSect="00713D8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5B" w:rsidRDefault="00A8275B">
      <w:r>
        <w:separator/>
      </w:r>
    </w:p>
  </w:endnote>
  <w:endnote w:type="continuationSeparator" w:id="0">
    <w:p w:rsidR="00A8275B" w:rsidRDefault="00A82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9" w:rsidRDefault="00146A89">
    <w:pPr>
      <w:pStyle w:val="Footer"/>
    </w:pPr>
    <w:r>
      <w:rPr>
        <w:rStyle w:val="PageNumber"/>
      </w:rPr>
      <w:fldChar w:fldCharType="begin"/>
    </w:r>
    <w:r>
      <w:rPr>
        <w:rStyle w:val="PageNumber"/>
      </w:rPr>
      <w:instrText xml:space="preserve"> PAGE </w:instrText>
    </w:r>
    <w:r>
      <w:rPr>
        <w:rStyle w:val="PageNumber"/>
      </w:rPr>
      <w:fldChar w:fldCharType="separate"/>
    </w:r>
    <w:r w:rsidR="00B01268">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9" w:rsidRDefault="00146A8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B01268">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9" w:rsidRPr="008671EE" w:rsidRDefault="00853F92" w:rsidP="00D938EE">
    <w:pPr>
      <w:pStyle w:val="Footer"/>
      <w:tabs>
        <w:tab w:val="clear" w:pos="4320"/>
        <w:tab w:val="clear" w:pos="8640"/>
      </w:tabs>
      <w:rPr>
        <w:rFonts w:ascii="Times New Roman" w:hAnsi="Times New Roman"/>
        <w:sz w:val="20"/>
        <w:szCs w:val="20"/>
      </w:rPr>
    </w:pPr>
    <w:r>
      <w:rPr>
        <w:rFonts w:ascii="Times New Roman" w:hAnsi="Times New Roman"/>
        <w:sz w:val="20"/>
        <w:szCs w:val="20"/>
      </w:rPr>
      <w:t>K1353299</w:t>
    </w:r>
    <w:r>
      <w:rPr>
        <w:rFonts w:ascii="Times New Roman" w:hAnsi="Times New Roman"/>
        <w:sz w:val="20"/>
        <w:szCs w:val="20"/>
      </w:rPr>
      <w:tab/>
      <w:t>13</w:t>
    </w:r>
    <w:r w:rsidR="00146A89">
      <w:rPr>
        <w:rFonts w:ascii="Times New Roman" w:hAnsi="Times New Roman"/>
        <w:sz w:val="20"/>
        <w:szCs w:val="20"/>
      </w:rPr>
      <w:t>1113</w:t>
    </w:r>
  </w:p>
  <w:p w:rsidR="00146A89" w:rsidRPr="00947ED6" w:rsidRDefault="00146A89" w:rsidP="00947ED6">
    <w:pPr>
      <w:pStyle w:val="Footer"/>
      <w:tabs>
        <w:tab w:val="clear" w:pos="4320"/>
        <w:tab w:val="clear" w:pos="8640"/>
        <w:tab w:val="left" w:pos="624"/>
      </w:tabs>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5B" w:rsidRDefault="00A8275B" w:rsidP="00775FC8">
      <w:pPr>
        <w:pStyle w:val="Normal-pool"/>
        <w:spacing w:after="120"/>
        <w:ind w:left="624"/>
      </w:pPr>
      <w:r>
        <w:separator/>
      </w:r>
    </w:p>
  </w:footnote>
  <w:footnote w:type="continuationSeparator" w:id="0">
    <w:p w:rsidR="00A8275B" w:rsidRPr="00444A7B" w:rsidRDefault="00A8275B" w:rsidP="00775FC8">
      <w:pPr>
        <w:pStyle w:val="Normal-pool"/>
        <w:spacing w:after="120"/>
        <w:ind w:left="624"/>
      </w:pPr>
      <w:r w:rsidRPr="003E61BB">
        <w:continuationSeparator/>
      </w:r>
    </w:p>
  </w:footnote>
  <w:footnote w:id="1">
    <w:p w:rsidR="00146A89" w:rsidRPr="00775FC8" w:rsidRDefault="00146A89" w:rsidP="00D7505A">
      <w:pPr>
        <w:pStyle w:val="FootnoteText"/>
        <w:tabs>
          <w:tab w:val="clear" w:pos="1247"/>
          <w:tab w:val="clear" w:pos="1814"/>
          <w:tab w:val="clear" w:pos="2381"/>
          <w:tab w:val="clear" w:pos="2948"/>
          <w:tab w:val="clear" w:pos="3515"/>
          <w:tab w:val="left" w:pos="624"/>
        </w:tabs>
        <w:rPr>
          <w:szCs w:val="18"/>
          <w:lang w:val="en-US"/>
        </w:rPr>
      </w:pPr>
      <w:r w:rsidRPr="00775FC8">
        <w:rPr>
          <w:rStyle w:val="FootnoteReference"/>
          <w:sz w:val="18"/>
        </w:rPr>
        <w:sym w:font="Symbol" w:char="F02A"/>
      </w:r>
      <w:r w:rsidRPr="00775FC8">
        <w:rPr>
          <w:szCs w:val="18"/>
        </w:rPr>
        <w:t xml:space="preserve"> IPBES/</w:t>
      </w:r>
      <w:r w:rsidRPr="00775FC8">
        <w:rPr>
          <w:szCs w:val="18"/>
          <w:lang w:eastAsia="ja-JP"/>
        </w:rPr>
        <w:t>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9" w:rsidRPr="00492DE8" w:rsidRDefault="00146A89">
    <w:pPr>
      <w:pStyle w:val="Header"/>
      <w:rPr>
        <w:szCs w:val="18"/>
      </w:rPr>
    </w:pPr>
    <w:r w:rsidRPr="00D7505A">
      <w:rPr>
        <w:rFonts w:ascii="Times New Roman" w:eastAsia="MS Mincho" w:hAnsi="Times New Roman"/>
        <w:szCs w:val="18"/>
      </w:rPr>
      <w:t>IPBES</w:t>
    </w:r>
    <w:r w:rsidRPr="00D7505A">
      <w:rPr>
        <w:rFonts w:ascii="Times New Roman" w:eastAsia="MS Mincho" w:hAnsi="Times New Roman"/>
        <w:szCs w:val="18"/>
        <w:lang w:eastAsia="ja-JP"/>
      </w:rPr>
      <w:t>/2/1</w:t>
    </w:r>
    <w:r w:rsidRPr="00492DE8">
      <w:rPr>
        <w:rFonts w:ascii="Times New Roman" w:eastAsia="MS Mincho" w:hAnsi="Times New Roman"/>
        <w:szCs w:val="18"/>
        <w:lang w:eastAsia="ja-JP"/>
      </w:rPr>
      <w:t>6/A</w:t>
    </w:r>
    <w:r>
      <w:rPr>
        <w:rFonts w:ascii="Times New Roman" w:eastAsia="MS Mincho" w:hAnsi="Times New Roman"/>
        <w:szCs w:val="18"/>
        <w:lang w:eastAsia="ja-JP"/>
      </w:rPr>
      <w:t>dd.5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9" w:rsidRPr="003C5211" w:rsidRDefault="00146A89" w:rsidP="003C5211">
    <w:pPr>
      <w:pStyle w:val="Header"/>
      <w:jc w:val="right"/>
      <w:rPr>
        <w:szCs w:val="18"/>
      </w:rPr>
    </w:pPr>
    <w:r w:rsidRPr="00D7505A">
      <w:rPr>
        <w:rFonts w:ascii="Times New Roman" w:eastAsia="MS Mincho" w:hAnsi="Times New Roman"/>
        <w:szCs w:val="18"/>
      </w:rPr>
      <w:t>IPBES</w:t>
    </w:r>
    <w:r w:rsidRPr="00D7505A">
      <w:rPr>
        <w:rFonts w:ascii="Times New Roman" w:eastAsia="MS Mincho" w:hAnsi="Times New Roman"/>
        <w:szCs w:val="18"/>
        <w:lang w:eastAsia="ja-JP"/>
      </w:rPr>
      <w:t>/2/1</w:t>
    </w:r>
    <w:r w:rsidRPr="003C5211">
      <w:rPr>
        <w:rFonts w:ascii="Times New Roman" w:eastAsia="MS Mincho" w:hAnsi="Times New Roman"/>
        <w:szCs w:val="18"/>
        <w:lang w:eastAsia="ja-JP"/>
      </w:rPr>
      <w:t>6/A</w:t>
    </w:r>
    <w:r>
      <w:rPr>
        <w:rFonts w:ascii="Times New Roman" w:eastAsia="MS Mincho" w:hAnsi="Times New Roman"/>
        <w:szCs w:val="18"/>
        <w:lang w:eastAsia="ja-JP"/>
      </w:rPr>
      <w:t>dd.5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89" w:rsidRPr="00775FC8" w:rsidRDefault="00146A89" w:rsidP="00775FC8">
    <w:pPr>
      <w:pStyle w:val="Header"/>
      <w:pBdr>
        <w:bottom w:val="none" w:sz="0" w:space="0" w:color="auto"/>
      </w:pBdr>
      <w:tabs>
        <w:tab w:val="clear" w:pos="4536"/>
        <w:tab w:val="clear" w:pos="9072"/>
      </w:tabs>
      <w:spacing w:after="0" w:line="240" w:lineRule="auto"/>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55C7"/>
    <w:multiLevelType w:val="multilevel"/>
    <w:tmpl w:val="1BA292D6"/>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06E5D56"/>
    <w:multiLevelType w:val="hybridMultilevel"/>
    <w:tmpl w:val="5B3222A4"/>
    <w:lvl w:ilvl="0" w:tplc="0CBE1BF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52A66A9D"/>
    <w:multiLevelType w:val="multilevel"/>
    <w:tmpl w:val="F4ACF36E"/>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62291BF8"/>
    <w:multiLevelType w:val="multilevel"/>
    <w:tmpl w:val="F4ACF36E"/>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1"/>
  </w:num>
  <w:num w:numId="3">
    <w:abstractNumId w:val="2"/>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3"/>
  </w:num>
  <w:num w:numId="1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0008"/>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D7505A"/>
    <w:rsid w:val="00002294"/>
    <w:rsid w:val="000062A6"/>
    <w:rsid w:val="000115E6"/>
    <w:rsid w:val="000149E6"/>
    <w:rsid w:val="000247B0"/>
    <w:rsid w:val="000256E6"/>
    <w:rsid w:val="00026997"/>
    <w:rsid w:val="00033E0B"/>
    <w:rsid w:val="00035AE6"/>
    <w:rsid w:val="00035EDE"/>
    <w:rsid w:val="000509B4"/>
    <w:rsid w:val="00055058"/>
    <w:rsid w:val="0006035B"/>
    <w:rsid w:val="0007166E"/>
    <w:rsid w:val="00071886"/>
    <w:rsid w:val="000742BC"/>
    <w:rsid w:val="00082A0C"/>
    <w:rsid w:val="00083504"/>
    <w:rsid w:val="0009640C"/>
    <w:rsid w:val="000B06BB"/>
    <w:rsid w:val="000B21D5"/>
    <w:rsid w:val="000B22A2"/>
    <w:rsid w:val="000C2A52"/>
    <w:rsid w:val="000C5789"/>
    <w:rsid w:val="000D33C0"/>
    <w:rsid w:val="000D6941"/>
    <w:rsid w:val="000E4580"/>
    <w:rsid w:val="000F1A70"/>
    <w:rsid w:val="00100494"/>
    <w:rsid w:val="001126B6"/>
    <w:rsid w:val="00115428"/>
    <w:rsid w:val="00116D9D"/>
    <w:rsid w:val="001202E3"/>
    <w:rsid w:val="00123699"/>
    <w:rsid w:val="00123E91"/>
    <w:rsid w:val="0012466F"/>
    <w:rsid w:val="001265CE"/>
    <w:rsid w:val="0013059D"/>
    <w:rsid w:val="001317BC"/>
    <w:rsid w:val="00141A55"/>
    <w:rsid w:val="001446A3"/>
    <w:rsid w:val="00146A89"/>
    <w:rsid w:val="00155395"/>
    <w:rsid w:val="00160890"/>
    <w:rsid w:val="00166A62"/>
    <w:rsid w:val="00181555"/>
    <w:rsid w:val="00181EC8"/>
    <w:rsid w:val="00184349"/>
    <w:rsid w:val="001872AE"/>
    <w:rsid w:val="00195F33"/>
    <w:rsid w:val="001B1617"/>
    <w:rsid w:val="001B4FFA"/>
    <w:rsid w:val="001B504B"/>
    <w:rsid w:val="001C07CA"/>
    <w:rsid w:val="001D3874"/>
    <w:rsid w:val="001D7E75"/>
    <w:rsid w:val="001E3854"/>
    <w:rsid w:val="001E56D2"/>
    <w:rsid w:val="001E7D56"/>
    <w:rsid w:val="001F06F7"/>
    <w:rsid w:val="001F75DE"/>
    <w:rsid w:val="00200D58"/>
    <w:rsid w:val="002013BE"/>
    <w:rsid w:val="00201720"/>
    <w:rsid w:val="00205E3C"/>
    <w:rsid w:val="002063A4"/>
    <w:rsid w:val="0021145B"/>
    <w:rsid w:val="002202FD"/>
    <w:rsid w:val="002213CF"/>
    <w:rsid w:val="0022502A"/>
    <w:rsid w:val="0024365D"/>
    <w:rsid w:val="00243D36"/>
    <w:rsid w:val="00247707"/>
    <w:rsid w:val="002657A9"/>
    <w:rsid w:val="00266804"/>
    <w:rsid w:val="00286740"/>
    <w:rsid w:val="002929D8"/>
    <w:rsid w:val="002A237D"/>
    <w:rsid w:val="002A4C53"/>
    <w:rsid w:val="002A57E2"/>
    <w:rsid w:val="002B00B2"/>
    <w:rsid w:val="002B0672"/>
    <w:rsid w:val="002B1B4C"/>
    <w:rsid w:val="002B21DF"/>
    <w:rsid w:val="002B247F"/>
    <w:rsid w:val="002C09AB"/>
    <w:rsid w:val="002C145D"/>
    <w:rsid w:val="002C2C3E"/>
    <w:rsid w:val="002C533E"/>
    <w:rsid w:val="002D027F"/>
    <w:rsid w:val="002D28AE"/>
    <w:rsid w:val="002D7A85"/>
    <w:rsid w:val="002D7B60"/>
    <w:rsid w:val="002D7DBC"/>
    <w:rsid w:val="002F4761"/>
    <w:rsid w:val="002F536A"/>
    <w:rsid w:val="002F5C79"/>
    <w:rsid w:val="003019E2"/>
    <w:rsid w:val="0031413F"/>
    <w:rsid w:val="003148BB"/>
    <w:rsid w:val="00314BF5"/>
    <w:rsid w:val="003156D6"/>
    <w:rsid w:val="00317976"/>
    <w:rsid w:val="00330BE5"/>
    <w:rsid w:val="00353E7F"/>
    <w:rsid w:val="00355EA9"/>
    <w:rsid w:val="003578DE"/>
    <w:rsid w:val="00367FC7"/>
    <w:rsid w:val="00376078"/>
    <w:rsid w:val="0037617C"/>
    <w:rsid w:val="00396257"/>
    <w:rsid w:val="00397EB8"/>
    <w:rsid w:val="003A086E"/>
    <w:rsid w:val="003A4FD0"/>
    <w:rsid w:val="003A69D1"/>
    <w:rsid w:val="003A76CA"/>
    <w:rsid w:val="003A7705"/>
    <w:rsid w:val="003B1545"/>
    <w:rsid w:val="003C409D"/>
    <w:rsid w:val="003C5211"/>
    <w:rsid w:val="003C5BA6"/>
    <w:rsid w:val="003E1354"/>
    <w:rsid w:val="003E4043"/>
    <w:rsid w:val="003E61BB"/>
    <w:rsid w:val="003F0E85"/>
    <w:rsid w:val="003F78D2"/>
    <w:rsid w:val="004002B3"/>
    <w:rsid w:val="00402B45"/>
    <w:rsid w:val="004046EF"/>
    <w:rsid w:val="00405251"/>
    <w:rsid w:val="00410C55"/>
    <w:rsid w:val="00416854"/>
    <w:rsid w:val="00417725"/>
    <w:rsid w:val="0042553E"/>
    <w:rsid w:val="00437F26"/>
    <w:rsid w:val="00444097"/>
    <w:rsid w:val="00444A7B"/>
    <w:rsid w:val="00445487"/>
    <w:rsid w:val="00454769"/>
    <w:rsid w:val="00465F13"/>
    <w:rsid w:val="00466991"/>
    <w:rsid w:val="0047064C"/>
    <w:rsid w:val="00473F0B"/>
    <w:rsid w:val="00477183"/>
    <w:rsid w:val="00492DE8"/>
    <w:rsid w:val="00497162"/>
    <w:rsid w:val="004A2DF0"/>
    <w:rsid w:val="004A42E1"/>
    <w:rsid w:val="004B162C"/>
    <w:rsid w:val="004C3DBE"/>
    <w:rsid w:val="004C5C96"/>
    <w:rsid w:val="004D06A4"/>
    <w:rsid w:val="004E0A3B"/>
    <w:rsid w:val="004F1A81"/>
    <w:rsid w:val="004F1B37"/>
    <w:rsid w:val="005159A3"/>
    <w:rsid w:val="00517B98"/>
    <w:rsid w:val="005218D9"/>
    <w:rsid w:val="00522D3E"/>
    <w:rsid w:val="005231E1"/>
    <w:rsid w:val="005233C3"/>
    <w:rsid w:val="00523A59"/>
    <w:rsid w:val="00525350"/>
    <w:rsid w:val="00536186"/>
    <w:rsid w:val="00542B63"/>
    <w:rsid w:val="00544CBB"/>
    <w:rsid w:val="00545EC5"/>
    <w:rsid w:val="00546FC7"/>
    <w:rsid w:val="0055325F"/>
    <w:rsid w:val="0057315F"/>
    <w:rsid w:val="005731F5"/>
    <w:rsid w:val="00576104"/>
    <w:rsid w:val="0059134D"/>
    <w:rsid w:val="00596673"/>
    <w:rsid w:val="005A5500"/>
    <w:rsid w:val="005C1805"/>
    <w:rsid w:val="005C4E57"/>
    <w:rsid w:val="005C67C8"/>
    <w:rsid w:val="005C6FE2"/>
    <w:rsid w:val="005D0249"/>
    <w:rsid w:val="005D6E8C"/>
    <w:rsid w:val="005E4887"/>
    <w:rsid w:val="005F100C"/>
    <w:rsid w:val="005F3F24"/>
    <w:rsid w:val="005F68DA"/>
    <w:rsid w:val="0060773B"/>
    <w:rsid w:val="006157B5"/>
    <w:rsid w:val="00625C73"/>
    <w:rsid w:val="00626FC6"/>
    <w:rsid w:val="006303B4"/>
    <w:rsid w:val="00633D3D"/>
    <w:rsid w:val="0063570C"/>
    <w:rsid w:val="00641703"/>
    <w:rsid w:val="006431A6"/>
    <w:rsid w:val="006459F6"/>
    <w:rsid w:val="006501AD"/>
    <w:rsid w:val="006509B5"/>
    <w:rsid w:val="00651BFA"/>
    <w:rsid w:val="00655460"/>
    <w:rsid w:val="00665A4B"/>
    <w:rsid w:val="006718DB"/>
    <w:rsid w:val="006837D1"/>
    <w:rsid w:val="00692E2A"/>
    <w:rsid w:val="00695D8A"/>
    <w:rsid w:val="00697289"/>
    <w:rsid w:val="006A45CB"/>
    <w:rsid w:val="006A76F2"/>
    <w:rsid w:val="006D7EFB"/>
    <w:rsid w:val="006E6672"/>
    <w:rsid w:val="006E6722"/>
    <w:rsid w:val="006F2954"/>
    <w:rsid w:val="006F61F9"/>
    <w:rsid w:val="006F6421"/>
    <w:rsid w:val="006F7874"/>
    <w:rsid w:val="007027B9"/>
    <w:rsid w:val="007133EF"/>
    <w:rsid w:val="00713D8F"/>
    <w:rsid w:val="00715E88"/>
    <w:rsid w:val="0072137F"/>
    <w:rsid w:val="0072602E"/>
    <w:rsid w:val="007266DB"/>
    <w:rsid w:val="00734952"/>
    <w:rsid w:val="00734CAA"/>
    <w:rsid w:val="007411BF"/>
    <w:rsid w:val="00752EAD"/>
    <w:rsid w:val="0075533C"/>
    <w:rsid w:val="00757581"/>
    <w:rsid w:val="007611A0"/>
    <w:rsid w:val="00767CFE"/>
    <w:rsid w:val="00771E6E"/>
    <w:rsid w:val="00775BF0"/>
    <w:rsid w:val="00775FC8"/>
    <w:rsid w:val="0078040F"/>
    <w:rsid w:val="00796D3F"/>
    <w:rsid w:val="007A1683"/>
    <w:rsid w:val="007A36F8"/>
    <w:rsid w:val="007A5C12"/>
    <w:rsid w:val="007A7CB0"/>
    <w:rsid w:val="007B2241"/>
    <w:rsid w:val="007B68A3"/>
    <w:rsid w:val="007B68F4"/>
    <w:rsid w:val="007B7D4A"/>
    <w:rsid w:val="007C2541"/>
    <w:rsid w:val="007C463F"/>
    <w:rsid w:val="007C7B77"/>
    <w:rsid w:val="007D66A8"/>
    <w:rsid w:val="007E003F"/>
    <w:rsid w:val="007E1138"/>
    <w:rsid w:val="007E3421"/>
    <w:rsid w:val="00801060"/>
    <w:rsid w:val="00802E72"/>
    <w:rsid w:val="00813617"/>
    <w:rsid w:val="008164F2"/>
    <w:rsid w:val="008175BD"/>
    <w:rsid w:val="00820830"/>
    <w:rsid w:val="00821395"/>
    <w:rsid w:val="00830E26"/>
    <w:rsid w:val="00843576"/>
    <w:rsid w:val="00843B64"/>
    <w:rsid w:val="008478FC"/>
    <w:rsid w:val="00853F92"/>
    <w:rsid w:val="008671EE"/>
    <w:rsid w:val="00867BFF"/>
    <w:rsid w:val="008826B2"/>
    <w:rsid w:val="0088480A"/>
    <w:rsid w:val="0088757A"/>
    <w:rsid w:val="008957DD"/>
    <w:rsid w:val="00897D98"/>
    <w:rsid w:val="008A26B4"/>
    <w:rsid w:val="008A6546"/>
    <w:rsid w:val="008A6DF2"/>
    <w:rsid w:val="008A7807"/>
    <w:rsid w:val="008B37D3"/>
    <w:rsid w:val="008B4CC9"/>
    <w:rsid w:val="008C618E"/>
    <w:rsid w:val="008D7C99"/>
    <w:rsid w:val="008E0FCB"/>
    <w:rsid w:val="008E167F"/>
    <w:rsid w:val="008F45EB"/>
    <w:rsid w:val="0090672F"/>
    <w:rsid w:val="00915ABD"/>
    <w:rsid w:val="0092178C"/>
    <w:rsid w:val="00921F14"/>
    <w:rsid w:val="00930B88"/>
    <w:rsid w:val="009316CF"/>
    <w:rsid w:val="00940DCC"/>
    <w:rsid w:val="0094179A"/>
    <w:rsid w:val="00942AA3"/>
    <w:rsid w:val="00942BBA"/>
    <w:rsid w:val="0094459E"/>
    <w:rsid w:val="00944DBC"/>
    <w:rsid w:val="00947ED6"/>
    <w:rsid w:val="00950977"/>
    <w:rsid w:val="00951A7B"/>
    <w:rsid w:val="009564A6"/>
    <w:rsid w:val="009576AE"/>
    <w:rsid w:val="00967621"/>
    <w:rsid w:val="00967C74"/>
    <w:rsid w:val="00967E6A"/>
    <w:rsid w:val="00984757"/>
    <w:rsid w:val="009935AC"/>
    <w:rsid w:val="009A0723"/>
    <w:rsid w:val="009B384C"/>
    <w:rsid w:val="009B4A0F"/>
    <w:rsid w:val="009B7ED8"/>
    <w:rsid w:val="009C11D2"/>
    <w:rsid w:val="009C3A9E"/>
    <w:rsid w:val="009C5B98"/>
    <w:rsid w:val="009C6C70"/>
    <w:rsid w:val="009D0B63"/>
    <w:rsid w:val="009D4810"/>
    <w:rsid w:val="009E2B41"/>
    <w:rsid w:val="009E307E"/>
    <w:rsid w:val="009E3D7E"/>
    <w:rsid w:val="00A064DE"/>
    <w:rsid w:val="00A07870"/>
    <w:rsid w:val="00A07F19"/>
    <w:rsid w:val="00A1348D"/>
    <w:rsid w:val="00A206D5"/>
    <w:rsid w:val="00A232EE"/>
    <w:rsid w:val="00A23A15"/>
    <w:rsid w:val="00A32A26"/>
    <w:rsid w:val="00A4175F"/>
    <w:rsid w:val="00A44411"/>
    <w:rsid w:val="00A469FA"/>
    <w:rsid w:val="00A55B01"/>
    <w:rsid w:val="00A56B5B"/>
    <w:rsid w:val="00A603FF"/>
    <w:rsid w:val="00A657DD"/>
    <w:rsid w:val="00A666A6"/>
    <w:rsid w:val="00A667F8"/>
    <w:rsid w:val="00A675FD"/>
    <w:rsid w:val="00A72437"/>
    <w:rsid w:val="00A80611"/>
    <w:rsid w:val="00A8275B"/>
    <w:rsid w:val="00A84CC2"/>
    <w:rsid w:val="00A86A4C"/>
    <w:rsid w:val="00A87BD8"/>
    <w:rsid w:val="00A93052"/>
    <w:rsid w:val="00AB413A"/>
    <w:rsid w:val="00AB5340"/>
    <w:rsid w:val="00AB64FD"/>
    <w:rsid w:val="00AC0B9F"/>
    <w:rsid w:val="00AC7C96"/>
    <w:rsid w:val="00AE237D"/>
    <w:rsid w:val="00AE2AFA"/>
    <w:rsid w:val="00AE502A"/>
    <w:rsid w:val="00AE77A9"/>
    <w:rsid w:val="00AF2776"/>
    <w:rsid w:val="00AF4524"/>
    <w:rsid w:val="00AF7C07"/>
    <w:rsid w:val="00AF7ED1"/>
    <w:rsid w:val="00B01268"/>
    <w:rsid w:val="00B172F7"/>
    <w:rsid w:val="00B20BCA"/>
    <w:rsid w:val="00B22C93"/>
    <w:rsid w:val="00B27589"/>
    <w:rsid w:val="00B36966"/>
    <w:rsid w:val="00B405B7"/>
    <w:rsid w:val="00B52222"/>
    <w:rsid w:val="00B54FE7"/>
    <w:rsid w:val="00B66901"/>
    <w:rsid w:val="00B67D84"/>
    <w:rsid w:val="00B7097E"/>
    <w:rsid w:val="00B71E6D"/>
    <w:rsid w:val="00B72070"/>
    <w:rsid w:val="00B779E1"/>
    <w:rsid w:val="00B8187F"/>
    <w:rsid w:val="00B843E7"/>
    <w:rsid w:val="00B91EE1"/>
    <w:rsid w:val="00B92858"/>
    <w:rsid w:val="00BA0090"/>
    <w:rsid w:val="00BA1A67"/>
    <w:rsid w:val="00BB03EB"/>
    <w:rsid w:val="00BB7648"/>
    <w:rsid w:val="00BE26E7"/>
    <w:rsid w:val="00BE3803"/>
    <w:rsid w:val="00BE5B5F"/>
    <w:rsid w:val="00C03453"/>
    <w:rsid w:val="00C14DE3"/>
    <w:rsid w:val="00C26F55"/>
    <w:rsid w:val="00C30BC5"/>
    <w:rsid w:val="00C30C63"/>
    <w:rsid w:val="00C3645D"/>
    <w:rsid w:val="00C36B8B"/>
    <w:rsid w:val="00C47DBF"/>
    <w:rsid w:val="00C552FF"/>
    <w:rsid w:val="00C558DA"/>
    <w:rsid w:val="00C55AF3"/>
    <w:rsid w:val="00C7008D"/>
    <w:rsid w:val="00C84759"/>
    <w:rsid w:val="00C91927"/>
    <w:rsid w:val="00C93463"/>
    <w:rsid w:val="00C9391E"/>
    <w:rsid w:val="00CA6C7F"/>
    <w:rsid w:val="00CC10A6"/>
    <w:rsid w:val="00CC27C0"/>
    <w:rsid w:val="00CD4D1C"/>
    <w:rsid w:val="00CD5EB8"/>
    <w:rsid w:val="00CD7044"/>
    <w:rsid w:val="00CD7F8B"/>
    <w:rsid w:val="00CE08B9"/>
    <w:rsid w:val="00CE524C"/>
    <w:rsid w:val="00CF141F"/>
    <w:rsid w:val="00CF4777"/>
    <w:rsid w:val="00D067BB"/>
    <w:rsid w:val="00D1352A"/>
    <w:rsid w:val="00D169AF"/>
    <w:rsid w:val="00D173AD"/>
    <w:rsid w:val="00D25249"/>
    <w:rsid w:val="00D33A85"/>
    <w:rsid w:val="00D36DF5"/>
    <w:rsid w:val="00D41151"/>
    <w:rsid w:val="00D44172"/>
    <w:rsid w:val="00D4614C"/>
    <w:rsid w:val="00D542C2"/>
    <w:rsid w:val="00D54E48"/>
    <w:rsid w:val="00D63B8C"/>
    <w:rsid w:val="00D67AAD"/>
    <w:rsid w:val="00D739CC"/>
    <w:rsid w:val="00D7505A"/>
    <w:rsid w:val="00D80282"/>
    <w:rsid w:val="00D804F1"/>
    <w:rsid w:val="00D8093D"/>
    <w:rsid w:val="00D8108C"/>
    <w:rsid w:val="00D842AE"/>
    <w:rsid w:val="00D858B9"/>
    <w:rsid w:val="00D9211C"/>
    <w:rsid w:val="00D92DE0"/>
    <w:rsid w:val="00D92FEF"/>
    <w:rsid w:val="00D938EE"/>
    <w:rsid w:val="00D93A0F"/>
    <w:rsid w:val="00DA00D3"/>
    <w:rsid w:val="00DA0BB6"/>
    <w:rsid w:val="00DA1BCA"/>
    <w:rsid w:val="00DC46FF"/>
    <w:rsid w:val="00DC5254"/>
    <w:rsid w:val="00DC719F"/>
    <w:rsid w:val="00DD1A4F"/>
    <w:rsid w:val="00DD23E2"/>
    <w:rsid w:val="00DD3107"/>
    <w:rsid w:val="00DD7C2C"/>
    <w:rsid w:val="00E04D04"/>
    <w:rsid w:val="00E06797"/>
    <w:rsid w:val="00E1265B"/>
    <w:rsid w:val="00E13B48"/>
    <w:rsid w:val="00E1404F"/>
    <w:rsid w:val="00E20231"/>
    <w:rsid w:val="00E21C83"/>
    <w:rsid w:val="00E2371B"/>
    <w:rsid w:val="00E24ADA"/>
    <w:rsid w:val="00E251F3"/>
    <w:rsid w:val="00E32F59"/>
    <w:rsid w:val="00E43702"/>
    <w:rsid w:val="00E46D9A"/>
    <w:rsid w:val="00E565FF"/>
    <w:rsid w:val="00E627AE"/>
    <w:rsid w:val="00E639C6"/>
    <w:rsid w:val="00E65388"/>
    <w:rsid w:val="00E808D0"/>
    <w:rsid w:val="00E85B7D"/>
    <w:rsid w:val="00E8635B"/>
    <w:rsid w:val="00E9121B"/>
    <w:rsid w:val="00E9264D"/>
    <w:rsid w:val="00EA0AE2"/>
    <w:rsid w:val="00EA39E5"/>
    <w:rsid w:val="00EB2B06"/>
    <w:rsid w:val="00EB6868"/>
    <w:rsid w:val="00EC1C58"/>
    <w:rsid w:val="00EC5A46"/>
    <w:rsid w:val="00EC63E2"/>
    <w:rsid w:val="00ED1F36"/>
    <w:rsid w:val="00ED455D"/>
    <w:rsid w:val="00EE6CA7"/>
    <w:rsid w:val="00EF22B3"/>
    <w:rsid w:val="00F01E38"/>
    <w:rsid w:val="00F03B69"/>
    <w:rsid w:val="00F05F07"/>
    <w:rsid w:val="00F07A50"/>
    <w:rsid w:val="00F113DA"/>
    <w:rsid w:val="00F15539"/>
    <w:rsid w:val="00F24AC5"/>
    <w:rsid w:val="00F36557"/>
    <w:rsid w:val="00F37DC8"/>
    <w:rsid w:val="00F439B3"/>
    <w:rsid w:val="00F46977"/>
    <w:rsid w:val="00F5798B"/>
    <w:rsid w:val="00F650C3"/>
    <w:rsid w:val="00F65D85"/>
    <w:rsid w:val="00F71C50"/>
    <w:rsid w:val="00F8091E"/>
    <w:rsid w:val="00F8615C"/>
    <w:rsid w:val="00F969E5"/>
    <w:rsid w:val="00FA42BA"/>
    <w:rsid w:val="00FA6BB0"/>
    <w:rsid w:val="00FC2738"/>
    <w:rsid w:val="00FC3403"/>
    <w:rsid w:val="00FD5860"/>
    <w:rsid w:val="00FE352D"/>
    <w:rsid w:val="00FE40EB"/>
    <w:rsid w:val="00FE4D02"/>
    <w:rsid w:val="00FE6E54"/>
    <w:rsid w:val="00FE7D62"/>
    <w:rsid w:val="00FF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05A"/>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E2371B"/>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styleId="ListParagraph">
    <w:name w:val="List Paragraph"/>
    <w:basedOn w:val="Normal"/>
    <w:uiPriority w:val="34"/>
    <w:qFormat/>
    <w:rsid w:val="00D7505A"/>
    <w:pPr>
      <w:ind w:left="720"/>
      <w:contextualSpacing/>
    </w:pPr>
  </w:style>
  <w:style w:type="paragraph" w:customStyle="1" w:styleId="ColorfulList-Accent11">
    <w:name w:val="Colorful List - Accent 11"/>
    <w:basedOn w:val="Normal"/>
    <w:uiPriority w:val="34"/>
    <w:qFormat/>
    <w:rsid w:val="00D7505A"/>
    <w:pPr>
      <w:ind w:left="720"/>
      <w:contextualSpacing/>
    </w:pPr>
  </w:style>
  <w:style w:type="character" w:customStyle="1" w:styleId="FootnoteTextChar">
    <w:name w:val="Footnote Text Char"/>
    <w:link w:val="FootnoteText"/>
    <w:uiPriority w:val="99"/>
    <w:semiHidden/>
    <w:rsid w:val="00D7505A"/>
    <w:rPr>
      <w:sz w:val="18"/>
      <w:lang w:val="fr-CA" w:eastAsia="en-US"/>
    </w:rPr>
  </w:style>
  <w:style w:type="table" w:styleId="TableGrid">
    <w:name w:val="Table Grid"/>
    <w:basedOn w:val="TableNormal"/>
    <w:uiPriority w:val="59"/>
    <w:rsid w:val="00D7505A"/>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oolChar">
    <w:name w:val="Normal-pool Char"/>
    <w:link w:val="Normal-pool"/>
    <w:rsid w:val="00D7505A"/>
    <w:rPr>
      <w:lang w:val="en-GB" w:eastAsia="en-US" w:bidi="ar-SA"/>
    </w:rPr>
  </w:style>
  <w:style w:type="paragraph" w:styleId="BalloonText">
    <w:name w:val="Balloon Text"/>
    <w:basedOn w:val="Normal"/>
    <w:link w:val="BalloonTextChar"/>
    <w:rsid w:val="00546FC7"/>
    <w:pPr>
      <w:spacing w:after="0" w:line="240" w:lineRule="auto"/>
    </w:pPr>
    <w:rPr>
      <w:rFonts w:ascii="Tahoma" w:hAnsi="Tahoma"/>
      <w:sz w:val="16"/>
      <w:szCs w:val="16"/>
      <w:lang/>
    </w:rPr>
  </w:style>
  <w:style w:type="character" w:customStyle="1" w:styleId="BalloonTextChar">
    <w:name w:val="Balloon Text Char"/>
    <w:link w:val="BalloonText"/>
    <w:rsid w:val="00546FC7"/>
    <w:rPr>
      <w:rFonts w:ascii="Tahoma" w:eastAsia="Calibri" w:hAnsi="Tahoma" w:cs="Tahoma"/>
      <w:sz w:val="16"/>
      <w:szCs w:val="16"/>
      <w:lang w:val="en-GB"/>
    </w:rPr>
  </w:style>
  <w:style w:type="character" w:customStyle="1" w:styleId="FooterChar">
    <w:name w:val="Footer Char"/>
    <w:link w:val="Footer"/>
    <w:uiPriority w:val="99"/>
    <w:rsid w:val="008671EE"/>
    <w:rPr>
      <w:rFonts w:ascii="Calibri" w:eastAsia="Calibri" w:hAnsi="Calibri"/>
      <w:sz w:val="18"/>
      <w:szCs w:val="22"/>
      <w:lang w:val="en-GB" w:eastAsia="en-US"/>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65D9-9E67-44F3-9352-25FAC6FF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2160</Words>
  <Characters>12316</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Elizabeth Ngamate</dc:creator>
  <cp:lastModifiedBy>Rohan</cp:lastModifiedBy>
  <cp:revision>2</cp:revision>
  <cp:lastPrinted>2013-10-03T10:50:00Z</cp:lastPrinted>
  <dcterms:created xsi:type="dcterms:W3CDTF">2013-11-15T15:55:00Z</dcterms:created>
  <dcterms:modified xsi:type="dcterms:W3CDTF">2013-11-15T15:55:00Z</dcterms:modified>
</cp:coreProperties>
</file>