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Borders>
          <w:bottom w:val="single" w:sz="24" w:space="0" w:color="auto"/>
          <w:insideH w:val="single" w:sz="8" w:space="0" w:color="auto"/>
        </w:tblBorders>
        <w:tblLayout w:type="fixed"/>
        <w:tblLook w:val="0000"/>
      </w:tblPr>
      <w:tblGrid>
        <w:gridCol w:w="2707"/>
        <w:gridCol w:w="5232"/>
        <w:gridCol w:w="1701"/>
      </w:tblGrid>
      <w:tr w:rsidR="00DE796A">
        <w:tblPrEx>
          <w:tblCellMar>
            <w:top w:w="0" w:type="dxa"/>
            <w:bottom w:w="0" w:type="dxa"/>
          </w:tblCellMar>
        </w:tblPrEx>
        <w:trPr>
          <w:cantSplit/>
          <w:trHeight w:val="708"/>
        </w:trPr>
        <w:tc>
          <w:tcPr>
            <w:tcW w:w="2707" w:type="dxa"/>
            <w:tcBorders>
              <w:bottom w:val="nil"/>
            </w:tcBorders>
          </w:tcPr>
          <w:p w:rsidR="00DE796A" w:rsidRPr="001844E3" w:rsidRDefault="00F47390">
            <w:pPr>
              <w:bidi w:val="0"/>
              <w:rPr>
                <w:rFonts w:ascii="Arial" w:hAnsi="Arial" w:cs="Arial"/>
                <w:b/>
                <w:bCs/>
                <w:sz w:val="64"/>
                <w:szCs w:val="64"/>
                <w:rtl/>
              </w:rPr>
            </w:pPr>
            <w:r w:rsidRPr="001844E3">
              <w:rPr>
                <w:rFonts w:ascii="Arial" w:hAnsi="Arial" w:cs="Arial"/>
                <w:b/>
                <w:sz w:val="64"/>
                <w:szCs w:val="64"/>
              </w:rPr>
              <w:t>EP</w:t>
            </w:r>
          </w:p>
        </w:tc>
        <w:tc>
          <w:tcPr>
            <w:tcW w:w="6933" w:type="dxa"/>
            <w:gridSpan w:val="2"/>
            <w:tcBorders>
              <w:bottom w:val="nil"/>
            </w:tcBorders>
          </w:tcPr>
          <w:p w:rsidR="00B86C1A" w:rsidRPr="00B86C1A" w:rsidRDefault="00B86C1A" w:rsidP="00B86C1A">
            <w:pPr>
              <w:spacing w:line="480" w:lineRule="exact"/>
              <w:jc w:val="both"/>
              <w:rPr>
                <w:rFonts w:cs="Traditional Arabic" w:hint="cs"/>
                <w:b/>
                <w:bCs/>
                <w:sz w:val="48"/>
                <w:szCs w:val="48"/>
                <w:rtl/>
              </w:rPr>
            </w:pPr>
            <w:r w:rsidRPr="00B86C1A">
              <w:rPr>
                <w:rFonts w:cs="Traditional Arabic" w:hint="cs"/>
                <w:b/>
                <w:bCs/>
                <w:sz w:val="48"/>
                <w:szCs w:val="48"/>
                <w:rtl/>
              </w:rPr>
              <w:t>الأمم</w:t>
            </w:r>
          </w:p>
          <w:p w:rsidR="00DE796A" w:rsidRPr="000844F9" w:rsidRDefault="00DE796A" w:rsidP="00B86C1A">
            <w:pPr>
              <w:spacing w:line="480" w:lineRule="exact"/>
              <w:jc w:val="both"/>
              <w:rPr>
                <w:rFonts w:cs="Traditional Arabic" w:hint="cs"/>
                <w:b/>
                <w:bCs/>
                <w:sz w:val="44"/>
                <w:szCs w:val="44"/>
              </w:rPr>
            </w:pPr>
            <w:r w:rsidRPr="00B86C1A">
              <w:rPr>
                <w:rFonts w:cs="Traditional Arabic" w:hint="cs"/>
                <w:b/>
                <w:bCs/>
                <w:sz w:val="48"/>
                <w:szCs w:val="48"/>
                <w:rtl/>
              </w:rPr>
              <w:t>المتحدة</w:t>
            </w:r>
          </w:p>
        </w:tc>
      </w:tr>
      <w:tr w:rsidR="004B0A17">
        <w:tblPrEx>
          <w:tblCellMar>
            <w:top w:w="0" w:type="dxa"/>
            <w:bottom w:w="0" w:type="dxa"/>
          </w:tblCellMar>
        </w:tblPrEx>
        <w:trPr>
          <w:cantSplit/>
          <w:trHeight w:val="415"/>
        </w:trPr>
        <w:tc>
          <w:tcPr>
            <w:tcW w:w="2707" w:type="dxa"/>
            <w:tcBorders>
              <w:top w:val="nil"/>
              <w:bottom w:val="single" w:sz="4" w:space="0" w:color="auto"/>
            </w:tcBorders>
          </w:tcPr>
          <w:p w:rsidR="004B0A17" w:rsidRPr="004B0A17" w:rsidRDefault="0040218B" w:rsidP="00B01D76">
            <w:pPr>
              <w:bidi w:val="0"/>
              <w:spacing w:before="120"/>
              <w:rPr>
                <w:rFonts w:cs="Times New Roman"/>
                <w:b/>
                <w:bCs/>
                <w:sz w:val="20"/>
                <w:szCs w:val="20"/>
              </w:rPr>
            </w:pPr>
            <w:r w:rsidRPr="00B86C1A">
              <w:rPr>
                <w:rFonts w:cs="Times New Roman"/>
                <w:b/>
                <w:bCs/>
                <w:sz w:val="28"/>
              </w:rPr>
              <w:t>IPBES</w:t>
            </w:r>
            <w:r>
              <w:rPr>
                <w:rFonts w:cs="Times New Roman"/>
                <w:sz w:val="20"/>
                <w:szCs w:val="20"/>
              </w:rPr>
              <w:t>/</w:t>
            </w:r>
            <w:r w:rsidR="007F304D">
              <w:rPr>
                <w:rFonts w:cs="Times New Roman"/>
                <w:sz w:val="20"/>
                <w:szCs w:val="20"/>
              </w:rPr>
              <w:t>2</w:t>
            </w:r>
            <w:r w:rsidR="00955980">
              <w:rPr>
                <w:rFonts w:cs="Times New Roman"/>
                <w:sz w:val="20"/>
                <w:szCs w:val="20"/>
              </w:rPr>
              <w:t>/</w:t>
            </w:r>
            <w:r w:rsidR="00B01D76">
              <w:rPr>
                <w:rFonts w:cs="Times New Roman"/>
                <w:sz w:val="20"/>
                <w:szCs w:val="20"/>
              </w:rPr>
              <w:t>16/Add.3</w:t>
            </w:r>
          </w:p>
        </w:tc>
        <w:tc>
          <w:tcPr>
            <w:tcW w:w="6933" w:type="dxa"/>
            <w:gridSpan w:val="2"/>
            <w:tcBorders>
              <w:top w:val="nil"/>
              <w:bottom w:val="single" w:sz="4" w:space="0" w:color="auto"/>
            </w:tcBorders>
          </w:tcPr>
          <w:p w:rsidR="004B0A17" w:rsidRPr="004B0A17" w:rsidRDefault="004B0A17" w:rsidP="004B0A17">
            <w:pPr>
              <w:bidi w:val="0"/>
              <w:jc w:val="both"/>
              <w:rPr>
                <w:rFonts w:cs="Times New Roman"/>
                <w:b/>
                <w:bCs/>
                <w:sz w:val="20"/>
                <w:szCs w:val="20"/>
                <w:rtl/>
              </w:rPr>
            </w:pPr>
          </w:p>
        </w:tc>
      </w:tr>
      <w:tr w:rsidR="00DE796A" w:rsidTr="00B86C1A">
        <w:tblPrEx>
          <w:tblCellMar>
            <w:top w:w="0" w:type="dxa"/>
            <w:bottom w:w="0" w:type="dxa"/>
          </w:tblCellMar>
        </w:tblPrEx>
        <w:trPr>
          <w:cantSplit/>
          <w:trHeight w:val="2564"/>
        </w:trPr>
        <w:tc>
          <w:tcPr>
            <w:tcW w:w="2707" w:type="dxa"/>
            <w:tcBorders>
              <w:top w:val="single" w:sz="4" w:space="0" w:color="auto"/>
            </w:tcBorders>
          </w:tcPr>
          <w:p w:rsidR="00DE796A" w:rsidRPr="00A969A0" w:rsidRDefault="00DE796A" w:rsidP="00B86C1A">
            <w:pPr>
              <w:bidi w:val="0"/>
              <w:spacing w:before="120"/>
              <w:jc w:val="both"/>
              <w:rPr>
                <w:rFonts w:cs="Times New Roman"/>
                <w:sz w:val="20"/>
                <w:szCs w:val="20"/>
                <w:lang w:val="en-GB"/>
              </w:rPr>
            </w:pPr>
            <w:r w:rsidRPr="00A969A0">
              <w:rPr>
                <w:rFonts w:cs="Times New Roman"/>
                <w:sz w:val="20"/>
                <w:szCs w:val="20"/>
              </w:rPr>
              <w:t>Distr.</w:t>
            </w:r>
            <w:r w:rsidR="006C560D" w:rsidRPr="00A969A0">
              <w:rPr>
                <w:rFonts w:cs="Times New Roman"/>
                <w:sz w:val="20"/>
                <w:szCs w:val="20"/>
                <w:lang w:val="en-GB"/>
              </w:rPr>
              <w:t>: General</w:t>
            </w:r>
          </w:p>
          <w:p w:rsidR="00DE796A" w:rsidRPr="00A969A0" w:rsidRDefault="00B01D76" w:rsidP="00B01D76">
            <w:pPr>
              <w:bidi w:val="0"/>
              <w:jc w:val="both"/>
              <w:rPr>
                <w:rFonts w:cs="Times New Roman"/>
                <w:sz w:val="20"/>
                <w:szCs w:val="20"/>
              </w:rPr>
            </w:pPr>
            <w:r>
              <w:rPr>
                <w:rFonts w:cs="Times New Roman"/>
                <w:sz w:val="20"/>
                <w:szCs w:val="20"/>
              </w:rPr>
              <w:t>2 October</w:t>
            </w:r>
            <w:r w:rsidR="00CD399B">
              <w:rPr>
                <w:rFonts w:cs="Times New Roman"/>
                <w:sz w:val="20"/>
                <w:szCs w:val="20"/>
              </w:rPr>
              <w:t xml:space="preserve"> </w:t>
            </w:r>
            <w:r w:rsidR="007F304D">
              <w:rPr>
                <w:rFonts w:cs="Times New Roman"/>
                <w:sz w:val="20"/>
                <w:szCs w:val="20"/>
              </w:rPr>
              <w:t>2013</w:t>
            </w:r>
          </w:p>
          <w:p w:rsidR="00DE796A" w:rsidRPr="00A969A0" w:rsidRDefault="009819E2" w:rsidP="00A969A0">
            <w:pPr>
              <w:pStyle w:val="Heading5"/>
              <w:bidi w:val="0"/>
              <w:spacing w:before="240"/>
              <w:ind w:left="34" w:right="34"/>
              <w:jc w:val="both"/>
              <w:rPr>
                <w:rFonts w:ascii="Times New Roman" w:hAnsi="Times New Roman" w:cs="Times New Roman" w:hint="cs"/>
                <w:b w:val="0"/>
                <w:bCs w:val="0"/>
                <w:noProof w:val="0"/>
                <w:szCs w:val="20"/>
                <w:rtl/>
              </w:rPr>
            </w:pPr>
            <w:r w:rsidRPr="00A969A0">
              <w:rPr>
                <w:rFonts w:ascii="Times New Roman" w:hAnsi="Times New Roman" w:cs="Times New Roman"/>
                <w:b w:val="0"/>
                <w:bCs w:val="0"/>
                <w:noProof w:val="0"/>
                <w:szCs w:val="20"/>
              </w:rPr>
              <w:t>Arabic</w:t>
            </w:r>
          </w:p>
          <w:p w:rsidR="00DE796A" w:rsidRDefault="009819E2" w:rsidP="00A969A0">
            <w:pPr>
              <w:bidi w:val="0"/>
              <w:ind w:right="34"/>
              <w:jc w:val="both"/>
            </w:pPr>
            <w:r w:rsidRPr="00A969A0">
              <w:rPr>
                <w:rFonts w:cs="Times New Roman"/>
                <w:sz w:val="20"/>
                <w:szCs w:val="20"/>
              </w:rPr>
              <w:t>Original: English</w:t>
            </w:r>
          </w:p>
        </w:tc>
        <w:tc>
          <w:tcPr>
            <w:tcW w:w="5232" w:type="dxa"/>
            <w:tcBorders>
              <w:top w:val="single" w:sz="4" w:space="0" w:color="auto"/>
            </w:tcBorders>
            <w:vAlign w:val="center"/>
          </w:tcPr>
          <w:p w:rsidR="00B86C1A" w:rsidRDefault="00DE796A" w:rsidP="00B86C1A">
            <w:pPr>
              <w:spacing w:line="700" w:lineRule="exact"/>
              <w:ind w:left="164" w:firstLine="17"/>
              <w:rPr>
                <w:rFonts w:cs="Traditional Arabic"/>
                <w:b/>
                <w:bCs/>
                <w:sz w:val="52"/>
                <w:szCs w:val="52"/>
              </w:rPr>
            </w:pPr>
            <w:r w:rsidRPr="00E760C7">
              <w:rPr>
                <w:rFonts w:cs="Traditional Arabic" w:hint="cs"/>
                <w:b/>
                <w:bCs/>
                <w:sz w:val="52"/>
                <w:szCs w:val="52"/>
                <w:rtl/>
              </w:rPr>
              <w:t>برنامج الأمم</w:t>
            </w:r>
          </w:p>
          <w:p w:rsidR="00DE796A" w:rsidRDefault="00DE796A" w:rsidP="00B86C1A">
            <w:pPr>
              <w:spacing w:line="700" w:lineRule="exact"/>
              <w:ind w:left="164" w:firstLine="17"/>
              <w:rPr>
                <w:rFonts w:hint="cs"/>
                <w:rtl/>
              </w:rPr>
            </w:pPr>
            <w:r w:rsidRPr="00E760C7">
              <w:rPr>
                <w:rFonts w:cs="Traditional Arabic" w:hint="cs"/>
                <w:b/>
                <w:bCs/>
                <w:sz w:val="52"/>
                <w:szCs w:val="52"/>
                <w:rtl/>
              </w:rPr>
              <w:t>المتحدة للبيئة</w:t>
            </w:r>
          </w:p>
        </w:tc>
        <w:tc>
          <w:tcPr>
            <w:tcW w:w="1701" w:type="dxa"/>
            <w:tcBorders>
              <w:top w:val="single" w:sz="4" w:space="0" w:color="auto"/>
            </w:tcBorders>
          </w:tcPr>
          <w:p w:rsidR="00DE796A" w:rsidRDefault="00C37818" w:rsidP="007B173A">
            <w:pPr>
              <w:spacing w:line="20" w:lineRule="exact"/>
              <w:jc w:val="right"/>
              <w:rPr>
                <w:rtl/>
              </w:rPr>
            </w:pPr>
            <w:r>
              <w:rPr>
                <w:noProof/>
              </w:rPr>
              <w:drawing>
                <wp:anchor distT="0" distB="0" distL="114300" distR="114300" simplePos="0" relativeHeight="251657216" behindDoc="1" locked="0" layoutInCell="1" allowOverlap="1">
                  <wp:simplePos x="0" y="0"/>
                  <wp:positionH relativeFrom="column">
                    <wp:posOffset>73025</wp:posOffset>
                  </wp:positionH>
                  <wp:positionV relativeFrom="paragraph">
                    <wp:posOffset>0</wp:posOffset>
                  </wp:positionV>
                  <wp:extent cx="763270" cy="718820"/>
                  <wp:effectExtent l="19050" t="0" r="0" b="0"/>
                  <wp:wrapTight wrapText="bothSides">
                    <wp:wrapPolygon edited="0">
                      <wp:start x="-539" y="0"/>
                      <wp:lineTo x="-539" y="21180"/>
                      <wp:lineTo x="21564" y="21180"/>
                      <wp:lineTo x="21564" y="0"/>
                      <wp:lineTo x="-539"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srcRect/>
                          <a:stretch>
                            <a:fillRect/>
                          </a:stretch>
                        </pic:blipFill>
                        <pic:spPr bwMode="auto">
                          <a:xfrm>
                            <a:off x="0" y="0"/>
                            <a:ext cx="763270" cy="718820"/>
                          </a:xfrm>
                          <a:prstGeom prst="rect">
                            <a:avLst/>
                          </a:prstGeom>
                          <a:noFill/>
                          <a:ln w="9525">
                            <a:noFill/>
                            <a:miter lim="800000"/>
                            <a:headEnd/>
                            <a:tailEnd/>
                          </a:ln>
                        </pic:spPr>
                      </pic:pic>
                    </a:graphicData>
                  </a:graphic>
                </wp:anchor>
              </w:drawing>
            </w:r>
          </w:p>
          <w:p w:rsidR="00DE796A" w:rsidRDefault="00C37818" w:rsidP="007B173A">
            <w:pPr>
              <w:spacing w:line="20" w:lineRule="exact"/>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-2540</wp:posOffset>
                  </wp:positionV>
                  <wp:extent cx="819150" cy="76517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b="9727"/>
                          <a:stretch>
                            <a:fillRect/>
                          </a:stretch>
                        </pic:blipFill>
                        <pic:spPr bwMode="auto">
                          <a:xfrm>
                            <a:off x="0" y="0"/>
                            <a:ext cx="819150" cy="765175"/>
                          </a:xfrm>
                          <a:prstGeom prst="rect">
                            <a:avLst/>
                          </a:prstGeom>
                          <a:noFill/>
                          <a:ln w="9525">
                            <a:noFill/>
                            <a:miter lim="800000"/>
                            <a:headEnd/>
                            <a:tailEnd/>
                          </a:ln>
                        </pic:spPr>
                      </pic:pic>
                    </a:graphicData>
                  </a:graphic>
                </wp:anchor>
              </w:drawing>
            </w:r>
          </w:p>
        </w:tc>
      </w:tr>
    </w:tbl>
    <w:p w:rsidR="00B86C1A" w:rsidRPr="00B86C1A" w:rsidRDefault="00B86C1A" w:rsidP="00B86C1A">
      <w:pPr>
        <w:spacing w:before="40" w:line="340" w:lineRule="exact"/>
        <w:ind w:left="176" w:right="5812"/>
        <w:jc w:val="both"/>
        <w:rPr>
          <w:rFonts w:ascii="Times New Roman Bold" w:hAnsi="Times New Roman Bold" w:cs="Traditional Arabic"/>
          <w:b/>
          <w:bCs/>
          <w:w w:val="97"/>
          <w:sz w:val="28"/>
          <w:rtl/>
        </w:rPr>
      </w:pPr>
      <w:r w:rsidRPr="00B86C1A">
        <w:rPr>
          <w:rFonts w:ascii="Times New Roman Bold" w:hAnsi="Times New Roman Bold" w:cs="Traditional Arabic" w:hint="cs"/>
          <w:b/>
          <w:bCs/>
          <w:w w:val="97"/>
          <w:sz w:val="28"/>
          <w:rtl/>
        </w:rPr>
        <w:t>الاجتماع العام للمنبر الحكومي الدولي للعلوم والسياسات في مجال التنوع البيولوجي وخدمات النظم الإيكولوجية</w:t>
      </w:r>
    </w:p>
    <w:p w:rsidR="00B86C1A" w:rsidRPr="00B86C1A" w:rsidRDefault="00B86C1A" w:rsidP="00B86C1A">
      <w:pPr>
        <w:spacing w:line="340" w:lineRule="exact"/>
        <w:ind w:left="176"/>
        <w:jc w:val="both"/>
        <w:rPr>
          <w:rFonts w:ascii="Times New Roman Bold" w:hAnsi="Times New Roman Bold" w:cs="Traditional Arabic" w:hint="cs"/>
          <w:w w:val="97"/>
          <w:sz w:val="28"/>
          <w:rtl/>
        </w:rPr>
      </w:pPr>
      <w:r w:rsidRPr="00B86C1A">
        <w:rPr>
          <w:rFonts w:ascii="Times New Roman Bold" w:hAnsi="Times New Roman Bold" w:cs="Traditional Arabic" w:hint="cs"/>
          <w:b/>
          <w:bCs/>
          <w:w w:val="97"/>
          <w:sz w:val="28"/>
          <w:rtl/>
        </w:rPr>
        <w:t>الدورة الثانية</w:t>
      </w:r>
    </w:p>
    <w:p w:rsidR="00B86C1A" w:rsidRPr="00B86C1A" w:rsidRDefault="00B86C1A" w:rsidP="00B86C1A">
      <w:pPr>
        <w:spacing w:after="40" w:line="340" w:lineRule="exact"/>
        <w:ind w:left="176"/>
        <w:jc w:val="both"/>
        <w:rPr>
          <w:rFonts w:cs="Traditional Arabic" w:hint="cs"/>
          <w:sz w:val="28"/>
          <w:rtl/>
        </w:rPr>
      </w:pPr>
      <w:r w:rsidRPr="00B86C1A">
        <w:rPr>
          <w:rFonts w:cs="Traditional Arabic" w:hint="cs"/>
          <w:sz w:val="28"/>
          <w:rtl/>
        </w:rPr>
        <w:t>أنطاليا، تركيا، 9-14 كانون الأول/ديسمبر 2013</w:t>
      </w:r>
    </w:p>
    <w:p w:rsidR="00B01D76" w:rsidRDefault="00B86C1A" w:rsidP="00B01D76">
      <w:pPr>
        <w:spacing w:after="40" w:line="340" w:lineRule="exact"/>
        <w:ind w:left="176" w:right="5670"/>
        <w:rPr>
          <w:rFonts w:cs="Traditional Arabic" w:hint="cs"/>
          <w:b/>
          <w:bCs/>
          <w:szCs w:val="30"/>
          <w:rtl/>
        </w:rPr>
      </w:pPr>
      <w:r w:rsidRPr="00B86C1A">
        <w:rPr>
          <w:rFonts w:cs="Traditional Arabic" w:hint="cs"/>
          <w:sz w:val="28"/>
          <w:rtl/>
        </w:rPr>
        <w:t xml:space="preserve">البند </w:t>
      </w:r>
      <w:r w:rsidR="00B01D76">
        <w:rPr>
          <w:rFonts w:cs="Traditional Arabic" w:hint="cs"/>
          <w:sz w:val="28"/>
          <w:rtl/>
        </w:rPr>
        <w:t>4 (أ)</w:t>
      </w:r>
      <w:r w:rsidR="00B01D76" w:rsidRPr="002323CD">
        <w:rPr>
          <w:rFonts w:cs="Traditional Arabic" w:hint="cs"/>
          <w:sz w:val="28"/>
          <w:rtl/>
        </w:rPr>
        <w:t xml:space="preserve"> </w:t>
      </w:r>
      <w:r w:rsidRPr="00B86C1A">
        <w:rPr>
          <w:rFonts w:cs="Traditional Arabic" w:hint="cs"/>
          <w:sz w:val="28"/>
          <w:rtl/>
        </w:rPr>
        <w:t>من جدول الأعمال المؤقت</w:t>
      </w:r>
      <w:r w:rsidRPr="007A6D2A">
        <w:rPr>
          <w:rStyle w:val="FootnoteReference"/>
          <w:rFonts w:cs="Times New Roman"/>
          <w:sz w:val="20"/>
          <w:szCs w:val="20"/>
          <w:rtl/>
        </w:rPr>
        <w:footnoteReference w:customMarkFollows="1" w:id="1"/>
        <w:t>*</w:t>
      </w:r>
      <w:r w:rsidR="007A6D2A">
        <w:rPr>
          <w:rStyle w:val="FootnoteReference"/>
          <w:rFonts w:cs="Times New Roman"/>
          <w:sz w:val="20"/>
          <w:szCs w:val="20"/>
          <w:rtl/>
        </w:rPr>
        <w:br w:type="textWrapping" w:clear="all"/>
      </w:r>
      <w:r w:rsidR="00B01D76" w:rsidRPr="00B01D76">
        <w:rPr>
          <w:rFonts w:cs="Traditional Arabic" w:hint="cs"/>
          <w:b/>
          <w:bCs/>
          <w:szCs w:val="30"/>
          <w:rtl/>
        </w:rPr>
        <w:t>برنامج العمل الأوَّلي للمنبر: برنامج العمل للفترة 2014-2018</w:t>
      </w:r>
    </w:p>
    <w:p w:rsidR="00023A94" w:rsidRPr="00B01D76" w:rsidRDefault="00023A94" w:rsidP="00023A94">
      <w:pPr>
        <w:spacing w:line="20" w:lineRule="exact"/>
        <w:ind w:left="176" w:right="5670"/>
        <w:rPr>
          <w:rFonts w:cs="Traditional Arabic" w:hint="cs"/>
          <w:b/>
          <w:bCs/>
          <w:szCs w:val="30"/>
          <w:rtl/>
        </w:rPr>
      </w:pPr>
    </w:p>
    <w:p w:rsidR="006A64CC" w:rsidRPr="002B1B6D" w:rsidRDefault="006A64CC" w:rsidP="00023A94">
      <w:pPr>
        <w:spacing w:before="360" w:after="240" w:line="400" w:lineRule="exact"/>
        <w:ind w:left="1134"/>
        <w:jc w:val="both"/>
        <w:rPr>
          <w:rFonts w:cs="Traditional Arabic" w:hint="cs"/>
          <w:b/>
          <w:bCs/>
          <w:sz w:val="34"/>
          <w:szCs w:val="34"/>
          <w:rtl/>
        </w:rPr>
      </w:pPr>
      <w:r>
        <w:rPr>
          <w:rFonts w:cs="Traditional Arabic" w:hint="cs"/>
          <w:b/>
          <w:bCs/>
          <w:sz w:val="34"/>
          <w:szCs w:val="34"/>
          <w:rtl/>
        </w:rPr>
        <w:t xml:space="preserve">تحديد النطاق الأوَّلي للتقييم </w:t>
      </w:r>
      <w:r w:rsidR="002C1248">
        <w:rPr>
          <w:rFonts w:cs="Traditional Arabic" w:hint="cs"/>
          <w:b/>
          <w:bCs/>
          <w:sz w:val="34"/>
          <w:szCs w:val="34"/>
          <w:rtl/>
        </w:rPr>
        <w:t xml:space="preserve">المواضيعي </w:t>
      </w:r>
      <w:r>
        <w:rPr>
          <w:rFonts w:cs="Traditional Arabic" w:hint="cs"/>
          <w:b/>
          <w:bCs/>
          <w:sz w:val="34"/>
          <w:szCs w:val="34"/>
          <w:rtl/>
        </w:rPr>
        <w:t>لل</w:t>
      </w:r>
      <w:r w:rsidR="00E813CE">
        <w:rPr>
          <w:rFonts w:cs="Traditional Arabic" w:hint="cs"/>
          <w:b/>
          <w:bCs/>
          <w:sz w:val="34"/>
          <w:szCs w:val="34"/>
          <w:rtl/>
        </w:rPr>
        <w:t>أنواع الغريبة الغازية ومكافحتها</w:t>
      </w:r>
    </w:p>
    <w:p w:rsidR="006A64CC" w:rsidRPr="002323CD" w:rsidRDefault="006A64CC" w:rsidP="00B01D76">
      <w:pPr>
        <w:spacing w:after="360" w:line="400" w:lineRule="exact"/>
        <w:ind w:left="1134"/>
        <w:jc w:val="both"/>
        <w:rPr>
          <w:rFonts w:cs="Traditional Arabic" w:hint="cs"/>
          <w:b/>
          <w:bCs/>
          <w:sz w:val="32"/>
          <w:szCs w:val="32"/>
          <w:rtl/>
        </w:rPr>
      </w:pPr>
      <w:r>
        <w:rPr>
          <w:rFonts w:cs="Traditional Arabic" w:hint="cs"/>
          <w:b/>
          <w:bCs/>
          <w:sz w:val="32"/>
          <w:szCs w:val="32"/>
          <w:rtl/>
        </w:rPr>
        <w:t>مذكرة من الأمانة</w:t>
      </w:r>
    </w:p>
    <w:p w:rsidR="006A64CC" w:rsidRPr="00B01D76" w:rsidRDefault="006A64CC" w:rsidP="00B01D76">
      <w:pPr>
        <w:pStyle w:val="H1"/>
        <w:spacing w:before="120" w:after="120"/>
        <w:ind w:left="1135" w:hanging="851"/>
        <w:rPr>
          <w:rFonts w:hint="cs"/>
          <w:sz w:val="32"/>
          <w:szCs w:val="32"/>
          <w:rtl/>
          <w:lang w:bidi="ar-EG"/>
        </w:rPr>
      </w:pPr>
      <w:r w:rsidRPr="00B01D76">
        <w:rPr>
          <w:rFonts w:hint="cs"/>
          <w:sz w:val="32"/>
          <w:szCs w:val="32"/>
          <w:rtl/>
          <w:lang w:bidi="ar-EG"/>
        </w:rPr>
        <w:t>أولاً -</w:t>
      </w:r>
      <w:r w:rsidRPr="00B01D76">
        <w:rPr>
          <w:rFonts w:hint="cs"/>
          <w:sz w:val="32"/>
          <w:szCs w:val="32"/>
          <w:rtl/>
          <w:lang w:bidi="ar-EG"/>
        </w:rPr>
        <w:tab/>
        <w:t>مقدمة</w:t>
      </w:r>
    </w:p>
    <w:p w:rsidR="006A64CC" w:rsidRPr="00AE0408" w:rsidRDefault="006A64CC" w:rsidP="002C1248">
      <w:pPr>
        <w:spacing w:after="120" w:line="400" w:lineRule="exact"/>
        <w:ind w:left="1134"/>
        <w:jc w:val="both"/>
        <w:rPr>
          <w:rFonts w:cs="Traditional Arabic" w:hint="cs"/>
          <w:sz w:val="20"/>
          <w:szCs w:val="30"/>
          <w:rtl/>
          <w:lang w:bidi="ar-EG"/>
        </w:rPr>
      </w:pPr>
      <w:r w:rsidRPr="00AE0408">
        <w:rPr>
          <w:rFonts w:cs="Traditional Arabic" w:hint="cs"/>
          <w:sz w:val="20"/>
          <w:szCs w:val="30"/>
          <w:rtl/>
        </w:rPr>
        <w:t>1 -</w:t>
      </w:r>
      <w:r w:rsidRPr="00AE0408">
        <w:rPr>
          <w:rFonts w:cs="Traditional Arabic" w:hint="cs"/>
          <w:sz w:val="20"/>
          <w:szCs w:val="30"/>
          <w:rtl/>
        </w:rPr>
        <w:tab/>
        <w:t xml:space="preserve">في ضوء الاعتراف بأنه سيكون من الضروري التحرك قُدماً في تنفيذ برنامج العمل للفترة </w:t>
      </w:r>
      <w:r w:rsidR="00023A94" w:rsidRPr="00AE0408">
        <w:rPr>
          <w:rFonts w:cs="Traditional Arabic"/>
          <w:sz w:val="20"/>
          <w:szCs w:val="30"/>
          <w:rtl/>
        </w:rPr>
        <w:br w:type="textWrapping" w:clear="all"/>
      </w:r>
      <w:r w:rsidRPr="00AE0408">
        <w:rPr>
          <w:rFonts w:cs="Traditional Arabic" w:hint="cs"/>
          <w:sz w:val="20"/>
          <w:szCs w:val="30"/>
          <w:rtl/>
        </w:rPr>
        <w:t>2014-2018 بعد إقراره في الاجتماع العام للمنبر الحكومي الدولي للعلوم والسياسات في مجال التنوع البيولوجي وخدمات النُظم الإيكولوجية في دورته الثانية، وافق المكتب وفريق الخبراء المتعدد الاختصاصات على إعداد عدد من وثائق تحديد النطاق الأوَّلي استناداً إلى ترتيب الطلبات حسب الأولوية، والاقتراحات والمدخلات المقدَّمة إلى المنبر والنتائج المستهدفة المعروضة في مشروع برنامج العمل (</w:t>
      </w:r>
      <w:r w:rsidRPr="00AE0408">
        <w:rPr>
          <w:rFonts w:cs="Traditional Arabic"/>
          <w:sz w:val="20"/>
          <w:szCs w:val="30"/>
        </w:rPr>
        <w:t>IPBES/2/2</w:t>
      </w:r>
      <w:r w:rsidRPr="00AE0408">
        <w:rPr>
          <w:rFonts w:cs="Traditional Arabic" w:hint="cs"/>
          <w:sz w:val="20"/>
          <w:szCs w:val="30"/>
          <w:rtl/>
          <w:lang w:bidi="ar-EG"/>
        </w:rPr>
        <w:t xml:space="preserve">) لينظر فيها الاجتماع العام في دورته الثانية. وهذه المذكرة تقدِّم تحديداً أوَّلياً لنطاق تقييم </w:t>
      </w:r>
      <w:r w:rsidR="002C1248" w:rsidRPr="00AE0408">
        <w:rPr>
          <w:rFonts w:cs="Traditional Arabic" w:hint="cs"/>
          <w:sz w:val="20"/>
          <w:szCs w:val="30"/>
          <w:rtl/>
          <w:lang w:bidi="ar-EG"/>
        </w:rPr>
        <w:t xml:space="preserve">مواضيعي </w:t>
      </w:r>
      <w:r w:rsidRPr="00AE0408">
        <w:rPr>
          <w:rFonts w:cs="Traditional Arabic" w:hint="cs"/>
          <w:sz w:val="20"/>
          <w:szCs w:val="30"/>
          <w:rtl/>
          <w:lang w:bidi="ar-EG"/>
        </w:rPr>
        <w:t>مقترح للأنواع الغريبة الغازية ومكافحتها. ووضعت هذه المذكرة وفقاً لمشروع إجراءات إعداد النتائج المستهدفة للمنبر (</w:t>
      </w:r>
      <w:r w:rsidRPr="00AE0408">
        <w:rPr>
          <w:rFonts w:cs="Traditional Arabic"/>
          <w:sz w:val="20"/>
          <w:szCs w:val="30"/>
        </w:rPr>
        <w:t>IPBES/2/9</w:t>
      </w:r>
      <w:r w:rsidRPr="00AE0408">
        <w:rPr>
          <w:rFonts w:cs="Traditional Arabic" w:hint="cs"/>
          <w:sz w:val="20"/>
          <w:szCs w:val="30"/>
          <w:rtl/>
          <w:lang w:bidi="ar-EG"/>
        </w:rPr>
        <w:t>).</w:t>
      </w:r>
    </w:p>
    <w:p w:rsidR="006A64CC" w:rsidRPr="00B01D76" w:rsidRDefault="006A64CC" w:rsidP="00B01D76">
      <w:pPr>
        <w:pStyle w:val="H1"/>
        <w:spacing w:before="120" w:after="120"/>
        <w:ind w:left="1135" w:hanging="851"/>
        <w:rPr>
          <w:rFonts w:hint="cs"/>
          <w:sz w:val="32"/>
          <w:szCs w:val="32"/>
          <w:rtl/>
          <w:lang w:bidi="ar-EG"/>
        </w:rPr>
      </w:pPr>
      <w:r w:rsidRPr="00B01D76">
        <w:rPr>
          <w:rFonts w:hint="cs"/>
          <w:sz w:val="32"/>
          <w:szCs w:val="32"/>
          <w:rtl/>
          <w:lang w:bidi="ar-EG"/>
        </w:rPr>
        <w:lastRenderedPageBreak/>
        <w:t>ثانياً -</w:t>
      </w:r>
      <w:r w:rsidRPr="00B01D76">
        <w:rPr>
          <w:rFonts w:hint="cs"/>
          <w:sz w:val="32"/>
          <w:szCs w:val="32"/>
          <w:rtl/>
          <w:lang w:bidi="ar-EG"/>
        </w:rPr>
        <w:tab/>
        <w:t>النطاق والأساس المنطقي والفائدة والافتراضات</w:t>
      </w:r>
    </w:p>
    <w:p w:rsidR="006A64CC" w:rsidRPr="00B01D76" w:rsidRDefault="006A64CC" w:rsidP="00B01D76">
      <w:pPr>
        <w:pStyle w:val="H1"/>
        <w:spacing w:after="120"/>
        <w:ind w:left="1135" w:hanging="851"/>
        <w:rPr>
          <w:rFonts w:hint="cs"/>
          <w:sz w:val="30"/>
          <w:szCs w:val="30"/>
          <w:rtl/>
          <w:lang w:bidi="ar-EG"/>
        </w:rPr>
      </w:pPr>
      <w:r w:rsidRPr="00B01D76">
        <w:rPr>
          <w:rFonts w:hint="cs"/>
          <w:sz w:val="30"/>
          <w:szCs w:val="30"/>
          <w:rtl/>
          <w:lang w:bidi="ar-EG"/>
        </w:rPr>
        <w:t>ألف -</w:t>
      </w:r>
      <w:r w:rsidRPr="00B01D76">
        <w:rPr>
          <w:rFonts w:hint="cs"/>
          <w:sz w:val="30"/>
          <w:szCs w:val="30"/>
          <w:rtl/>
          <w:lang w:bidi="ar-EG"/>
        </w:rPr>
        <w:tab/>
        <w:t>النطاق</w:t>
      </w:r>
    </w:p>
    <w:p w:rsidR="006A64CC" w:rsidRDefault="006A64CC" w:rsidP="003B7A46">
      <w:pPr>
        <w:spacing w:after="120" w:line="400" w:lineRule="exact"/>
        <w:ind w:left="1134"/>
        <w:jc w:val="both"/>
        <w:rPr>
          <w:rFonts w:cs="Traditional Arabic" w:hint="cs"/>
          <w:szCs w:val="30"/>
          <w:rtl/>
          <w:lang w:bidi="ar-EG"/>
        </w:rPr>
      </w:pPr>
      <w:r>
        <w:rPr>
          <w:rFonts w:cs="Traditional Arabic" w:hint="cs"/>
          <w:szCs w:val="30"/>
          <w:rtl/>
          <w:lang w:bidi="ar-EG"/>
        </w:rPr>
        <w:t>2 -</w:t>
      </w:r>
      <w:r>
        <w:rPr>
          <w:rFonts w:cs="Traditional Arabic" w:hint="cs"/>
          <w:szCs w:val="30"/>
          <w:rtl/>
          <w:lang w:bidi="ar-EG"/>
        </w:rPr>
        <w:tab/>
        <w:t xml:space="preserve">هدف التقييم </w:t>
      </w:r>
      <w:r w:rsidR="002C1248">
        <w:rPr>
          <w:rFonts w:cs="Traditional Arabic" w:hint="cs"/>
          <w:szCs w:val="30"/>
          <w:rtl/>
          <w:lang w:bidi="ar-EG"/>
        </w:rPr>
        <w:t xml:space="preserve">المواضيعي </w:t>
      </w:r>
      <w:r>
        <w:rPr>
          <w:rFonts w:cs="Traditional Arabic" w:hint="cs"/>
          <w:szCs w:val="30"/>
          <w:rtl/>
          <w:lang w:bidi="ar-EG"/>
        </w:rPr>
        <w:t>المقترح للأنواع الغريبة الغازية ومكافحتها هو تقييم التنوع العالمي للأنواع الغريبة الغازية التي تؤثر على التنوع البيولوجي وخدمات النُظم الإيكولوجية؛ ومدى التهديد الذي تثيره هذه الأنواع لمختلف فئات التنوع البيولوجي وخدمات النُظم الإيكولوجية، بما في ذلك الآثار المتوَّلدة على التنوع البيولوجي الزراعي والأغذية وعلى الصحة وأمن سُبل المعيشة؛ والمسارات الكبرى لإدخال وانتشار أنواع غريبة غازية ومحركاتها، بين البلدان وفي داخلها؛ والحالة العالمية والاتجاهات السائدة في صدد آثار الأنواع الغريبة الغازية وما</w:t>
      </w:r>
      <w:r w:rsidR="003B7A46">
        <w:rPr>
          <w:rFonts w:cs="Traditional Arabic" w:hint="eastAsia"/>
          <w:szCs w:val="30"/>
          <w:rtl/>
          <w:lang w:bidi="ar-EG"/>
        </w:rPr>
        <w:t> </w:t>
      </w:r>
      <w:r>
        <w:rPr>
          <w:rFonts w:cs="Traditional Arabic" w:hint="cs"/>
          <w:szCs w:val="30"/>
          <w:rtl/>
          <w:lang w:bidi="ar-EG"/>
        </w:rPr>
        <w:t xml:space="preserve">يصاحب ذلك من التدخلات بغرض الإدارة حسب المناطق والمناطق الفرعية، مع مراعاة مختلف نُظم المعرفة والقيمة؛ وكفاية الوعي بمدى الأنواع الغريبة الغازية وآثارها وفعالية التدابير الحالية للأمن الأحيائي والمكافحة على الأصعدة الدولية والوطنية ودون الوطنية، وخيارات السياسات المصاحبة التي يمكن استخدامها لمنع الأنواع الغريبة الغازية واستئصالها ومكافحتها. </w:t>
      </w:r>
    </w:p>
    <w:p w:rsidR="006A64CC" w:rsidRPr="00B01D76" w:rsidRDefault="006A64CC" w:rsidP="00B01D76">
      <w:pPr>
        <w:pStyle w:val="H1"/>
        <w:spacing w:after="120"/>
        <w:ind w:left="1135" w:hanging="851"/>
        <w:rPr>
          <w:rFonts w:hint="cs"/>
          <w:sz w:val="30"/>
          <w:szCs w:val="30"/>
          <w:rtl/>
          <w:lang w:bidi="ar-EG"/>
        </w:rPr>
      </w:pPr>
      <w:r w:rsidRPr="00B01D76">
        <w:rPr>
          <w:rFonts w:hint="cs"/>
          <w:sz w:val="30"/>
          <w:szCs w:val="30"/>
          <w:rtl/>
          <w:lang w:bidi="ar-EG"/>
        </w:rPr>
        <w:t>باء -</w:t>
      </w:r>
      <w:r w:rsidRPr="00B01D76">
        <w:rPr>
          <w:rFonts w:hint="cs"/>
          <w:sz w:val="30"/>
          <w:szCs w:val="30"/>
          <w:rtl/>
          <w:lang w:bidi="ar-EG"/>
        </w:rPr>
        <w:tab/>
        <w:t>الأساس المنطقي</w:t>
      </w:r>
    </w:p>
    <w:p w:rsidR="006A64CC" w:rsidRDefault="006A64CC" w:rsidP="00B01D76">
      <w:pPr>
        <w:spacing w:after="120" w:line="400" w:lineRule="exact"/>
        <w:ind w:left="1134"/>
        <w:jc w:val="both"/>
        <w:rPr>
          <w:rFonts w:cs="Traditional Arabic" w:hint="cs"/>
          <w:szCs w:val="30"/>
          <w:rtl/>
          <w:lang w:bidi="ar-EG"/>
        </w:rPr>
      </w:pPr>
      <w:r>
        <w:rPr>
          <w:rFonts w:cs="Traditional Arabic" w:hint="cs"/>
          <w:szCs w:val="30"/>
          <w:rtl/>
          <w:lang w:bidi="ar-EG"/>
        </w:rPr>
        <w:t>3 -</w:t>
      </w:r>
      <w:r>
        <w:rPr>
          <w:rFonts w:cs="Traditional Arabic" w:hint="cs"/>
          <w:szCs w:val="30"/>
          <w:rtl/>
          <w:lang w:bidi="ar-EG"/>
        </w:rPr>
        <w:tab/>
        <w:t xml:space="preserve">يستجيب التقييم المقترح مباشرة للهدف 9 من أهداف آيشي للتنوع البيولوجي: </w:t>
      </w:r>
      <w:r>
        <w:rPr>
          <w:rFonts w:cs="Traditional Arabic" w:hint="eastAsia"/>
          <w:szCs w:val="30"/>
          <w:rtl/>
          <w:lang w:bidi="ar-EG"/>
        </w:rPr>
        <w:t>”بحلول عام 2020، تعرُّف الأنواع الغريبة الغازية ومساراتها، ويحدِّد ترتيبها حسب الأولوية، وتخضع للمراقبة الأنواع ذات الأولوية أو يتم القضاء عليها وتوضع تدابير لإدارة المسارات لمنع إدخالها وانتشارها</w:t>
      </w:r>
      <w:r>
        <w:rPr>
          <w:rFonts w:cs="Traditional Arabic" w:hint="cs"/>
          <w:szCs w:val="30"/>
          <w:rtl/>
          <w:lang w:bidi="ar-EG"/>
        </w:rPr>
        <w:t>“</w:t>
      </w:r>
      <w:r>
        <w:rPr>
          <w:rFonts w:cs="Traditional Arabic" w:hint="eastAsia"/>
          <w:szCs w:val="30"/>
          <w:rtl/>
          <w:lang w:bidi="ar-EG"/>
        </w:rPr>
        <w:t>.</w:t>
      </w:r>
      <w:r>
        <w:rPr>
          <w:rFonts w:cs="Traditional Arabic" w:hint="cs"/>
          <w:szCs w:val="30"/>
          <w:rtl/>
          <w:lang w:bidi="ar-EG"/>
        </w:rPr>
        <w:t xml:space="preserve"> وسيساهم أيضاً في إحراز أهداف آيشي 5 و11 و12 و17.</w:t>
      </w:r>
      <w:r w:rsidRPr="00A6770D">
        <w:rPr>
          <w:rFonts w:cs="Traditional Arabic"/>
          <w:szCs w:val="30"/>
          <w:vertAlign w:val="superscript"/>
          <w:rtl/>
          <w:lang w:bidi="ar-EG"/>
        </w:rPr>
        <w:t>(</w:t>
      </w:r>
      <w:r>
        <w:rPr>
          <w:rStyle w:val="FootnoteReference"/>
          <w:rFonts w:cs="Traditional Arabic"/>
          <w:szCs w:val="30"/>
          <w:rtl/>
          <w:lang w:bidi="ar-EG"/>
        </w:rPr>
        <w:footnoteReference w:id="2"/>
      </w:r>
      <w:r w:rsidRPr="00A6770D">
        <w:rPr>
          <w:rFonts w:cs="Traditional Arabic"/>
          <w:szCs w:val="30"/>
          <w:vertAlign w:val="superscript"/>
          <w:rtl/>
          <w:lang w:bidi="ar-EG"/>
        </w:rPr>
        <w:t>)</w:t>
      </w:r>
      <w:r>
        <w:rPr>
          <w:rFonts w:cs="Traditional Arabic" w:hint="cs"/>
          <w:szCs w:val="30"/>
          <w:rtl/>
          <w:lang w:bidi="ar-EG"/>
        </w:rPr>
        <w:t xml:space="preserve"> ومن المعترف به أن الأنواع الغريبة الغازية تمثِّل محركات كبرى لانقراض الأنواع على الصعيد العالمي؛ حيث أنها تؤدي إلى تدهور الموائل وتؤثر تأثيراً خطيراً على المناطق المحمية في أنحاء العالم.</w:t>
      </w:r>
    </w:p>
    <w:p w:rsidR="006A64CC" w:rsidRDefault="006A64CC" w:rsidP="00B01D76">
      <w:pPr>
        <w:spacing w:after="120" w:line="400" w:lineRule="exact"/>
        <w:ind w:left="1134"/>
        <w:jc w:val="both"/>
        <w:rPr>
          <w:rFonts w:cs="Traditional Arabic" w:hint="cs"/>
          <w:szCs w:val="30"/>
          <w:rtl/>
          <w:lang w:bidi="ar-EG"/>
        </w:rPr>
      </w:pPr>
      <w:r>
        <w:rPr>
          <w:rFonts w:cs="Traditional Arabic" w:hint="cs"/>
          <w:szCs w:val="30"/>
          <w:rtl/>
          <w:lang w:bidi="ar-EG"/>
        </w:rPr>
        <w:t>4 -</w:t>
      </w:r>
      <w:r>
        <w:rPr>
          <w:rFonts w:cs="Traditional Arabic" w:hint="cs"/>
          <w:szCs w:val="30"/>
          <w:rtl/>
          <w:lang w:bidi="ar-EG"/>
        </w:rPr>
        <w:tab/>
        <w:t>وتشمل الأنواع الغريبة الغازية مجموعة شاسعة وسريعة التزايد وتضم أساساً الفقريات المائية البحرية وفقريات المياه العذبة واللافقريات والنباتات وكائنات الأمراض، وهي تشكل واحداً من أكثر التهديدات خطورة واتساعاً وصعوبة في التعامل على التنوع البيولوجي وخدمات النُظم الإيكولوجية والغذاء والصحة وأمن سُبل المعيشة. وبالنسبة لبلدان كثيرة تعتبر الأنواع الغريبة الغازية تهديداً أكثر خطورة من تغيُّر المناخ. وقد كانت الأنواع الغريبة الغازية سبباً في انقراض نباتات وحيوانات متوطنة وتدهور نُظم بيئية ومجتمعات إيكولوجية نادرة ومعرَّضة للتهديد وفشل المحاصيل وتقلص الإنتاجية الزراعية وفقدان تنوع الأنواع المستنبتة والسلالات الحيوانية وإلحاق الضرر بالممتلكات والبنية التحتية والمصائد المحلية والسياحة وأنشطة الترفيه في الطبيعة. والتهديدات التي يتعرض لها التنوع البيولوجي المحلي من الأنواع الغريبة الغازية البحرية، سواءً كان إدخالها عرضاً أو متعمداً (مثل مياه الصابورة الملوثة أو الكائنات الملتصقة بالسفن) تتزايد خطورة وهي ليست مفهومة بصورة واضحة.</w:t>
      </w:r>
    </w:p>
    <w:p w:rsidR="006A64CC" w:rsidRDefault="006A64CC" w:rsidP="003B7A46">
      <w:pPr>
        <w:spacing w:after="120" w:line="400" w:lineRule="exact"/>
        <w:ind w:left="1134"/>
        <w:jc w:val="both"/>
        <w:rPr>
          <w:rFonts w:cs="Traditional Arabic" w:hint="cs"/>
          <w:szCs w:val="30"/>
          <w:rtl/>
          <w:lang w:bidi="ar-EG"/>
        </w:rPr>
      </w:pPr>
      <w:r>
        <w:rPr>
          <w:rFonts w:cs="Traditional Arabic" w:hint="cs"/>
          <w:szCs w:val="30"/>
          <w:rtl/>
          <w:lang w:bidi="ar-EG"/>
        </w:rPr>
        <w:t>5 -</w:t>
      </w:r>
      <w:r>
        <w:rPr>
          <w:rFonts w:cs="Traditional Arabic" w:hint="cs"/>
          <w:szCs w:val="30"/>
          <w:rtl/>
          <w:lang w:bidi="ar-EG"/>
        </w:rPr>
        <w:tab/>
        <w:t xml:space="preserve">وتتعرض نسبة كبيرة من الأنواع والنُظم الإيكولوجية المهددة عالمياً ومحلياً بسبب التنافس مع أنواع غريبة غازية أو بسبب هجومها أو التلوث بها. وفي حين أن التلوث وتدهور الأراضي يمكن تقليلهما بصورة مباشرة فإن معظم الأنواع الغريبة الغازية تشكِّل </w:t>
      </w:r>
      <w:r>
        <w:rPr>
          <w:rFonts w:cs="Traditional Arabic" w:hint="eastAsia"/>
          <w:szCs w:val="30"/>
          <w:rtl/>
          <w:lang w:bidi="ar-EG"/>
        </w:rPr>
        <w:t>”</w:t>
      </w:r>
      <w:r>
        <w:rPr>
          <w:rFonts w:cs="Traditional Arabic" w:hint="cs"/>
          <w:szCs w:val="30"/>
          <w:rtl/>
          <w:lang w:bidi="ar-EG"/>
        </w:rPr>
        <w:t>تلوثاً حيّاً</w:t>
      </w:r>
      <w:r>
        <w:rPr>
          <w:rFonts w:cs="Traditional Arabic" w:hint="eastAsia"/>
          <w:szCs w:val="30"/>
          <w:rtl/>
          <w:lang w:bidi="ar-EG"/>
        </w:rPr>
        <w:t xml:space="preserve">“ سيزداد سوءاً بصورة </w:t>
      </w:r>
      <w:r>
        <w:rPr>
          <w:rFonts w:cs="Traditional Arabic" w:hint="cs"/>
          <w:szCs w:val="30"/>
          <w:rtl/>
          <w:lang w:bidi="ar-EG"/>
        </w:rPr>
        <w:t>مطَّردة</w:t>
      </w:r>
      <w:r>
        <w:rPr>
          <w:rFonts w:cs="Traditional Arabic" w:hint="eastAsia"/>
          <w:szCs w:val="30"/>
          <w:rtl/>
          <w:lang w:bidi="ar-EG"/>
        </w:rPr>
        <w:t xml:space="preserve"> إذا لم يتم اتخاذ أي إجراء. </w:t>
      </w:r>
      <w:r>
        <w:rPr>
          <w:rFonts w:cs="Traditional Arabic" w:hint="cs"/>
          <w:szCs w:val="30"/>
          <w:rtl/>
          <w:lang w:bidi="ar-EG"/>
        </w:rPr>
        <w:t xml:space="preserve">ويصعب قياس التكلفة الناشئة عن ضياع التنوع البيولوجي والرفاه الإنساني بسبب الأنواع الغريبة الغازية، والتي تشمل أنواعاً غريبة من الثدييات والطيور والزواحف والبرمائيات والأسماك والسرطانات والرخويات والحشرات وشوكيات </w:t>
      </w:r>
      <w:r>
        <w:rPr>
          <w:rFonts w:cs="Traditional Arabic" w:hint="cs"/>
          <w:szCs w:val="30"/>
          <w:rtl/>
          <w:lang w:bidi="ar-EG"/>
        </w:rPr>
        <w:lastRenderedPageBreak/>
        <w:t>الجلد والأعشاب البرية والمائية والأعشاب البحرية ومصفوفة واسعة من الإصابات النباتية والحيوانية والأمراض الحيوانية المصدر. وتقدَّر تكلفة الضرر الناجم عن الأنواع الغريبة الغازية على صعيد العالم بما يتجاوز 1</w:t>
      </w:r>
      <w:r w:rsidR="003B7A46">
        <w:rPr>
          <w:rFonts w:cs="Traditional Arabic" w:hint="cs"/>
          <w:szCs w:val="30"/>
          <w:rtl/>
          <w:lang w:bidi="ar-EG"/>
        </w:rPr>
        <w:t>,</w:t>
      </w:r>
      <w:r>
        <w:rPr>
          <w:rFonts w:cs="Traditional Arabic" w:hint="cs"/>
          <w:szCs w:val="30"/>
          <w:rtl/>
          <w:lang w:bidi="ar-EG"/>
        </w:rPr>
        <w:t>4 تريليو</w:t>
      </w:r>
      <w:r>
        <w:rPr>
          <w:rFonts w:cs="Traditional Arabic" w:hint="eastAsia"/>
          <w:szCs w:val="30"/>
          <w:rtl/>
          <w:lang w:bidi="ar-EG"/>
        </w:rPr>
        <w:t>ن</w:t>
      </w:r>
      <w:r>
        <w:rPr>
          <w:rFonts w:cs="Traditional Arabic" w:hint="cs"/>
          <w:szCs w:val="30"/>
          <w:rtl/>
          <w:lang w:bidi="ar-EG"/>
        </w:rPr>
        <w:t xml:space="preserve"> دولار، أو ما يمثل 5 في المائة من الاقتصاد العالمي؛ وفي الولايات المتحدة الأمريكية تقدَّر التكلفة وحدها بمبلغ 120 مليار دولار، مع إصابة أكثر من 100 مليون فدان، أو ما يبلغ مساحة ولاية كاليفورنيا، في حين قدِّرت الخسائر الاقتصادية في أوروبا بما يزيد عن 12</w:t>
      </w:r>
      <w:r w:rsidR="003B7A46">
        <w:rPr>
          <w:rFonts w:cs="Traditional Arabic" w:hint="cs"/>
          <w:szCs w:val="30"/>
          <w:rtl/>
          <w:lang w:bidi="ar-EG"/>
        </w:rPr>
        <w:t>,</w:t>
      </w:r>
      <w:r>
        <w:rPr>
          <w:rFonts w:cs="Traditional Arabic" w:hint="cs"/>
          <w:szCs w:val="30"/>
          <w:rtl/>
          <w:lang w:bidi="ar-EG"/>
        </w:rPr>
        <w:t>5 مليار يورو سنوياً. والآثار المتولِّدة على الجزر المحيطية أكثر خطورة من ذلك، حيث تسببت الأنواع الغريبة الغازية بصورة مباشرة أو غير مباشرة في معظم حالات انقراض الثدييات والطيور والبرمائيات والزواحف والسرطانات البرية والحلزونات البرية والحشرات. والتكلفة الاقتصادية والبيئية والاجتماعية لاستخدام المبيدات لمكافحة الأنواع الغريبة الغازية تمثِّل هي الأخرى سبباً رئيسياً في ضياع التنوع البيولوجي والتلوث البيئي وتمثل تهديداً لصحة الإنسان.</w:t>
      </w:r>
    </w:p>
    <w:p w:rsidR="006A64CC" w:rsidRPr="00B01D76" w:rsidRDefault="006A64CC" w:rsidP="00B01D76">
      <w:pPr>
        <w:pStyle w:val="H1"/>
        <w:spacing w:after="120"/>
        <w:ind w:left="1135" w:hanging="851"/>
        <w:rPr>
          <w:rFonts w:hint="cs"/>
          <w:sz w:val="30"/>
          <w:szCs w:val="30"/>
          <w:rtl/>
          <w:lang w:bidi="ar-EG"/>
        </w:rPr>
      </w:pPr>
      <w:r w:rsidRPr="00B01D76">
        <w:rPr>
          <w:rFonts w:hint="cs"/>
          <w:sz w:val="30"/>
          <w:szCs w:val="30"/>
          <w:rtl/>
          <w:lang w:bidi="ar-EG"/>
        </w:rPr>
        <w:t>جيم -</w:t>
      </w:r>
      <w:r w:rsidRPr="00B01D76">
        <w:rPr>
          <w:rFonts w:hint="cs"/>
          <w:sz w:val="30"/>
          <w:szCs w:val="30"/>
          <w:rtl/>
          <w:lang w:bidi="ar-EG"/>
        </w:rPr>
        <w:tab/>
        <w:t>الفائدة</w:t>
      </w:r>
    </w:p>
    <w:p w:rsidR="006A64CC" w:rsidRDefault="006A64CC" w:rsidP="00B01D76">
      <w:pPr>
        <w:spacing w:after="120" w:line="400" w:lineRule="exact"/>
        <w:ind w:left="1134"/>
        <w:jc w:val="both"/>
        <w:rPr>
          <w:rFonts w:cs="Traditional Arabic" w:hint="cs"/>
          <w:szCs w:val="30"/>
          <w:rtl/>
          <w:lang w:bidi="ar-EG"/>
        </w:rPr>
      </w:pPr>
      <w:r>
        <w:rPr>
          <w:rFonts w:cs="Traditional Arabic" w:hint="cs"/>
          <w:szCs w:val="30"/>
          <w:rtl/>
          <w:lang w:bidi="ar-EG"/>
        </w:rPr>
        <w:t>6 -</w:t>
      </w:r>
      <w:r>
        <w:rPr>
          <w:rFonts w:cs="Traditional Arabic" w:hint="cs"/>
          <w:szCs w:val="30"/>
          <w:rtl/>
          <w:lang w:bidi="ar-EG"/>
        </w:rPr>
        <w:tab/>
        <w:t>تثير الأنواع الغريبة الغازية تهديداً متنامياً بصورة سريعة للتنوع البيولوجي والتنمية المستدامة والرفاه الإنساني. وهذه التهديدات تخضع لتحديد كمي ضعيف عموماً ولا يفهمها مقررو السياسات كثيراً. والتقييم المقترح سيؤدي في حالة الاضطلاع به إلى زيادة الوعي بطبيعة التهديد الذي تثيره الأنواع الغريبة الغازية وخطورته، ويؤدي إلى تحديد السياسات المطلوبة على الصعيد العالمي ومن جانب الحكومات والقطاع الخاص والمجتمع المدني للمساعدة في وقف انتشار الأنواع الغريبة الغازية أو استئصالها أو مكافحة آثارها؛ ويمثل نتيجة مستهدفة مبكِّرة للمنبر تبرز كيف يمكن إضافة القيمة إلى صياغة السياسات من أجل مواجهة أزمة التنوع البيولوجي.</w:t>
      </w:r>
    </w:p>
    <w:p w:rsidR="006A64CC" w:rsidRPr="00B01D76" w:rsidRDefault="006A64CC" w:rsidP="00B01D76">
      <w:pPr>
        <w:pStyle w:val="H1"/>
        <w:spacing w:after="120"/>
        <w:ind w:left="1135" w:hanging="851"/>
        <w:rPr>
          <w:rFonts w:hint="cs"/>
          <w:sz w:val="30"/>
          <w:szCs w:val="30"/>
          <w:rtl/>
          <w:lang w:bidi="ar-EG"/>
        </w:rPr>
      </w:pPr>
      <w:r w:rsidRPr="00B01D76">
        <w:rPr>
          <w:rFonts w:hint="cs"/>
          <w:sz w:val="30"/>
          <w:szCs w:val="30"/>
          <w:rtl/>
          <w:lang w:bidi="ar-EG"/>
        </w:rPr>
        <w:t>دال -</w:t>
      </w:r>
      <w:r w:rsidRPr="00B01D76">
        <w:rPr>
          <w:rFonts w:hint="cs"/>
          <w:sz w:val="30"/>
          <w:szCs w:val="30"/>
          <w:rtl/>
          <w:lang w:bidi="ar-EG"/>
        </w:rPr>
        <w:tab/>
        <w:t>الافتراضات</w:t>
      </w:r>
    </w:p>
    <w:p w:rsidR="006A64CC" w:rsidRDefault="006A64CC" w:rsidP="00B01D76">
      <w:pPr>
        <w:spacing w:after="120" w:line="400" w:lineRule="exact"/>
        <w:ind w:left="1134"/>
        <w:jc w:val="both"/>
        <w:rPr>
          <w:rFonts w:cs="Traditional Arabic" w:hint="cs"/>
          <w:szCs w:val="30"/>
          <w:rtl/>
          <w:lang w:bidi="ar-EG"/>
        </w:rPr>
      </w:pPr>
      <w:r>
        <w:rPr>
          <w:rFonts w:cs="Traditional Arabic" w:hint="cs"/>
          <w:szCs w:val="30"/>
          <w:rtl/>
          <w:lang w:bidi="ar-EG"/>
        </w:rPr>
        <w:t>7 -</w:t>
      </w:r>
      <w:r>
        <w:rPr>
          <w:rFonts w:cs="Traditional Arabic" w:hint="cs"/>
          <w:szCs w:val="30"/>
          <w:rtl/>
          <w:lang w:bidi="ar-EG"/>
        </w:rPr>
        <w:tab/>
        <w:t>سيستند التقييم المقترح إلى الكتابات العلمية الموجودة والتقييمات الوطنية وسوف يستفيد من عمل المؤسسات والشبكات القائمة مثل الفريق المتخصص في الأنواع الغازية التابع للمركز الدولي لحفظ الطبيعة/اللجنة المعنية ببقاء الأنواع وبرنامج الأنواع الغريبة الغازية للمنظمة الدولية لحماية الطيور والمركز الدولي للزراعة والعلوم البيولوجية والشراكة المعلوماتية العالمية بشأن الأنواع الغريبة الغازية (وهي مبادرة تجري بدعم من أمانة اتفاقية التنوع البيولوجي) ومنظمة الأغذية والزراعة للأمم المتحدة، وخاصة شُعب الزراعة والزراعة المائية والغابات فيها، وغير ذلك من هيئات الخبراء الإقليمية والدولية ذات الصلة. وسوف يسعى التقييم أيضاً إلى تقييم الحالة الإقليمية للأنواع الغريبة الغازية من خلال بناء التآزر مع نُظم المعرفة المحلية والأصلية، نظراً لأن المجموعات المحلية من المزارعين والصائدين وصائدي الأسماك وغيرهم من الخبراء المحليين قد تكون لديهم أفضل معرفة متعمِّقة زمنياً بتاريخ الأنواع الغريبة الغازية ومساراتها وآثارها المتغيرة وفعالية جهود إدارتها.</w:t>
      </w:r>
    </w:p>
    <w:p w:rsidR="006A64CC" w:rsidRPr="00B01D76" w:rsidRDefault="006A64CC" w:rsidP="00B01D76">
      <w:pPr>
        <w:pStyle w:val="H1"/>
        <w:spacing w:before="120" w:after="120"/>
        <w:ind w:left="1135" w:hanging="851"/>
        <w:rPr>
          <w:rFonts w:hint="cs"/>
          <w:sz w:val="32"/>
          <w:szCs w:val="32"/>
          <w:rtl/>
          <w:lang w:bidi="ar-EG"/>
        </w:rPr>
      </w:pPr>
      <w:r w:rsidRPr="00B01D76">
        <w:rPr>
          <w:rFonts w:hint="cs"/>
          <w:sz w:val="32"/>
          <w:szCs w:val="32"/>
          <w:rtl/>
          <w:lang w:bidi="ar-EG"/>
        </w:rPr>
        <w:t>ثالثاً -</w:t>
      </w:r>
      <w:r w:rsidRPr="00B01D76">
        <w:rPr>
          <w:rFonts w:hint="cs"/>
          <w:sz w:val="32"/>
          <w:szCs w:val="32"/>
          <w:rtl/>
          <w:lang w:bidi="ar-EG"/>
        </w:rPr>
        <w:tab/>
        <w:t>مخطط فصول التقييم</w:t>
      </w:r>
    </w:p>
    <w:p w:rsidR="006A64CC" w:rsidRDefault="006A64CC" w:rsidP="00B01D76">
      <w:pPr>
        <w:spacing w:after="120" w:line="400" w:lineRule="exact"/>
        <w:ind w:left="1134"/>
        <w:jc w:val="both"/>
        <w:rPr>
          <w:rFonts w:cs="Traditional Arabic" w:hint="cs"/>
          <w:szCs w:val="30"/>
          <w:rtl/>
          <w:lang w:bidi="ar-EG"/>
        </w:rPr>
      </w:pPr>
      <w:r>
        <w:rPr>
          <w:rFonts w:cs="Traditional Arabic" w:hint="cs"/>
          <w:szCs w:val="30"/>
          <w:rtl/>
          <w:lang w:bidi="ar-EG"/>
        </w:rPr>
        <w:t>8 -</w:t>
      </w:r>
      <w:r>
        <w:rPr>
          <w:rFonts w:cs="Traditional Arabic" w:hint="cs"/>
          <w:szCs w:val="30"/>
          <w:rtl/>
          <w:lang w:bidi="ar-EG"/>
        </w:rPr>
        <w:tab/>
        <w:t xml:space="preserve">من المتوخى عرض نتائج التقييم </w:t>
      </w:r>
      <w:r w:rsidR="008A2C57">
        <w:rPr>
          <w:rFonts w:cs="Traditional Arabic" w:hint="cs"/>
          <w:szCs w:val="30"/>
          <w:rtl/>
          <w:lang w:bidi="ar-EG"/>
        </w:rPr>
        <w:t>المواضيعي</w:t>
      </w:r>
      <w:r>
        <w:rPr>
          <w:rFonts w:cs="Traditional Arabic" w:hint="cs"/>
          <w:szCs w:val="30"/>
          <w:rtl/>
          <w:lang w:bidi="ar-EG"/>
        </w:rPr>
        <w:t xml:space="preserve"> في تقرير من ستة فصول على النحو التالي.</w:t>
      </w:r>
    </w:p>
    <w:p w:rsidR="006A64CC" w:rsidRDefault="006A64CC" w:rsidP="00B01D76">
      <w:pPr>
        <w:spacing w:after="120" w:line="400" w:lineRule="exact"/>
        <w:ind w:left="1134"/>
        <w:jc w:val="both"/>
        <w:rPr>
          <w:rFonts w:cs="Traditional Arabic" w:hint="cs"/>
          <w:szCs w:val="30"/>
          <w:rtl/>
          <w:lang w:bidi="ar-EG"/>
        </w:rPr>
      </w:pPr>
      <w:r>
        <w:rPr>
          <w:rFonts w:cs="Traditional Arabic" w:hint="cs"/>
          <w:szCs w:val="30"/>
          <w:rtl/>
          <w:lang w:bidi="ar-EG"/>
        </w:rPr>
        <w:t>9 -</w:t>
      </w:r>
      <w:r>
        <w:rPr>
          <w:rFonts w:cs="Traditional Arabic" w:hint="cs"/>
          <w:szCs w:val="30"/>
          <w:rtl/>
          <w:lang w:bidi="ar-EG"/>
        </w:rPr>
        <w:tab/>
        <w:t>الفصل الأول. مقدمة لمفاهيم الأنواع الغريبة الغازية، ويشمل ذلك ما يلي:</w:t>
      </w:r>
    </w:p>
    <w:p w:rsidR="006A64CC" w:rsidRDefault="006A64CC" w:rsidP="00B01D76">
      <w:pPr>
        <w:spacing w:after="120" w:line="400" w:lineRule="exact"/>
        <w:ind w:left="1134" w:firstLine="707"/>
        <w:jc w:val="both"/>
        <w:rPr>
          <w:rFonts w:cs="Traditional Arabic" w:hint="cs"/>
          <w:szCs w:val="30"/>
          <w:rtl/>
          <w:lang w:bidi="ar-EG"/>
        </w:rPr>
      </w:pPr>
      <w:r>
        <w:rPr>
          <w:rFonts w:cs="Traditional Arabic" w:hint="cs"/>
          <w:szCs w:val="30"/>
          <w:rtl/>
          <w:lang w:bidi="ar-EG"/>
        </w:rPr>
        <w:t>(أ)</w:t>
      </w:r>
      <w:r>
        <w:rPr>
          <w:rFonts w:cs="Traditional Arabic" w:hint="cs"/>
          <w:szCs w:val="30"/>
          <w:rtl/>
          <w:lang w:bidi="ar-EG"/>
        </w:rPr>
        <w:tab/>
        <w:t>المخاطر الحالية والمقبلة التي تثيرها؛</w:t>
      </w:r>
    </w:p>
    <w:p w:rsidR="006A64CC" w:rsidRDefault="006A64CC" w:rsidP="00B01D76">
      <w:pPr>
        <w:spacing w:after="120" w:line="400" w:lineRule="exact"/>
        <w:ind w:left="1134" w:firstLine="707"/>
        <w:jc w:val="both"/>
        <w:rPr>
          <w:rFonts w:cs="Traditional Arabic" w:hint="cs"/>
          <w:szCs w:val="30"/>
          <w:rtl/>
          <w:lang w:bidi="ar-EG"/>
        </w:rPr>
      </w:pPr>
      <w:r>
        <w:rPr>
          <w:rFonts w:cs="Traditional Arabic" w:hint="cs"/>
          <w:szCs w:val="30"/>
          <w:rtl/>
          <w:lang w:bidi="ar-EG"/>
        </w:rPr>
        <w:t>(ب)</w:t>
      </w:r>
      <w:r>
        <w:rPr>
          <w:rFonts w:cs="Traditional Arabic" w:hint="cs"/>
          <w:szCs w:val="30"/>
          <w:rtl/>
          <w:lang w:bidi="ar-EG"/>
        </w:rPr>
        <w:tab/>
        <w:t>تنوعها وأصولها ووسائلها ومسارات دخولها وانتشارها وإيكولوجيتها وخطورة آثارها؛</w:t>
      </w:r>
    </w:p>
    <w:p w:rsidR="006A64CC" w:rsidRDefault="006A64CC" w:rsidP="00B01D76">
      <w:pPr>
        <w:spacing w:after="120" w:line="400" w:lineRule="exact"/>
        <w:ind w:left="1134" w:firstLine="707"/>
        <w:jc w:val="both"/>
        <w:rPr>
          <w:rFonts w:cs="Traditional Arabic" w:hint="cs"/>
          <w:szCs w:val="30"/>
          <w:rtl/>
          <w:lang w:bidi="ar-EG"/>
        </w:rPr>
      </w:pPr>
      <w:r>
        <w:rPr>
          <w:rFonts w:cs="Traditional Arabic" w:hint="cs"/>
          <w:szCs w:val="30"/>
          <w:rtl/>
          <w:lang w:bidi="ar-EG"/>
        </w:rPr>
        <w:lastRenderedPageBreak/>
        <w:t>(ج)</w:t>
      </w:r>
      <w:r>
        <w:rPr>
          <w:rFonts w:cs="Traditional Arabic" w:hint="cs"/>
          <w:szCs w:val="30"/>
          <w:rtl/>
          <w:lang w:bidi="ar-EG"/>
        </w:rPr>
        <w:tab/>
        <w:t>ضرورة الوعي والسياسات الملائمة للأمن البيولوجي قبل الحدود وبعدها من أجل الاستجابة لآثارها وانتشارها؛</w:t>
      </w:r>
    </w:p>
    <w:p w:rsidR="006A64CC" w:rsidRDefault="006A64CC" w:rsidP="00B01D76">
      <w:pPr>
        <w:spacing w:after="120" w:line="400" w:lineRule="exact"/>
        <w:ind w:left="1134" w:firstLine="707"/>
        <w:jc w:val="both"/>
        <w:rPr>
          <w:rFonts w:cs="Traditional Arabic" w:hint="cs"/>
          <w:szCs w:val="30"/>
          <w:rtl/>
          <w:lang w:bidi="ar-EG"/>
        </w:rPr>
      </w:pPr>
      <w:r>
        <w:rPr>
          <w:rFonts w:cs="Traditional Arabic" w:hint="cs"/>
          <w:szCs w:val="30"/>
          <w:rtl/>
          <w:lang w:bidi="ar-EG"/>
        </w:rPr>
        <w:t>(د)</w:t>
      </w:r>
      <w:r>
        <w:rPr>
          <w:rFonts w:cs="Traditional Arabic" w:hint="cs"/>
          <w:szCs w:val="30"/>
          <w:rtl/>
          <w:lang w:bidi="ar-EG"/>
        </w:rPr>
        <w:tab/>
        <w:t>منهجيات ونُظم معلومات لرصد المدى والانتشار والأثر.</w:t>
      </w:r>
    </w:p>
    <w:p w:rsidR="006A64CC" w:rsidRDefault="006A64CC" w:rsidP="00B01D76">
      <w:pPr>
        <w:spacing w:after="120" w:line="400" w:lineRule="exact"/>
        <w:ind w:left="1134"/>
        <w:jc w:val="both"/>
        <w:rPr>
          <w:rFonts w:cs="Traditional Arabic" w:hint="cs"/>
          <w:szCs w:val="30"/>
          <w:rtl/>
          <w:lang w:bidi="ar-EG"/>
        </w:rPr>
      </w:pPr>
      <w:r>
        <w:rPr>
          <w:rFonts w:cs="Traditional Arabic" w:hint="cs"/>
          <w:szCs w:val="30"/>
          <w:rtl/>
          <w:lang w:bidi="ar-EG"/>
        </w:rPr>
        <w:t>10-</w:t>
      </w:r>
      <w:r>
        <w:rPr>
          <w:rFonts w:cs="Traditional Arabic" w:hint="cs"/>
          <w:szCs w:val="30"/>
          <w:rtl/>
          <w:lang w:bidi="ar-EG"/>
        </w:rPr>
        <w:tab/>
        <w:t>الفصل 2. استعراض عام لأنماط الأنواع الغريبة الغازية، ووسائل وتاريخ انتشارها وأنماط آثارها، مجزأة حسب المناطق، على التنوع البيولوجي وخدمات النُظم الإيكولوجية ورفاه الإنسان. وتشمل المجموعات التصنيفية الكبرى التي سيتم تغطيتها ما يلي:</w:t>
      </w:r>
    </w:p>
    <w:p w:rsidR="006A64CC" w:rsidRDefault="006A64CC" w:rsidP="00B01D76">
      <w:pPr>
        <w:spacing w:after="120" w:line="400" w:lineRule="exact"/>
        <w:ind w:left="1134" w:firstLine="707"/>
        <w:jc w:val="both"/>
        <w:rPr>
          <w:rFonts w:cs="Traditional Arabic" w:hint="cs"/>
          <w:szCs w:val="30"/>
          <w:rtl/>
          <w:lang w:bidi="ar-EG"/>
        </w:rPr>
      </w:pPr>
      <w:r>
        <w:rPr>
          <w:rFonts w:cs="Traditional Arabic" w:hint="cs"/>
          <w:szCs w:val="30"/>
          <w:rtl/>
          <w:lang w:bidi="ar-EG"/>
        </w:rPr>
        <w:t>(أ)</w:t>
      </w:r>
      <w:r>
        <w:rPr>
          <w:rFonts w:cs="Traditional Arabic" w:hint="cs"/>
          <w:szCs w:val="30"/>
          <w:rtl/>
          <w:lang w:bidi="ar-EG"/>
        </w:rPr>
        <w:tab/>
        <w:t>الفقريات (مثل الفئران والجرذان والبوسوم والنمس والقطط والمعيز والغزلان والخنازير والخيول والماشية والجمال والثعالب والأرانب والحمير والثعابين والسحالي والسلاحف والضفادع والطيور والأسماك)؛</w:t>
      </w:r>
    </w:p>
    <w:p w:rsidR="006A64CC" w:rsidRDefault="006A64CC" w:rsidP="00B01D76">
      <w:pPr>
        <w:spacing w:after="120" w:line="400" w:lineRule="exact"/>
        <w:ind w:left="1134" w:firstLine="707"/>
        <w:jc w:val="both"/>
        <w:rPr>
          <w:rFonts w:cs="Traditional Arabic" w:hint="cs"/>
          <w:szCs w:val="30"/>
          <w:rtl/>
          <w:lang w:bidi="ar-EG"/>
        </w:rPr>
      </w:pPr>
      <w:r>
        <w:rPr>
          <w:rFonts w:cs="Traditional Arabic" w:hint="cs"/>
          <w:szCs w:val="30"/>
          <w:rtl/>
          <w:lang w:bidi="ar-EG"/>
        </w:rPr>
        <w:t>(ب)</w:t>
      </w:r>
      <w:r>
        <w:rPr>
          <w:rFonts w:cs="Traditional Arabic" w:hint="cs"/>
          <w:szCs w:val="30"/>
          <w:rtl/>
          <w:lang w:bidi="ar-EG"/>
        </w:rPr>
        <w:tab/>
        <w:t>اللافقريات (مثل النمل والبعوض والذباب والزنابير واليرقات والخنافس والأرَضة والصراصير والجراد والعتة والسرطانات والحلزونات واليرقانات وغيرها من الرخويات والديدان الشريطية)، وخاصة الكائنات الاستعمارية مثل ناقلات الأمراض من النمل والزنابير والبعوض التي يبدو أنها تزيد من مدى تواجدها؛</w:t>
      </w:r>
    </w:p>
    <w:p w:rsidR="006A64CC" w:rsidRDefault="006A64CC" w:rsidP="00B01D76">
      <w:pPr>
        <w:spacing w:after="120" w:line="400" w:lineRule="exact"/>
        <w:ind w:left="1134" w:firstLine="707"/>
        <w:jc w:val="both"/>
        <w:rPr>
          <w:rFonts w:cs="Traditional Arabic" w:hint="cs"/>
          <w:szCs w:val="30"/>
          <w:rtl/>
          <w:lang w:bidi="ar-EG"/>
        </w:rPr>
      </w:pPr>
      <w:r>
        <w:rPr>
          <w:rFonts w:cs="Traditional Arabic" w:hint="cs"/>
          <w:szCs w:val="30"/>
          <w:rtl/>
          <w:lang w:bidi="ar-EG"/>
        </w:rPr>
        <w:t>(ج)</w:t>
      </w:r>
      <w:r>
        <w:rPr>
          <w:rFonts w:cs="Traditional Arabic" w:hint="cs"/>
          <w:szCs w:val="30"/>
          <w:rtl/>
          <w:lang w:bidi="ar-EG"/>
        </w:rPr>
        <w:tab/>
        <w:t>النباتات (مثل الأشجار والشجيرات والكروم والكلأ والعُشب والأعشاب البحرية والطحالب)؛</w:t>
      </w:r>
    </w:p>
    <w:p w:rsidR="006A64CC" w:rsidRDefault="006A64CC" w:rsidP="00B01D76">
      <w:pPr>
        <w:spacing w:after="120" w:line="400" w:lineRule="exact"/>
        <w:ind w:left="1134" w:firstLine="707"/>
        <w:jc w:val="both"/>
        <w:rPr>
          <w:rFonts w:cs="Traditional Arabic" w:hint="cs"/>
          <w:szCs w:val="30"/>
          <w:rtl/>
          <w:lang w:bidi="ar-EG"/>
        </w:rPr>
      </w:pPr>
      <w:r>
        <w:rPr>
          <w:rFonts w:cs="Traditional Arabic" w:hint="cs"/>
          <w:szCs w:val="30"/>
          <w:rtl/>
          <w:lang w:bidi="ar-EG"/>
        </w:rPr>
        <w:t>(د)</w:t>
      </w:r>
      <w:r>
        <w:rPr>
          <w:rFonts w:cs="Traditional Arabic" w:hint="cs"/>
          <w:szCs w:val="30"/>
          <w:rtl/>
          <w:lang w:bidi="ar-EG"/>
        </w:rPr>
        <w:tab/>
        <w:t>كائنات الأمراض والكائنات الدقيقة (مثل الفطريات والفيروسات والبكتريا والزراقم والأولويات والأمراض المرجانية والعوالق والطفليات).</w:t>
      </w:r>
    </w:p>
    <w:p w:rsidR="006A64CC" w:rsidRDefault="006A64CC" w:rsidP="00B01D76">
      <w:pPr>
        <w:spacing w:after="120" w:line="400" w:lineRule="exact"/>
        <w:ind w:left="1134"/>
        <w:jc w:val="both"/>
        <w:rPr>
          <w:rFonts w:cs="Traditional Arabic" w:hint="cs"/>
          <w:szCs w:val="30"/>
          <w:rtl/>
          <w:lang w:bidi="ar-EG"/>
        </w:rPr>
      </w:pPr>
      <w:r>
        <w:rPr>
          <w:rFonts w:cs="Traditional Arabic" w:hint="cs"/>
          <w:szCs w:val="30"/>
          <w:rtl/>
          <w:lang w:bidi="ar-EG"/>
        </w:rPr>
        <w:t>11 -</w:t>
      </w:r>
      <w:r>
        <w:rPr>
          <w:rFonts w:cs="Traditional Arabic" w:hint="cs"/>
          <w:szCs w:val="30"/>
          <w:rtl/>
          <w:lang w:bidi="ar-EG"/>
        </w:rPr>
        <w:tab/>
        <w:t>وتشمل القضايا الأخرى التي يغطيها الفصل 2 ما يلي:</w:t>
      </w:r>
    </w:p>
    <w:p w:rsidR="006A64CC" w:rsidRDefault="006A64CC" w:rsidP="00B01D76">
      <w:pPr>
        <w:spacing w:after="120" w:line="400" w:lineRule="exact"/>
        <w:ind w:left="1134" w:firstLine="707"/>
        <w:jc w:val="both"/>
        <w:rPr>
          <w:rFonts w:cs="Traditional Arabic" w:hint="cs"/>
          <w:szCs w:val="30"/>
          <w:rtl/>
          <w:lang w:bidi="ar-EG"/>
        </w:rPr>
      </w:pPr>
      <w:r>
        <w:rPr>
          <w:rFonts w:cs="Traditional Arabic" w:hint="cs"/>
          <w:szCs w:val="30"/>
          <w:rtl/>
          <w:lang w:bidi="ar-EG"/>
        </w:rPr>
        <w:t>(أ)</w:t>
      </w:r>
      <w:r>
        <w:rPr>
          <w:rFonts w:cs="Traditional Arabic" w:hint="cs"/>
          <w:szCs w:val="30"/>
          <w:rtl/>
          <w:lang w:bidi="ar-EG"/>
        </w:rPr>
        <w:tab/>
        <w:t>الامتداد المساحي والاتجاهات فيما يتعلق بضياع التنوع البيولوجي وخدمات النُظم الإيكولوجية، وتدهور الأراضي وخسارة الأغذية وأمن سُبل المعيشة بسبب الأنواع الغريبة الغازية في جميع المناطق والمناطق الفرعية؛</w:t>
      </w:r>
    </w:p>
    <w:p w:rsidR="006A64CC" w:rsidRDefault="006A64CC" w:rsidP="00B01D76">
      <w:pPr>
        <w:spacing w:after="120" w:line="400" w:lineRule="exact"/>
        <w:ind w:left="1134" w:firstLine="707"/>
        <w:jc w:val="both"/>
        <w:rPr>
          <w:rFonts w:cs="Traditional Arabic" w:hint="cs"/>
          <w:szCs w:val="30"/>
          <w:rtl/>
          <w:lang w:bidi="ar-EG"/>
        </w:rPr>
      </w:pPr>
      <w:r>
        <w:rPr>
          <w:rFonts w:cs="Traditional Arabic" w:hint="cs"/>
          <w:szCs w:val="30"/>
          <w:rtl/>
          <w:lang w:bidi="ar-EG"/>
        </w:rPr>
        <w:t>(ب)</w:t>
      </w:r>
      <w:r>
        <w:rPr>
          <w:rFonts w:cs="Traditional Arabic" w:hint="cs"/>
          <w:szCs w:val="30"/>
          <w:rtl/>
          <w:lang w:bidi="ar-EG"/>
        </w:rPr>
        <w:tab/>
        <w:t>تقييم عتبات وحجم التغيُّر (الإيجابي والسلبي معاً)، بما في ذلك وصول أنواع غريبة غازية جديدة مؤخراً؛</w:t>
      </w:r>
    </w:p>
    <w:p w:rsidR="006A64CC" w:rsidRDefault="006A64CC" w:rsidP="00B01D76">
      <w:pPr>
        <w:spacing w:after="120" w:line="400" w:lineRule="exact"/>
        <w:ind w:left="1134" w:firstLine="707"/>
        <w:jc w:val="both"/>
        <w:rPr>
          <w:rFonts w:cs="Traditional Arabic" w:hint="cs"/>
          <w:szCs w:val="30"/>
          <w:rtl/>
          <w:lang w:bidi="ar-EG"/>
        </w:rPr>
      </w:pPr>
      <w:r>
        <w:rPr>
          <w:rFonts w:cs="Traditional Arabic" w:hint="cs"/>
          <w:szCs w:val="30"/>
          <w:rtl/>
          <w:lang w:bidi="ar-EG"/>
        </w:rPr>
        <w:t>(ج)</w:t>
      </w:r>
      <w:r>
        <w:rPr>
          <w:rFonts w:cs="Traditional Arabic" w:hint="cs"/>
          <w:szCs w:val="30"/>
          <w:rtl/>
          <w:lang w:bidi="ar-EG"/>
        </w:rPr>
        <w:tab/>
        <w:t>التوفيق بين المعلومات الحالية والمعارف الأصلية والمحلية.</w:t>
      </w:r>
    </w:p>
    <w:p w:rsidR="006A64CC" w:rsidRDefault="006A64CC" w:rsidP="00B01D76">
      <w:pPr>
        <w:spacing w:after="120" w:line="400" w:lineRule="exact"/>
        <w:ind w:left="1134"/>
        <w:jc w:val="both"/>
        <w:rPr>
          <w:rFonts w:cs="Traditional Arabic" w:hint="cs"/>
          <w:szCs w:val="30"/>
          <w:rtl/>
          <w:lang w:bidi="ar-EG"/>
        </w:rPr>
      </w:pPr>
      <w:r>
        <w:rPr>
          <w:rFonts w:cs="Traditional Arabic" w:hint="cs"/>
          <w:szCs w:val="30"/>
          <w:rtl/>
          <w:lang w:bidi="ar-EG"/>
        </w:rPr>
        <w:t>12-</w:t>
      </w:r>
      <w:r>
        <w:rPr>
          <w:rFonts w:cs="Traditional Arabic" w:hint="cs"/>
          <w:szCs w:val="30"/>
          <w:rtl/>
          <w:lang w:bidi="ar-EG"/>
        </w:rPr>
        <w:tab/>
        <w:t>الفصل 3. التقييم العالمي للمحركات المباشرة وغير المباشرة المسؤولة عن زيادة عدد الأنواع الغريبة الغازية وآثارها. وسيكون هذا الفصل تحليلاً نقدياً يشمل ما يلي:</w:t>
      </w:r>
    </w:p>
    <w:p w:rsidR="006A64CC" w:rsidRDefault="006A64CC" w:rsidP="00B01D76">
      <w:pPr>
        <w:spacing w:after="120" w:line="400" w:lineRule="exact"/>
        <w:ind w:left="1134" w:firstLine="707"/>
        <w:jc w:val="both"/>
        <w:rPr>
          <w:rFonts w:cs="Traditional Arabic" w:hint="cs"/>
          <w:szCs w:val="30"/>
          <w:rtl/>
          <w:lang w:bidi="ar-EG"/>
        </w:rPr>
      </w:pPr>
      <w:r>
        <w:rPr>
          <w:rFonts w:cs="Traditional Arabic" w:hint="cs"/>
          <w:szCs w:val="30"/>
          <w:rtl/>
          <w:lang w:bidi="ar-EG"/>
        </w:rPr>
        <w:t>(أ)</w:t>
      </w:r>
      <w:r>
        <w:rPr>
          <w:rFonts w:cs="Traditional Arabic" w:hint="cs"/>
          <w:szCs w:val="30"/>
          <w:rtl/>
          <w:lang w:bidi="ar-EG"/>
        </w:rPr>
        <w:tab/>
        <w:t>تقييم المحركات غير المباشرة للتغيُّر مثل زيادة حركة نقل السلع والمواد الأخرى بحراً وجواً وبراً، والسياسات التجارية والزراعية، بما في ذلك زيادة زراعة المحصول الواحد وتشجير المزارع بالأنواع الغازية المحتملة، وانتشار الأنواع التي تعلق عليها المجتمعات المحلية قيمة بسبب استخدامها في خشب الحريق والأغراض الأخرى؛</w:t>
      </w:r>
    </w:p>
    <w:p w:rsidR="006A64CC" w:rsidRDefault="006A64CC" w:rsidP="00B01D76">
      <w:pPr>
        <w:spacing w:after="120" w:line="400" w:lineRule="exact"/>
        <w:ind w:left="1134" w:firstLine="707"/>
        <w:jc w:val="both"/>
        <w:rPr>
          <w:rFonts w:cs="Traditional Arabic" w:hint="cs"/>
          <w:szCs w:val="30"/>
          <w:rtl/>
          <w:lang w:bidi="ar-EG"/>
        </w:rPr>
      </w:pPr>
      <w:r>
        <w:rPr>
          <w:rFonts w:cs="Traditional Arabic" w:hint="cs"/>
          <w:szCs w:val="30"/>
          <w:rtl/>
          <w:lang w:bidi="ar-EG"/>
        </w:rPr>
        <w:t>(ب)</w:t>
      </w:r>
      <w:r>
        <w:rPr>
          <w:rFonts w:cs="Traditional Arabic" w:hint="cs"/>
          <w:szCs w:val="30"/>
          <w:rtl/>
          <w:lang w:bidi="ar-EG"/>
        </w:rPr>
        <w:tab/>
        <w:t>تغيُّر المناخ، الذي يُنتظر أن يؤدي في عدة مناطق إلى زيادة معدل الغزوات وآثارها؛</w:t>
      </w:r>
    </w:p>
    <w:p w:rsidR="006A64CC" w:rsidRDefault="006A64CC" w:rsidP="00B01D76">
      <w:pPr>
        <w:spacing w:after="120" w:line="400" w:lineRule="exact"/>
        <w:ind w:left="1134" w:firstLine="707"/>
        <w:jc w:val="both"/>
        <w:rPr>
          <w:rFonts w:cs="Traditional Arabic" w:hint="cs"/>
          <w:szCs w:val="30"/>
          <w:rtl/>
          <w:lang w:bidi="ar-EG"/>
        </w:rPr>
      </w:pPr>
      <w:r>
        <w:rPr>
          <w:rFonts w:cs="Traditional Arabic" w:hint="cs"/>
          <w:szCs w:val="30"/>
          <w:rtl/>
          <w:lang w:bidi="ar-EG"/>
        </w:rPr>
        <w:t>(ج)</w:t>
      </w:r>
      <w:r>
        <w:rPr>
          <w:rFonts w:cs="Traditional Arabic" w:hint="cs"/>
          <w:szCs w:val="30"/>
          <w:rtl/>
          <w:lang w:bidi="ar-EG"/>
        </w:rPr>
        <w:tab/>
        <w:t>نقص الوعي وعدم كفاية إجراءات الأمن البيولوجي الدولية والوطنية، بما في ذلك تقييم المحركات المباشرة التي تؤدي إلى زيادة هيمنة أنواع غريبة غازية مثل تغيُّر استخدام الأراضي وتدهورها بما يواتي الغزو، واستخدام مبيدات الآفات.</w:t>
      </w:r>
    </w:p>
    <w:p w:rsidR="006A64CC" w:rsidRDefault="006A64CC" w:rsidP="00B01D76">
      <w:pPr>
        <w:spacing w:after="120" w:line="400" w:lineRule="exact"/>
        <w:ind w:left="1134"/>
        <w:jc w:val="both"/>
        <w:rPr>
          <w:rFonts w:cs="Traditional Arabic" w:hint="cs"/>
          <w:szCs w:val="30"/>
          <w:rtl/>
          <w:lang w:bidi="ar-EG"/>
        </w:rPr>
      </w:pPr>
      <w:r>
        <w:rPr>
          <w:rFonts w:cs="Traditional Arabic" w:hint="cs"/>
          <w:szCs w:val="30"/>
          <w:rtl/>
          <w:lang w:bidi="ar-EG"/>
        </w:rPr>
        <w:lastRenderedPageBreak/>
        <w:t>13 -</w:t>
      </w:r>
      <w:r>
        <w:rPr>
          <w:rFonts w:cs="Traditional Arabic" w:hint="cs"/>
          <w:szCs w:val="30"/>
          <w:rtl/>
          <w:lang w:bidi="ar-EG"/>
        </w:rPr>
        <w:tab/>
        <w:t xml:space="preserve">الفصل 4. التقييم العالمي للتكاليف البيئية والاقتصادية والاجتماعية للأنواع الغريبة الغازية، مع التركيز خاصة على أثرها على التنوع البيولوجي وخدمات النُظم الإيكولوجية، بما في ذلك القيم غير الاقتصادية، مثل القيم الثقافية والاجتماعية والمشتركة والترفيهية والعلمية والروحية والجمالية. ويشمل ذلك دراسات حالات عالمية وإقليمية لآثار الأنواع الغريبة الغازية على التنوع البيولوجي، وخدمات النُظم الإيكولوجية والأغذية والصحة وأمن سُبل المعيشة وخيارات السياسات العامة. </w:t>
      </w:r>
    </w:p>
    <w:p w:rsidR="006A64CC" w:rsidRDefault="006A64CC" w:rsidP="00B01D76">
      <w:pPr>
        <w:spacing w:after="120" w:line="400" w:lineRule="exact"/>
        <w:ind w:left="1134"/>
        <w:jc w:val="both"/>
        <w:rPr>
          <w:rFonts w:cs="Traditional Arabic" w:hint="cs"/>
          <w:szCs w:val="30"/>
          <w:rtl/>
          <w:lang w:bidi="ar-EG"/>
        </w:rPr>
      </w:pPr>
      <w:r>
        <w:rPr>
          <w:rFonts w:cs="Traditional Arabic" w:hint="cs"/>
          <w:szCs w:val="30"/>
          <w:rtl/>
          <w:lang w:bidi="ar-EG"/>
        </w:rPr>
        <w:t>14 -</w:t>
      </w:r>
      <w:r>
        <w:rPr>
          <w:rFonts w:cs="Traditional Arabic" w:hint="cs"/>
          <w:szCs w:val="30"/>
          <w:rtl/>
          <w:lang w:bidi="ar-EG"/>
        </w:rPr>
        <w:tab/>
        <w:t>الفصل 5. استعراض الترتيبات المؤسسية والخيارات والبرامج القائمة، بما في ذلك فعاليتها، لأغراض الإدارة العالمية والوطنية والمحلية للأنواع الغريبة الغازية، بما في ذلك النُهج المطبَّقة قبل عبور الحدود وعند الحدود من أجل تعزيز الأمن البيولوجي وبناء الوعي بمسائل الأنواع الغريبة الغازية. وسوف يستند ذلك إلى تقييم أفضل الممارسات وفعالية البرامج القائمة لمعالجة المخاطر، بما في ذلك تدابير الحجر الصحي الوطنية. وسيتضمن هذا الفصل أيضاً دراسة وتحليلاً للخيارات المتعلقة بما يلي:</w:t>
      </w:r>
    </w:p>
    <w:p w:rsidR="006A64CC" w:rsidRDefault="006A64CC" w:rsidP="00B01D76">
      <w:pPr>
        <w:spacing w:after="120" w:line="400" w:lineRule="exact"/>
        <w:ind w:left="1134" w:firstLine="707"/>
        <w:jc w:val="both"/>
        <w:rPr>
          <w:rFonts w:cs="Traditional Arabic" w:hint="cs"/>
          <w:szCs w:val="30"/>
          <w:rtl/>
          <w:lang w:bidi="ar-EG"/>
        </w:rPr>
      </w:pPr>
      <w:r>
        <w:rPr>
          <w:rFonts w:cs="Traditional Arabic" w:hint="cs"/>
          <w:szCs w:val="30"/>
          <w:rtl/>
          <w:lang w:bidi="ar-EG"/>
        </w:rPr>
        <w:t>(أ)</w:t>
      </w:r>
      <w:r>
        <w:rPr>
          <w:rFonts w:cs="Traditional Arabic" w:hint="cs"/>
          <w:szCs w:val="30"/>
          <w:rtl/>
          <w:lang w:bidi="ar-EG"/>
        </w:rPr>
        <w:tab/>
        <w:t>منع الأنواع الغريبة الغازية الدولية ومنع انتشارها دولياً، بما في ذلك الدور المحتمل لاتفاقية التنوع البيولوجي؛</w:t>
      </w:r>
    </w:p>
    <w:p w:rsidR="006A64CC" w:rsidRDefault="006A64CC" w:rsidP="00B01D76">
      <w:pPr>
        <w:spacing w:after="120" w:line="400" w:lineRule="exact"/>
        <w:ind w:left="1134" w:firstLine="707"/>
        <w:jc w:val="both"/>
        <w:rPr>
          <w:rFonts w:cs="Traditional Arabic" w:hint="cs"/>
          <w:szCs w:val="30"/>
          <w:rtl/>
          <w:lang w:bidi="ar-EG"/>
        </w:rPr>
      </w:pPr>
      <w:r>
        <w:rPr>
          <w:rFonts w:cs="Traditional Arabic" w:hint="cs"/>
          <w:szCs w:val="30"/>
          <w:rtl/>
          <w:lang w:bidi="ar-EG"/>
        </w:rPr>
        <w:t>(ب)</w:t>
      </w:r>
      <w:r>
        <w:rPr>
          <w:rFonts w:cs="Traditional Arabic" w:hint="cs"/>
          <w:szCs w:val="30"/>
          <w:rtl/>
          <w:lang w:bidi="ar-EG"/>
        </w:rPr>
        <w:tab/>
        <w:t xml:space="preserve">استئصال أو إدارة الأنواع الغريبة الغازية بعد ظهورها، بما في ذلك خيارات المكافحة مثل الاستخدام الدقيق لمبيدات الآفات والفخاخ والمكافحة البيولوجية وغير ذلك من أفضل الممارسات. </w:t>
      </w:r>
    </w:p>
    <w:p w:rsidR="006A64CC" w:rsidRDefault="006A64CC" w:rsidP="00B01D76">
      <w:pPr>
        <w:spacing w:after="120" w:line="400" w:lineRule="exact"/>
        <w:ind w:left="1134"/>
        <w:jc w:val="both"/>
        <w:rPr>
          <w:rFonts w:cs="Traditional Arabic" w:hint="cs"/>
          <w:szCs w:val="30"/>
          <w:rtl/>
          <w:lang w:bidi="ar-EG"/>
        </w:rPr>
      </w:pPr>
      <w:r>
        <w:rPr>
          <w:rFonts w:cs="Traditional Arabic" w:hint="cs"/>
          <w:szCs w:val="30"/>
          <w:rtl/>
          <w:lang w:bidi="ar-EG"/>
        </w:rPr>
        <w:t>15-</w:t>
      </w:r>
      <w:r>
        <w:rPr>
          <w:rFonts w:cs="Traditional Arabic" w:hint="cs"/>
          <w:szCs w:val="30"/>
          <w:rtl/>
          <w:lang w:bidi="ar-EG"/>
        </w:rPr>
        <w:tab/>
        <w:t>وسيتم أيضاً تقييم المعاوضات المحتملة وخيارات استجابات السياسة العامة في القطاعات ذات الصلة وآثار عدم التحرك. وسيشمل ذلك تحليلاً شاملاً للمخاطر الشائعة نسبياً والمتصلة بعدم وجود سياسات ذات صلة لمكافحة الأنواع الغريبة الغازية مثل الافتقار إلى الرقابة الجمركية وعدم توفر النُهج الوقائية في السياحة والموضوعات المشابهة.</w:t>
      </w:r>
    </w:p>
    <w:p w:rsidR="006A64CC" w:rsidRDefault="006A64CC" w:rsidP="00B01D76">
      <w:pPr>
        <w:spacing w:after="120" w:line="400" w:lineRule="exact"/>
        <w:ind w:left="1134"/>
        <w:jc w:val="both"/>
        <w:rPr>
          <w:rFonts w:cs="Traditional Arabic" w:hint="cs"/>
          <w:szCs w:val="30"/>
          <w:rtl/>
          <w:lang w:bidi="ar-EG"/>
        </w:rPr>
      </w:pPr>
      <w:r>
        <w:rPr>
          <w:rFonts w:cs="Traditional Arabic" w:hint="cs"/>
          <w:szCs w:val="30"/>
          <w:rtl/>
          <w:lang w:bidi="ar-EG"/>
        </w:rPr>
        <w:t>16-</w:t>
      </w:r>
      <w:r>
        <w:rPr>
          <w:rFonts w:cs="Traditional Arabic" w:hint="cs"/>
          <w:szCs w:val="30"/>
          <w:rtl/>
          <w:lang w:bidi="ar-EG"/>
        </w:rPr>
        <w:tab/>
        <w:t xml:space="preserve">الفصل 6. إنشاء شبكات وقدرات وطنية، أو تعزيز القائم منها، لأغراض إثارة الوعي، ونُظم التحذير المبكِّر بشأن تنوع الأنواع الغريبة الغازية وخطورة آثارها على التنوع البيولوجي واستراتيجيات الاستجابة السريعة، مع التشديد بصورة محددة على تعزيز الشبكات الدولية والحكومية الدولية واستراتيجيات وإجراءات التنبؤ بالأنواع الغريبة الغازية ومنع انتشارها واستئصالها ومكافحتها من أجل الحفاظ على التنوع البيولوجي كأساس لدعم الرفاه الإنساني. </w:t>
      </w:r>
    </w:p>
    <w:p w:rsidR="006A64CC" w:rsidRPr="00B01D76" w:rsidRDefault="006A64CC" w:rsidP="00B01D76">
      <w:pPr>
        <w:pStyle w:val="H1"/>
        <w:spacing w:before="120" w:after="120"/>
        <w:ind w:left="1135" w:hanging="851"/>
        <w:rPr>
          <w:rFonts w:hint="cs"/>
          <w:sz w:val="32"/>
          <w:szCs w:val="32"/>
          <w:rtl/>
          <w:lang w:bidi="ar-EG"/>
        </w:rPr>
      </w:pPr>
      <w:r w:rsidRPr="00B01D76">
        <w:rPr>
          <w:rFonts w:hint="cs"/>
          <w:sz w:val="32"/>
          <w:szCs w:val="32"/>
          <w:rtl/>
          <w:lang w:bidi="ar-EG"/>
        </w:rPr>
        <w:t>رابعاً -</w:t>
      </w:r>
      <w:r w:rsidRPr="00B01D76">
        <w:rPr>
          <w:rFonts w:hint="cs"/>
          <w:sz w:val="32"/>
          <w:szCs w:val="32"/>
          <w:rtl/>
          <w:lang w:bidi="ar-EG"/>
        </w:rPr>
        <w:tab/>
        <w:t>العملية والجدول الزمني</w:t>
      </w:r>
    </w:p>
    <w:p w:rsidR="006A64CC" w:rsidRDefault="006A64CC" w:rsidP="00B01D76">
      <w:pPr>
        <w:spacing w:after="120" w:line="400" w:lineRule="exact"/>
        <w:ind w:left="1134"/>
        <w:jc w:val="both"/>
        <w:rPr>
          <w:rFonts w:cs="Traditional Arabic" w:hint="cs"/>
          <w:szCs w:val="30"/>
          <w:rtl/>
          <w:lang w:bidi="ar-EG"/>
        </w:rPr>
      </w:pPr>
      <w:r>
        <w:rPr>
          <w:rFonts w:cs="Traditional Arabic" w:hint="cs"/>
          <w:szCs w:val="30"/>
          <w:rtl/>
          <w:lang w:bidi="ar-EG"/>
        </w:rPr>
        <w:t>17-</w:t>
      </w:r>
      <w:r>
        <w:rPr>
          <w:rFonts w:cs="Traditional Arabic" w:hint="cs"/>
          <w:szCs w:val="30"/>
          <w:rtl/>
          <w:lang w:bidi="ar-EG"/>
        </w:rPr>
        <w:tab/>
        <w:t xml:space="preserve">يتضمن الجدول التالي المعالم الرئيسية للعملية المقترحة للقيام بالتقييم </w:t>
      </w:r>
      <w:r w:rsidR="008A2C57">
        <w:rPr>
          <w:rFonts w:cs="Traditional Arabic" w:hint="cs"/>
          <w:szCs w:val="30"/>
          <w:rtl/>
          <w:lang w:bidi="ar-EG"/>
        </w:rPr>
        <w:t>المواضيعي</w:t>
      </w:r>
      <w:r>
        <w:rPr>
          <w:rFonts w:cs="Traditional Arabic" w:hint="cs"/>
          <w:szCs w:val="30"/>
          <w:rtl/>
          <w:lang w:bidi="ar-EG"/>
        </w:rPr>
        <w:t xml:space="preserve"> والجدول الزمني لهذا التقييم. </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1270"/>
        <w:gridCol w:w="6386"/>
      </w:tblGrid>
      <w:tr w:rsidR="006A64CC" w:rsidRPr="00DE1AC1" w:rsidTr="00D8418F">
        <w:trPr>
          <w:trHeight w:val="584"/>
          <w:tblHeader/>
        </w:trPr>
        <w:tc>
          <w:tcPr>
            <w:tcW w:w="1843" w:type="dxa"/>
            <w:gridSpan w:val="2"/>
            <w:shd w:val="clear" w:color="auto" w:fill="auto"/>
            <w:vAlign w:val="center"/>
          </w:tcPr>
          <w:p w:rsidR="006A64CC" w:rsidRPr="00D8418F" w:rsidRDefault="006A64CC" w:rsidP="00D8418F">
            <w:pPr>
              <w:rPr>
                <w:rFonts w:ascii="Traditional Arabic" w:eastAsia="SimSun" w:hAnsi="Traditional Arabic" w:cs="Traditional Arabic"/>
                <w:i/>
                <w:iCs/>
                <w:sz w:val="30"/>
                <w:szCs w:val="30"/>
              </w:rPr>
            </w:pPr>
            <w:r w:rsidRPr="00D8418F">
              <w:rPr>
                <w:rFonts w:ascii="Traditional Arabic" w:eastAsia="SimSun" w:hAnsi="Traditional Arabic" w:cs="Traditional Arabic"/>
                <w:i/>
                <w:iCs/>
                <w:sz w:val="30"/>
                <w:szCs w:val="30"/>
                <w:rtl/>
              </w:rPr>
              <w:t>الإطار الزمني</w:t>
            </w:r>
          </w:p>
        </w:tc>
        <w:tc>
          <w:tcPr>
            <w:tcW w:w="6449" w:type="dxa"/>
            <w:shd w:val="clear" w:color="auto" w:fill="auto"/>
            <w:vAlign w:val="center"/>
          </w:tcPr>
          <w:p w:rsidR="006A64CC" w:rsidRPr="00DE1AC1" w:rsidRDefault="006A64CC" w:rsidP="00B01D76">
            <w:pPr>
              <w:keepNext/>
              <w:keepLines/>
              <w:tabs>
                <w:tab w:val="left" w:pos="426"/>
                <w:tab w:val="num" w:pos="1353"/>
              </w:tabs>
              <w:autoSpaceDE w:val="0"/>
              <w:autoSpaceDN w:val="0"/>
              <w:adjustRightInd w:val="0"/>
              <w:spacing w:after="120" w:line="400" w:lineRule="exact"/>
              <w:jc w:val="lowKashida"/>
              <w:rPr>
                <w:rFonts w:eastAsia="SimSun" w:cs="Traditional Arabic" w:hint="cs"/>
                <w:iCs/>
                <w:sz w:val="20"/>
                <w:szCs w:val="30"/>
                <w:lang w:val="en-GB" w:eastAsia="zh-CN"/>
              </w:rPr>
            </w:pPr>
            <w:r>
              <w:rPr>
                <w:rFonts w:eastAsia="SimSun" w:cs="Traditional Arabic" w:hint="cs"/>
                <w:iCs/>
                <w:sz w:val="20"/>
                <w:szCs w:val="30"/>
                <w:rtl/>
                <w:lang w:val="en-GB" w:eastAsia="zh-CN"/>
              </w:rPr>
              <w:t>الإجراءات</w:t>
            </w:r>
          </w:p>
        </w:tc>
      </w:tr>
      <w:tr w:rsidR="006A64CC" w:rsidRPr="00DE1AC1" w:rsidTr="00D8418F">
        <w:trPr>
          <w:trHeight w:val="584"/>
        </w:trPr>
        <w:tc>
          <w:tcPr>
            <w:tcW w:w="567" w:type="dxa"/>
            <w:vMerge w:val="restart"/>
            <w:shd w:val="clear" w:color="auto" w:fill="auto"/>
            <w:vAlign w:val="center"/>
          </w:tcPr>
          <w:p w:rsidR="006A64CC" w:rsidRPr="00D8418F" w:rsidRDefault="006A64CC" w:rsidP="00D8418F">
            <w:pPr>
              <w:rPr>
                <w:rFonts w:ascii="Traditional Arabic" w:eastAsia="SimSun" w:hAnsi="Traditional Arabic" w:cs="Traditional Arabic"/>
                <w:sz w:val="30"/>
                <w:szCs w:val="30"/>
              </w:rPr>
            </w:pPr>
            <w:r w:rsidRPr="00D8418F">
              <w:rPr>
                <w:rFonts w:ascii="Traditional Arabic" w:eastAsia="SimSun" w:hAnsi="Traditional Arabic" w:cs="Traditional Arabic"/>
                <w:sz w:val="30"/>
                <w:szCs w:val="30"/>
                <w:rtl/>
              </w:rPr>
              <w:t>2013</w:t>
            </w:r>
          </w:p>
        </w:tc>
        <w:tc>
          <w:tcPr>
            <w:tcW w:w="1276" w:type="dxa"/>
            <w:shd w:val="clear" w:color="auto" w:fill="auto"/>
            <w:vAlign w:val="center"/>
          </w:tcPr>
          <w:p w:rsidR="006A64CC" w:rsidRPr="00DE1AC1" w:rsidRDefault="006A64CC" w:rsidP="00B01D76">
            <w:pPr>
              <w:keepNext/>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الربع الرابع</w:t>
            </w:r>
          </w:p>
        </w:tc>
        <w:tc>
          <w:tcPr>
            <w:tcW w:w="6449" w:type="dxa"/>
            <w:shd w:val="clear" w:color="auto" w:fill="auto"/>
            <w:vAlign w:val="center"/>
          </w:tcPr>
          <w:p w:rsidR="006A64CC" w:rsidRPr="00DE1AC1" w:rsidRDefault="006A64CC" w:rsidP="00B01D76">
            <w:pPr>
              <w:keepNext/>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يستعرض الاجتماع العام عملية تحديد النطاق الأوَّلي التي يعدها فريق الخبراء المتعدد الاختصاصات ويقرها ويطلب من الفريق والمكتب العمل في الحدود المتفق عليها للتكلفة من أجل إجراء تقييم كامل بعد استكمال دراسة تحديد النطاق التفصيلي (14 كانون الأول/ديسمبر 2013)</w:t>
            </w:r>
          </w:p>
        </w:tc>
      </w:tr>
      <w:tr w:rsidR="006A64CC" w:rsidRPr="00DE1AC1" w:rsidTr="00D8418F">
        <w:trPr>
          <w:trHeight w:val="584"/>
        </w:trPr>
        <w:tc>
          <w:tcPr>
            <w:tcW w:w="567" w:type="dxa"/>
            <w:vMerge/>
            <w:shd w:val="clear" w:color="auto" w:fill="auto"/>
            <w:vAlign w:val="center"/>
          </w:tcPr>
          <w:p w:rsidR="006A64CC" w:rsidRPr="00DE1AC1" w:rsidRDefault="006A64CC" w:rsidP="00B01D76">
            <w:pPr>
              <w:keepNext/>
              <w:keepLines/>
              <w:tabs>
                <w:tab w:val="left" w:pos="426"/>
                <w:tab w:val="num" w:pos="1353"/>
              </w:tabs>
              <w:autoSpaceDE w:val="0"/>
              <w:autoSpaceDN w:val="0"/>
              <w:adjustRightInd w:val="0"/>
              <w:spacing w:after="120" w:line="400" w:lineRule="exact"/>
              <w:jc w:val="center"/>
              <w:rPr>
                <w:rFonts w:eastAsia="SimSun" w:cs="Traditional Arabic"/>
                <w:sz w:val="20"/>
                <w:szCs w:val="30"/>
                <w:lang w:val="en-GB" w:eastAsia="zh-CN"/>
              </w:rPr>
            </w:pPr>
          </w:p>
        </w:tc>
        <w:tc>
          <w:tcPr>
            <w:tcW w:w="1276" w:type="dxa"/>
            <w:shd w:val="clear" w:color="auto" w:fill="auto"/>
            <w:vAlign w:val="center"/>
          </w:tcPr>
          <w:p w:rsidR="006A64CC" w:rsidRPr="00DE1AC1" w:rsidRDefault="006A64CC" w:rsidP="00B01D76">
            <w:pPr>
              <w:keepNext/>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الربع الرابع</w:t>
            </w:r>
          </w:p>
        </w:tc>
        <w:tc>
          <w:tcPr>
            <w:tcW w:w="6449" w:type="dxa"/>
            <w:shd w:val="clear" w:color="auto" w:fill="auto"/>
            <w:vAlign w:val="center"/>
          </w:tcPr>
          <w:p w:rsidR="006A64CC" w:rsidRPr="00DE1AC1" w:rsidRDefault="006A64CC" w:rsidP="00B01D76">
            <w:pPr>
              <w:keepNext/>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يطلب فريق الخبراء من خلال الأمانة ترشيحات من الحكومات وأصحاب المصلحة الآخرين بأسماء خبراء للمساعدة في عملية تحديد النطاق (16 كانون الأول/ديسمبر 2013 - 31 كانون الثاني/يناير 2014)</w:t>
            </w:r>
          </w:p>
        </w:tc>
      </w:tr>
      <w:tr w:rsidR="006A64CC" w:rsidRPr="00DE1AC1" w:rsidTr="00D8418F">
        <w:trPr>
          <w:trHeight w:val="584"/>
        </w:trPr>
        <w:tc>
          <w:tcPr>
            <w:tcW w:w="567" w:type="dxa"/>
            <w:vMerge w:val="restart"/>
            <w:shd w:val="clear" w:color="auto" w:fill="auto"/>
            <w:vAlign w:val="center"/>
          </w:tcPr>
          <w:p w:rsidR="006A64CC" w:rsidRPr="00D8418F" w:rsidRDefault="006A64CC" w:rsidP="00D8418F">
            <w:pPr>
              <w:rPr>
                <w:rFonts w:ascii="Traditional Arabic" w:eastAsia="SimSun" w:hAnsi="Traditional Arabic" w:cs="Traditional Arabic" w:hint="cs"/>
                <w:sz w:val="30"/>
                <w:szCs w:val="30"/>
              </w:rPr>
            </w:pPr>
            <w:r w:rsidRPr="00D8418F">
              <w:rPr>
                <w:rFonts w:ascii="Traditional Arabic" w:eastAsia="SimSun" w:hAnsi="Traditional Arabic" w:cs="Traditional Arabic" w:hint="cs"/>
                <w:sz w:val="30"/>
                <w:szCs w:val="30"/>
                <w:rtl/>
              </w:rPr>
              <w:t>2014</w:t>
            </w:r>
          </w:p>
        </w:tc>
        <w:tc>
          <w:tcPr>
            <w:tcW w:w="1276" w:type="dxa"/>
            <w:shd w:val="clear" w:color="auto" w:fill="auto"/>
            <w:vAlign w:val="center"/>
          </w:tcPr>
          <w:p w:rsidR="006A64CC" w:rsidRPr="00DE1AC1" w:rsidRDefault="006A64CC" w:rsidP="00B01D76">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الربع الأول</w:t>
            </w:r>
          </w:p>
        </w:tc>
        <w:tc>
          <w:tcPr>
            <w:tcW w:w="6449" w:type="dxa"/>
            <w:shd w:val="clear" w:color="auto" w:fill="auto"/>
            <w:vAlign w:val="center"/>
          </w:tcPr>
          <w:p w:rsidR="006A64CC" w:rsidRPr="00DE1AC1" w:rsidRDefault="006A64CC" w:rsidP="00023A94">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 xml:space="preserve">يقوم فريق الخبراء، مستخدماً البريد الإلكتروني والمؤتمرات عن بُعد، باختيار الخبراء وإجراء دراسة تحديد النطاق مع استعمال معايير الاختيار التي تمت الموافقة عليها </w:t>
            </w:r>
            <w:r w:rsidR="00023A94">
              <w:rPr>
                <w:rFonts w:eastAsia="SimSun" w:cs="Traditional Arabic" w:hint="cs"/>
                <w:sz w:val="20"/>
                <w:szCs w:val="30"/>
                <w:rtl/>
                <w:lang w:val="en-GB" w:eastAsia="zh-CN"/>
              </w:rPr>
              <w:t>(ا</w:t>
            </w:r>
            <w:r w:rsidR="00BB5683">
              <w:rPr>
                <w:rFonts w:eastAsia="SimSun" w:cs="Traditional Arabic" w:hint="cs"/>
                <w:sz w:val="20"/>
                <w:szCs w:val="30"/>
                <w:rtl/>
                <w:lang w:val="en-GB" w:eastAsia="zh-CN"/>
              </w:rPr>
              <w:t>نظر</w:t>
            </w:r>
            <w:r w:rsidR="00023A94">
              <w:rPr>
                <w:rFonts w:eastAsia="SimSun" w:cs="Traditional Arabic" w:hint="cs"/>
                <w:sz w:val="20"/>
                <w:szCs w:val="30"/>
                <w:rtl/>
                <w:lang w:val="en-GB" w:eastAsia="zh-CN"/>
              </w:rPr>
              <w:t xml:space="preserve"> </w:t>
            </w:r>
            <w:r w:rsidR="00023A94">
              <w:rPr>
                <w:rFonts w:eastAsia="SimSun" w:cs="Traditional Arabic"/>
                <w:sz w:val="20"/>
                <w:szCs w:val="30"/>
                <w:lang w:eastAsia="zh-CN"/>
              </w:rPr>
              <w:t>(</w:t>
            </w:r>
            <w:r w:rsidR="00BB5683">
              <w:rPr>
                <w:rFonts w:eastAsia="SimSun" w:cs="Traditional Arabic"/>
                <w:sz w:val="20"/>
                <w:szCs w:val="30"/>
                <w:lang w:eastAsia="zh-CN"/>
              </w:rPr>
              <w:t>IPBES/2/9</w:t>
            </w:r>
            <w:r w:rsidR="00023A94">
              <w:rPr>
                <w:rFonts w:eastAsia="SimSun" w:cs="Traditional Arabic" w:hint="cs"/>
                <w:sz w:val="20"/>
                <w:szCs w:val="30"/>
                <w:rtl/>
                <w:lang w:val="en-GB" w:eastAsia="zh-CN"/>
              </w:rPr>
              <w:t xml:space="preserve"> </w:t>
            </w:r>
            <w:r>
              <w:rPr>
                <w:rFonts w:eastAsia="SimSun" w:cs="Traditional Arabic" w:hint="cs"/>
                <w:sz w:val="20"/>
                <w:szCs w:val="30"/>
                <w:rtl/>
                <w:lang w:val="en-GB" w:eastAsia="zh-CN"/>
              </w:rPr>
              <w:t>(1-14 شباط/فبراير 2014)</w:t>
            </w:r>
          </w:p>
        </w:tc>
      </w:tr>
      <w:tr w:rsidR="006A64CC" w:rsidRPr="00DE1AC1" w:rsidTr="00D8418F">
        <w:trPr>
          <w:trHeight w:val="584"/>
        </w:trPr>
        <w:tc>
          <w:tcPr>
            <w:tcW w:w="567" w:type="dxa"/>
            <w:vMerge/>
            <w:shd w:val="clear" w:color="auto" w:fill="auto"/>
            <w:vAlign w:val="center"/>
          </w:tcPr>
          <w:p w:rsidR="006A64CC" w:rsidRPr="00DE1AC1" w:rsidRDefault="006A64CC" w:rsidP="00B01D76">
            <w:pPr>
              <w:keepLines/>
              <w:tabs>
                <w:tab w:val="left" w:pos="426"/>
                <w:tab w:val="num" w:pos="1353"/>
              </w:tabs>
              <w:autoSpaceDE w:val="0"/>
              <w:autoSpaceDN w:val="0"/>
              <w:adjustRightInd w:val="0"/>
              <w:spacing w:after="120" w:line="400" w:lineRule="exact"/>
              <w:jc w:val="center"/>
              <w:rPr>
                <w:rFonts w:eastAsia="SimSun" w:cs="Traditional Arabic"/>
                <w:sz w:val="20"/>
                <w:szCs w:val="30"/>
                <w:lang w:val="en-GB" w:eastAsia="zh-CN"/>
              </w:rPr>
            </w:pPr>
          </w:p>
        </w:tc>
        <w:tc>
          <w:tcPr>
            <w:tcW w:w="1276" w:type="dxa"/>
            <w:shd w:val="clear" w:color="auto" w:fill="auto"/>
            <w:vAlign w:val="center"/>
          </w:tcPr>
          <w:p w:rsidR="006A64CC" w:rsidRPr="00DE1AC1" w:rsidRDefault="006A64CC" w:rsidP="00B01D76">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الربع الثاني</w:t>
            </w:r>
          </w:p>
        </w:tc>
        <w:tc>
          <w:tcPr>
            <w:tcW w:w="6449" w:type="dxa"/>
            <w:shd w:val="clear" w:color="auto" w:fill="auto"/>
            <w:vAlign w:val="center"/>
          </w:tcPr>
          <w:p w:rsidR="006A64CC" w:rsidRPr="00774F08" w:rsidRDefault="006A64CC" w:rsidP="00B01D76">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يشرف فريق الخبراء والمكتب على عملية تحديد النطاق التفصيلي، بما في ذلك المعالم الرئيسية والتكاليف والجدوى (3 أشهر). ويعقد اجتماع تحديد النطاق في أول نيسان/أبريل 2014</w:t>
            </w:r>
          </w:p>
        </w:tc>
      </w:tr>
      <w:tr w:rsidR="006A64CC" w:rsidRPr="00DE1AC1" w:rsidTr="00D8418F">
        <w:trPr>
          <w:trHeight w:val="584"/>
        </w:trPr>
        <w:tc>
          <w:tcPr>
            <w:tcW w:w="567" w:type="dxa"/>
            <w:vMerge/>
            <w:shd w:val="clear" w:color="auto" w:fill="auto"/>
            <w:vAlign w:val="center"/>
          </w:tcPr>
          <w:p w:rsidR="006A64CC" w:rsidRPr="00DE1AC1" w:rsidRDefault="006A64CC" w:rsidP="00B01D76">
            <w:pPr>
              <w:keepLines/>
              <w:tabs>
                <w:tab w:val="left" w:pos="426"/>
                <w:tab w:val="num" w:pos="1353"/>
              </w:tabs>
              <w:autoSpaceDE w:val="0"/>
              <w:autoSpaceDN w:val="0"/>
              <w:adjustRightInd w:val="0"/>
              <w:spacing w:after="120" w:line="400" w:lineRule="exact"/>
              <w:jc w:val="center"/>
              <w:rPr>
                <w:rFonts w:eastAsia="SimSun" w:cs="Traditional Arabic"/>
                <w:sz w:val="20"/>
                <w:szCs w:val="30"/>
                <w:lang w:val="en-GB" w:eastAsia="zh-CN"/>
              </w:rPr>
            </w:pPr>
          </w:p>
        </w:tc>
        <w:tc>
          <w:tcPr>
            <w:tcW w:w="1276" w:type="dxa"/>
            <w:shd w:val="clear" w:color="auto" w:fill="auto"/>
            <w:vAlign w:val="center"/>
          </w:tcPr>
          <w:p w:rsidR="006A64CC" w:rsidRPr="00DE1AC1" w:rsidRDefault="006A64CC" w:rsidP="00B01D76">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الربع الثاني</w:t>
            </w:r>
          </w:p>
        </w:tc>
        <w:tc>
          <w:tcPr>
            <w:tcW w:w="6449" w:type="dxa"/>
            <w:shd w:val="clear" w:color="auto" w:fill="auto"/>
            <w:vAlign w:val="center"/>
          </w:tcPr>
          <w:p w:rsidR="006A64CC" w:rsidRPr="00774F08" w:rsidRDefault="006A64CC" w:rsidP="00B01D76">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يُرسل تقرير تحديد النطاق التفصيلي إلى أعضاء المنبر وأصحاب المصلحة الآخرين لاستعراضه والتعليق عليه لمدة أسبوعين في النصف الثاني من نيسان/أبريل 2014</w:t>
            </w:r>
          </w:p>
        </w:tc>
      </w:tr>
      <w:tr w:rsidR="006A64CC" w:rsidRPr="00DE1AC1" w:rsidTr="00D8418F">
        <w:trPr>
          <w:trHeight w:val="274"/>
        </w:trPr>
        <w:tc>
          <w:tcPr>
            <w:tcW w:w="567" w:type="dxa"/>
            <w:vMerge/>
            <w:shd w:val="clear" w:color="auto" w:fill="auto"/>
            <w:vAlign w:val="center"/>
          </w:tcPr>
          <w:p w:rsidR="006A64CC" w:rsidRPr="00DE1AC1" w:rsidRDefault="006A64CC" w:rsidP="00B01D76">
            <w:pPr>
              <w:keepLines/>
              <w:tabs>
                <w:tab w:val="left" w:pos="426"/>
                <w:tab w:val="num" w:pos="1353"/>
              </w:tabs>
              <w:autoSpaceDE w:val="0"/>
              <w:autoSpaceDN w:val="0"/>
              <w:adjustRightInd w:val="0"/>
              <w:spacing w:after="120" w:line="400" w:lineRule="exact"/>
              <w:jc w:val="center"/>
              <w:rPr>
                <w:rFonts w:eastAsia="SimSun" w:cs="Traditional Arabic"/>
                <w:sz w:val="20"/>
                <w:szCs w:val="30"/>
                <w:lang w:val="en-GB" w:eastAsia="zh-CN"/>
              </w:rPr>
            </w:pPr>
          </w:p>
        </w:tc>
        <w:tc>
          <w:tcPr>
            <w:tcW w:w="1276" w:type="dxa"/>
            <w:shd w:val="clear" w:color="auto" w:fill="auto"/>
            <w:vAlign w:val="center"/>
          </w:tcPr>
          <w:p w:rsidR="006A64CC" w:rsidRPr="00DE1AC1" w:rsidRDefault="006A64CC" w:rsidP="00B01D76">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bidi="ar-EG"/>
              </w:rPr>
            </w:pPr>
            <w:r>
              <w:rPr>
                <w:rFonts w:eastAsia="SimSun" w:cs="Traditional Arabic" w:hint="cs"/>
                <w:sz w:val="20"/>
                <w:szCs w:val="30"/>
                <w:rtl/>
                <w:lang w:val="en-GB" w:eastAsia="zh-CN" w:bidi="ar-EG"/>
              </w:rPr>
              <w:t>الربع الثاني</w:t>
            </w:r>
          </w:p>
        </w:tc>
        <w:tc>
          <w:tcPr>
            <w:tcW w:w="6449" w:type="dxa"/>
            <w:shd w:val="clear" w:color="auto" w:fill="auto"/>
            <w:vAlign w:val="center"/>
          </w:tcPr>
          <w:p w:rsidR="006A64CC" w:rsidRPr="00774F08" w:rsidRDefault="006A64CC" w:rsidP="00B01D76">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استناداً إلى نتائج عملية تحديد النطاق التفصيلي والتعليقات الواردة من أعضاء المنبر وغيرهم من أصحاب المصلحة يقرر فريق الخبراء والمكتب ما إن كان يجري الاستمرار في التقييم، على افتراض إمكانية إجراء التقييم في حدود إطار الميزانية الذي وافق عليه الاجتماع العام، في النصف الأول من أيار/مايو 2014</w:t>
            </w:r>
          </w:p>
        </w:tc>
      </w:tr>
      <w:tr w:rsidR="006A64CC" w:rsidRPr="00DE1AC1" w:rsidTr="00D8418F">
        <w:trPr>
          <w:trHeight w:val="584"/>
        </w:trPr>
        <w:tc>
          <w:tcPr>
            <w:tcW w:w="567" w:type="dxa"/>
            <w:vMerge/>
            <w:shd w:val="clear" w:color="auto" w:fill="auto"/>
            <w:vAlign w:val="center"/>
          </w:tcPr>
          <w:p w:rsidR="006A64CC" w:rsidRPr="00DE1AC1" w:rsidRDefault="006A64CC" w:rsidP="00B01D76">
            <w:pPr>
              <w:keepLines/>
              <w:tabs>
                <w:tab w:val="left" w:pos="426"/>
                <w:tab w:val="num" w:pos="1353"/>
              </w:tabs>
              <w:autoSpaceDE w:val="0"/>
              <w:autoSpaceDN w:val="0"/>
              <w:adjustRightInd w:val="0"/>
              <w:spacing w:after="120" w:line="400" w:lineRule="exact"/>
              <w:jc w:val="center"/>
              <w:rPr>
                <w:rFonts w:eastAsia="SimSun" w:cs="Traditional Arabic"/>
                <w:sz w:val="20"/>
                <w:szCs w:val="30"/>
                <w:lang w:val="en-GB" w:eastAsia="zh-CN"/>
              </w:rPr>
            </w:pPr>
          </w:p>
        </w:tc>
        <w:tc>
          <w:tcPr>
            <w:tcW w:w="1276" w:type="dxa"/>
            <w:shd w:val="clear" w:color="auto" w:fill="auto"/>
            <w:vAlign w:val="center"/>
          </w:tcPr>
          <w:p w:rsidR="006A64CC" w:rsidRPr="00DE1AC1" w:rsidRDefault="006A64CC" w:rsidP="00B01D76">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الربع الثاني</w:t>
            </w:r>
          </w:p>
        </w:tc>
        <w:tc>
          <w:tcPr>
            <w:tcW w:w="6449" w:type="dxa"/>
            <w:shd w:val="clear" w:color="auto" w:fill="auto"/>
            <w:vAlign w:val="center"/>
          </w:tcPr>
          <w:p w:rsidR="006A64CC" w:rsidRPr="00774F08" w:rsidRDefault="006A64CC" w:rsidP="00B01D76">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يطلب فريق الخبراء، من خلال الأمانة، ترشيحات من الحكومات وأصحاب المصلحة الآخرين بأسماء خبراء لإعداد تقرير التقييم. وتقدَّم الترشيحات بنهاية حزيران/يونيه 2014 (شهر ونصف شهر)</w:t>
            </w:r>
          </w:p>
        </w:tc>
      </w:tr>
      <w:tr w:rsidR="006A64CC" w:rsidRPr="00DE1AC1" w:rsidTr="00D8418F">
        <w:trPr>
          <w:trHeight w:val="584"/>
        </w:trPr>
        <w:tc>
          <w:tcPr>
            <w:tcW w:w="567" w:type="dxa"/>
            <w:vMerge/>
            <w:shd w:val="clear" w:color="auto" w:fill="auto"/>
            <w:vAlign w:val="center"/>
          </w:tcPr>
          <w:p w:rsidR="006A64CC" w:rsidRPr="00DE1AC1" w:rsidRDefault="006A64CC" w:rsidP="00B01D76">
            <w:pPr>
              <w:keepLines/>
              <w:tabs>
                <w:tab w:val="left" w:pos="426"/>
                <w:tab w:val="num" w:pos="1353"/>
              </w:tabs>
              <w:autoSpaceDE w:val="0"/>
              <w:autoSpaceDN w:val="0"/>
              <w:adjustRightInd w:val="0"/>
              <w:spacing w:after="120" w:line="400" w:lineRule="exact"/>
              <w:jc w:val="center"/>
              <w:rPr>
                <w:rFonts w:eastAsia="SimSun" w:cs="Traditional Arabic"/>
                <w:sz w:val="20"/>
                <w:szCs w:val="30"/>
                <w:lang w:val="en-GB" w:eastAsia="zh-CN"/>
              </w:rPr>
            </w:pPr>
          </w:p>
        </w:tc>
        <w:tc>
          <w:tcPr>
            <w:tcW w:w="1276" w:type="dxa"/>
            <w:shd w:val="clear" w:color="auto" w:fill="auto"/>
            <w:vAlign w:val="center"/>
          </w:tcPr>
          <w:p w:rsidR="006A64CC" w:rsidRPr="00DE1AC1" w:rsidRDefault="006A64CC" w:rsidP="00B01D76">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الربع الثالث</w:t>
            </w:r>
          </w:p>
        </w:tc>
        <w:tc>
          <w:tcPr>
            <w:tcW w:w="6449" w:type="dxa"/>
            <w:shd w:val="clear" w:color="auto" w:fill="auto"/>
            <w:vAlign w:val="center"/>
          </w:tcPr>
          <w:p w:rsidR="006A64CC" w:rsidRPr="00774F08" w:rsidRDefault="006A64CC" w:rsidP="00023A94">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يختار فريق الخبراء رؤساء التقرير المشاركين والمؤلفين الرئيسيين المنسقين والمؤلفين الرئيسيين والمحررين المراجعين مطبقاً معايير</w:t>
            </w:r>
            <w:r w:rsidR="00023A94">
              <w:rPr>
                <w:rFonts w:eastAsia="SimSun" w:cs="Traditional Arabic" w:hint="cs"/>
                <w:sz w:val="20"/>
                <w:szCs w:val="30"/>
                <w:rtl/>
                <w:lang w:val="en-GB" w:eastAsia="zh-CN"/>
              </w:rPr>
              <w:t xml:space="preserve"> </w:t>
            </w:r>
            <w:r w:rsidR="00BB5683">
              <w:rPr>
                <w:rFonts w:eastAsia="SimSun" w:cs="Traditional Arabic" w:hint="cs"/>
                <w:sz w:val="20"/>
                <w:szCs w:val="30"/>
                <w:rtl/>
                <w:lang w:val="en-GB" w:eastAsia="zh-CN"/>
              </w:rPr>
              <w:t>الاختيار (أنظر</w:t>
            </w:r>
            <w:r w:rsidR="00023A94">
              <w:rPr>
                <w:rFonts w:eastAsia="SimSun" w:cs="Traditional Arabic" w:hint="cs"/>
                <w:sz w:val="20"/>
                <w:szCs w:val="30"/>
                <w:rtl/>
                <w:lang w:val="en-GB" w:eastAsia="zh-CN"/>
              </w:rPr>
              <w:t xml:space="preserve"> </w:t>
            </w:r>
            <w:r w:rsidR="00BB5683">
              <w:rPr>
                <w:rFonts w:eastAsia="SimSun" w:cs="Traditional Arabic"/>
                <w:sz w:val="20"/>
                <w:szCs w:val="30"/>
                <w:lang w:val="en-GB" w:eastAsia="zh-CN"/>
              </w:rPr>
              <w:t>(</w:t>
            </w:r>
            <w:r w:rsidR="00023A94">
              <w:rPr>
                <w:rFonts w:eastAsia="SimSun" w:cs="Traditional Arabic"/>
                <w:sz w:val="20"/>
                <w:szCs w:val="30"/>
                <w:lang w:eastAsia="zh-CN"/>
              </w:rPr>
              <w:t>IPBES/2/9</w:t>
            </w:r>
            <w:r>
              <w:rPr>
                <w:rFonts w:eastAsia="SimSun" w:cs="Traditional Arabic" w:hint="cs"/>
                <w:sz w:val="20"/>
                <w:szCs w:val="30"/>
                <w:rtl/>
                <w:lang w:val="en-GB" w:eastAsia="zh-CN"/>
              </w:rPr>
              <w:t xml:space="preserve"> (1</w:t>
            </w:r>
            <w:r w:rsidR="00023A94">
              <w:rPr>
                <w:rFonts w:eastAsia="SimSun" w:cs="Traditional Arabic" w:hint="eastAsia"/>
                <w:sz w:val="20"/>
                <w:szCs w:val="30"/>
                <w:lang w:val="en-GB" w:eastAsia="zh-CN"/>
              </w:rPr>
              <w:t> </w:t>
            </w:r>
            <w:r>
              <w:rPr>
                <w:rFonts w:eastAsia="SimSun" w:cs="Traditional Arabic" w:hint="cs"/>
                <w:sz w:val="20"/>
                <w:szCs w:val="30"/>
                <w:rtl/>
                <w:lang w:val="en-GB" w:eastAsia="zh-CN"/>
              </w:rPr>
              <w:t>تموز/يوليه - 15 آب/أغسطس 2014) (شهر ونصف شهر)</w:t>
            </w:r>
          </w:p>
        </w:tc>
      </w:tr>
      <w:tr w:rsidR="006A64CC" w:rsidRPr="00DE1AC1" w:rsidTr="00D8418F">
        <w:trPr>
          <w:trHeight w:val="584"/>
        </w:trPr>
        <w:tc>
          <w:tcPr>
            <w:tcW w:w="567" w:type="dxa"/>
            <w:vMerge/>
            <w:shd w:val="clear" w:color="auto" w:fill="auto"/>
            <w:vAlign w:val="center"/>
          </w:tcPr>
          <w:p w:rsidR="006A64CC" w:rsidRPr="00DE1AC1" w:rsidRDefault="006A64CC" w:rsidP="00B01D76">
            <w:pPr>
              <w:keepLines/>
              <w:tabs>
                <w:tab w:val="left" w:pos="426"/>
                <w:tab w:val="num" w:pos="1353"/>
              </w:tabs>
              <w:autoSpaceDE w:val="0"/>
              <w:autoSpaceDN w:val="0"/>
              <w:adjustRightInd w:val="0"/>
              <w:spacing w:after="120" w:line="400" w:lineRule="exact"/>
              <w:jc w:val="center"/>
              <w:rPr>
                <w:rFonts w:eastAsia="SimSun" w:cs="Traditional Arabic"/>
                <w:sz w:val="20"/>
                <w:szCs w:val="30"/>
                <w:lang w:val="en-GB" w:eastAsia="zh-CN"/>
              </w:rPr>
            </w:pPr>
          </w:p>
        </w:tc>
        <w:tc>
          <w:tcPr>
            <w:tcW w:w="1276" w:type="dxa"/>
            <w:shd w:val="clear" w:color="auto" w:fill="auto"/>
            <w:vAlign w:val="center"/>
          </w:tcPr>
          <w:p w:rsidR="006A64CC" w:rsidRPr="00DE1AC1" w:rsidRDefault="006A64CC" w:rsidP="00B01D76">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الربع الثالث/ الرابع</w:t>
            </w:r>
          </w:p>
        </w:tc>
        <w:tc>
          <w:tcPr>
            <w:tcW w:w="6449" w:type="dxa"/>
            <w:shd w:val="clear" w:color="auto" w:fill="auto"/>
            <w:vAlign w:val="center"/>
          </w:tcPr>
          <w:p w:rsidR="006A64CC" w:rsidRPr="00774F08" w:rsidRDefault="006A64CC" w:rsidP="00B01D76">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يُعد رؤساء التقرير المشاركون والمؤلفون الرئيسيون المنسقون والمؤلفون الرئيسيون مشروع التقرير الأوَّلي بحلول منتصف شباط/فبراير 2015 (6 أشهر). ويعقد أول اجتماع للمؤلفين في أيلول/سبتمبر 2014</w:t>
            </w:r>
          </w:p>
        </w:tc>
      </w:tr>
      <w:tr w:rsidR="006A64CC" w:rsidRPr="00DE1AC1" w:rsidTr="00D8418F">
        <w:trPr>
          <w:trHeight w:val="504"/>
        </w:trPr>
        <w:tc>
          <w:tcPr>
            <w:tcW w:w="567" w:type="dxa"/>
            <w:vMerge w:val="restart"/>
            <w:shd w:val="clear" w:color="auto" w:fill="auto"/>
            <w:vAlign w:val="center"/>
          </w:tcPr>
          <w:p w:rsidR="006A64CC" w:rsidRPr="00D8418F" w:rsidRDefault="006A64CC" w:rsidP="00D8418F">
            <w:pPr>
              <w:rPr>
                <w:rFonts w:ascii="Traditional Arabic" w:eastAsia="SimSun" w:hAnsi="Traditional Arabic" w:cs="Traditional Arabic" w:hint="cs"/>
                <w:sz w:val="30"/>
                <w:szCs w:val="30"/>
              </w:rPr>
            </w:pPr>
            <w:r w:rsidRPr="00D8418F">
              <w:rPr>
                <w:rFonts w:ascii="Traditional Arabic" w:eastAsia="SimSun" w:hAnsi="Traditional Arabic" w:cs="Traditional Arabic" w:hint="cs"/>
                <w:sz w:val="30"/>
                <w:szCs w:val="30"/>
                <w:rtl/>
              </w:rPr>
              <w:t>2015</w:t>
            </w:r>
          </w:p>
        </w:tc>
        <w:tc>
          <w:tcPr>
            <w:tcW w:w="1276" w:type="dxa"/>
            <w:shd w:val="clear" w:color="auto" w:fill="auto"/>
            <w:vAlign w:val="center"/>
          </w:tcPr>
          <w:p w:rsidR="006A64CC" w:rsidRPr="00DE1AC1" w:rsidRDefault="006A64CC" w:rsidP="00B01D76">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الربع الأول</w:t>
            </w:r>
          </w:p>
        </w:tc>
        <w:tc>
          <w:tcPr>
            <w:tcW w:w="6449" w:type="dxa"/>
            <w:shd w:val="clear" w:color="auto" w:fill="auto"/>
            <w:vAlign w:val="center"/>
          </w:tcPr>
          <w:p w:rsidR="006A64CC" w:rsidRPr="00DE1AC1" w:rsidRDefault="006A64CC" w:rsidP="00B01D76">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يستعرض الخبراء مشروع التقرير الأوَّلي حتى نهاية آزار/مارس 2015 (شهر ونصف شهر - شهران)</w:t>
            </w:r>
          </w:p>
        </w:tc>
      </w:tr>
      <w:tr w:rsidR="006A64CC" w:rsidRPr="00DE1AC1" w:rsidTr="00D8418F">
        <w:trPr>
          <w:trHeight w:val="567"/>
        </w:trPr>
        <w:tc>
          <w:tcPr>
            <w:tcW w:w="567" w:type="dxa"/>
            <w:vMerge/>
            <w:shd w:val="clear" w:color="auto" w:fill="auto"/>
          </w:tcPr>
          <w:p w:rsidR="006A64CC" w:rsidRPr="00DE1AC1" w:rsidRDefault="006A64CC" w:rsidP="00B01D76">
            <w:pPr>
              <w:keepLines/>
              <w:tabs>
                <w:tab w:val="left" w:pos="426"/>
                <w:tab w:val="num" w:pos="1353"/>
              </w:tabs>
              <w:autoSpaceDE w:val="0"/>
              <w:autoSpaceDN w:val="0"/>
              <w:adjustRightInd w:val="0"/>
              <w:spacing w:after="120" w:line="400" w:lineRule="exact"/>
              <w:jc w:val="center"/>
              <w:rPr>
                <w:rFonts w:eastAsia="SimSun" w:cs="Traditional Arabic"/>
                <w:sz w:val="20"/>
                <w:szCs w:val="30"/>
                <w:lang w:val="en-GB" w:eastAsia="zh-CN"/>
              </w:rPr>
            </w:pPr>
          </w:p>
        </w:tc>
        <w:tc>
          <w:tcPr>
            <w:tcW w:w="1276" w:type="dxa"/>
            <w:shd w:val="clear" w:color="auto" w:fill="auto"/>
            <w:vAlign w:val="center"/>
          </w:tcPr>
          <w:p w:rsidR="006A64CC" w:rsidRPr="00DE1AC1" w:rsidRDefault="006A64CC" w:rsidP="00B01D76">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الربع الثاني</w:t>
            </w:r>
          </w:p>
        </w:tc>
        <w:tc>
          <w:tcPr>
            <w:tcW w:w="6449" w:type="dxa"/>
            <w:shd w:val="clear" w:color="auto" w:fill="auto"/>
            <w:vAlign w:val="center"/>
          </w:tcPr>
          <w:p w:rsidR="006A64CC" w:rsidRDefault="006A64CC" w:rsidP="00B01D76">
            <w:pPr>
              <w:keepLines/>
              <w:tabs>
                <w:tab w:val="left" w:pos="426"/>
                <w:tab w:val="num" w:pos="1353"/>
              </w:tabs>
              <w:autoSpaceDE w:val="0"/>
              <w:autoSpaceDN w:val="0"/>
              <w:adjustRightInd w:val="0"/>
              <w:spacing w:after="120" w:line="400" w:lineRule="exact"/>
              <w:jc w:val="lowKashida"/>
              <w:rPr>
                <w:rFonts w:eastAsia="SimSun" w:cs="Traditional Arabic" w:hint="cs"/>
                <w:sz w:val="20"/>
                <w:szCs w:val="30"/>
                <w:rtl/>
                <w:lang w:val="en-GB" w:eastAsia="zh-CN"/>
              </w:rPr>
            </w:pPr>
            <w:r>
              <w:rPr>
                <w:rFonts w:eastAsia="SimSun" w:cs="Traditional Arabic" w:hint="cs"/>
                <w:sz w:val="20"/>
                <w:szCs w:val="30"/>
                <w:rtl/>
                <w:lang w:val="en-GB" w:eastAsia="zh-CN"/>
              </w:rPr>
              <w:t>يعد رؤساء التقرير المشاركون والمؤلفون الرئيسيون المنسقون والمؤلفون الرئيسيون المشروع الثاني للتقرير ومشروع أوَّلي لملخص مقرري السياسات تحت إرشاد المحررين المراجعين وفريق الخبراء (نيسان/أبريل - حزيران/يونيه 2015 (3 أشهر). ويعقد اجتماع ثانٍ للمؤلِّفين في حزيران/يونيه 2015</w:t>
            </w:r>
          </w:p>
          <w:p w:rsidR="00023A94" w:rsidRPr="00774F08" w:rsidRDefault="00023A94" w:rsidP="00B01D76">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p>
        </w:tc>
      </w:tr>
      <w:tr w:rsidR="006A64CC" w:rsidRPr="00DE1AC1" w:rsidTr="00D8418F">
        <w:trPr>
          <w:trHeight w:val="547"/>
        </w:trPr>
        <w:tc>
          <w:tcPr>
            <w:tcW w:w="567" w:type="dxa"/>
            <w:vMerge/>
            <w:shd w:val="clear" w:color="auto" w:fill="auto"/>
          </w:tcPr>
          <w:p w:rsidR="006A64CC" w:rsidRPr="00DE1AC1" w:rsidRDefault="006A64CC" w:rsidP="00B01D76">
            <w:pPr>
              <w:keepLines/>
              <w:tabs>
                <w:tab w:val="left" w:pos="426"/>
                <w:tab w:val="num" w:pos="1353"/>
              </w:tabs>
              <w:autoSpaceDE w:val="0"/>
              <w:autoSpaceDN w:val="0"/>
              <w:adjustRightInd w:val="0"/>
              <w:spacing w:after="120" w:line="400" w:lineRule="exact"/>
              <w:jc w:val="center"/>
              <w:rPr>
                <w:rFonts w:eastAsia="SimSun" w:cs="Traditional Arabic"/>
                <w:sz w:val="20"/>
                <w:szCs w:val="30"/>
                <w:lang w:val="en-GB" w:eastAsia="zh-CN"/>
              </w:rPr>
            </w:pPr>
          </w:p>
        </w:tc>
        <w:tc>
          <w:tcPr>
            <w:tcW w:w="1276" w:type="dxa"/>
            <w:shd w:val="clear" w:color="auto" w:fill="auto"/>
            <w:vAlign w:val="center"/>
          </w:tcPr>
          <w:p w:rsidR="006A64CC" w:rsidRPr="00DE1AC1" w:rsidRDefault="006A64CC" w:rsidP="00B01D76">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الربع الثالث</w:t>
            </w:r>
          </w:p>
        </w:tc>
        <w:tc>
          <w:tcPr>
            <w:tcW w:w="6449" w:type="dxa"/>
            <w:shd w:val="clear" w:color="auto" w:fill="auto"/>
            <w:vAlign w:val="center"/>
          </w:tcPr>
          <w:p w:rsidR="006A64CC" w:rsidRPr="00774F08" w:rsidRDefault="006A64CC" w:rsidP="00B01D76">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يستعرض الخبراء والحكومات وأصحاب المصلحة الآخرون المشروع الثاني للتقرير والمشروع الأوَّلي لملخص مقرري السياسات أثناء تموز/يوليه وآب/أغسطس 2015 (شهران)</w:t>
            </w:r>
          </w:p>
        </w:tc>
      </w:tr>
      <w:tr w:rsidR="006A64CC" w:rsidRPr="00DE1AC1" w:rsidTr="00D8418F">
        <w:trPr>
          <w:trHeight w:val="215"/>
        </w:trPr>
        <w:tc>
          <w:tcPr>
            <w:tcW w:w="567" w:type="dxa"/>
            <w:vMerge/>
            <w:shd w:val="clear" w:color="auto" w:fill="auto"/>
          </w:tcPr>
          <w:p w:rsidR="006A64CC" w:rsidRPr="00DE1AC1" w:rsidRDefault="006A64CC" w:rsidP="00B01D76">
            <w:pPr>
              <w:keepLines/>
              <w:tabs>
                <w:tab w:val="left" w:pos="426"/>
                <w:tab w:val="num" w:pos="1353"/>
              </w:tabs>
              <w:autoSpaceDE w:val="0"/>
              <w:autoSpaceDN w:val="0"/>
              <w:adjustRightInd w:val="0"/>
              <w:spacing w:after="120" w:line="400" w:lineRule="exact"/>
              <w:jc w:val="center"/>
              <w:rPr>
                <w:rFonts w:eastAsia="SimSun" w:cs="Traditional Arabic"/>
                <w:sz w:val="20"/>
                <w:szCs w:val="30"/>
                <w:lang w:val="en-GB" w:eastAsia="zh-CN"/>
              </w:rPr>
            </w:pPr>
          </w:p>
        </w:tc>
        <w:tc>
          <w:tcPr>
            <w:tcW w:w="1276" w:type="dxa"/>
            <w:shd w:val="clear" w:color="auto" w:fill="auto"/>
            <w:vAlign w:val="center"/>
          </w:tcPr>
          <w:p w:rsidR="006A64CC" w:rsidRPr="00DE1AC1" w:rsidRDefault="006A64CC" w:rsidP="00B01D76">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الربع الثالث/ الرابع</w:t>
            </w:r>
          </w:p>
        </w:tc>
        <w:tc>
          <w:tcPr>
            <w:tcW w:w="6449" w:type="dxa"/>
            <w:shd w:val="clear" w:color="auto" w:fill="auto"/>
            <w:vAlign w:val="center"/>
          </w:tcPr>
          <w:p w:rsidR="006A64CC" w:rsidRPr="00DE1AC1" w:rsidRDefault="006A64CC" w:rsidP="00B01D76">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يقوم رؤساء التقرير المشاركون والمؤلفون الرئيسيون المنسقون والمؤلفون الرئيسيون بإعداد المشروع النهائي للتقرير والمسودة النهائية لملخص مقرري السياسات تحت إرشاد المحررين المراجعين وفريق الخبراء أثناء أيلول/سبتمبر وتشرين الأول/أكتوبر 2015 (شهران). ويعقد اجتماع ثالث للمؤلفين في تشرين الأول/أكتوبر 2015</w:t>
            </w:r>
          </w:p>
        </w:tc>
      </w:tr>
      <w:tr w:rsidR="006A64CC" w:rsidRPr="00DE1AC1" w:rsidTr="00D8418F">
        <w:trPr>
          <w:trHeight w:val="479"/>
        </w:trPr>
        <w:tc>
          <w:tcPr>
            <w:tcW w:w="567" w:type="dxa"/>
            <w:vMerge/>
            <w:shd w:val="clear" w:color="auto" w:fill="auto"/>
            <w:vAlign w:val="center"/>
          </w:tcPr>
          <w:p w:rsidR="006A64CC" w:rsidRPr="00DE1AC1" w:rsidRDefault="006A64CC" w:rsidP="00B01D76">
            <w:pPr>
              <w:keepLines/>
              <w:tabs>
                <w:tab w:val="left" w:pos="426"/>
                <w:tab w:val="num" w:pos="1353"/>
              </w:tabs>
              <w:autoSpaceDE w:val="0"/>
              <w:autoSpaceDN w:val="0"/>
              <w:adjustRightInd w:val="0"/>
              <w:spacing w:after="120" w:line="400" w:lineRule="exact"/>
              <w:jc w:val="center"/>
              <w:rPr>
                <w:rFonts w:eastAsia="SimSun" w:cs="Traditional Arabic"/>
                <w:sz w:val="20"/>
                <w:szCs w:val="30"/>
                <w:lang w:val="en-GB" w:eastAsia="zh-CN"/>
              </w:rPr>
            </w:pPr>
          </w:p>
        </w:tc>
        <w:tc>
          <w:tcPr>
            <w:tcW w:w="1276" w:type="dxa"/>
            <w:shd w:val="clear" w:color="auto" w:fill="auto"/>
            <w:vAlign w:val="center"/>
          </w:tcPr>
          <w:p w:rsidR="006A64CC" w:rsidRPr="00DE1AC1" w:rsidRDefault="006A64CC" w:rsidP="00B01D76">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الربع الرابع</w:t>
            </w:r>
          </w:p>
        </w:tc>
        <w:tc>
          <w:tcPr>
            <w:tcW w:w="6449" w:type="dxa"/>
            <w:shd w:val="clear" w:color="auto" w:fill="auto"/>
            <w:vAlign w:val="center"/>
          </w:tcPr>
          <w:p w:rsidR="006A64CC" w:rsidRPr="00774F08" w:rsidRDefault="006A64CC" w:rsidP="00023A94">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ترجمة ملخص مقرري السياسات من إلى</w:t>
            </w:r>
            <w:r w:rsidR="008A2C57">
              <w:rPr>
                <w:rFonts w:eastAsia="SimSun" w:cs="Traditional Arabic" w:hint="cs"/>
                <w:sz w:val="20"/>
                <w:szCs w:val="30"/>
                <w:rtl/>
                <w:lang w:val="en-GB" w:eastAsia="zh-CN"/>
              </w:rPr>
              <w:t xml:space="preserve"> جميع</w:t>
            </w:r>
            <w:r>
              <w:rPr>
                <w:rFonts w:eastAsia="SimSun" w:cs="Traditional Arabic" w:hint="cs"/>
                <w:sz w:val="20"/>
                <w:szCs w:val="30"/>
                <w:rtl/>
                <w:lang w:val="en-GB" w:eastAsia="zh-CN"/>
              </w:rPr>
              <w:t xml:space="preserve"> اللغات الرسمية للأمم المتحدة بحلول منتصف كانون الأول/ديسمبر 2015 على أقصى تقدير (شهر ونصف شهر)</w:t>
            </w:r>
          </w:p>
        </w:tc>
      </w:tr>
      <w:tr w:rsidR="006A64CC" w:rsidRPr="00DE1AC1" w:rsidTr="00D8418F">
        <w:trPr>
          <w:trHeight w:val="242"/>
        </w:trPr>
        <w:tc>
          <w:tcPr>
            <w:tcW w:w="567" w:type="dxa"/>
            <w:vMerge w:val="restart"/>
            <w:shd w:val="clear" w:color="auto" w:fill="auto"/>
            <w:vAlign w:val="center"/>
          </w:tcPr>
          <w:p w:rsidR="006A64CC" w:rsidRPr="00DE1AC1" w:rsidRDefault="006A64CC" w:rsidP="00D8418F">
            <w:pPr>
              <w:rPr>
                <w:rFonts w:eastAsia="SimSun" w:cs="Traditional Arabic" w:hint="cs"/>
                <w:sz w:val="20"/>
                <w:szCs w:val="30"/>
                <w:lang w:val="en-GB" w:eastAsia="zh-CN"/>
              </w:rPr>
            </w:pPr>
            <w:r>
              <w:rPr>
                <w:rFonts w:eastAsia="SimSun" w:cs="Traditional Arabic" w:hint="cs"/>
                <w:sz w:val="20"/>
                <w:szCs w:val="30"/>
                <w:rtl/>
                <w:lang w:val="en-GB" w:eastAsia="zh-CN"/>
              </w:rPr>
              <w:t>2016</w:t>
            </w:r>
          </w:p>
        </w:tc>
        <w:tc>
          <w:tcPr>
            <w:tcW w:w="1276" w:type="dxa"/>
            <w:shd w:val="clear" w:color="auto" w:fill="auto"/>
            <w:vAlign w:val="center"/>
          </w:tcPr>
          <w:p w:rsidR="006A64CC" w:rsidRPr="00DE1AC1" w:rsidRDefault="006A64CC" w:rsidP="00B01D76">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الربع الأول</w:t>
            </w:r>
          </w:p>
        </w:tc>
        <w:tc>
          <w:tcPr>
            <w:tcW w:w="6449" w:type="dxa"/>
            <w:shd w:val="clear" w:color="auto" w:fill="auto"/>
            <w:vAlign w:val="center"/>
          </w:tcPr>
          <w:p w:rsidR="006A64CC" w:rsidRPr="00DE1AC1" w:rsidRDefault="006A64CC" w:rsidP="00B01D76">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يُرسل مشروع التقرير النهائي وملخص مقرري السياسات إلى الحكومات وأصحاب المصلحة الآخرين لاستعراضه نهائياً في كانون الثاني/يناير وشباط/فبراير 2016 (شهر ونصف شهر - شهران). ويجري تشجيع الحكومات بشدة على إرسال تعليقات مكتوبة على مشروع ملخص مقرري السياسات. ويجب تقديم هذه التعليقات إلى الأمانة قبل الدورة الرابعة للاجتماع العام بأسبوع واحد.</w:t>
            </w:r>
          </w:p>
        </w:tc>
      </w:tr>
      <w:tr w:rsidR="006A64CC" w:rsidRPr="00DE1AC1" w:rsidTr="00D8418F">
        <w:trPr>
          <w:trHeight w:val="242"/>
        </w:trPr>
        <w:tc>
          <w:tcPr>
            <w:tcW w:w="567" w:type="dxa"/>
            <w:vMerge/>
            <w:shd w:val="clear" w:color="auto" w:fill="auto"/>
            <w:vAlign w:val="center"/>
          </w:tcPr>
          <w:p w:rsidR="006A64CC" w:rsidRPr="00DE1AC1" w:rsidRDefault="006A64CC" w:rsidP="00B01D76">
            <w:pPr>
              <w:keepLines/>
              <w:tabs>
                <w:tab w:val="left" w:pos="426"/>
                <w:tab w:val="num" w:pos="1353"/>
              </w:tabs>
              <w:autoSpaceDE w:val="0"/>
              <w:autoSpaceDN w:val="0"/>
              <w:adjustRightInd w:val="0"/>
              <w:spacing w:after="120" w:line="400" w:lineRule="exact"/>
              <w:jc w:val="center"/>
              <w:rPr>
                <w:rFonts w:eastAsia="SimSun" w:cs="Traditional Arabic"/>
                <w:sz w:val="20"/>
                <w:szCs w:val="30"/>
                <w:lang w:val="en-GB" w:eastAsia="zh-CN"/>
              </w:rPr>
            </w:pPr>
          </w:p>
        </w:tc>
        <w:tc>
          <w:tcPr>
            <w:tcW w:w="1276" w:type="dxa"/>
            <w:shd w:val="clear" w:color="auto" w:fill="auto"/>
            <w:vAlign w:val="center"/>
          </w:tcPr>
          <w:p w:rsidR="006A64CC" w:rsidRPr="00DE1AC1" w:rsidRDefault="006A64CC" w:rsidP="00B01D76">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الربع الأول</w:t>
            </w:r>
          </w:p>
        </w:tc>
        <w:tc>
          <w:tcPr>
            <w:tcW w:w="6449" w:type="dxa"/>
            <w:shd w:val="clear" w:color="auto" w:fill="auto"/>
            <w:vAlign w:val="center"/>
          </w:tcPr>
          <w:p w:rsidR="006A64CC" w:rsidRPr="00DE1AC1" w:rsidRDefault="006A64CC" w:rsidP="00B01D76">
            <w:pPr>
              <w:keepLines/>
              <w:tabs>
                <w:tab w:val="left" w:pos="426"/>
                <w:tab w:val="num" w:pos="1353"/>
              </w:tabs>
              <w:autoSpaceDE w:val="0"/>
              <w:autoSpaceDN w:val="0"/>
              <w:adjustRightInd w:val="0"/>
              <w:spacing w:after="120" w:line="400" w:lineRule="exact"/>
              <w:jc w:val="lowKashida"/>
              <w:rPr>
                <w:rFonts w:eastAsia="SimSun" w:cs="Traditional Arabic" w:hint="cs"/>
                <w:sz w:val="20"/>
                <w:szCs w:val="30"/>
                <w:lang w:val="en-GB" w:eastAsia="zh-CN"/>
              </w:rPr>
            </w:pPr>
            <w:r>
              <w:rPr>
                <w:rFonts w:eastAsia="SimSun" w:cs="Traditional Arabic" w:hint="cs"/>
                <w:sz w:val="20"/>
                <w:szCs w:val="30"/>
                <w:rtl/>
                <w:lang w:val="en-GB" w:eastAsia="zh-CN"/>
              </w:rPr>
              <w:t>يقوم الاجتماع العام باستعراض وقبول التقرير والاستعراضات ويوافق على ملخص مقرري السياسيات في دورته الرابعة في آذار/مارس 2016</w:t>
            </w:r>
          </w:p>
        </w:tc>
      </w:tr>
    </w:tbl>
    <w:p w:rsidR="006A64CC" w:rsidRPr="00B01D76" w:rsidRDefault="006A64CC" w:rsidP="00B01D76">
      <w:pPr>
        <w:pStyle w:val="H1"/>
        <w:spacing w:before="120" w:after="120"/>
        <w:ind w:left="1135" w:hanging="995"/>
        <w:rPr>
          <w:rFonts w:hint="cs"/>
          <w:sz w:val="32"/>
          <w:szCs w:val="32"/>
          <w:rtl/>
          <w:lang w:bidi="ar-EG"/>
        </w:rPr>
      </w:pPr>
      <w:r w:rsidRPr="00B01D76">
        <w:rPr>
          <w:rFonts w:hint="cs"/>
          <w:sz w:val="32"/>
          <w:szCs w:val="32"/>
          <w:rtl/>
          <w:lang w:bidi="ar-EG"/>
        </w:rPr>
        <w:t>خامساً -</w:t>
      </w:r>
      <w:r w:rsidRPr="00B01D76">
        <w:rPr>
          <w:rFonts w:hint="cs"/>
          <w:sz w:val="32"/>
          <w:szCs w:val="32"/>
          <w:rtl/>
          <w:lang w:bidi="ar-EG"/>
        </w:rPr>
        <w:tab/>
        <w:t>التكلفة التقديرية</w:t>
      </w:r>
    </w:p>
    <w:p w:rsidR="006A64CC" w:rsidRPr="009B6ED1" w:rsidRDefault="006A64CC" w:rsidP="00B01D76">
      <w:pPr>
        <w:spacing w:after="120" w:line="400" w:lineRule="exact"/>
        <w:ind w:left="1134"/>
        <w:jc w:val="both"/>
        <w:rPr>
          <w:rFonts w:cs="Traditional Arabic" w:hint="cs"/>
          <w:szCs w:val="30"/>
          <w:rtl/>
          <w:lang w:bidi="ar-EG"/>
        </w:rPr>
      </w:pPr>
      <w:r>
        <w:rPr>
          <w:rFonts w:cs="Traditional Arabic" w:hint="cs"/>
          <w:szCs w:val="30"/>
          <w:rtl/>
          <w:lang w:bidi="ar-EG"/>
        </w:rPr>
        <w:t>18 -</w:t>
      </w:r>
      <w:r>
        <w:rPr>
          <w:rFonts w:cs="Traditional Arabic" w:hint="cs"/>
          <w:szCs w:val="30"/>
          <w:rtl/>
          <w:lang w:bidi="ar-EG"/>
        </w:rPr>
        <w:tab/>
        <w:t xml:space="preserve">يوضح الجدول أدناه التكلفة التقديرية لإجراء التقييم وإعداد تقرير التقييم </w:t>
      </w:r>
      <w:r w:rsidR="008A2C57">
        <w:rPr>
          <w:rFonts w:cs="Traditional Arabic" w:hint="cs"/>
          <w:szCs w:val="30"/>
          <w:rtl/>
          <w:lang w:bidi="ar-EG"/>
        </w:rPr>
        <w:t>المواضيعي</w:t>
      </w:r>
      <w:r>
        <w:rPr>
          <w:rFonts w:cs="Traditional Arabic" w:hint="cs"/>
          <w:szCs w:val="30"/>
          <w:rtl/>
          <w:lang w:bidi="ar-EG"/>
        </w:rPr>
        <w:t>.</w:t>
      </w:r>
    </w:p>
    <w:p w:rsidR="006A64CC" w:rsidRPr="00C42220" w:rsidRDefault="006A64CC" w:rsidP="00B01D76">
      <w:pPr>
        <w:spacing w:line="400" w:lineRule="exact"/>
        <w:ind w:left="1440" w:hanging="308"/>
        <w:jc w:val="both"/>
        <w:rPr>
          <w:rFonts w:cs="Traditional Arabic" w:hint="cs"/>
          <w:sz w:val="18"/>
          <w:szCs w:val="26"/>
          <w:rtl/>
          <w:lang w:bidi="ar-EG"/>
        </w:rPr>
      </w:pPr>
      <w:r w:rsidRPr="00C42220">
        <w:rPr>
          <w:rFonts w:cs="Traditional Arabic" w:hint="cs"/>
          <w:sz w:val="18"/>
          <w:szCs w:val="26"/>
          <w:rtl/>
          <w:lang w:bidi="ar-EG"/>
        </w:rPr>
        <w:t>(بدولارات الولايات المتحدة)</w:t>
      </w:r>
    </w:p>
    <w:tbl>
      <w:tblPr>
        <w:bidiVisual/>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2908"/>
        <w:gridCol w:w="3355"/>
        <w:gridCol w:w="1265"/>
      </w:tblGrid>
      <w:tr w:rsidR="006A64CC" w:rsidRPr="00C927B4" w:rsidTr="003B7A46">
        <w:trPr>
          <w:tblHeader/>
        </w:trPr>
        <w:tc>
          <w:tcPr>
            <w:tcW w:w="804" w:type="dxa"/>
            <w:shd w:val="clear" w:color="auto" w:fill="auto"/>
          </w:tcPr>
          <w:p w:rsidR="006A64CC" w:rsidRPr="00C42220" w:rsidRDefault="006A64CC" w:rsidP="00B01D76">
            <w:pPr>
              <w:pStyle w:val="ListParagraph"/>
              <w:tabs>
                <w:tab w:val="left" w:pos="426"/>
              </w:tabs>
              <w:autoSpaceDE w:val="0"/>
              <w:autoSpaceDN w:val="0"/>
              <w:bidi/>
              <w:adjustRightInd w:val="0"/>
              <w:spacing w:before="60" w:after="60" w:line="400" w:lineRule="exact"/>
              <w:ind w:left="0"/>
              <w:contextualSpacing w:val="0"/>
              <w:rPr>
                <w:rFonts w:ascii="Times New Roman" w:eastAsia="SimSun" w:hAnsi="Times New Roman" w:cs="Traditional Arabic" w:hint="cs"/>
                <w:iCs/>
                <w:sz w:val="20"/>
                <w:szCs w:val="30"/>
                <w:lang w:val="en-GB" w:eastAsia="zh-CN"/>
              </w:rPr>
            </w:pPr>
            <w:r>
              <w:rPr>
                <w:rFonts w:ascii="Times New Roman" w:eastAsia="SimSun" w:hAnsi="Times New Roman" w:cs="Traditional Arabic" w:hint="cs"/>
                <w:iCs/>
                <w:sz w:val="20"/>
                <w:szCs w:val="30"/>
                <w:rtl/>
                <w:lang w:val="en-GB" w:eastAsia="zh-CN"/>
              </w:rPr>
              <w:t>السنة</w:t>
            </w:r>
          </w:p>
        </w:tc>
        <w:tc>
          <w:tcPr>
            <w:tcW w:w="2929" w:type="dxa"/>
            <w:shd w:val="clear" w:color="auto" w:fill="auto"/>
          </w:tcPr>
          <w:p w:rsidR="006A64CC" w:rsidRPr="00C42220" w:rsidRDefault="006A64CC" w:rsidP="00B01D76">
            <w:pPr>
              <w:pStyle w:val="ListParagraph"/>
              <w:tabs>
                <w:tab w:val="left" w:pos="426"/>
              </w:tabs>
              <w:autoSpaceDE w:val="0"/>
              <w:autoSpaceDN w:val="0"/>
              <w:bidi/>
              <w:adjustRightInd w:val="0"/>
              <w:spacing w:before="60" w:after="60" w:line="400" w:lineRule="exact"/>
              <w:ind w:left="0"/>
              <w:contextualSpacing w:val="0"/>
              <w:jc w:val="lowKashida"/>
              <w:rPr>
                <w:rFonts w:ascii="Times New Roman" w:eastAsia="SimSun" w:hAnsi="Times New Roman" w:cs="Traditional Arabic" w:hint="cs"/>
                <w:iCs/>
                <w:sz w:val="20"/>
                <w:szCs w:val="30"/>
                <w:lang w:val="en-GB" w:eastAsia="zh-CN"/>
              </w:rPr>
            </w:pPr>
            <w:r>
              <w:rPr>
                <w:rFonts w:ascii="Times New Roman" w:eastAsia="SimSun" w:hAnsi="Times New Roman" w:cs="Traditional Arabic" w:hint="cs"/>
                <w:iCs/>
                <w:sz w:val="20"/>
                <w:szCs w:val="30"/>
                <w:rtl/>
                <w:lang w:val="en-GB" w:eastAsia="zh-CN"/>
              </w:rPr>
              <w:t>بند التكلفة</w:t>
            </w:r>
          </w:p>
        </w:tc>
        <w:tc>
          <w:tcPr>
            <w:tcW w:w="3402" w:type="dxa"/>
            <w:shd w:val="clear" w:color="auto" w:fill="auto"/>
          </w:tcPr>
          <w:p w:rsidR="006A64CC" w:rsidRPr="00C42220" w:rsidRDefault="006A64CC" w:rsidP="00B01D76">
            <w:pPr>
              <w:pStyle w:val="ListParagraph"/>
              <w:tabs>
                <w:tab w:val="left" w:pos="426"/>
              </w:tabs>
              <w:autoSpaceDE w:val="0"/>
              <w:autoSpaceDN w:val="0"/>
              <w:bidi/>
              <w:adjustRightInd w:val="0"/>
              <w:spacing w:before="60" w:after="60" w:line="400" w:lineRule="exact"/>
              <w:ind w:left="0"/>
              <w:contextualSpacing w:val="0"/>
              <w:jc w:val="lowKashida"/>
              <w:rPr>
                <w:rFonts w:ascii="Times New Roman" w:eastAsia="SimSun" w:hAnsi="Times New Roman" w:cs="Traditional Arabic" w:hint="cs"/>
                <w:iCs/>
                <w:sz w:val="20"/>
                <w:szCs w:val="30"/>
                <w:lang w:val="en-GB" w:eastAsia="zh-CN"/>
              </w:rPr>
            </w:pPr>
            <w:r>
              <w:rPr>
                <w:rFonts w:ascii="Times New Roman" w:eastAsia="SimSun" w:hAnsi="Times New Roman" w:cs="Traditional Arabic" w:hint="cs"/>
                <w:iCs/>
                <w:sz w:val="20"/>
                <w:szCs w:val="30"/>
                <w:rtl/>
                <w:lang w:val="en-GB" w:eastAsia="zh-CN"/>
              </w:rPr>
              <w:t>الافتراضات</w:t>
            </w:r>
          </w:p>
        </w:tc>
        <w:tc>
          <w:tcPr>
            <w:tcW w:w="1276" w:type="dxa"/>
            <w:shd w:val="clear" w:color="auto" w:fill="auto"/>
          </w:tcPr>
          <w:p w:rsidR="006A64CC" w:rsidRPr="00C42220" w:rsidRDefault="006A64CC" w:rsidP="00B01D76">
            <w:pPr>
              <w:pStyle w:val="ListParagraph"/>
              <w:tabs>
                <w:tab w:val="left" w:pos="426"/>
              </w:tabs>
              <w:autoSpaceDE w:val="0"/>
              <w:autoSpaceDN w:val="0"/>
              <w:bidi/>
              <w:adjustRightInd w:val="0"/>
              <w:spacing w:before="60" w:after="60" w:line="400" w:lineRule="exact"/>
              <w:ind w:left="0"/>
              <w:contextualSpacing w:val="0"/>
              <w:rPr>
                <w:rFonts w:ascii="Times New Roman" w:eastAsia="SimSun" w:hAnsi="Times New Roman" w:cs="Traditional Arabic" w:hint="cs"/>
                <w:iCs/>
                <w:sz w:val="20"/>
                <w:szCs w:val="30"/>
                <w:lang w:val="en-GB" w:eastAsia="zh-CN"/>
              </w:rPr>
            </w:pPr>
            <w:r>
              <w:rPr>
                <w:rFonts w:ascii="Times New Roman" w:eastAsia="SimSun" w:hAnsi="Times New Roman" w:cs="Traditional Arabic" w:hint="cs"/>
                <w:iCs/>
                <w:sz w:val="20"/>
                <w:szCs w:val="30"/>
                <w:rtl/>
                <w:lang w:val="en-GB" w:eastAsia="zh-CN"/>
              </w:rPr>
              <w:t>التكلفة</w:t>
            </w:r>
          </w:p>
        </w:tc>
      </w:tr>
      <w:tr w:rsidR="006A64CC" w:rsidRPr="00C927B4">
        <w:tc>
          <w:tcPr>
            <w:tcW w:w="804" w:type="dxa"/>
            <w:vMerge w:val="restart"/>
            <w:shd w:val="clear" w:color="auto" w:fill="auto"/>
            <w:vAlign w:val="center"/>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2014</w:t>
            </w:r>
          </w:p>
        </w:tc>
        <w:tc>
          <w:tcPr>
            <w:tcW w:w="2929" w:type="dxa"/>
            <w:vMerge w:val="restart"/>
            <w:shd w:val="clear" w:color="auto" w:fill="auto"/>
            <w:vAlign w:val="center"/>
          </w:tcPr>
          <w:p w:rsidR="006A64CC" w:rsidRPr="00C927B4" w:rsidRDefault="006A64CC" w:rsidP="008A2C57">
            <w:pPr>
              <w:pStyle w:val="ListParagraph"/>
              <w:tabs>
                <w:tab w:val="left" w:pos="426"/>
              </w:tabs>
              <w:autoSpaceDE w:val="0"/>
              <w:autoSpaceDN w:val="0"/>
              <w:bidi/>
              <w:adjustRightInd w:val="0"/>
              <w:spacing w:before="60" w:after="60" w:line="400" w:lineRule="exact"/>
              <w:ind w:left="0"/>
              <w:contextualSpacing w:val="0"/>
              <w:jc w:val="lowKashida"/>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اجتماع تحديد النطاق (25 مشاركاً: فريق الخبراء المتعدد الاختصاصات/أعضاء المكتب، الخبراء)</w:t>
            </w:r>
          </w:p>
        </w:tc>
        <w:tc>
          <w:tcPr>
            <w:tcW w:w="3402" w:type="dxa"/>
            <w:shd w:val="clear" w:color="auto" w:fill="auto"/>
          </w:tcPr>
          <w:p w:rsidR="006A64CC" w:rsidRPr="00B8665C" w:rsidRDefault="006A64CC" w:rsidP="00B01D76">
            <w:pPr>
              <w:pStyle w:val="ListParagraph"/>
              <w:tabs>
                <w:tab w:val="left" w:pos="426"/>
              </w:tabs>
              <w:autoSpaceDE w:val="0"/>
              <w:autoSpaceDN w:val="0"/>
              <w:bidi/>
              <w:adjustRightInd w:val="0"/>
              <w:spacing w:before="60" w:after="60" w:line="400" w:lineRule="exact"/>
              <w:ind w:left="0"/>
              <w:contextualSpacing w:val="0"/>
              <w:jc w:val="lowKashida"/>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تكاليف الاجتماع (أسبوع واحد، 25 مشاركاً) (25 في المائة عينية)</w:t>
            </w:r>
          </w:p>
        </w:tc>
        <w:tc>
          <w:tcPr>
            <w:tcW w:w="1276" w:type="dxa"/>
            <w:shd w:val="clear" w:color="auto" w:fill="auto"/>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500 7</w:t>
            </w:r>
          </w:p>
        </w:tc>
      </w:tr>
      <w:tr w:rsidR="006A64CC" w:rsidRPr="00C927B4">
        <w:trPr>
          <w:trHeight w:val="187"/>
        </w:trPr>
        <w:tc>
          <w:tcPr>
            <w:tcW w:w="804" w:type="dxa"/>
            <w:vMerge/>
            <w:shd w:val="clear" w:color="auto" w:fill="auto"/>
            <w:vAlign w:val="center"/>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rPr>
                <w:rFonts w:ascii="Times New Roman" w:eastAsia="SimSun" w:hAnsi="Times New Roman" w:cs="Traditional Arabic"/>
                <w:sz w:val="20"/>
                <w:szCs w:val="30"/>
                <w:lang w:val="en-GB" w:eastAsia="zh-CN"/>
              </w:rPr>
            </w:pPr>
          </w:p>
        </w:tc>
        <w:tc>
          <w:tcPr>
            <w:tcW w:w="2929" w:type="dxa"/>
            <w:vMerge/>
            <w:shd w:val="clear" w:color="auto" w:fill="auto"/>
            <w:vAlign w:val="center"/>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jc w:val="lowKashida"/>
              <w:rPr>
                <w:rFonts w:ascii="Times New Roman" w:eastAsia="SimSun" w:hAnsi="Times New Roman" w:cs="Traditional Arabic"/>
                <w:sz w:val="20"/>
                <w:szCs w:val="30"/>
                <w:lang w:val="en-GB" w:eastAsia="zh-CN"/>
              </w:rPr>
            </w:pPr>
          </w:p>
        </w:tc>
        <w:tc>
          <w:tcPr>
            <w:tcW w:w="3402" w:type="dxa"/>
            <w:shd w:val="clear" w:color="auto" w:fill="auto"/>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jc w:val="lowKashida"/>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السفر وبدل المعيشة اليومي (19 × 000 3 دولار من دولارات الولايات المتحدة)</w:t>
            </w:r>
          </w:p>
        </w:tc>
        <w:tc>
          <w:tcPr>
            <w:tcW w:w="1276" w:type="dxa"/>
            <w:shd w:val="clear" w:color="auto" w:fill="auto"/>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000 57</w:t>
            </w:r>
          </w:p>
        </w:tc>
      </w:tr>
      <w:tr w:rsidR="006A64CC" w:rsidRPr="00C927B4">
        <w:tc>
          <w:tcPr>
            <w:tcW w:w="804" w:type="dxa"/>
            <w:vMerge/>
            <w:shd w:val="clear" w:color="auto" w:fill="auto"/>
            <w:vAlign w:val="center"/>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rPr>
                <w:rFonts w:ascii="Times New Roman" w:eastAsia="SimSun" w:hAnsi="Times New Roman" w:cs="Traditional Arabic"/>
                <w:sz w:val="20"/>
                <w:szCs w:val="30"/>
                <w:lang w:val="en-GB" w:eastAsia="zh-CN"/>
              </w:rPr>
            </w:pPr>
          </w:p>
        </w:tc>
        <w:tc>
          <w:tcPr>
            <w:tcW w:w="2929" w:type="dxa"/>
            <w:vMerge w:val="restart"/>
            <w:shd w:val="clear" w:color="auto" w:fill="auto"/>
            <w:vAlign w:val="center"/>
          </w:tcPr>
          <w:p w:rsidR="006A64CC" w:rsidRPr="00C927B4" w:rsidRDefault="006A64CC" w:rsidP="003B7A46">
            <w:pPr>
              <w:pStyle w:val="ListParagraph"/>
              <w:tabs>
                <w:tab w:val="left" w:pos="426"/>
              </w:tabs>
              <w:autoSpaceDE w:val="0"/>
              <w:autoSpaceDN w:val="0"/>
              <w:bidi/>
              <w:adjustRightInd w:val="0"/>
              <w:spacing w:before="60" w:after="60" w:line="360" w:lineRule="exact"/>
              <w:ind w:left="0"/>
              <w:contextualSpacing w:val="0"/>
              <w:jc w:val="lowKashida"/>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اجتماع المؤلفين الأول (50 رئيساً مشاركاً و50 مؤلفاً رئيسياً منسقاً ومؤلفاً رئيسياً، بالإضافة إلى 4 أعضاء من فريق الخبراء المخصص/المكتب، بالإضافة إلى موظف واحد للدعم التقني)</w:t>
            </w:r>
          </w:p>
        </w:tc>
        <w:tc>
          <w:tcPr>
            <w:tcW w:w="3402" w:type="dxa"/>
            <w:shd w:val="clear" w:color="auto" w:fill="auto"/>
          </w:tcPr>
          <w:p w:rsidR="006A64CC" w:rsidRPr="00B8665C" w:rsidRDefault="006A64CC" w:rsidP="00B01D76">
            <w:pPr>
              <w:pStyle w:val="ListParagraph"/>
              <w:tabs>
                <w:tab w:val="left" w:pos="426"/>
              </w:tabs>
              <w:autoSpaceDE w:val="0"/>
              <w:autoSpaceDN w:val="0"/>
              <w:bidi/>
              <w:adjustRightInd w:val="0"/>
              <w:spacing w:before="60" w:after="60" w:line="400" w:lineRule="exact"/>
              <w:ind w:left="0"/>
              <w:contextualSpacing w:val="0"/>
              <w:jc w:val="lowKashida"/>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تكاليف الاجتماع (أسبوع واحد، 55 مشاركاً) (25 في المائة عينية)</w:t>
            </w:r>
          </w:p>
        </w:tc>
        <w:tc>
          <w:tcPr>
            <w:tcW w:w="1276" w:type="dxa"/>
            <w:shd w:val="clear" w:color="auto" w:fill="auto"/>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250 11</w:t>
            </w:r>
          </w:p>
        </w:tc>
      </w:tr>
      <w:tr w:rsidR="006A64CC" w:rsidRPr="00C927B4">
        <w:trPr>
          <w:trHeight w:val="339"/>
        </w:trPr>
        <w:tc>
          <w:tcPr>
            <w:tcW w:w="804" w:type="dxa"/>
            <w:vMerge/>
            <w:shd w:val="clear" w:color="auto" w:fill="auto"/>
            <w:vAlign w:val="center"/>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rPr>
                <w:rFonts w:ascii="Times New Roman" w:eastAsia="SimSun" w:hAnsi="Times New Roman" w:cs="Traditional Arabic"/>
                <w:sz w:val="20"/>
                <w:szCs w:val="30"/>
                <w:lang w:val="en-GB" w:eastAsia="zh-CN"/>
              </w:rPr>
            </w:pPr>
          </w:p>
        </w:tc>
        <w:tc>
          <w:tcPr>
            <w:tcW w:w="2929" w:type="dxa"/>
            <w:vMerge/>
            <w:tcBorders>
              <w:bottom w:val="single" w:sz="4" w:space="0" w:color="auto"/>
            </w:tcBorders>
            <w:shd w:val="clear" w:color="auto" w:fill="auto"/>
            <w:vAlign w:val="center"/>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jc w:val="lowKashida"/>
              <w:rPr>
                <w:rFonts w:ascii="Times New Roman" w:eastAsia="SimSun" w:hAnsi="Times New Roman" w:cs="Traditional Arabic"/>
                <w:sz w:val="20"/>
                <w:szCs w:val="30"/>
                <w:lang w:val="en-GB" w:eastAsia="zh-CN"/>
              </w:rPr>
            </w:pPr>
          </w:p>
        </w:tc>
        <w:tc>
          <w:tcPr>
            <w:tcW w:w="3402" w:type="dxa"/>
            <w:tcBorders>
              <w:bottom w:val="single" w:sz="4" w:space="0" w:color="auto"/>
            </w:tcBorders>
            <w:shd w:val="clear" w:color="auto" w:fill="auto"/>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jc w:val="lowKashida"/>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السفر وبدل المعيشة اليومي 41 × 000 3 دولار)</w:t>
            </w:r>
          </w:p>
        </w:tc>
        <w:tc>
          <w:tcPr>
            <w:tcW w:w="1276" w:type="dxa"/>
            <w:tcBorders>
              <w:bottom w:val="single" w:sz="4" w:space="0" w:color="auto"/>
            </w:tcBorders>
            <w:shd w:val="clear" w:color="auto" w:fill="auto"/>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000 123</w:t>
            </w:r>
          </w:p>
        </w:tc>
      </w:tr>
      <w:tr w:rsidR="006A64CC" w:rsidRPr="00C927B4">
        <w:trPr>
          <w:trHeight w:val="361"/>
        </w:trPr>
        <w:tc>
          <w:tcPr>
            <w:tcW w:w="804" w:type="dxa"/>
            <w:vMerge/>
            <w:tcBorders>
              <w:bottom w:val="single" w:sz="4" w:space="0" w:color="auto"/>
            </w:tcBorders>
            <w:shd w:val="clear" w:color="auto" w:fill="auto"/>
            <w:vAlign w:val="center"/>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rPr>
                <w:rFonts w:ascii="Times New Roman" w:eastAsia="SimSun" w:hAnsi="Times New Roman" w:cs="Traditional Arabic"/>
                <w:sz w:val="20"/>
                <w:szCs w:val="30"/>
                <w:lang w:val="en-GB" w:eastAsia="zh-CN"/>
              </w:rPr>
            </w:pPr>
          </w:p>
        </w:tc>
        <w:tc>
          <w:tcPr>
            <w:tcW w:w="2929" w:type="dxa"/>
            <w:shd w:val="clear" w:color="auto" w:fill="auto"/>
            <w:vAlign w:val="center"/>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jc w:val="lowKashida"/>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 xml:space="preserve">الدعم التقني </w:t>
            </w:r>
          </w:p>
        </w:tc>
        <w:tc>
          <w:tcPr>
            <w:tcW w:w="3402" w:type="dxa"/>
            <w:shd w:val="clear" w:color="auto" w:fill="auto"/>
          </w:tcPr>
          <w:p w:rsidR="006A64CC" w:rsidRPr="00C927B4" w:rsidRDefault="006A64CC" w:rsidP="00B01D76">
            <w:pPr>
              <w:pStyle w:val="ListParagraph"/>
              <w:tabs>
                <w:tab w:val="left" w:pos="426"/>
              </w:tabs>
              <w:autoSpaceDE w:val="0"/>
              <w:autoSpaceDN w:val="0"/>
              <w:bidi/>
              <w:adjustRightInd w:val="0"/>
              <w:spacing w:before="60" w:after="60" w:line="400" w:lineRule="exact"/>
              <w:ind w:left="0"/>
              <w:jc w:val="lowKashida"/>
              <w:rPr>
                <w:rFonts w:ascii="Times New Roman" w:eastAsia="SimSun" w:hAnsi="Times New Roman" w:cs="Traditional Arabic" w:hint="cs"/>
                <w:b/>
                <w:sz w:val="20"/>
                <w:szCs w:val="30"/>
                <w:lang w:val="en-GB" w:eastAsia="zh-CN"/>
              </w:rPr>
            </w:pPr>
            <w:r>
              <w:rPr>
                <w:rFonts w:ascii="Times New Roman" w:eastAsia="SimSun" w:hAnsi="Times New Roman" w:cs="Traditional Arabic" w:hint="cs"/>
                <w:b/>
                <w:sz w:val="20"/>
                <w:szCs w:val="30"/>
                <w:rtl/>
                <w:lang w:val="en-GB" w:eastAsia="zh-CN"/>
              </w:rPr>
              <w:t>ما يعادل وظيفة فنية واحدة على أساس التفرغ (50 في المائة عينية)</w:t>
            </w:r>
          </w:p>
        </w:tc>
        <w:tc>
          <w:tcPr>
            <w:tcW w:w="1276" w:type="dxa"/>
            <w:tcBorders>
              <w:bottom w:val="single" w:sz="4" w:space="0" w:color="auto"/>
            </w:tcBorders>
            <w:shd w:val="clear" w:color="auto" w:fill="auto"/>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000 75</w:t>
            </w:r>
          </w:p>
        </w:tc>
      </w:tr>
      <w:tr w:rsidR="006A64CC" w:rsidRPr="00C927B4">
        <w:tc>
          <w:tcPr>
            <w:tcW w:w="804" w:type="dxa"/>
            <w:vMerge w:val="restart"/>
            <w:shd w:val="clear" w:color="auto" w:fill="auto"/>
            <w:vAlign w:val="center"/>
          </w:tcPr>
          <w:p w:rsidR="006A64CC" w:rsidRPr="00C927B4" w:rsidRDefault="006A64CC" w:rsidP="00B01D76">
            <w:pPr>
              <w:pStyle w:val="ListParagraph"/>
              <w:tabs>
                <w:tab w:val="left" w:pos="426"/>
              </w:tabs>
              <w:autoSpaceDE w:val="0"/>
              <w:autoSpaceDN w:val="0"/>
              <w:bidi/>
              <w:adjustRightInd w:val="0"/>
              <w:spacing w:before="60" w:after="60" w:line="400" w:lineRule="exact"/>
              <w:ind w:left="0"/>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2015</w:t>
            </w:r>
          </w:p>
        </w:tc>
        <w:tc>
          <w:tcPr>
            <w:tcW w:w="2929" w:type="dxa"/>
            <w:vMerge w:val="restart"/>
            <w:shd w:val="clear" w:color="auto" w:fill="auto"/>
            <w:vAlign w:val="center"/>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jc w:val="lowKashida"/>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اجتماع المؤلفين الثاني (50 رئيساً مشاركاً ومؤلفاً رئيسياً منسقاً ومؤلفاً رئيسياً، بالإضافة إلى 10 محررين مراجعين، بالإضافة إلى 4 أعضاء من فريق الخبراء/المكتب، بالإضافة إلى موظف واحد للدعم التقني</w:t>
            </w:r>
          </w:p>
        </w:tc>
        <w:tc>
          <w:tcPr>
            <w:tcW w:w="3402" w:type="dxa"/>
            <w:shd w:val="clear" w:color="auto" w:fill="auto"/>
          </w:tcPr>
          <w:p w:rsidR="006A64CC" w:rsidRPr="00B8665C" w:rsidRDefault="006A64CC" w:rsidP="00B01D76">
            <w:pPr>
              <w:pStyle w:val="ListParagraph"/>
              <w:tabs>
                <w:tab w:val="left" w:pos="426"/>
              </w:tabs>
              <w:autoSpaceDE w:val="0"/>
              <w:autoSpaceDN w:val="0"/>
              <w:bidi/>
              <w:adjustRightInd w:val="0"/>
              <w:spacing w:before="60" w:after="60" w:line="400" w:lineRule="exact"/>
              <w:ind w:left="0"/>
              <w:contextualSpacing w:val="0"/>
              <w:jc w:val="lowKashida"/>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تكاليف الاجتماع (أسبوع واحد، 65 مشاركاً) و(25 في المائة عينية)</w:t>
            </w:r>
          </w:p>
        </w:tc>
        <w:tc>
          <w:tcPr>
            <w:tcW w:w="1276" w:type="dxa"/>
            <w:shd w:val="clear" w:color="auto" w:fill="auto"/>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000 15</w:t>
            </w:r>
          </w:p>
        </w:tc>
      </w:tr>
      <w:tr w:rsidR="006A64CC" w:rsidRPr="00C927B4">
        <w:trPr>
          <w:trHeight w:val="361"/>
        </w:trPr>
        <w:tc>
          <w:tcPr>
            <w:tcW w:w="804" w:type="dxa"/>
            <w:vMerge/>
            <w:shd w:val="clear" w:color="auto" w:fill="auto"/>
            <w:vAlign w:val="center"/>
          </w:tcPr>
          <w:p w:rsidR="006A64CC" w:rsidRPr="00C927B4" w:rsidRDefault="006A64CC" w:rsidP="00B01D76">
            <w:pPr>
              <w:pStyle w:val="ListParagraph"/>
              <w:tabs>
                <w:tab w:val="left" w:pos="426"/>
              </w:tabs>
              <w:autoSpaceDE w:val="0"/>
              <w:autoSpaceDN w:val="0"/>
              <w:bidi/>
              <w:adjustRightInd w:val="0"/>
              <w:spacing w:before="60" w:after="60" w:line="400" w:lineRule="exact"/>
              <w:ind w:left="0"/>
              <w:rPr>
                <w:rFonts w:ascii="Times New Roman" w:eastAsia="SimSun" w:hAnsi="Times New Roman" w:cs="Traditional Arabic"/>
                <w:sz w:val="20"/>
                <w:szCs w:val="30"/>
                <w:lang w:val="en-GB" w:eastAsia="zh-CN"/>
              </w:rPr>
            </w:pPr>
          </w:p>
        </w:tc>
        <w:tc>
          <w:tcPr>
            <w:tcW w:w="2929" w:type="dxa"/>
            <w:vMerge/>
            <w:tcBorders>
              <w:bottom w:val="single" w:sz="4" w:space="0" w:color="auto"/>
            </w:tcBorders>
            <w:shd w:val="clear" w:color="auto" w:fill="auto"/>
            <w:vAlign w:val="center"/>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jc w:val="lowKashida"/>
              <w:rPr>
                <w:rFonts w:ascii="Times New Roman" w:eastAsia="SimSun" w:hAnsi="Times New Roman" w:cs="Traditional Arabic"/>
                <w:sz w:val="20"/>
                <w:szCs w:val="30"/>
                <w:lang w:val="en-GB" w:eastAsia="zh-CN"/>
              </w:rPr>
            </w:pPr>
          </w:p>
        </w:tc>
        <w:tc>
          <w:tcPr>
            <w:tcW w:w="3402" w:type="dxa"/>
            <w:tcBorders>
              <w:bottom w:val="single" w:sz="4" w:space="0" w:color="auto"/>
            </w:tcBorders>
            <w:shd w:val="clear" w:color="auto" w:fill="auto"/>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jc w:val="lowKashida"/>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 xml:space="preserve">السفر وبدل المعيشة اليومي (49 × 000 3 دولار) </w:t>
            </w:r>
          </w:p>
        </w:tc>
        <w:tc>
          <w:tcPr>
            <w:tcW w:w="1276" w:type="dxa"/>
            <w:tcBorders>
              <w:bottom w:val="single" w:sz="4" w:space="0" w:color="auto"/>
            </w:tcBorders>
            <w:shd w:val="clear" w:color="auto" w:fill="auto"/>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000 147</w:t>
            </w:r>
          </w:p>
        </w:tc>
      </w:tr>
      <w:tr w:rsidR="006A64CC" w:rsidRPr="00C927B4">
        <w:tc>
          <w:tcPr>
            <w:tcW w:w="804" w:type="dxa"/>
            <w:vMerge/>
            <w:shd w:val="clear" w:color="auto" w:fill="auto"/>
            <w:vAlign w:val="center"/>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rPr>
                <w:rFonts w:ascii="Times New Roman" w:eastAsia="SimSun" w:hAnsi="Times New Roman" w:cs="Traditional Arabic"/>
                <w:sz w:val="20"/>
                <w:szCs w:val="30"/>
                <w:lang w:val="en-GB" w:eastAsia="zh-CN"/>
              </w:rPr>
            </w:pPr>
          </w:p>
        </w:tc>
        <w:tc>
          <w:tcPr>
            <w:tcW w:w="2929" w:type="dxa"/>
            <w:vMerge w:val="restart"/>
            <w:shd w:val="clear" w:color="auto" w:fill="auto"/>
            <w:vAlign w:val="center"/>
          </w:tcPr>
          <w:p w:rsidR="006A64CC" w:rsidRPr="00C927B4" w:rsidRDefault="006A64CC" w:rsidP="008A2C57">
            <w:pPr>
              <w:pStyle w:val="ListParagraph"/>
              <w:tabs>
                <w:tab w:val="left" w:pos="426"/>
              </w:tabs>
              <w:autoSpaceDE w:val="0"/>
              <w:autoSpaceDN w:val="0"/>
              <w:bidi/>
              <w:adjustRightInd w:val="0"/>
              <w:spacing w:before="60" w:after="60" w:line="400" w:lineRule="exact"/>
              <w:ind w:left="0"/>
              <w:contextualSpacing w:val="0"/>
              <w:jc w:val="lowKashida"/>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اجتماع المؤلفين الثالث (</w:t>
            </w:r>
            <w:r w:rsidR="008A2C57">
              <w:rPr>
                <w:rFonts w:ascii="Times New Roman" w:eastAsia="SimSun" w:hAnsi="Times New Roman" w:cs="Traditional Arabic" w:hint="cs"/>
                <w:sz w:val="20"/>
                <w:szCs w:val="30"/>
                <w:rtl/>
                <w:lang w:val="en-GB" w:eastAsia="zh-CN"/>
              </w:rPr>
              <w:t xml:space="preserve">50 </w:t>
            </w:r>
            <w:r>
              <w:rPr>
                <w:rFonts w:ascii="Times New Roman" w:eastAsia="SimSun" w:hAnsi="Times New Roman" w:cs="Traditional Arabic" w:hint="cs"/>
                <w:sz w:val="20"/>
                <w:szCs w:val="30"/>
                <w:rtl/>
                <w:lang w:val="en-GB" w:eastAsia="zh-CN"/>
              </w:rPr>
              <w:t xml:space="preserve">رئيساً مشاركاً ومؤلفاً رئيسياً منسقاً ومؤلفاً رئيسياً، بالإضافة إلى </w:t>
            </w:r>
            <w:r w:rsidR="008A2C57">
              <w:rPr>
                <w:rFonts w:ascii="Times New Roman" w:eastAsia="SimSun" w:hAnsi="Times New Roman" w:cs="Traditional Arabic" w:hint="cs"/>
                <w:sz w:val="20"/>
                <w:szCs w:val="30"/>
                <w:rtl/>
                <w:lang w:val="en-GB" w:eastAsia="zh-CN"/>
              </w:rPr>
              <w:t xml:space="preserve">10 </w:t>
            </w:r>
            <w:r>
              <w:rPr>
                <w:rFonts w:ascii="Times New Roman" w:eastAsia="SimSun" w:hAnsi="Times New Roman" w:cs="Traditional Arabic" w:hint="cs"/>
                <w:sz w:val="20"/>
                <w:szCs w:val="30"/>
                <w:rtl/>
                <w:lang w:val="en-GB" w:eastAsia="zh-CN"/>
              </w:rPr>
              <w:t>من محررين مراجعين، بالإضافة إلى 4 أعضاء من فريق الخبراء/المكتب، بالإضافة إلى موظف واحد للدعم التقني</w:t>
            </w:r>
          </w:p>
        </w:tc>
        <w:tc>
          <w:tcPr>
            <w:tcW w:w="3402" w:type="dxa"/>
            <w:shd w:val="clear" w:color="auto" w:fill="auto"/>
          </w:tcPr>
          <w:p w:rsidR="006A64CC" w:rsidRPr="00B8665C" w:rsidRDefault="006A64CC" w:rsidP="00B01D76">
            <w:pPr>
              <w:pStyle w:val="ListParagraph"/>
              <w:tabs>
                <w:tab w:val="left" w:pos="426"/>
              </w:tabs>
              <w:autoSpaceDE w:val="0"/>
              <w:autoSpaceDN w:val="0"/>
              <w:bidi/>
              <w:adjustRightInd w:val="0"/>
              <w:spacing w:before="60" w:after="60" w:line="400" w:lineRule="exact"/>
              <w:ind w:left="0"/>
              <w:contextualSpacing w:val="0"/>
              <w:jc w:val="lowKashida"/>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تكاليف الاجتماعي (أسبوع واحد، 65 مشاركاً) (25 في المائة عينية)</w:t>
            </w:r>
          </w:p>
        </w:tc>
        <w:tc>
          <w:tcPr>
            <w:tcW w:w="1276" w:type="dxa"/>
            <w:shd w:val="clear" w:color="auto" w:fill="auto"/>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000 15</w:t>
            </w:r>
          </w:p>
        </w:tc>
      </w:tr>
      <w:tr w:rsidR="006A64CC" w:rsidRPr="00C927B4">
        <w:trPr>
          <w:trHeight w:val="339"/>
        </w:trPr>
        <w:tc>
          <w:tcPr>
            <w:tcW w:w="804" w:type="dxa"/>
            <w:vMerge/>
            <w:shd w:val="clear" w:color="auto" w:fill="auto"/>
            <w:vAlign w:val="center"/>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rPr>
                <w:rFonts w:ascii="Times New Roman" w:eastAsia="SimSun" w:hAnsi="Times New Roman" w:cs="Traditional Arabic"/>
                <w:sz w:val="20"/>
                <w:szCs w:val="30"/>
                <w:lang w:val="en-GB" w:eastAsia="zh-CN"/>
              </w:rPr>
            </w:pPr>
          </w:p>
        </w:tc>
        <w:tc>
          <w:tcPr>
            <w:tcW w:w="2929" w:type="dxa"/>
            <w:vMerge/>
            <w:tcBorders>
              <w:bottom w:val="single" w:sz="4" w:space="0" w:color="auto"/>
            </w:tcBorders>
            <w:shd w:val="clear" w:color="auto" w:fill="auto"/>
            <w:vAlign w:val="center"/>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jc w:val="lowKashida"/>
              <w:rPr>
                <w:rFonts w:ascii="Times New Roman" w:eastAsia="SimSun" w:hAnsi="Times New Roman" w:cs="Traditional Arabic"/>
                <w:sz w:val="20"/>
                <w:szCs w:val="30"/>
                <w:lang w:val="en-GB" w:eastAsia="zh-CN"/>
              </w:rPr>
            </w:pPr>
          </w:p>
        </w:tc>
        <w:tc>
          <w:tcPr>
            <w:tcW w:w="3402" w:type="dxa"/>
            <w:tcBorders>
              <w:bottom w:val="single" w:sz="4" w:space="0" w:color="auto"/>
            </w:tcBorders>
            <w:shd w:val="clear" w:color="auto" w:fill="auto"/>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jc w:val="lowKashida"/>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 xml:space="preserve">السفر وبدل المعيشة اليومي (49 × 000 3 دولار) </w:t>
            </w:r>
          </w:p>
        </w:tc>
        <w:tc>
          <w:tcPr>
            <w:tcW w:w="1276" w:type="dxa"/>
            <w:tcBorders>
              <w:bottom w:val="single" w:sz="4" w:space="0" w:color="auto"/>
            </w:tcBorders>
            <w:shd w:val="clear" w:color="auto" w:fill="auto"/>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000 147</w:t>
            </w:r>
          </w:p>
        </w:tc>
      </w:tr>
      <w:tr w:rsidR="006A64CC" w:rsidRPr="00C927B4">
        <w:trPr>
          <w:trHeight w:val="361"/>
        </w:trPr>
        <w:tc>
          <w:tcPr>
            <w:tcW w:w="804" w:type="dxa"/>
            <w:vMerge/>
            <w:tcBorders>
              <w:bottom w:val="single" w:sz="4" w:space="0" w:color="auto"/>
            </w:tcBorders>
            <w:shd w:val="clear" w:color="auto" w:fill="auto"/>
            <w:vAlign w:val="center"/>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rPr>
                <w:rFonts w:ascii="Times New Roman" w:eastAsia="SimSun" w:hAnsi="Times New Roman" w:cs="Traditional Arabic"/>
                <w:sz w:val="20"/>
                <w:szCs w:val="30"/>
                <w:lang w:val="en-GB" w:eastAsia="zh-CN"/>
              </w:rPr>
            </w:pPr>
          </w:p>
        </w:tc>
        <w:tc>
          <w:tcPr>
            <w:tcW w:w="2929" w:type="dxa"/>
            <w:shd w:val="clear" w:color="auto" w:fill="auto"/>
            <w:vAlign w:val="center"/>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jc w:val="lowKashida"/>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الدعم التقني</w:t>
            </w:r>
          </w:p>
        </w:tc>
        <w:tc>
          <w:tcPr>
            <w:tcW w:w="3402" w:type="dxa"/>
            <w:shd w:val="clear" w:color="auto" w:fill="auto"/>
          </w:tcPr>
          <w:p w:rsidR="006A64CC" w:rsidRPr="00C927B4" w:rsidRDefault="006A64CC" w:rsidP="00B01D76">
            <w:pPr>
              <w:pStyle w:val="ListParagraph"/>
              <w:tabs>
                <w:tab w:val="left" w:pos="426"/>
              </w:tabs>
              <w:autoSpaceDE w:val="0"/>
              <w:autoSpaceDN w:val="0"/>
              <w:bidi/>
              <w:adjustRightInd w:val="0"/>
              <w:spacing w:before="60" w:after="60" w:line="400" w:lineRule="exact"/>
              <w:ind w:left="0"/>
              <w:jc w:val="lowKashida"/>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ما يعادل وظيفة فنية واحدة على أساس التفرغ (50 في المائة عينية)</w:t>
            </w:r>
          </w:p>
        </w:tc>
        <w:tc>
          <w:tcPr>
            <w:tcW w:w="1276" w:type="dxa"/>
            <w:tcBorders>
              <w:bottom w:val="single" w:sz="4" w:space="0" w:color="auto"/>
            </w:tcBorders>
            <w:shd w:val="clear" w:color="auto" w:fill="auto"/>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000 75</w:t>
            </w:r>
          </w:p>
        </w:tc>
      </w:tr>
      <w:tr w:rsidR="006A64CC" w:rsidRPr="00C927B4">
        <w:trPr>
          <w:trHeight w:val="357"/>
        </w:trPr>
        <w:tc>
          <w:tcPr>
            <w:tcW w:w="804" w:type="dxa"/>
            <w:vMerge w:val="restart"/>
            <w:shd w:val="clear" w:color="auto" w:fill="auto"/>
            <w:vAlign w:val="center"/>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2016</w:t>
            </w:r>
          </w:p>
        </w:tc>
        <w:tc>
          <w:tcPr>
            <w:tcW w:w="2929" w:type="dxa"/>
            <w:shd w:val="clear" w:color="auto" w:fill="auto"/>
            <w:vAlign w:val="center"/>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jc w:val="lowKashida"/>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مشاركة رئيسين مشاركين وإثنين من المؤلفين الرئيسيين المنسقين في الدورة الرابعة للاجتماع العام</w:t>
            </w:r>
          </w:p>
        </w:tc>
        <w:tc>
          <w:tcPr>
            <w:tcW w:w="3402" w:type="dxa"/>
            <w:shd w:val="clear" w:color="auto" w:fill="auto"/>
          </w:tcPr>
          <w:p w:rsidR="006A64CC" w:rsidRPr="00B8665C" w:rsidRDefault="006A64CC" w:rsidP="00B01D76">
            <w:pPr>
              <w:pStyle w:val="ListParagraph"/>
              <w:tabs>
                <w:tab w:val="left" w:pos="426"/>
              </w:tabs>
              <w:autoSpaceDE w:val="0"/>
              <w:autoSpaceDN w:val="0"/>
              <w:bidi/>
              <w:adjustRightInd w:val="0"/>
              <w:spacing w:before="60" w:after="60" w:line="400" w:lineRule="exact"/>
              <w:ind w:left="0"/>
              <w:contextualSpacing w:val="0"/>
              <w:jc w:val="lowKashida"/>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السفر وبدل المعيشة اليومي (3 × 000 3 دولار)</w:t>
            </w:r>
          </w:p>
        </w:tc>
        <w:tc>
          <w:tcPr>
            <w:tcW w:w="1276" w:type="dxa"/>
            <w:shd w:val="clear" w:color="auto" w:fill="auto"/>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000 9</w:t>
            </w:r>
          </w:p>
        </w:tc>
      </w:tr>
      <w:tr w:rsidR="006A64CC" w:rsidRPr="00C927B4" w:rsidDel="001E184E">
        <w:trPr>
          <w:trHeight w:val="560"/>
        </w:trPr>
        <w:tc>
          <w:tcPr>
            <w:tcW w:w="804" w:type="dxa"/>
            <w:vMerge/>
            <w:shd w:val="clear" w:color="auto" w:fill="auto"/>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rPr>
                <w:rFonts w:ascii="Times New Roman" w:eastAsia="SimSun" w:hAnsi="Times New Roman" w:cs="Traditional Arabic"/>
                <w:sz w:val="20"/>
                <w:szCs w:val="30"/>
                <w:lang w:val="en-GB" w:eastAsia="zh-CN"/>
              </w:rPr>
            </w:pPr>
          </w:p>
        </w:tc>
        <w:tc>
          <w:tcPr>
            <w:tcW w:w="2929" w:type="dxa"/>
            <w:shd w:val="clear" w:color="auto" w:fill="auto"/>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jc w:val="lowKashida"/>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النشر والتوعية (ملخص لصانعي السياسات (10 صفحات) والتقرير (207))</w:t>
            </w:r>
          </w:p>
        </w:tc>
        <w:tc>
          <w:tcPr>
            <w:tcW w:w="3402" w:type="dxa"/>
            <w:shd w:val="clear" w:color="auto" w:fill="auto"/>
          </w:tcPr>
          <w:p w:rsidR="006A64CC" w:rsidRPr="00CE3E56" w:rsidRDefault="006A64CC" w:rsidP="00B01D76">
            <w:pPr>
              <w:pStyle w:val="ListParagraph"/>
              <w:tabs>
                <w:tab w:val="left" w:pos="426"/>
              </w:tabs>
              <w:autoSpaceDE w:val="0"/>
              <w:autoSpaceDN w:val="0"/>
              <w:bidi/>
              <w:adjustRightInd w:val="0"/>
              <w:spacing w:before="60" w:after="60" w:line="400" w:lineRule="exact"/>
              <w:ind w:left="0"/>
              <w:contextualSpacing w:val="0"/>
              <w:jc w:val="lowKashida"/>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ترجمة الملخص لصانعي السياسات إلى جميع اللغات الرسمية للأمم المتحدة، والنشر والتوعية</w:t>
            </w:r>
          </w:p>
        </w:tc>
        <w:tc>
          <w:tcPr>
            <w:tcW w:w="1276" w:type="dxa"/>
            <w:shd w:val="clear" w:color="auto" w:fill="auto"/>
          </w:tcPr>
          <w:p w:rsidR="006A64CC" w:rsidRPr="00C927B4" w:rsidDel="001E184E" w:rsidRDefault="006A64CC" w:rsidP="00B01D76">
            <w:pPr>
              <w:pStyle w:val="ListParagraph"/>
              <w:tabs>
                <w:tab w:val="left" w:pos="426"/>
              </w:tabs>
              <w:autoSpaceDE w:val="0"/>
              <w:autoSpaceDN w:val="0"/>
              <w:bidi/>
              <w:adjustRightInd w:val="0"/>
              <w:spacing w:before="60" w:after="60" w:line="400" w:lineRule="exact"/>
              <w:ind w:left="0"/>
              <w:contextualSpacing w:val="0"/>
              <w:rPr>
                <w:rFonts w:ascii="Times New Roman" w:eastAsia="SimSun" w:hAnsi="Times New Roman" w:cs="Traditional Arabic" w:hint="cs"/>
                <w:sz w:val="20"/>
                <w:szCs w:val="30"/>
                <w:lang w:val="en-GB" w:eastAsia="zh-CN"/>
              </w:rPr>
            </w:pPr>
            <w:r>
              <w:rPr>
                <w:rFonts w:ascii="Times New Roman" w:eastAsia="SimSun" w:hAnsi="Times New Roman" w:cs="Traditional Arabic" w:hint="cs"/>
                <w:sz w:val="20"/>
                <w:szCs w:val="30"/>
                <w:rtl/>
                <w:lang w:val="en-GB" w:eastAsia="zh-CN"/>
              </w:rPr>
              <w:t>000 117</w:t>
            </w:r>
          </w:p>
        </w:tc>
      </w:tr>
      <w:tr w:rsidR="006A64CC" w:rsidRPr="00C927B4">
        <w:tc>
          <w:tcPr>
            <w:tcW w:w="804" w:type="dxa"/>
            <w:shd w:val="clear" w:color="auto" w:fill="auto"/>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rPr>
                <w:rFonts w:ascii="Times New Roman" w:eastAsia="SimSun" w:hAnsi="Times New Roman" w:cs="Traditional Arabic" w:hint="cs"/>
                <w:bCs/>
                <w:sz w:val="20"/>
                <w:szCs w:val="30"/>
                <w:lang w:val="en-GB" w:eastAsia="zh-CN"/>
              </w:rPr>
            </w:pPr>
            <w:r>
              <w:rPr>
                <w:rFonts w:ascii="Times New Roman" w:eastAsia="SimSun" w:hAnsi="Times New Roman" w:cs="Traditional Arabic" w:hint="cs"/>
                <w:bCs/>
                <w:sz w:val="20"/>
                <w:szCs w:val="30"/>
                <w:rtl/>
                <w:lang w:val="en-GB" w:eastAsia="zh-CN"/>
              </w:rPr>
              <w:t>المجموع</w:t>
            </w:r>
          </w:p>
        </w:tc>
        <w:tc>
          <w:tcPr>
            <w:tcW w:w="2929" w:type="dxa"/>
            <w:shd w:val="clear" w:color="auto" w:fill="auto"/>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jc w:val="lowKashida"/>
              <w:rPr>
                <w:rFonts w:ascii="Times New Roman" w:eastAsia="SimSun" w:hAnsi="Times New Roman" w:cs="Traditional Arabic"/>
                <w:sz w:val="20"/>
                <w:szCs w:val="30"/>
                <w:lang w:val="en-GB" w:eastAsia="zh-CN"/>
              </w:rPr>
            </w:pPr>
          </w:p>
        </w:tc>
        <w:tc>
          <w:tcPr>
            <w:tcW w:w="3402" w:type="dxa"/>
            <w:shd w:val="clear" w:color="auto" w:fill="auto"/>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jc w:val="lowKashida"/>
              <w:rPr>
                <w:rFonts w:ascii="Times New Roman" w:eastAsia="SimSun" w:hAnsi="Times New Roman" w:cs="Traditional Arabic"/>
                <w:sz w:val="20"/>
                <w:szCs w:val="30"/>
                <w:lang w:val="en-GB" w:eastAsia="zh-CN"/>
              </w:rPr>
            </w:pPr>
          </w:p>
        </w:tc>
        <w:tc>
          <w:tcPr>
            <w:tcW w:w="1276" w:type="dxa"/>
            <w:shd w:val="clear" w:color="auto" w:fill="auto"/>
          </w:tcPr>
          <w:p w:rsidR="006A64CC" w:rsidRPr="00C927B4" w:rsidRDefault="006A64CC" w:rsidP="00B01D76">
            <w:pPr>
              <w:pStyle w:val="ListParagraph"/>
              <w:tabs>
                <w:tab w:val="left" w:pos="426"/>
              </w:tabs>
              <w:autoSpaceDE w:val="0"/>
              <w:autoSpaceDN w:val="0"/>
              <w:bidi/>
              <w:adjustRightInd w:val="0"/>
              <w:spacing w:before="60" w:after="60" w:line="400" w:lineRule="exact"/>
              <w:ind w:left="0"/>
              <w:contextualSpacing w:val="0"/>
              <w:rPr>
                <w:rFonts w:ascii="Times New Roman" w:eastAsia="SimSun" w:hAnsi="Times New Roman" w:cs="Traditional Arabic" w:hint="cs"/>
                <w:bCs/>
                <w:sz w:val="20"/>
                <w:szCs w:val="30"/>
                <w:lang w:val="en-GB" w:eastAsia="zh-CN"/>
              </w:rPr>
            </w:pPr>
            <w:r>
              <w:rPr>
                <w:rFonts w:ascii="Times New Roman" w:eastAsia="SimSun" w:hAnsi="Times New Roman" w:cs="Traditional Arabic" w:hint="cs"/>
                <w:bCs/>
                <w:sz w:val="20"/>
                <w:szCs w:val="30"/>
                <w:rtl/>
                <w:lang w:val="en-GB" w:eastAsia="zh-CN"/>
              </w:rPr>
              <w:t>750 798</w:t>
            </w:r>
          </w:p>
        </w:tc>
      </w:tr>
    </w:tbl>
    <w:p w:rsidR="006A64CC" w:rsidRPr="00DA4058" w:rsidRDefault="006A64CC" w:rsidP="00B01D76">
      <w:pPr>
        <w:pStyle w:val="H1"/>
        <w:tabs>
          <w:tab w:val="right" w:pos="1022"/>
          <w:tab w:val="left" w:pos="1930"/>
          <w:tab w:val="left" w:pos="2592"/>
          <w:tab w:val="left" w:pos="3254"/>
          <w:tab w:val="left" w:pos="3917"/>
          <w:tab w:val="left" w:pos="4579"/>
          <w:tab w:val="left" w:pos="5242"/>
          <w:tab w:val="left" w:pos="5904"/>
          <w:tab w:val="left" w:pos="6566"/>
        </w:tabs>
        <w:spacing w:after="120"/>
        <w:ind w:left="1459" w:hanging="1287"/>
        <w:rPr>
          <w:rFonts w:hint="cs"/>
          <w:sz w:val="26"/>
          <w:szCs w:val="36"/>
          <w:rtl/>
          <w:lang w:bidi="ar-EG"/>
        </w:rPr>
      </w:pPr>
      <w:r>
        <w:rPr>
          <w:szCs w:val="30"/>
          <w:rtl/>
        </w:rPr>
        <w:br w:type="page"/>
      </w:r>
      <w:r w:rsidRPr="00DA4058">
        <w:rPr>
          <w:rFonts w:hint="cs"/>
          <w:sz w:val="26"/>
          <w:szCs w:val="36"/>
          <w:rtl/>
          <w:lang w:bidi="ar-EG"/>
        </w:rPr>
        <w:lastRenderedPageBreak/>
        <w:t>المراجع</w:t>
      </w:r>
    </w:p>
    <w:p w:rsidR="006A64CC" w:rsidRPr="001A1175" w:rsidRDefault="006A64CC" w:rsidP="00D8418F">
      <w:pPr>
        <w:suppressAutoHyphens/>
        <w:bidi w:val="0"/>
        <w:spacing w:before="360" w:after="120"/>
        <w:ind w:left="172" w:right="565"/>
        <w:rPr>
          <w:spacing w:val="-3"/>
          <w:sz w:val="20"/>
          <w:szCs w:val="20"/>
          <w:lang w:val="en-GB"/>
        </w:rPr>
      </w:pPr>
      <w:r w:rsidRPr="001A1175">
        <w:rPr>
          <w:spacing w:val="-3"/>
          <w:sz w:val="20"/>
          <w:szCs w:val="20"/>
          <w:lang w:val="en-GB"/>
        </w:rPr>
        <w:t>Steven L. Coles and others, “Historical and recent introductions of non</w:t>
      </w:r>
      <w:r w:rsidRPr="001A1175">
        <w:rPr>
          <w:spacing w:val="-3"/>
          <w:sz w:val="20"/>
          <w:szCs w:val="20"/>
          <w:lang w:val="en-GB"/>
        </w:rPr>
        <w:noBreakHyphen/>
        <w:t xml:space="preserve">indigenous marine species into Pearl Harbor, Oahu, </w:t>
      </w:r>
      <w:smartTag w:uri="urn:schemas-microsoft-com:office:smarttags" w:element="place">
        <w:r w:rsidRPr="001A1175">
          <w:rPr>
            <w:spacing w:val="-3"/>
            <w:sz w:val="20"/>
            <w:szCs w:val="20"/>
            <w:lang w:val="en-GB"/>
          </w:rPr>
          <w:t>Hawaiian Islands</w:t>
        </w:r>
      </w:smartTag>
      <w:r w:rsidRPr="001A1175">
        <w:rPr>
          <w:spacing w:val="-3"/>
          <w:sz w:val="20"/>
          <w:szCs w:val="20"/>
          <w:lang w:val="en-GB"/>
        </w:rPr>
        <w:t xml:space="preserve">”, </w:t>
      </w:r>
      <w:r w:rsidRPr="001A1175">
        <w:rPr>
          <w:i/>
          <w:spacing w:val="-3"/>
          <w:sz w:val="20"/>
          <w:szCs w:val="20"/>
          <w:lang w:val="en-GB"/>
        </w:rPr>
        <w:t>Marine Biology,</w:t>
      </w:r>
      <w:r w:rsidRPr="001A1175">
        <w:rPr>
          <w:spacing w:val="-3"/>
          <w:sz w:val="20"/>
          <w:szCs w:val="20"/>
          <w:lang w:val="en-GB"/>
        </w:rPr>
        <w:t xml:space="preserve"> vol. 135, No. 1 (1999), pp.147-158. </w:t>
      </w:r>
    </w:p>
    <w:p w:rsidR="006A64CC" w:rsidRPr="001A1175" w:rsidRDefault="006A64CC" w:rsidP="00D8418F">
      <w:pPr>
        <w:suppressAutoHyphens/>
        <w:bidi w:val="0"/>
        <w:spacing w:after="120"/>
        <w:ind w:left="172" w:right="565"/>
        <w:rPr>
          <w:spacing w:val="-3"/>
          <w:sz w:val="20"/>
          <w:szCs w:val="20"/>
          <w:lang w:val="en-GB"/>
        </w:rPr>
      </w:pPr>
      <w:r w:rsidRPr="001A1175">
        <w:rPr>
          <w:spacing w:val="-3"/>
          <w:sz w:val="20"/>
          <w:szCs w:val="20"/>
          <w:lang w:val="en-GB"/>
        </w:rPr>
        <w:t xml:space="preserve">Coordinating Group on Alien Pest Species, </w:t>
      </w:r>
      <w:r w:rsidRPr="001A1175">
        <w:rPr>
          <w:i/>
          <w:spacing w:val="-3"/>
          <w:sz w:val="20"/>
          <w:szCs w:val="20"/>
          <w:lang w:val="en-GB"/>
        </w:rPr>
        <w:t>Stop the Silent Invasion</w:t>
      </w:r>
      <w:r w:rsidRPr="001A1175">
        <w:rPr>
          <w:spacing w:val="-3"/>
          <w:sz w:val="20"/>
          <w:szCs w:val="20"/>
          <w:lang w:val="en-GB"/>
        </w:rPr>
        <w:t xml:space="preserve"> (</w:t>
      </w:r>
      <w:smartTag w:uri="urn:schemas-microsoft-com:office:smarttags" w:element="place">
        <w:smartTag w:uri="urn:schemas-microsoft-com:office:smarttags" w:element="City">
          <w:r w:rsidRPr="001A1175">
            <w:rPr>
              <w:spacing w:val="-3"/>
              <w:sz w:val="20"/>
              <w:szCs w:val="20"/>
              <w:lang w:val="en-GB"/>
            </w:rPr>
            <w:t>Honolulu</w:t>
          </w:r>
        </w:smartTag>
      </w:smartTag>
      <w:r w:rsidRPr="001A1175">
        <w:rPr>
          <w:spacing w:val="-3"/>
          <w:sz w:val="20"/>
          <w:szCs w:val="20"/>
          <w:lang w:val="en-GB"/>
        </w:rPr>
        <w:t>, 1996).</w:t>
      </w:r>
    </w:p>
    <w:p w:rsidR="006A64CC" w:rsidRPr="001A1175" w:rsidRDefault="006A64CC" w:rsidP="00D8418F">
      <w:pPr>
        <w:bidi w:val="0"/>
        <w:spacing w:after="120"/>
        <w:ind w:left="172" w:right="565"/>
        <w:rPr>
          <w:sz w:val="20"/>
          <w:szCs w:val="20"/>
          <w:lang w:val="en-GB"/>
        </w:rPr>
      </w:pPr>
      <w:r w:rsidRPr="001A1175">
        <w:rPr>
          <w:sz w:val="20"/>
          <w:szCs w:val="20"/>
          <w:lang w:val="en-GB"/>
        </w:rPr>
        <w:t xml:space="preserve">Francis Howarth, “Impacts of alien land arthropods and molluscs on native plants and animals in </w:t>
      </w:r>
      <w:smartTag w:uri="urn:schemas-microsoft-com:office:smarttags" w:element="place">
        <w:smartTag w:uri="urn:schemas-microsoft-com:office:smarttags" w:element="State">
          <w:r w:rsidRPr="001A1175">
            <w:rPr>
              <w:sz w:val="20"/>
              <w:szCs w:val="20"/>
              <w:lang w:val="en-GB"/>
            </w:rPr>
            <w:t>Hawaii</w:t>
          </w:r>
        </w:smartTag>
      </w:smartTag>
      <w:r w:rsidRPr="001A1175">
        <w:rPr>
          <w:sz w:val="20"/>
          <w:szCs w:val="20"/>
          <w:lang w:val="en-GB"/>
        </w:rPr>
        <w:t xml:space="preserve">”, in </w:t>
      </w:r>
      <w:r w:rsidRPr="001A1175">
        <w:rPr>
          <w:i/>
          <w:iCs/>
          <w:sz w:val="20"/>
          <w:szCs w:val="20"/>
          <w:lang w:val="en-GB"/>
        </w:rPr>
        <w:t xml:space="preserve">Hawaii's Terrestrial Ecosystems: Preservation and Management, </w:t>
      </w:r>
      <w:r w:rsidRPr="001A1175">
        <w:rPr>
          <w:sz w:val="20"/>
          <w:szCs w:val="20"/>
          <w:lang w:val="en-GB"/>
        </w:rPr>
        <w:t>eds. C. P. Stone and J. Michael Scott (Honolulu, University of Hawaii Press, 1985).</w:t>
      </w:r>
    </w:p>
    <w:p w:rsidR="006A64CC" w:rsidRPr="001A1175" w:rsidRDefault="006A64CC" w:rsidP="00D8418F">
      <w:pPr>
        <w:bidi w:val="0"/>
        <w:spacing w:after="120"/>
        <w:ind w:left="172" w:right="565"/>
        <w:rPr>
          <w:sz w:val="20"/>
          <w:szCs w:val="20"/>
          <w:lang w:val="en-GB"/>
        </w:rPr>
      </w:pPr>
      <w:r w:rsidRPr="001A1175">
        <w:rPr>
          <w:sz w:val="20"/>
          <w:szCs w:val="20"/>
          <w:lang w:val="en-GB"/>
        </w:rPr>
        <w:t xml:space="preserve">Marianne Kettunen and others, </w:t>
      </w:r>
      <w:r w:rsidRPr="001A1175">
        <w:rPr>
          <w:i/>
          <w:sz w:val="20"/>
          <w:szCs w:val="20"/>
          <w:lang w:val="en-GB"/>
        </w:rPr>
        <w:t xml:space="preserve">Technical support to EU strategy on invasive alien species (IAS): Assessment of the impacts of IAS in Europe and the EU </w:t>
      </w:r>
      <w:r w:rsidRPr="001A1175">
        <w:rPr>
          <w:sz w:val="20"/>
          <w:szCs w:val="20"/>
          <w:lang w:val="en-GB"/>
        </w:rPr>
        <w:t>(</w:t>
      </w:r>
      <w:smartTag w:uri="urn:schemas-microsoft-com:office:smarttags" w:element="place">
        <w:smartTag w:uri="urn:schemas-microsoft-com:office:smarttags" w:element="City">
          <w:r w:rsidRPr="001A1175">
            <w:rPr>
              <w:sz w:val="20"/>
              <w:szCs w:val="20"/>
              <w:lang w:val="en-GB"/>
            </w:rPr>
            <w:t>Brussels</w:t>
          </w:r>
        </w:smartTag>
      </w:smartTag>
      <w:r w:rsidRPr="001A1175">
        <w:rPr>
          <w:sz w:val="20"/>
          <w:szCs w:val="20"/>
          <w:lang w:val="en-GB"/>
        </w:rPr>
        <w:t>, Institute for European Environmental Policy, 2009).</w:t>
      </w:r>
    </w:p>
    <w:p w:rsidR="006A64CC" w:rsidRPr="001A1175" w:rsidRDefault="006A64CC" w:rsidP="00D8418F">
      <w:pPr>
        <w:autoSpaceDE w:val="0"/>
        <w:autoSpaceDN w:val="0"/>
        <w:bidi w:val="0"/>
        <w:adjustRightInd w:val="0"/>
        <w:spacing w:after="120"/>
        <w:ind w:left="172" w:right="565"/>
        <w:rPr>
          <w:i/>
          <w:iCs/>
          <w:sz w:val="20"/>
          <w:szCs w:val="20"/>
          <w:lang w:val="en-GB" w:eastAsia="fr-FR"/>
        </w:rPr>
      </w:pPr>
      <w:r w:rsidRPr="001A1175">
        <w:rPr>
          <w:sz w:val="20"/>
          <w:szCs w:val="20"/>
          <w:lang w:val="en-GB" w:eastAsia="fr-FR"/>
        </w:rPr>
        <w:t xml:space="preserve">J. Le Breton, J. Chazeau and H. Jourdan, “Immediate impacts of invasion by </w:t>
      </w:r>
      <w:r w:rsidRPr="001A1175">
        <w:rPr>
          <w:i/>
          <w:iCs/>
          <w:sz w:val="20"/>
          <w:szCs w:val="20"/>
          <w:lang w:val="en-GB" w:eastAsia="fr-FR"/>
        </w:rPr>
        <w:t xml:space="preserve">Wasmannia auropunctata </w:t>
      </w:r>
      <w:r w:rsidRPr="001A1175">
        <w:rPr>
          <w:sz w:val="20"/>
          <w:szCs w:val="20"/>
          <w:lang w:val="en-GB" w:eastAsia="fr-FR"/>
        </w:rPr>
        <w:t>(Hymenoptera: Formicidae) on native litter ant fauna in a New Caledonian</w:t>
      </w:r>
      <w:r w:rsidRPr="001A1175">
        <w:rPr>
          <w:i/>
          <w:iCs/>
          <w:sz w:val="20"/>
          <w:szCs w:val="20"/>
          <w:lang w:val="en-GB" w:eastAsia="fr-FR"/>
        </w:rPr>
        <w:t xml:space="preserve"> </w:t>
      </w:r>
      <w:r w:rsidRPr="001A1175">
        <w:rPr>
          <w:sz w:val="20"/>
          <w:szCs w:val="20"/>
          <w:lang w:val="en-GB" w:eastAsia="fr-FR"/>
        </w:rPr>
        <w:t xml:space="preserve">rainforest”, </w:t>
      </w:r>
      <w:r w:rsidRPr="001A1175">
        <w:rPr>
          <w:i/>
          <w:sz w:val="20"/>
          <w:szCs w:val="20"/>
          <w:lang w:val="en-GB" w:eastAsia="fr-FR"/>
        </w:rPr>
        <w:t>Austral Ecology</w:t>
      </w:r>
      <w:r w:rsidRPr="001A1175">
        <w:rPr>
          <w:sz w:val="20"/>
          <w:szCs w:val="20"/>
          <w:lang w:val="en-GB" w:eastAsia="fr-FR"/>
        </w:rPr>
        <w:t>, vol. 28, No. 2 (2003), pp. 204–209.</w:t>
      </w:r>
    </w:p>
    <w:p w:rsidR="006A64CC" w:rsidRPr="001A1175" w:rsidRDefault="006A64CC" w:rsidP="00D8418F">
      <w:pPr>
        <w:bidi w:val="0"/>
        <w:spacing w:after="120"/>
        <w:ind w:left="172" w:right="565"/>
        <w:rPr>
          <w:sz w:val="20"/>
          <w:szCs w:val="20"/>
          <w:lang w:val="en-GB"/>
        </w:rPr>
      </w:pPr>
      <w:r w:rsidRPr="001A1175">
        <w:rPr>
          <w:sz w:val="20"/>
          <w:szCs w:val="20"/>
          <w:lang w:val="en-GB"/>
        </w:rPr>
        <w:t xml:space="preserve">Sarah Lowe and others, </w:t>
      </w:r>
      <w:r w:rsidRPr="001A1175">
        <w:rPr>
          <w:i/>
          <w:sz w:val="20"/>
          <w:szCs w:val="20"/>
          <w:lang w:val="en-GB"/>
        </w:rPr>
        <w:t>100 of the World’s Worst Invasive Alien Species: A Selection from the Global Invasive Species Database</w:t>
      </w:r>
      <w:r w:rsidRPr="001A1175">
        <w:rPr>
          <w:sz w:val="20"/>
          <w:szCs w:val="20"/>
          <w:lang w:val="en-GB"/>
        </w:rPr>
        <w:t xml:space="preserve"> (</w:t>
      </w:r>
      <w:r w:rsidRPr="001A1175">
        <w:rPr>
          <w:rStyle w:val="style1"/>
          <w:sz w:val="20"/>
          <w:szCs w:val="20"/>
          <w:lang w:val="en-GB"/>
        </w:rPr>
        <w:t>IUCN Invasive Species Specialist Group, 2000) (available at http://www.issg.org/database/species/reference_files/100English.pdf).</w:t>
      </w:r>
    </w:p>
    <w:p w:rsidR="006A64CC" w:rsidRPr="001A1175" w:rsidRDefault="006A64CC" w:rsidP="00D8418F">
      <w:pPr>
        <w:bidi w:val="0"/>
        <w:spacing w:after="120"/>
        <w:ind w:left="172" w:right="565"/>
        <w:rPr>
          <w:sz w:val="20"/>
          <w:szCs w:val="20"/>
          <w:lang w:val="en-GB"/>
        </w:rPr>
      </w:pPr>
      <w:r w:rsidRPr="001A1175">
        <w:rPr>
          <w:sz w:val="20"/>
          <w:szCs w:val="20"/>
          <w:lang w:val="en-GB"/>
        </w:rPr>
        <w:t xml:space="preserve">Jean Bruno Mikissa and others “Preliminary Assessment on the Interactions of </w:t>
      </w:r>
      <w:r w:rsidRPr="001A1175">
        <w:rPr>
          <w:i/>
          <w:iCs/>
          <w:sz w:val="20"/>
          <w:szCs w:val="20"/>
          <w:lang w:val="en-GB"/>
        </w:rPr>
        <w:t xml:space="preserve">Wasmannia auropunctata </w:t>
      </w:r>
      <w:r w:rsidRPr="001A1175">
        <w:rPr>
          <w:sz w:val="20"/>
          <w:szCs w:val="20"/>
          <w:lang w:val="en-GB"/>
        </w:rPr>
        <w:t>in Native Ant Communities (Hymenoptera:</w:t>
      </w:r>
      <w:r w:rsidRPr="001A1175">
        <w:rPr>
          <w:i/>
          <w:iCs/>
          <w:sz w:val="20"/>
          <w:szCs w:val="20"/>
          <w:lang w:val="en-GB"/>
        </w:rPr>
        <w:t xml:space="preserve"> </w:t>
      </w:r>
      <w:r w:rsidRPr="001A1175">
        <w:rPr>
          <w:sz w:val="20"/>
          <w:szCs w:val="20"/>
          <w:lang w:val="en-GB"/>
        </w:rPr>
        <w:t xml:space="preserve">Formicidae) of a Mosaic Gallery Forest/Savannah in </w:t>
      </w:r>
      <w:smartTag w:uri="urn:schemas-microsoft-com:office:smarttags" w:element="place">
        <w:smartTag w:uri="urn:schemas-microsoft-com:office:smarttags" w:element="City">
          <w:r w:rsidRPr="001A1175">
            <w:rPr>
              <w:sz w:val="20"/>
              <w:szCs w:val="20"/>
              <w:lang w:val="en-GB"/>
            </w:rPr>
            <w:t>Lope</w:t>
          </w:r>
          <w:r w:rsidRPr="001A1175">
            <w:rPr>
              <w:i/>
              <w:iCs/>
              <w:sz w:val="20"/>
              <w:szCs w:val="20"/>
              <w:lang w:val="en-GB"/>
            </w:rPr>
            <w:t xml:space="preserve"> </w:t>
          </w:r>
          <w:r w:rsidRPr="001A1175">
            <w:rPr>
              <w:sz w:val="20"/>
              <w:szCs w:val="20"/>
              <w:lang w:val="en-GB"/>
            </w:rPr>
            <w:t>National Park</w:t>
          </w:r>
        </w:smartTag>
        <w:r w:rsidRPr="001A1175">
          <w:rPr>
            <w:sz w:val="20"/>
            <w:szCs w:val="20"/>
            <w:lang w:val="en-GB"/>
          </w:rPr>
          <w:t xml:space="preserve">, </w:t>
        </w:r>
        <w:smartTag w:uri="urn:schemas-microsoft-com:office:smarttags" w:element="country-region">
          <w:r w:rsidRPr="001A1175">
            <w:rPr>
              <w:sz w:val="20"/>
              <w:szCs w:val="20"/>
              <w:lang w:val="en-GB"/>
            </w:rPr>
            <w:t>Gabon</w:t>
          </w:r>
        </w:smartTag>
      </w:smartTag>
      <w:r w:rsidRPr="001A1175">
        <w:rPr>
          <w:sz w:val="20"/>
          <w:szCs w:val="20"/>
          <w:lang w:val="en-GB"/>
        </w:rPr>
        <w:t xml:space="preserve">”, </w:t>
      </w:r>
      <w:r w:rsidRPr="001A1175">
        <w:rPr>
          <w:i/>
          <w:sz w:val="20"/>
          <w:szCs w:val="20"/>
          <w:lang w:val="en-GB"/>
        </w:rPr>
        <w:t>Sociobiology</w:t>
      </w:r>
      <w:r w:rsidRPr="001A1175">
        <w:rPr>
          <w:sz w:val="20"/>
          <w:szCs w:val="20"/>
          <w:lang w:val="en-GB"/>
        </w:rPr>
        <w:t xml:space="preserve">, vol. </w:t>
      </w:r>
      <w:r w:rsidRPr="001A1175">
        <w:rPr>
          <w:bCs/>
          <w:sz w:val="20"/>
          <w:szCs w:val="20"/>
          <w:lang w:val="en-GB"/>
        </w:rPr>
        <w:t>51, No. 1 (2008), pp.</w:t>
      </w:r>
      <w:r w:rsidRPr="001A1175">
        <w:rPr>
          <w:sz w:val="20"/>
          <w:szCs w:val="20"/>
          <w:lang w:val="en-GB"/>
        </w:rPr>
        <w:t xml:space="preserve"> 207–218.</w:t>
      </w:r>
    </w:p>
    <w:p w:rsidR="006A64CC" w:rsidRPr="001A1175" w:rsidRDefault="006A64CC" w:rsidP="00D8418F">
      <w:pPr>
        <w:tabs>
          <w:tab w:val="left" w:pos="-720"/>
        </w:tabs>
        <w:suppressAutoHyphens/>
        <w:bidi w:val="0"/>
        <w:spacing w:after="120"/>
        <w:ind w:left="172" w:right="565"/>
        <w:rPr>
          <w:spacing w:val="-3"/>
          <w:sz w:val="20"/>
          <w:szCs w:val="20"/>
          <w:lang w:val="en-GB"/>
        </w:rPr>
      </w:pPr>
      <w:r w:rsidRPr="00DA4058">
        <w:rPr>
          <w:sz w:val="20"/>
          <w:szCs w:val="20"/>
          <w:lang w:val="en-GB"/>
        </w:rPr>
        <w:t xml:space="preserve">David Pimentel and others, “Environmental and economic costs of nonindigenous species in the </w:t>
      </w:r>
      <w:smartTag w:uri="urn:schemas-microsoft-com:office:smarttags" w:element="place">
        <w:smartTag w:uri="urn:schemas-microsoft-com:office:smarttags" w:element="country-region">
          <w:r w:rsidRPr="00DA4058">
            <w:rPr>
              <w:sz w:val="20"/>
              <w:szCs w:val="20"/>
              <w:lang w:val="en-GB"/>
            </w:rPr>
            <w:t>United States</w:t>
          </w:r>
        </w:smartTag>
      </w:smartTag>
      <w:r w:rsidRPr="00DA4058">
        <w:rPr>
          <w:sz w:val="20"/>
          <w:szCs w:val="20"/>
          <w:lang w:val="en-GB"/>
        </w:rPr>
        <w:t xml:space="preserve">”, </w:t>
      </w:r>
      <w:r w:rsidRPr="00DA4058">
        <w:rPr>
          <w:i/>
          <w:sz w:val="20"/>
          <w:szCs w:val="20"/>
          <w:lang w:val="en-GB"/>
        </w:rPr>
        <w:t>Bioscience</w:t>
      </w:r>
      <w:r w:rsidRPr="00DA4058">
        <w:rPr>
          <w:sz w:val="20"/>
          <w:szCs w:val="20"/>
          <w:lang w:val="en-GB"/>
        </w:rPr>
        <w:t>, vol. 50, No. 1 (2000), pp. 53–65.</w:t>
      </w:r>
    </w:p>
    <w:p w:rsidR="006A64CC" w:rsidRPr="001A1175" w:rsidRDefault="006A64CC" w:rsidP="00D8418F">
      <w:pPr>
        <w:tabs>
          <w:tab w:val="left" w:pos="-720"/>
        </w:tabs>
        <w:suppressAutoHyphens/>
        <w:bidi w:val="0"/>
        <w:spacing w:after="120"/>
        <w:ind w:left="172" w:right="565"/>
        <w:rPr>
          <w:spacing w:val="-3"/>
          <w:sz w:val="20"/>
          <w:szCs w:val="20"/>
          <w:lang w:val="en-GB"/>
        </w:rPr>
      </w:pPr>
      <w:r w:rsidRPr="00DA4058">
        <w:rPr>
          <w:sz w:val="20"/>
          <w:szCs w:val="20"/>
          <w:lang w:val="en-GB"/>
        </w:rPr>
        <w:t xml:space="preserve">David Pimentel, Rodolfo Zuniga and Doug Morrison, “Update on the environmental and economic costs associated with alien invasive species in the </w:t>
      </w:r>
      <w:smartTag w:uri="urn:schemas-microsoft-com:office:smarttags" w:element="place">
        <w:smartTag w:uri="urn:schemas-microsoft-com:office:smarttags" w:element="country-region">
          <w:r w:rsidRPr="00DA4058">
            <w:rPr>
              <w:sz w:val="20"/>
              <w:szCs w:val="20"/>
              <w:lang w:val="en-GB"/>
            </w:rPr>
            <w:t>United States</w:t>
          </w:r>
        </w:smartTag>
      </w:smartTag>
      <w:r w:rsidRPr="00DA4058">
        <w:rPr>
          <w:sz w:val="20"/>
          <w:szCs w:val="20"/>
          <w:lang w:val="en-GB"/>
        </w:rPr>
        <w:t xml:space="preserve">”, </w:t>
      </w:r>
      <w:r w:rsidRPr="00DA4058">
        <w:rPr>
          <w:i/>
          <w:sz w:val="20"/>
          <w:szCs w:val="20"/>
          <w:lang w:val="en-GB"/>
        </w:rPr>
        <w:t>Ecological Economics</w:t>
      </w:r>
      <w:r w:rsidRPr="00DA4058">
        <w:rPr>
          <w:sz w:val="20"/>
          <w:szCs w:val="20"/>
          <w:lang w:val="en-GB"/>
        </w:rPr>
        <w:t>, vol. 52, No. 3 (2005), pp. 273–288.</w:t>
      </w:r>
      <w:r w:rsidRPr="00DA4058">
        <w:rPr>
          <w:rStyle w:val="apple-converted-space"/>
          <w:sz w:val="20"/>
          <w:szCs w:val="20"/>
          <w:lang w:val="en-GB"/>
        </w:rPr>
        <w:t> </w:t>
      </w:r>
    </w:p>
    <w:p w:rsidR="006A64CC" w:rsidRPr="001A1175" w:rsidRDefault="006A64CC" w:rsidP="00D8418F">
      <w:pPr>
        <w:tabs>
          <w:tab w:val="left" w:pos="-720"/>
        </w:tabs>
        <w:suppressAutoHyphens/>
        <w:bidi w:val="0"/>
        <w:spacing w:after="120"/>
        <w:ind w:left="172" w:right="565"/>
        <w:rPr>
          <w:spacing w:val="-3"/>
          <w:sz w:val="20"/>
          <w:szCs w:val="20"/>
          <w:lang w:val="en-GB"/>
        </w:rPr>
      </w:pPr>
      <w:r w:rsidRPr="001A1175">
        <w:rPr>
          <w:spacing w:val="-3"/>
          <w:sz w:val="20"/>
          <w:szCs w:val="20"/>
          <w:lang w:val="en-GB"/>
        </w:rPr>
        <w:t xml:space="preserve">Gordon H. Rodda and Thomas H. Fritts,  “The brown tree snake on Pacific islands”, </w:t>
      </w:r>
      <w:r w:rsidRPr="001A1175">
        <w:rPr>
          <w:i/>
          <w:spacing w:val="-3"/>
          <w:sz w:val="20"/>
          <w:szCs w:val="20"/>
          <w:lang w:val="en-GB"/>
        </w:rPr>
        <w:t>Pacific Science Association Information Bulletin</w:t>
      </w:r>
      <w:r w:rsidRPr="001A1175">
        <w:rPr>
          <w:spacing w:val="-3"/>
          <w:sz w:val="20"/>
          <w:szCs w:val="20"/>
          <w:lang w:val="en-GB"/>
        </w:rPr>
        <w:t>, vol. 45, No. 3–4 (Sept.–Dec. 1993), pp. 1–3.</w:t>
      </w:r>
    </w:p>
    <w:p w:rsidR="006A64CC" w:rsidRPr="001A1175" w:rsidRDefault="006A64CC" w:rsidP="00D8418F">
      <w:pPr>
        <w:tabs>
          <w:tab w:val="left" w:pos="-720"/>
        </w:tabs>
        <w:suppressAutoHyphens/>
        <w:bidi w:val="0"/>
        <w:spacing w:after="120"/>
        <w:ind w:left="172" w:right="565"/>
        <w:rPr>
          <w:spacing w:val="-3"/>
          <w:sz w:val="20"/>
          <w:szCs w:val="20"/>
          <w:lang w:val="en-GB"/>
        </w:rPr>
      </w:pPr>
      <w:r w:rsidRPr="001A1175">
        <w:rPr>
          <w:spacing w:val="-3"/>
          <w:sz w:val="20"/>
          <w:szCs w:val="20"/>
          <w:lang w:val="en-GB"/>
        </w:rPr>
        <w:t xml:space="preserve">Daniel Simberloff and others, “Impacts of biological invasions: what’s what and the way forward”, </w:t>
      </w:r>
      <w:r w:rsidRPr="001A1175">
        <w:rPr>
          <w:i/>
          <w:spacing w:val="-3"/>
          <w:sz w:val="20"/>
          <w:szCs w:val="20"/>
          <w:lang w:val="en-GB"/>
        </w:rPr>
        <w:t xml:space="preserve">Trends in Ecology </w:t>
      </w:r>
      <w:r w:rsidRPr="001A1175">
        <w:rPr>
          <w:spacing w:val="-3"/>
          <w:sz w:val="20"/>
          <w:szCs w:val="20"/>
          <w:lang w:val="en-GB"/>
        </w:rPr>
        <w:t>&amp;</w:t>
      </w:r>
      <w:r w:rsidRPr="001A1175">
        <w:rPr>
          <w:i/>
          <w:spacing w:val="-3"/>
          <w:sz w:val="20"/>
          <w:szCs w:val="20"/>
          <w:lang w:val="en-GB"/>
        </w:rPr>
        <w:t xml:space="preserve"> Evolution</w:t>
      </w:r>
      <w:r w:rsidRPr="001A1175">
        <w:rPr>
          <w:spacing w:val="-3"/>
          <w:sz w:val="20"/>
          <w:szCs w:val="20"/>
          <w:lang w:val="en-GB"/>
        </w:rPr>
        <w:t>, vol. 28, No. 1 (2013), pp. 58–66.</w:t>
      </w:r>
    </w:p>
    <w:p w:rsidR="006A64CC" w:rsidRPr="001A1175" w:rsidRDefault="006A64CC" w:rsidP="00D8418F">
      <w:pPr>
        <w:tabs>
          <w:tab w:val="left" w:pos="1560"/>
          <w:tab w:val="left" w:pos="1920"/>
        </w:tabs>
        <w:bidi w:val="0"/>
        <w:spacing w:after="120"/>
        <w:ind w:left="172" w:right="565"/>
        <w:rPr>
          <w:bCs/>
          <w:sz w:val="20"/>
          <w:szCs w:val="20"/>
          <w:lang w:val="en-GB"/>
        </w:rPr>
      </w:pPr>
      <w:r w:rsidRPr="001A1175">
        <w:rPr>
          <w:bCs/>
          <w:sz w:val="20"/>
          <w:szCs w:val="20"/>
          <w:lang w:val="en-GB"/>
        </w:rPr>
        <w:t xml:space="preserve">United States Forest Service, “Pacific Island Ecosystems at Risk (PIER)”, available at </w:t>
      </w:r>
      <w:r w:rsidRPr="001A1175">
        <w:rPr>
          <w:sz w:val="20"/>
          <w:szCs w:val="20"/>
          <w:lang w:val="en-GB"/>
        </w:rPr>
        <w:t>http://www.hear.org/pier</w:t>
      </w:r>
      <w:r w:rsidRPr="001A1175">
        <w:rPr>
          <w:lang w:val="en-GB"/>
        </w:rPr>
        <w:t xml:space="preserve"> </w:t>
      </w:r>
      <w:r w:rsidRPr="001A1175">
        <w:rPr>
          <w:bCs/>
          <w:sz w:val="20"/>
          <w:szCs w:val="20"/>
          <w:lang w:val="en-GB"/>
        </w:rPr>
        <w:t>(accessed 2 October 2013).</w:t>
      </w:r>
    </w:p>
    <w:p w:rsidR="006A64CC" w:rsidRPr="001A1175" w:rsidRDefault="006A64CC" w:rsidP="00D8418F">
      <w:pPr>
        <w:autoSpaceDE w:val="0"/>
        <w:autoSpaceDN w:val="0"/>
        <w:bidi w:val="0"/>
        <w:adjustRightInd w:val="0"/>
        <w:spacing w:after="120"/>
        <w:ind w:left="172" w:right="565"/>
        <w:rPr>
          <w:sz w:val="20"/>
          <w:szCs w:val="20"/>
          <w:lang w:val="en-GB" w:eastAsia="fr-FR"/>
        </w:rPr>
      </w:pPr>
      <w:r w:rsidRPr="001A1175">
        <w:rPr>
          <w:sz w:val="20"/>
          <w:szCs w:val="20"/>
          <w:lang w:val="en-GB" w:eastAsia="fr-FR"/>
        </w:rPr>
        <w:t xml:space="preserve">Kendra L. Walker, “Impact of the little fire ant, </w:t>
      </w:r>
      <w:r w:rsidRPr="001A1175">
        <w:rPr>
          <w:i/>
          <w:iCs/>
          <w:sz w:val="20"/>
          <w:szCs w:val="20"/>
          <w:lang w:val="en-GB" w:eastAsia="fr-FR"/>
        </w:rPr>
        <w:t>Wasmannia auropunctata</w:t>
      </w:r>
      <w:r w:rsidRPr="001A1175">
        <w:rPr>
          <w:sz w:val="20"/>
          <w:szCs w:val="20"/>
          <w:lang w:val="en-GB" w:eastAsia="fr-FR"/>
        </w:rPr>
        <w:t xml:space="preserve">, on native forest ants in </w:t>
      </w:r>
      <w:smartTag w:uri="urn:schemas-microsoft-com:office:smarttags" w:element="place">
        <w:smartTag w:uri="urn:schemas-microsoft-com:office:smarttags" w:element="country-region">
          <w:r w:rsidRPr="001A1175">
            <w:rPr>
              <w:sz w:val="20"/>
              <w:szCs w:val="20"/>
              <w:lang w:val="en-GB" w:eastAsia="fr-FR"/>
            </w:rPr>
            <w:t>Gabon</w:t>
          </w:r>
        </w:smartTag>
      </w:smartTag>
      <w:r w:rsidRPr="001A1175">
        <w:rPr>
          <w:sz w:val="20"/>
          <w:szCs w:val="20"/>
          <w:lang w:val="en-GB" w:eastAsia="fr-FR"/>
        </w:rPr>
        <w:t xml:space="preserve">”, </w:t>
      </w:r>
      <w:r w:rsidRPr="001A1175">
        <w:rPr>
          <w:i/>
          <w:sz w:val="20"/>
          <w:szCs w:val="20"/>
          <w:lang w:val="en-GB" w:eastAsia="fr-FR"/>
        </w:rPr>
        <w:t>Biotropica</w:t>
      </w:r>
      <w:r w:rsidRPr="001A1175">
        <w:rPr>
          <w:sz w:val="20"/>
          <w:szCs w:val="20"/>
          <w:lang w:val="en-GB" w:eastAsia="fr-FR"/>
        </w:rPr>
        <w:t>, vol. 38, No. 5 (2006), pp. 666–673.</w:t>
      </w:r>
    </w:p>
    <w:p w:rsidR="006A64CC" w:rsidRPr="001A1175" w:rsidRDefault="006A64CC" w:rsidP="00D8418F">
      <w:pPr>
        <w:autoSpaceDE w:val="0"/>
        <w:autoSpaceDN w:val="0"/>
        <w:bidi w:val="0"/>
        <w:adjustRightInd w:val="0"/>
        <w:spacing w:after="120"/>
        <w:ind w:left="172" w:right="565"/>
        <w:rPr>
          <w:sz w:val="20"/>
          <w:szCs w:val="20"/>
          <w:lang w:val="en-GB" w:eastAsia="fr-FR"/>
        </w:rPr>
      </w:pPr>
      <w:r w:rsidRPr="001A1175">
        <w:rPr>
          <w:sz w:val="20"/>
          <w:szCs w:val="20"/>
          <w:lang w:val="en-GB" w:eastAsia="fr-FR"/>
        </w:rPr>
        <w:t>James K. Wetterer, P. D. Walsh and L. J. T. White, “</w:t>
      </w:r>
      <w:r w:rsidRPr="001A1175">
        <w:rPr>
          <w:i/>
          <w:iCs/>
          <w:sz w:val="20"/>
          <w:szCs w:val="20"/>
          <w:lang w:val="en-GB" w:eastAsia="fr-FR"/>
        </w:rPr>
        <w:t xml:space="preserve">Wasmannia auropunctata </w:t>
      </w:r>
      <w:r w:rsidRPr="001A1175">
        <w:rPr>
          <w:sz w:val="20"/>
          <w:szCs w:val="20"/>
          <w:lang w:val="en-GB" w:eastAsia="fr-FR"/>
        </w:rPr>
        <w:t xml:space="preserve">(Roger) (Hymenoptera: Formicidae), a destructive tramp-ant, in wildlife refuges of </w:t>
      </w:r>
      <w:smartTag w:uri="urn:schemas-microsoft-com:office:smarttags" w:element="place">
        <w:smartTag w:uri="urn:schemas-microsoft-com:office:smarttags" w:element="country-region">
          <w:r w:rsidRPr="001A1175">
            <w:rPr>
              <w:sz w:val="20"/>
              <w:szCs w:val="20"/>
              <w:lang w:val="en-GB" w:eastAsia="fr-FR"/>
            </w:rPr>
            <w:t>Gabon</w:t>
          </w:r>
        </w:smartTag>
      </w:smartTag>
      <w:r w:rsidRPr="001A1175">
        <w:rPr>
          <w:sz w:val="20"/>
          <w:szCs w:val="20"/>
          <w:lang w:val="en-GB" w:eastAsia="fr-FR"/>
        </w:rPr>
        <w:t xml:space="preserve">”, </w:t>
      </w:r>
      <w:r w:rsidRPr="001A1175">
        <w:rPr>
          <w:i/>
          <w:sz w:val="20"/>
          <w:szCs w:val="20"/>
          <w:lang w:val="en-GB" w:eastAsia="fr-FR"/>
        </w:rPr>
        <w:t>African. Entomology</w:t>
      </w:r>
      <w:r w:rsidRPr="001A1175">
        <w:rPr>
          <w:sz w:val="20"/>
          <w:szCs w:val="20"/>
          <w:lang w:val="en-GB" w:eastAsia="fr-FR"/>
        </w:rPr>
        <w:t>, vol. 7, No. 2 (1999), pp. 292–294.</w:t>
      </w:r>
    </w:p>
    <w:p w:rsidR="006A64CC" w:rsidRPr="001A1175" w:rsidRDefault="006A64CC" w:rsidP="00D8418F">
      <w:pPr>
        <w:bidi w:val="0"/>
        <w:spacing w:after="120"/>
        <w:ind w:left="172" w:right="565"/>
        <w:rPr>
          <w:sz w:val="20"/>
          <w:szCs w:val="20"/>
          <w:lang w:val="en-GB"/>
        </w:rPr>
      </w:pPr>
      <w:r w:rsidRPr="001A1175">
        <w:rPr>
          <w:sz w:val="20"/>
          <w:szCs w:val="20"/>
          <w:lang w:val="en-GB"/>
        </w:rPr>
        <w:t xml:space="preserve">James K. Wetterer, “Worldwide spread of the destroyer ant, </w:t>
      </w:r>
      <w:r w:rsidRPr="001A1175">
        <w:rPr>
          <w:i/>
          <w:sz w:val="20"/>
          <w:szCs w:val="20"/>
          <w:lang w:val="en-GB"/>
        </w:rPr>
        <w:t>Monomorium destructor</w:t>
      </w:r>
      <w:r w:rsidRPr="001A1175">
        <w:rPr>
          <w:sz w:val="20"/>
          <w:szCs w:val="20"/>
          <w:lang w:val="en-GB"/>
        </w:rPr>
        <w:t xml:space="preserve"> (Hymenoptera: Formicidae)”, </w:t>
      </w:r>
      <w:r w:rsidRPr="001A1175">
        <w:rPr>
          <w:i/>
          <w:sz w:val="20"/>
          <w:szCs w:val="20"/>
          <w:lang w:val="en-GB"/>
        </w:rPr>
        <w:t>Myrmecological News</w:t>
      </w:r>
      <w:r w:rsidRPr="001A1175">
        <w:rPr>
          <w:sz w:val="20"/>
          <w:szCs w:val="20"/>
          <w:lang w:val="en-GB"/>
        </w:rPr>
        <w:t>, vol. 12 (2009), pp. 97–118.</w:t>
      </w:r>
    </w:p>
    <w:p w:rsidR="006A64CC" w:rsidRPr="001A1175" w:rsidRDefault="006A64CC" w:rsidP="00D8418F">
      <w:pPr>
        <w:bidi w:val="0"/>
        <w:spacing w:after="120"/>
        <w:ind w:left="172" w:right="565"/>
        <w:rPr>
          <w:sz w:val="20"/>
          <w:szCs w:val="20"/>
          <w:lang w:val="en-GB"/>
        </w:rPr>
      </w:pPr>
      <w:r w:rsidRPr="001A1175">
        <w:rPr>
          <w:sz w:val="20"/>
          <w:szCs w:val="20"/>
          <w:lang w:val="en-GB"/>
        </w:rPr>
        <w:t>United States Geological Survey Invasive Species Programme, available at www.usgs.gov/ecosystems/invasive_species/.</w:t>
      </w:r>
    </w:p>
    <w:p w:rsidR="00451ABD" w:rsidRDefault="0038322E" w:rsidP="0038322E">
      <w:pPr>
        <w:spacing w:after="120" w:line="400" w:lineRule="exact"/>
        <w:ind w:left="1440"/>
        <w:jc w:val="center"/>
        <w:rPr>
          <w:rFonts w:cs="Traditional Arabic"/>
          <w:sz w:val="30"/>
          <w:szCs w:val="30"/>
        </w:rPr>
      </w:pPr>
      <w:r>
        <w:rPr>
          <w:rFonts w:cs="Traditional Arabic"/>
          <w:sz w:val="30"/>
          <w:szCs w:val="30"/>
        </w:rPr>
        <w:t>____</w:t>
      </w:r>
      <w:r w:rsidR="00EC3A5F">
        <w:rPr>
          <w:rFonts w:cs="Traditional Arabic"/>
          <w:sz w:val="30"/>
          <w:szCs w:val="30"/>
        </w:rPr>
        <w:t>________</w:t>
      </w:r>
    </w:p>
    <w:sectPr w:rsidR="00451ABD" w:rsidSect="00955980">
      <w:headerReference w:type="even" r:id="rId10"/>
      <w:headerReference w:type="default" r:id="rId11"/>
      <w:footerReference w:type="even" r:id="rId12"/>
      <w:footerReference w:type="default" r:id="rId13"/>
      <w:headerReference w:type="first" r:id="rId14"/>
      <w:footerReference w:type="first" r:id="rId15"/>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7C5" w:rsidRDefault="003527C5">
      <w:r>
        <w:separator/>
      </w:r>
    </w:p>
  </w:endnote>
  <w:endnote w:type="continuationSeparator" w:id="0">
    <w:p w:rsidR="003527C5" w:rsidRDefault="003527C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CE" w:rsidRPr="00B86C1A" w:rsidRDefault="00E813CE" w:rsidP="00B86C1A">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C37818">
      <w:rPr>
        <w:rStyle w:val="PageNumber"/>
        <w:rFonts w:ascii="Times New Roman" w:hAnsi="Times New Roman" w:cs="Times New Roman"/>
        <w:sz w:val="18"/>
        <w:szCs w:val="18"/>
      </w:rPr>
      <w:t>8</w:t>
    </w:r>
    <w:r w:rsidRPr="00B86C1A">
      <w:rPr>
        <w:rStyle w:val="PageNumber"/>
        <w:rFonts w:ascii="Times New Roman" w:hAnsi="Times New Roman"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CE" w:rsidRPr="00B86C1A" w:rsidRDefault="00E813CE" w:rsidP="00B86C1A">
    <w:pPr>
      <w:pStyle w:val="Footer"/>
      <w:tabs>
        <w:tab w:val="clear" w:pos="4153"/>
        <w:tab w:val="clear" w:pos="8306"/>
      </w:tabs>
      <w:bidi w:val="0"/>
      <w:spacing w:before="20" w:after="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C37818">
      <w:rPr>
        <w:rStyle w:val="PageNumber"/>
        <w:rFonts w:ascii="Times New Roman" w:hAnsi="Times New Roman" w:cs="Times New Roman"/>
        <w:sz w:val="18"/>
        <w:szCs w:val="18"/>
      </w:rPr>
      <w:t>9</w:t>
    </w:r>
    <w:r w:rsidRPr="00B86C1A">
      <w:rPr>
        <w:rStyle w:val="PageNumber"/>
        <w:rFonts w:ascii="Times New Roman" w:hAnsi="Times New Roman" w:cs="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CE" w:rsidRDefault="00E813CE" w:rsidP="00023A94">
    <w:pPr>
      <w:pStyle w:val="Footer"/>
      <w:tabs>
        <w:tab w:val="clear" w:pos="4153"/>
        <w:tab w:val="clear" w:pos="8306"/>
      </w:tabs>
      <w:jc w:val="left"/>
    </w:pPr>
    <w:r>
      <w:rPr>
        <w:rStyle w:val="PageNumber"/>
      </w:rPr>
      <w:t>K1353</w:t>
    </w:r>
    <w:r w:rsidR="00D8418F">
      <w:rPr>
        <w:rStyle w:val="PageNumber"/>
      </w:rPr>
      <w:t>338</w:t>
    </w:r>
    <w:r>
      <w:rPr>
        <w:rStyle w:val="PageNumber"/>
      </w:rPr>
      <w:tab/>
    </w:r>
    <w:r w:rsidR="00023A94">
      <w:rPr>
        <w:rStyle w:val="PageNumber"/>
      </w:rPr>
      <w:t>191113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7C5" w:rsidRDefault="003527C5" w:rsidP="00684243">
      <w:pPr>
        <w:ind w:left="720"/>
      </w:pPr>
      <w:r>
        <w:separator/>
      </w:r>
    </w:p>
  </w:footnote>
  <w:footnote w:type="continuationSeparator" w:id="0">
    <w:p w:rsidR="003527C5" w:rsidRDefault="003527C5">
      <w:r>
        <w:continuationSeparator/>
      </w:r>
    </w:p>
  </w:footnote>
  <w:footnote w:id="1">
    <w:p w:rsidR="00E813CE" w:rsidRPr="009E46DF" w:rsidRDefault="00E813CE" w:rsidP="00023A94">
      <w:pPr>
        <w:pStyle w:val="FootnoteText"/>
        <w:ind w:left="1132"/>
        <w:jc w:val="both"/>
        <w:rPr>
          <w:rFonts w:ascii="Times New Roman" w:hAnsi="Times New Roman" w:cs="Times New Roman" w:hint="cs"/>
          <w:rtl/>
        </w:rPr>
      </w:pPr>
      <w:r w:rsidRPr="009E46DF">
        <w:rPr>
          <w:rStyle w:val="FootnoteReference"/>
          <w:rFonts w:ascii="Times New Roman" w:hAnsi="Times New Roman" w:cs="Times New Roman"/>
          <w:vertAlign w:val="baseline"/>
          <w:rtl/>
        </w:rPr>
        <w:t>*</w:t>
      </w:r>
      <w:r w:rsidRPr="002323CD">
        <w:rPr>
          <w:rFonts w:ascii="Traditional Arabic" w:hAnsi="Traditional Arabic" w:cs="Traditional Arabic"/>
          <w:sz w:val="26"/>
          <w:szCs w:val="26"/>
          <w:rtl/>
        </w:rPr>
        <w:t xml:space="preserve"> </w:t>
      </w:r>
      <w:r w:rsidRPr="009E46DF">
        <w:rPr>
          <w:rFonts w:ascii="Times New Roman" w:hAnsi="Times New Roman" w:cs="Times New Roman"/>
        </w:rPr>
        <w:t>IPBES/2/1</w:t>
      </w:r>
      <w:r w:rsidRPr="002323CD">
        <w:rPr>
          <w:rFonts w:ascii="Traditional Arabic" w:hAnsi="Traditional Arabic" w:cs="Traditional Arabic"/>
          <w:sz w:val="26"/>
          <w:szCs w:val="26"/>
          <w:rtl/>
        </w:rPr>
        <w:t>.</w:t>
      </w:r>
    </w:p>
  </w:footnote>
  <w:footnote w:id="2">
    <w:p w:rsidR="00E813CE" w:rsidRPr="00800D84" w:rsidRDefault="00E813CE" w:rsidP="00023A94">
      <w:pPr>
        <w:pStyle w:val="FootnoteText"/>
        <w:tabs>
          <w:tab w:val="right" w:pos="1195"/>
          <w:tab w:val="left" w:pos="1267"/>
          <w:tab w:val="left" w:pos="1656"/>
          <w:tab w:val="left" w:pos="2088"/>
        </w:tabs>
        <w:spacing w:after="80"/>
        <w:ind w:left="1267" w:right="1267" w:hanging="135"/>
        <w:jc w:val="lowKashida"/>
        <w:rPr>
          <w:rFonts w:cs="Traditional Arabic" w:hint="cs"/>
          <w:w w:val="103"/>
          <w:kern w:val="14"/>
          <w:szCs w:val="26"/>
          <w:rtl/>
          <w:lang w:bidi="ar-EG"/>
        </w:rPr>
      </w:pPr>
      <w:r w:rsidRPr="00A6770D">
        <w:rPr>
          <w:rFonts w:cs="Traditional Arabic"/>
          <w:w w:val="103"/>
          <w:kern w:val="14"/>
          <w:szCs w:val="26"/>
          <w:rtl/>
          <w:lang w:bidi="ar-EG"/>
        </w:rPr>
        <w:t>(</w:t>
      </w:r>
      <w:r w:rsidRPr="00A6770D">
        <w:rPr>
          <w:rStyle w:val="FootnoteReference"/>
          <w:rFonts w:cs="Traditional Arabic"/>
          <w:w w:val="103"/>
          <w:kern w:val="14"/>
          <w:szCs w:val="26"/>
          <w:vertAlign w:val="baseline"/>
          <w:rtl/>
          <w:lang w:bidi="ar-EG"/>
        </w:rPr>
        <w:footnoteRef/>
      </w:r>
      <w:r w:rsidRPr="00A6770D">
        <w:rPr>
          <w:rFonts w:cs="Traditional Arabic"/>
          <w:w w:val="103"/>
          <w:kern w:val="14"/>
          <w:szCs w:val="26"/>
          <w:rtl/>
          <w:lang w:bidi="ar-EG"/>
        </w:rPr>
        <w:t>)</w:t>
      </w:r>
      <w:r w:rsidR="00023A94">
        <w:rPr>
          <w:rFonts w:cs="Traditional Arabic" w:hint="cs"/>
          <w:w w:val="103"/>
          <w:kern w:val="14"/>
          <w:szCs w:val="26"/>
          <w:rtl/>
        </w:rPr>
        <w:t xml:space="preserve"> </w:t>
      </w:r>
      <w:r>
        <w:rPr>
          <w:rFonts w:cs="Traditional Arabic" w:hint="cs"/>
          <w:w w:val="103"/>
          <w:kern w:val="14"/>
          <w:szCs w:val="26"/>
          <w:rtl/>
          <w:lang w:bidi="ar-EG"/>
        </w:rPr>
        <w:t xml:space="preserve">يمكن الاطلاع عليها في </w:t>
      </w:r>
      <w:r w:rsidRPr="00E9220E">
        <w:rPr>
          <w:rFonts w:ascii="Times New Roman" w:hAnsi="Times New Roman"/>
          <w:sz w:val="18"/>
          <w:szCs w:val="18"/>
        </w:rPr>
        <w:t>http://www.cbd.int/sp/targets</w:t>
      </w:r>
      <w:r>
        <w:rPr>
          <w:rFonts w:cs="Traditional Arabic" w:hint="cs"/>
          <w:w w:val="103"/>
          <w:kern w:val="14"/>
          <w:szCs w:val="26"/>
          <w:rtl/>
          <w:lang w:bidi="ar-E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CE" w:rsidRPr="00B86C1A" w:rsidRDefault="00E813CE" w:rsidP="00D8418F">
    <w:pPr>
      <w:pBdr>
        <w:bottom w:val="single" w:sz="4" w:space="0" w:color="auto"/>
      </w:pBdr>
      <w:spacing w:before="20" w:after="40" w:line="180" w:lineRule="exact"/>
      <w:rPr>
        <w:rFonts w:hint="cs"/>
        <w:b/>
        <w:bCs/>
        <w:sz w:val="18"/>
        <w:szCs w:val="18"/>
        <w:rtl/>
        <w:lang w:val="fr-FR"/>
      </w:rPr>
    </w:pPr>
    <w:r w:rsidRPr="00B86C1A">
      <w:rPr>
        <w:rStyle w:val="PageNumber"/>
        <w:rFonts w:cs="Times New Roman"/>
        <w:b/>
        <w:bCs/>
        <w:sz w:val="18"/>
        <w:szCs w:val="18"/>
        <w:lang w:val="fr-FR"/>
      </w:rPr>
      <w:t>IPBES/2/</w:t>
    </w:r>
    <w:r w:rsidR="00D8418F">
      <w:rPr>
        <w:rStyle w:val="PageNumber"/>
        <w:rFonts w:cs="Times New Roman"/>
        <w:b/>
        <w:bCs/>
        <w:sz w:val="18"/>
        <w:szCs w:val="18"/>
        <w:lang w:val="fr-FR"/>
      </w:rPr>
      <w:t>16/Add.3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CE" w:rsidRPr="00B86C1A" w:rsidRDefault="00E813CE" w:rsidP="00D8418F">
    <w:pPr>
      <w:pBdr>
        <w:bottom w:val="single" w:sz="4" w:space="1" w:color="auto"/>
      </w:pBdr>
      <w:bidi w:val="0"/>
      <w:spacing w:before="20" w:after="40" w:line="180" w:lineRule="exact"/>
      <w:rPr>
        <w:b/>
        <w:bCs/>
        <w:sz w:val="18"/>
        <w:szCs w:val="18"/>
        <w:rtl/>
        <w:lang w:val="fr-FR"/>
      </w:rPr>
    </w:pPr>
    <w:r w:rsidRPr="00B86C1A">
      <w:rPr>
        <w:rStyle w:val="PageNumber"/>
        <w:rFonts w:cs="Times New Roman"/>
        <w:b/>
        <w:bCs/>
        <w:sz w:val="18"/>
        <w:szCs w:val="18"/>
        <w:lang w:val="fr-FR"/>
      </w:rPr>
      <w:t>IPBES/2/</w:t>
    </w:r>
    <w:r w:rsidR="00D8418F">
      <w:rPr>
        <w:rStyle w:val="PageNumber"/>
        <w:rFonts w:cs="Times New Roman"/>
        <w:b/>
        <w:bCs/>
        <w:sz w:val="18"/>
        <w:szCs w:val="18"/>
        <w:lang w:val="fr-FR"/>
      </w:rPr>
      <w:t>16/Add.3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CE" w:rsidRDefault="00E813CE" w:rsidP="00955980">
    <w:pPr>
      <w:pStyle w:val="Header"/>
      <w:spacing w:line="2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2">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3">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624"/>
  <w:evenAndOddHeaders/>
  <w:drawingGridHorizontalSpacing w:val="171"/>
  <w:drawingGridVerticalSpacing w:val="233"/>
  <w:displayHorizontalDrawingGridEvery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rsids>
    <w:rsidRoot w:val="0090002B"/>
    <w:rsid w:val="00016F9B"/>
    <w:rsid w:val="00023A94"/>
    <w:rsid w:val="000242CB"/>
    <w:rsid w:val="0003131F"/>
    <w:rsid w:val="00033595"/>
    <w:rsid w:val="00033A5C"/>
    <w:rsid w:val="0006021A"/>
    <w:rsid w:val="0008088A"/>
    <w:rsid w:val="000844F9"/>
    <w:rsid w:val="00092BA5"/>
    <w:rsid w:val="000C6AF1"/>
    <w:rsid w:val="000C72D5"/>
    <w:rsid w:val="000F083C"/>
    <w:rsid w:val="000F39C0"/>
    <w:rsid w:val="000F712A"/>
    <w:rsid w:val="00102A11"/>
    <w:rsid w:val="00111DDA"/>
    <w:rsid w:val="0012040B"/>
    <w:rsid w:val="001223A2"/>
    <w:rsid w:val="00124CC4"/>
    <w:rsid w:val="00131CE1"/>
    <w:rsid w:val="001367EA"/>
    <w:rsid w:val="001368B8"/>
    <w:rsid w:val="0014278C"/>
    <w:rsid w:val="00153644"/>
    <w:rsid w:val="00154CC2"/>
    <w:rsid w:val="00165BE3"/>
    <w:rsid w:val="0017427B"/>
    <w:rsid w:val="00177C0C"/>
    <w:rsid w:val="001841AD"/>
    <w:rsid w:val="001844E3"/>
    <w:rsid w:val="00186DE2"/>
    <w:rsid w:val="001A0F83"/>
    <w:rsid w:val="001B03D9"/>
    <w:rsid w:val="001D3A25"/>
    <w:rsid w:val="001E4795"/>
    <w:rsid w:val="001E6E8E"/>
    <w:rsid w:val="001F0C9C"/>
    <w:rsid w:val="001F171C"/>
    <w:rsid w:val="001F390D"/>
    <w:rsid w:val="002079F8"/>
    <w:rsid w:val="0023160B"/>
    <w:rsid w:val="002323CD"/>
    <w:rsid w:val="00260C3B"/>
    <w:rsid w:val="00261451"/>
    <w:rsid w:val="00267DA8"/>
    <w:rsid w:val="002B14DB"/>
    <w:rsid w:val="002C1248"/>
    <w:rsid w:val="002C60AD"/>
    <w:rsid w:val="002E7390"/>
    <w:rsid w:val="002F11C2"/>
    <w:rsid w:val="002F74A0"/>
    <w:rsid w:val="00317E61"/>
    <w:rsid w:val="003501E1"/>
    <w:rsid w:val="003527C5"/>
    <w:rsid w:val="003553DB"/>
    <w:rsid w:val="0038322E"/>
    <w:rsid w:val="00386BD3"/>
    <w:rsid w:val="00390CD8"/>
    <w:rsid w:val="003923ED"/>
    <w:rsid w:val="00397363"/>
    <w:rsid w:val="003B507C"/>
    <w:rsid w:val="003B7A46"/>
    <w:rsid w:val="003D355A"/>
    <w:rsid w:val="003E4E41"/>
    <w:rsid w:val="003F77FF"/>
    <w:rsid w:val="0040218B"/>
    <w:rsid w:val="00405211"/>
    <w:rsid w:val="00451081"/>
    <w:rsid w:val="00451ABD"/>
    <w:rsid w:val="004606CA"/>
    <w:rsid w:val="00472C66"/>
    <w:rsid w:val="00485260"/>
    <w:rsid w:val="004916B5"/>
    <w:rsid w:val="00495361"/>
    <w:rsid w:val="004B0A17"/>
    <w:rsid w:val="004D2B12"/>
    <w:rsid w:val="004E001B"/>
    <w:rsid w:val="004E1EDE"/>
    <w:rsid w:val="004E5370"/>
    <w:rsid w:val="004E7B30"/>
    <w:rsid w:val="00522932"/>
    <w:rsid w:val="005234DB"/>
    <w:rsid w:val="00530F46"/>
    <w:rsid w:val="00540949"/>
    <w:rsid w:val="005668AB"/>
    <w:rsid w:val="00586B57"/>
    <w:rsid w:val="00591B8E"/>
    <w:rsid w:val="005945AA"/>
    <w:rsid w:val="005A6A53"/>
    <w:rsid w:val="005B198D"/>
    <w:rsid w:val="005B25B0"/>
    <w:rsid w:val="005C55FF"/>
    <w:rsid w:val="005E06C5"/>
    <w:rsid w:val="005E2737"/>
    <w:rsid w:val="005F3809"/>
    <w:rsid w:val="005F5925"/>
    <w:rsid w:val="0060772E"/>
    <w:rsid w:val="00615461"/>
    <w:rsid w:val="006160A4"/>
    <w:rsid w:val="006227F4"/>
    <w:rsid w:val="0063685D"/>
    <w:rsid w:val="00671875"/>
    <w:rsid w:val="00684243"/>
    <w:rsid w:val="00696059"/>
    <w:rsid w:val="006A64CC"/>
    <w:rsid w:val="006A7E4F"/>
    <w:rsid w:val="006B54B1"/>
    <w:rsid w:val="006C560D"/>
    <w:rsid w:val="006E4BE0"/>
    <w:rsid w:val="006F036C"/>
    <w:rsid w:val="00706852"/>
    <w:rsid w:val="00712158"/>
    <w:rsid w:val="0075378C"/>
    <w:rsid w:val="00783165"/>
    <w:rsid w:val="007A671B"/>
    <w:rsid w:val="007A6D2A"/>
    <w:rsid w:val="007B173A"/>
    <w:rsid w:val="007B5F59"/>
    <w:rsid w:val="007B7061"/>
    <w:rsid w:val="007C62EE"/>
    <w:rsid w:val="007C71FE"/>
    <w:rsid w:val="007E0C9A"/>
    <w:rsid w:val="007F304D"/>
    <w:rsid w:val="00802B63"/>
    <w:rsid w:val="00805014"/>
    <w:rsid w:val="00822614"/>
    <w:rsid w:val="008500FB"/>
    <w:rsid w:val="00852F12"/>
    <w:rsid w:val="00873A40"/>
    <w:rsid w:val="00887CE8"/>
    <w:rsid w:val="0089216B"/>
    <w:rsid w:val="0089620E"/>
    <w:rsid w:val="008A2C57"/>
    <w:rsid w:val="008A5EBB"/>
    <w:rsid w:val="0090002B"/>
    <w:rsid w:val="0092522D"/>
    <w:rsid w:val="00926C1F"/>
    <w:rsid w:val="00931CC7"/>
    <w:rsid w:val="00934EBC"/>
    <w:rsid w:val="009522FB"/>
    <w:rsid w:val="00955980"/>
    <w:rsid w:val="00980B82"/>
    <w:rsid w:val="009819E2"/>
    <w:rsid w:val="009A052E"/>
    <w:rsid w:val="009A1FDF"/>
    <w:rsid w:val="009B2A75"/>
    <w:rsid w:val="009C5B87"/>
    <w:rsid w:val="009D58E8"/>
    <w:rsid w:val="009E2CE5"/>
    <w:rsid w:val="009E46DF"/>
    <w:rsid w:val="009E6EAB"/>
    <w:rsid w:val="00A108BD"/>
    <w:rsid w:val="00A26E11"/>
    <w:rsid w:val="00A34C1A"/>
    <w:rsid w:val="00A55386"/>
    <w:rsid w:val="00A579D1"/>
    <w:rsid w:val="00A76B59"/>
    <w:rsid w:val="00A969A0"/>
    <w:rsid w:val="00AB1E5D"/>
    <w:rsid w:val="00AE0408"/>
    <w:rsid w:val="00AE4729"/>
    <w:rsid w:val="00AF0DF6"/>
    <w:rsid w:val="00B01D76"/>
    <w:rsid w:val="00B179A4"/>
    <w:rsid w:val="00B4649E"/>
    <w:rsid w:val="00B602AD"/>
    <w:rsid w:val="00B77EDA"/>
    <w:rsid w:val="00B83776"/>
    <w:rsid w:val="00B86C1A"/>
    <w:rsid w:val="00B87B65"/>
    <w:rsid w:val="00B97A52"/>
    <w:rsid w:val="00BA25F3"/>
    <w:rsid w:val="00BA66F1"/>
    <w:rsid w:val="00BA6ED1"/>
    <w:rsid w:val="00BB0629"/>
    <w:rsid w:val="00BB5683"/>
    <w:rsid w:val="00BD1906"/>
    <w:rsid w:val="00BD4A65"/>
    <w:rsid w:val="00BF64C6"/>
    <w:rsid w:val="00BF7F42"/>
    <w:rsid w:val="00C0594F"/>
    <w:rsid w:val="00C1200F"/>
    <w:rsid w:val="00C227E2"/>
    <w:rsid w:val="00C34FDE"/>
    <w:rsid w:val="00C37818"/>
    <w:rsid w:val="00C56205"/>
    <w:rsid w:val="00C712BF"/>
    <w:rsid w:val="00C85728"/>
    <w:rsid w:val="00C86BDC"/>
    <w:rsid w:val="00CA4F8C"/>
    <w:rsid w:val="00CB79F1"/>
    <w:rsid w:val="00CD25C4"/>
    <w:rsid w:val="00CD399B"/>
    <w:rsid w:val="00D12FDA"/>
    <w:rsid w:val="00D444E7"/>
    <w:rsid w:val="00D44CE3"/>
    <w:rsid w:val="00D578BF"/>
    <w:rsid w:val="00D66C66"/>
    <w:rsid w:val="00D70490"/>
    <w:rsid w:val="00D71822"/>
    <w:rsid w:val="00D8418F"/>
    <w:rsid w:val="00D9173E"/>
    <w:rsid w:val="00D91942"/>
    <w:rsid w:val="00D958DE"/>
    <w:rsid w:val="00DA1588"/>
    <w:rsid w:val="00DA494E"/>
    <w:rsid w:val="00DB6958"/>
    <w:rsid w:val="00DC4423"/>
    <w:rsid w:val="00DC590D"/>
    <w:rsid w:val="00DE796A"/>
    <w:rsid w:val="00E015AC"/>
    <w:rsid w:val="00E1522B"/>
    <w:rsid w:val="00E369DB"/>
    <w:rsid w:val="00E36EB2"/>
    <w:rsid w:val="00E63CFD"/>
    <w:rsid w:val="00E760C7"/>
    <w:rsid w:val="00E813CE"/>
    <w:rsid w:val="00E90558"/>
    <w:rsid w:val="00E96DEF"/>
    <w:rsid w:val="00EA0788"/>
    <w:rsid w:val="00EC3A5F"/>
    <w:rsid w:val="00ED77A3"/>
    <w:rsid w:val="00EE026C"/>
    <w:rsid w:val="00F12DD6"/>
    <w:rsid w:val="00F240DC"/>
    <w:rsid w:val="00F47390"/>
    <w:rsid w:val="00F50135"/>
    <w:rsid w:val="00F61AB5"/>
    <w:rsid w:val="00F64BB3"/>
    <w:rsid w:val="00F7639B"/>
    <w:rsid w:val="00FE2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basedOn w:val="Normal"/>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H1">
    <w:name w:val="_ H_1"/>
    <w:basedOn w:val="Normal"/>
    <w:next w:val="Normal"/>
    <w:rsid w:val="006A64CC"/>
    <w:pPr>
      <w:keepNext/>
      <w:keepLines/>
      <w:suppressAutoHyphens/>
      <w:spacing w:line="400" w:lineRule="exact"/>
      <w:jc w:val="lowKashida"/>
      <w:outlineLvl w:val="0"/>
    </w:pPr>
    <w:rPr>
      <w:rFonts w:cs="Traditional Arabic"/>
      <w:b/>
      <w:bCs/>
      <w:w w:val="103"/>
      <w:kern w:val="14"/>
      <w:sz w:val="24"/>
      <w:szCs w:val="34"/>
    </w:rPr>
  </w:style>
  <w:style w:type="paragraph" w:styleId="ListParagraph">
    <w:name w:val="List Paragraph"/>
    <w:basedOn w:val="Normal"/>
    <w:qFormat/>
    <w:rsid w:val="006A64CC"/>
    <w:pPr>
      <w:bidi w:val="0"/>
      <w:spacing w:after="200" w:line="276" w:lineRule="auto"/>
      <w:ind w:left="720"/>
      <w:contextualSpacing/>
    </w:pPr>
    <w:rPr>
      <w:rFonts w:ascii="Calibri" w:hAnsi="Calibri" w:cs="Times New Roman"/>
      <w:szCs w:val="22"/>
    </w:rPr>
  </w:style>
  <w:style w:type="character" w:customStyle="1" w:styleId="style1">
    <w:name w:val="style1"/>
    <w:rsid w:val="006A64CC"/>
  </w:style>
  <w:style w:type="character" w:customStyle="1" w:styleId="apple-converted-space">
    <w:name w:val="apple-converted-space"/>
    <w:rsid w:val="006A64CC"/>
  </w:style>
  <w:style w:type="paragraph" w:styleId="BalloonText">
    <w:name w:val="Balloon Text"/>
    <w:basedOn w:val="Normal"/>
    <w:link w:val="BalloonTextChar"/>
    <w:rsid w:val="002C1248"/>
    <w:rPr>
      <w:rFonts w:ascii="Tahoma" w:hAnsi="Tahoma" w:cs="Tahoma"/>
      <w:sz w:val="16"/>
      <w:szCs w:val="16"/>
    </w:rPr>
  </w:style>
  <w:style w:type="character" w:customStyle="1" w:styleId="BalloonTextChar">
    <w:name w:val="Balloon Text Char"/>
    <w:link w:val="BalloonText"/>
    <w:rsid w:val="002C124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19E79-26D7-4434-BBB1-E29F73D5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Rohan</cp:lastModifiedBy>
  <cp:revision>2</cp:revision>
  <cp:lastPrinted>2013-11-11T06:20:00Z</cp:lastPrinted>
  <dcterms:created xsi:type="dcterms:W3CDTF">2013-11-19T14:21:00Z</dcterms:created>
  <dcterms:modified xsi:type="dcterms:W3CDTF">2013-11-19T14:21:00Z</dcterms:modified>
</cp:coreProperties>
</file>