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4" w:type="pct"/>
        <w:jc w:val="right"/>
        <w:tblLayout w:type="fixed"/>
        <w:tblLook w:val="0000" w:firstRow="0" w:lastRow="0" w:firstColumn="0" w:lastColumn="0" w:noHBand="0" w:noVBand="0"/>
      </w:tblPr>
      <w:tblGrid>
        <w:gridCol w:w="1733"/>
        <w:gridCol w:w="836"/>
        <w:gridCol w:w="290"/>
        <w:gridCol w:w="1126"/>
        <w:gridCol w:w="1126"/>
        <w:gridCol w:w="1126"/>
        <w:gridCol w:w="1140"/>
        <w:gridCol w:w="706"/>
        <w:gridCol w:w="1802"/>
      </w:tblGrid>
      <w:tr w:rsidR="00133331" w:rsidRPr="00A576A0" w:rsidTr="00722749">
        <w:trPr>
          <w:cantSplit/>
          <w:trHeight w:val="1079"/>
          <w:jc w:val="right"/>
        </w:trPr>
        <w:tc>
          <w:tcPr>
            <w:tcW w:w="1733" w:type="dxa"/>
          </w:tcPr>
          <w:p w:rsidR="00133331" w:rsidRPr="00A576A0" w:rsidRDefault="00133331" w:rsidP="00133331">
            <w:pPr>
              <w:keepNext/>
              <w:spacing w:before="40"/>
              <w:outlineLvl w:val="1"/>
              <w:rPr>
                <w:sz w:val="27"/>
                <w:szCs w:val="27"/>
                <w:lang w:val="es-ES"/>
              </w:rPr>
            </w:pPr>
            <w:bookmarkStart w:id="0" w:name="_GoBack"/>
            <w:bookmarkEnd w:id="0"/>
            <w:r w:rsidRPr="00A576A0">
              <w:rPr>
                <w:rFonts w:ascii="Arial" w:hAnsi="Arial" w:cs="Arial"/>
                <w:b/>
                <w:bCs/>
                <w:sz w:val="27"/>
                <w:szCs w:val="27"/>
                <w:lang w:val="es-ES"/>
              </w:rPr>
              <w:t xml:space="preserve">NACIONES </w:t>
            </w:r>
            <w:r w:rsidRPr="00A576A0">
              <w:rPr>
                <w:rFonts w:ascii="Arial" w:hAnsi="Arial" w:cs="Arial"/>
                <w:b/>
                <w:bCs/>
                <w:sz w:val="27"/>
                <w:szCs w:val="27"/>
                <w:lang w:val="es-ES"/>
              </w:rPr>
              <w:br/>
              <w:t>UNIDAS</w:t>
            </w:r>
          </w:p>
        </w:tc>
        <w:tc>
          <w:tcPr>
            <w:tcW w:w="1126" w:type="dxa"/>
            <w:gridSpan w:val="2"/>
            <w:tcBorders>
              <w:left w:val="nil"/>
            </w:tcBorders>
            <w:vAlign w:val="center"/>
          </w:tcPr>
          <w:p w:rsidR="00133331" w:rsidRPr="00A576A0" w:rsidRDefault="00133331" w:rsidP="00133331">
            <w:pPr>
              <w:jc w:val="center"/>
              <w:rPr>
                <w:sz w:val="20"/>
                <w:szCs w:val="20"/>
                <w:lang w:val="es-ES"/>
              </w:rPr>
            </w:pPr>
            <w:r w:rsidRPr="00A576A0">
              <w:rPr>
                <w:noProof/>
                <w:sz w:val="20"/>
                <w:szCs w:val="20"/>
                <w:lang w:val="en-US"/>
              </w:rPr>
              <w:drawing>
                <wp:inline distT="0" distB="0" distL="0" distR="0" wp14:anchorId="3F42F23E" wp14:editId="06541110">
                  <wp:extent cx="542290" cy="506095"/>
                  <wp:effectExtent l="0" t="0" r="0" b="8255"/>
                  <wp:docPr id="7" name="Picture 7"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290" cy="506095"/>
                          </a:xfrm>
                          <a:prstGeom prst="rect">
                            <a:avLst/>
                          </a:prstGeom>
                          <a:noFill/>
                          <a:ln>
                            <a:noFill/>
                          </a:ln>
                        </pic:spPr>
                      </pic:pic>
                    </a:graphicData>
                  </a:graphic>
                </wp:inline>
              </w:drawing>
            </w:r>
          </w:p>
        </w:tc>
        <w:tc>
          <w:tcPr>
            <w:tcW w:w="1126" w:type="dxa"/>
            <w:tcBorders>
              <w:left w:val="nil"/>
            </w:tcBorders>
            <w:vAlign w:val="center"/>
          </w:tcPr>
          <w:p w:rsidR="00133331" w:rsidRPr="00A576A0" w:rsidRDefault="00133331" w:rsidP="00133331">
            <w:pPr>
              <w:jc w:val="center"/>
              <w:rPr>
                <w:sz w:val="20"/>
                <w:szCs w:val="20"/>
                <w:lang w:val="es-ES"/>
              </w:rPr>
            </w:pPr>
            <w:r w:rsidRPr="00A576A0">
              <w:rPr>
                <w:noProof/>
                <w:sz w:val="20"/>
                <w:szCs w:val="20"/>
                <w:lang w:val="en-US"/>
              </w:rPr>
              <w:drawing>
                <wp:inline distT="0" distB="0" distL="0" distR="0" wp14:anchorId="621F52CD" wp14:editId="66B860F5">
                  <wp:extent cx="548640" cy="597535"/>
                  <wp:effectExtent l="0" t="0" r="3810" b="0"/>
                  <wp:docPr id="8" name="Picture 8" descr="Description: 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UN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597535"/>
                          </a:xfrm>
                          <a:prstGeom prst="rect">
                            <a:avLst/>
                          </a:prstGeom>
                          <a:noFill/>
                          <a:ln>
                            <a:noFill/>
                          </a:ln>
                        </pic:spPr>
                      </pic:pic>
                    </a:graphicData>
                  </a:graphic>
                </wp:inline>
              </w:drawing>
            </w:r>
          </w:p>
        </w:tc>
        <w:tc>
          <w:tcPr>
            <w:tcW w:w="1126" w:type="dxa"/>
            <w:tcBorders>
              <w:left w:val="nil"/>
            </w:tcBorders>
            <w:vAlign w:val="center"/>
          </w:tcPr>
          <w:p w:rsidR="00133331" w:rsidRPr="00A576A0" w:rsidRDefault="00133331" w:rsidP="00133331">
            <w:pPr>
              <w:jc w:val="center"/>
              <w:rPr>
                <w:sz w:val="20"/>
                <w:szCs w:val="20"/>
                <w:lang w:val="es-ES"/>
              </w:rPr>
            </w:pPr>
            <w:r w:rsidRPr="00A576A0">
              <w:rPr>
                <w:noProof/>
                <w:sz w:val="20"/>
                <w:szCs w:val="20"/>
                <w:lang w:val="en-US"/>
              </w:rPr>
              <w:drawing>
                <wp:inline distT="0" distB="0" distL="0" distR="0" wp14:anchorId="4A6C72B7" wp14:editId="3D79BCE8">
                  <wp:extent cx="633730" cy="494030"/>
                  <wp:effectExtent l="0" t="0" r="0" b="1270"/>
                  <wp:docPr id="9" name="Picture 5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730" cy="494030"/>
                          </a:xfrm>
                          <a:prstGeom prst="rect">
                            <a:avLst/>
                          </a:prstGeom>
                          <a:noFill/>
                          <a:ln>
                            <a:noFill/>
                          </a:ln>
                        </pic:spPr>
                      </pic:pic>
                    </a:graphicData>
                  </a:graphic>
                </wp:inline>
              </w:drawing>
            </w:r>
          </w:p>
        </w:tc>
        <w:tc>
          <w:tcPr>
            <w:tcW w:w="1126" w:type="dxa"/>
            <w:tcBorders>
              <w:left w:val="nil"/>
            </w:tcBorders>
            <w:vAlign w:val="center"/>
          </w:tcPr>
          <w:p w:rsidR="00133331" w:rsidRPr="00A576A0" w:rsidRDefault="00133331" w:rsidP="00133331">
            <w:pPr>
              <w:jc w:val="center"/>
              <w:rPr>
                <w:sz w:val="20"/>
                <w:szCs w:val="20"/>
                <w:lang w:val="es-ES"/>
              </w:rPr>
            </w:pPr>
            <w:r w:rsidRPr="00A576A0">
              <w:rPr>
                <w:noProof/>
                <w:sz w:val="20"/>
                <w:szCs w:val="20"/>
                <w:lang w:val="en-US"/>
              </w:rPr>
              <w:drawing>
                <wp:inline distT="0" distB="0" distL="0" distR="0" wp14:anchorId="0250F5BD" wp14:editId="76F004E3">
                  <wp:extent cx="487680" cy="487680"/>
                  <wp:effectExtent l="0" t="0" r="7620" b="7620"/>
                  <wp:docPr id="10" name="Picture 3"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140" w:type="dxa"/>
            <w:tcBorders>
              <w:left w:val="nil"/>
            </w:tcBorders>
            <w:vAlign w:val="center"/>
          </w:tcPr>
          <w:p w:rsidR="00133331" w:rsidRPr="00A576A0" w:rsidRDefault="00133331" w:rsidP="00133331">
            <w:pPr>
              <w:rPr>
                <w:sz w:val="20"/>
                <w:szCs w:val="20"/>
                <w:lang w:val="es-ES"/>
              </w:rPr>
            </w:pPr>
            <w:r w:rsidRPr="00A576A0">
              <w:rPr>
                <w:noProof/>
                <w:sz w:val="20"/>
                <w:szCs w:val="20"/>
                <w:lang w:val="en-US"/>
              </w:rPr>
              <w:drawing>
                <wp:inline distT="0" distB="0" distL="0" distR="0" wp14:anchorId="70F85F44" wp14:editId="036BAC91">
                  <wp:extent cx="311150" cy="628015"/>
                  <wp:effectExtent l="0" t="0" r="0" b="635"/>
                  <wp:docPr id="11" name="Picture 63"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150" cy="628015"/>
                          </a:xfrm>
                          <a:prstGeom prst="rect">
                            <a:avLst/>
                          </a:prstGeom>
                          <a:noFill/>
                          <a:ln>
                            <a:noFill/>
                          </a:ln>
                        </pic:spPr>
                      </pic:pic>
                    </a:graphicData>
                  </a:graphic>
                </wp:inline>
              </w:drawing>
            </w:r>
          </w:p>
        </w:tc>
        <w:tc>
          <w:tcPr>
            <w:tcW w:w="706" w:type="dxa"/>
            <w:tcBorders>
              <w:left w:val="nil"/>
            </w:tcBorders>
            <w:vAlign w:val="center"/>
          </w:tcPr>
          <w:p w:rsidR="00133331" w:rsidRPr="00A576A0" w:rsidRDefault="00133331" w:rsidP="00133331">
            <w:pPr>
              <w:jc w:val="center"/>
              <w:rPr>
                <w:sz w:val="20"/>
                <w:szCs w:val="20"/>
                <w:lang w:val="es-ES"/>
              </w:rPr>
            </w:pPr>
          </w:p>
        </w:tc>
        <w:tc>
          <w:tcPr>
            <w:tcW w:w="1802" w:type="dxa"/>
          </w:tcPr>
          <w:p w:rsidR="00133331" w:rsidRPr="00A576A0" w:rsidRDefault="00133331" w:rsidP="00133331">
            <w:pPr>
              <w:keepNext/>
              <w:spacing w:before="40"/>
              <w:jc w:val="right"/>
              <w:outlineLvl w:val="1"/>
              <w:rPr>
                <w:rFonts w:ascii="Arial" w:hAnsi="Arial" w:cs="Arial"/>
                <w:b/>
                <w:bCs/>
                <w:sz w:val="64"/>
                <w:szCs w:val="64"/>
                <w:lang w:val="es-ES"/>
              </w:rPr>
            </w:pPr>
            <w:r w:rsidRPr="00A576A0">
              <w:rPr>
                <w:rFonts w:ascii="Arial" w:hAnsi="Arial" w:cs="Arial"/>
                <w:b/>
                <w:bCs/>
                <w:sz w:val="64"/>
                <w:szCs w:val="64"/>
                <w:lang w:val="es-ES"/>
              </w:rPr>
              <w:t>BES</w:t>
            </w:r>
          </w:p>
        </w:tc>
      </w:tr>
      <w:tr w:rsidR="00133331" w:rsidRPr="00A576A0" w:rsidTr="00722749">
        <w:trPr>
          <w:cantSplit/>
          <w:trHeight w:val="282"/>
          <w:jc w:val="right"/>
        </w:trPr>
        <w:tc>
          <w:tcPr>
            <w:tcW w:w="1733" w:type="dxa"/>
            <w:tcBorders>
              <w:bottom w:val="single" w:sz="2" w:space="0" w:color="auto"/>
            </w:tcBorders>
          </w:tcPr>
          <w:p w:rsidR="00133331" w:rsidRPr="00A576A0" w:rsidRDefault="00133331" w:rsidP="00133331">
            <w:pPr>
              <w:rPr>
                <w:sz w:val="20"/>
                <w:szCs w:val="20"/>
                <w:lang w:val="es-ES"/>
              </w:rPr>
            </w:pPr>
          </w:p>
        </w:tc>
        <w:tc>
          <w:tcPr>
            <w:tcW w:w="5644" w:type="dxa"/>
            <w:gridSpan w:val="6"/>
            <w:tcBorders>
              <w:bottom w:val="single" w:sz="2" w:space="0" w:color="auto"/>
            </w:tcBorders>
          </w:tcPr>
          <w:p w:rsidR="00133331" w:rsidRPr="00A576A0" w:rsidRDefault="00133331" w:rsidP="00133331">
            <w:pPr>
              <w:rPr>
                <w:rFonts w:ascii="Univers" w:hAnsi="Univers" w:cs="Univers"/>
                <w:b/>
                <w:bCs/>
                <w:lang w:val="es-ES"/>
              </w:rPr>
            </w:pPr>
          </w:p>
        </w:tc>
        <w:tc>
          <w:tcPr>
            <w:tcW w:w="2508" w:type="dxa"/>
            <w:gridSpan w:val="2"/>
            <w:tcBorders>
              <w:bottom w:val="single" w:sz="2" w:space="0" w:color="auto"/>
            </w:tcBorders>
          </w:tcPr>
          <w:p w:rsidR="00133331" w:rsidRPr="00A576A0" w:rsidRDefault="00133331" w:rsidP="00133331">
            <w:pPr>
              <w:rPr>
                <w:b/>
                <w:bCs/>
                <w:lang w:val="es-ES"/>
              </w:rPr>
            </w:pPr>
            <w:r w:rsidRPr="00A576A0">
              <w:rPr>
                <w:b/>
                <w:bCs/>
                <w:sz w:val="28"/>
                <w:szCs w:val="28"/>
                <w:lang w:val="es-ES"/>
              </w:rPr>
              <w:t>IPBES</w:t>
            </w:r>
            <w:r w:rsidRPr="00A576A0">
              <w:rPr>
                <w:sz w:val="20"/>
                <w:szCs w:val="20"/>
                <w:lang w:val="es-ES"/>
              </w:rPr>
              <w:t>/4/</w:t>
            </w:r>
            <w:r>
              <w:rPr>
                <w:sz w:val="20"/>
                <w:szCs w:val="20"/>
                <w:lang w:val="es-ES"/>
              </w:rPr>
              <w:t>1</w:t>
            </w:r>
            <w:r w:rsidRPr="00A576A0">
              <w:rPr>
                <w:sz w:val="20"/>
                <w:szCs w:val="20"/>
                <w:lang w:val="es-ES"/>
              </w:rPr>
              <w:t>6</w:t>
            </w:r>
          </w:p>
        </w:tc>
      </w:tr>
      <w:tr w:rsidR="00133331" w:rsidRPr="00A576A0" w:rsidTr="00722749">
        <w:trPr>
          <w:cantSplit/>
          <w:trHeight w:val="1433"/>
          <w:jc w:val="right"/>
        </w:trPr>
        <w:tc>
          <w:tcPr>
            <w:tcW w:w="2569" w:type="dxa"/>
            <w:gridSpan w:val="2"/>
            <w:tcBorders>
              <w:top w:val="single" w:sz="2" w:space="0" w:color="auto"/>
              <w:bottom w:val="single" w:sz="24" w:space="0" w:color="auto"/>
            </w:tcBorders>
          </w:tcPr>
          <w:p w:rsidR="00133331" w:rsidRPr="00A576A0" w:rsidRDefault="00133331" w:rsidP="00133331">
            <w:pPr>
              <w:spacing w:before="240" w:after="240"/>
              <w:rPr>
                <w:b/>
                <w:bCs/>
                <w:sz w:val="28"/>
                <w:szCs w:val="28"/>
                <w:lang w:val="es-ES"/>
              </w:rPr>
            </w:pPr>
            <w:r w:rsidRPr="00A576A0">
              <w:rPr>
                <w:b/>
                <w:noProof/>
                <w:sz w:val="28"/>
                <w:szCs w:val="28"/>
                <w:lang w:val="en-US"/>
              </w:rPr>
              <w:drawing>
                <wp:inline distT="0" distB="0" distL="0" distR="0" wp14:anchorId="2B3F86C7" wp14:editId="3F22581C">
                  <wp:extent cx="1353185" cy="74993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3185" cy="749935"/>
                          </a:xfrm>
                          <a:prstGeom prst="rect">
                            <a:avLst/>
                          </a:prstGeom>
                          <a:noFill/>
                          <a:ln>
                            <a:noFill/>
                          </a:ln>
                        </pic:spPr>
                      </pic:pic>
                    </a:graphicData>
                  </a:graphic>
                </wp:inline>
              </w:drawing>
            </w:r>
          </w:p>
        </w:tc>
        <w:tc>
          <w:tcPr>
            <w:tcW w:w="4808" w:type="dxa"/>
            <w:gridSpan w:val="5"/>
            <w:tcBorders>
              <w:top w:val="single" w:sz="2" w:space="0" w:color="auto"/>
              <w:bottom w:val="single" w:sz="24" w:space="0" w:color="auto"/>
            </w:tcBorders>
          </w:tcPr>
          <w:p w:rsidR="00133331" w:rsidRPr="00702E15" w:rsidRDefault="00133331" w:rsidP="00133331">
            <w:pPr>
              <w:spacing w:before="360"/>
              <w:rPr>
                <w:rFonts w:ascii="Arial" w:hAnsi="Arial" w:cs="Arial"/>
                <w:b/>
                <w:bCs/>
                <w:sz w:val="28"/>
                <w:szCs w:val="28"/>
                <w:lang w:val="es-ES"/>
              </w:rPr>
            </w:pPr>
            <w:r w:rsidRPr="00702E15">
              <w:rPr>
                <w:rFonts w:ascii="Arial" w:hAnsi="Arial" w:cs="Arial"/>
                <w:b/>
                <w:sz w:val="28"/>
                <w:lang w:val="es-ES"/>
              </w:rPr>
              <w:t>Plataforma Intergubernamental Científico</w:t>
            </w:r>
            <w:r w:rsidRPr="00702E15">
              <w:rPr>
                <w:rFonts w:ascii="Arial" w:hAnsi="Arial" w:cs="Arial"/>
                <w:b/>
                <w:sz w:val="28"/>
                <w:lang w:val="es-ES"/>
              </w:rPr>
              <w:noBreakHyphen/>
              <w:t xml:space="preserve">normativa sobre </w:t>
            </w:r>
            <w:r w:rsidRPr="00702E15">
              <w:rPr>
                <w:rFonts w:ascii="Arial" w:hAnsi="Arial" w:cs="Arial"/>
                <w:b/>
                <w:sz w:val="28"/>
                <w:lang w:val="es-ES"/>
              </w:rPr>
              <w:br/>
              <w:t xml:space="preserve">Diversidad Biológica y Servicios </w:t>
            </w:r>
            <w:r w:rsidRPr="00702E15">
              <w:rPr>
                <w:rFonts w:ascii="Arial" w:hAnsi="Arial" w:cs="Arial"/>
                <w:b/>
                <w:sz w:val="28"/>
                <w:lang w:val="es-ES"/>
              </w:rPr>
              <w:br/>
              <w:t>de los Ecosistemas</w:t>
            </w:r>
            <w:r w:rsidRPr="00702E15">
              <w:rPr>
                <w:rFonts w:ascii="Arial" w:hAnsi="Arial" w:cs="Arial"/>
                <w:b/>
                <w:bCs/>
                <w:sz w:val="32"/>
                <w:szCs w:val="28"/>
                <w:lang w:val="es-ES"/>
              </w:rPr>
              <w:t xml:space="preserve"> </w:t>
            </w:r>
          </w:p>
        </w:tc>
        <w:tc>
          <w:tcPr>
            <w:tcW w:w="2508" w:type="dxa"/>
            <w:gridSpan w:val="2"/>
            <w:tcBorders>
              <w:top w:val="single" w:sz="2" w:space="0" w:color="auto"/>
              <w:bottom w:val="single" w:sz="24" w:space="0" w:color="auto"/>
            </w:tcBorders>
          </w:tcPr>
          <w:p w:rsidR="00133331" w:rsidRPr="00A576A0" w:rsidRDefault="00133331" w:rsidP="00133331">
            <w:pPr>
              <w:spacing w:before="120"/>
              <w:rPr>
                <w:sz w:val="20"/>
                <w:szCs w:val="20"/>
                <w:lang w:val="es-ES"/>
              </w:rPr>
            </w:pPr>
            <w:r w:rsidRPr="00A576A0">
              <w:rPr>
                <w:sz w:val="20"/>
                <w:szCs w:val="20"/>
                <w:lang w:val="es-ES"/>
              </w:rPr>
              <w:t>Distr. general</w:t>
            </w:r>
          </w:p>
          <w:p w:rsidR="00133331" w:rsidRPr="00A576A0" w:rsidRDefault="00133331" w:rsidP="00133331">
            <w:pPr>
              <w:spacing w:after="120"/>
              <w:rPr>
                <w:sz w:val="20"/>
                <w:szCs w:val="20"/>
                <w:lang w:val="es-ES"/>
              </w:rPr>
            </w:pPr>
            <w:r w:rsidRPr="00A576A0">
              <w:rPr>
                <w:sz w:val="20"/>
                <w:szCs w:val="20"/>
                <w:lang w:val="es-ES"/>
              </w:rPr>
              <w:t>1</w:t>
            </w:r>
            <w:r>
              <w:rPr>
                <w:sz w:val="20"/>
                <w:szCs w:val="20"/>
                <w:lang w:val="es-ES"/>
              </w:rPr>
              <w:t>8</w:t>
            </w:r>
            <w:r w:rsidRPr="00A576A0">
              <w:rPr>
                <w:sz w:val="20"/>
                <w:szCs w:val="20"/>
                <w:lang w:val="es-ES"/>
              </w:rPr>
              <w:t xml:space="preserve"> de noviembre de 2015</w:t>
            </w:r>
          </w:p>
          <w:p w:rsidR="00133331" w:rsidRPr="00A576A0" w:rsidRDefault="00133331" w:rsidP="00133331">
            <w:pPr>
              <w:spacing w:before="120" w:after="120"/>
              <w:rPr>
                <w:sz w:val="20"/>
                <w:szCs w:val="20"/>
                <w:lang w:val="es-ES"/>
              </w:rPr>
            </w:pPr>
            <w:r w:rsidRPr="00A576A0">
              <w:rPr>
                <w:sz w:val="20"/>
                <w:szCs w:val="20"/>
                <w:lang w:val="es-ES"/>
              </w:rPr>
              <w:t>Español</w:t>
            </w:r>
            <w:r w:rsidRPr="00A576A0">
              <w:rPr>
                <w:sz w:val="20"/>
                <w:szCs w:val="20"/>
                <w:lang w:val="es-ES"/>
              </w:rPr>
              <w:br/>
              <w:t>Original: inglés</w:t>
            </w:r>
          </w:p>
        </w:tc>
      </w:tr>
    </w:tbl>
    <w:p w:rsidR="00136771" w:rsidRPr="00573923" w:rsidRDefault="00136771" w:rsidP="002B296C">
      <w:pPr>
        <w:pStyle w:val="AATitle"/>
        <w:rPr>
          <w:sz w:val="20"/>
          <w:lang w:val="es-ES"/>
        </w:rPr>
      </w:pPr>
      <w:r w:rsidRPr="009054D5">
        <w:rPr>
          <w:sz w:val="20"/>
          <w:lang w:val="es-ES"/>
        </w:rPr>
        <w:t>Plenario de la Plataforma Intergubernamental Científico</w:t>
      </w:r>
      <w:r w:rsidR="00900B8D">
        <w:rPr>
          <w:sz w:val="20"/>
          <w:lang w:val="es-ES"/>
        </w:rPr>
        <w:noBreakHyphen/>
      </w:r>
      <w:r w:rsidRPr="009054D5">
        <w:rPr>
          <w:sz w:val="20"/>
          <w:lang w:val="es-ES"/>
        </w:rPr>
        <w:t>normativa</w:t>
      </w:r>
      <w:r w:rsidRPr="009054D5">
        <w:rPr>
          <w:sz w:val="20"/>
          <w:lang w:val="es-ES"/>
        </w:rPr>
        <w:br/>
        <w:t>sobre Diversidad Biológica y Servicios de los Ecosistemas</w:t>
      </w:r>
    </w:p>
    <w:p w:rsidR="00136771" w:rsidRPr="00573923" w:rsidRDefault="00136771" w:rsidP="002B296C">
      <w:pPr>
        <w:pStyle w:val="AATitle"/>
        <w:rPr>
          <w:sz w:val="20"/>
          <w:lang w:val="es-ES"/>
        </w:rPr>
      </w:pPr>
      <w:r w:rsidRPr="009054D5">
        <w:rPr>
          <w:sz w:val="20"/>
          <w:lang w:val="es-ES"/>
        </w:rPr>
        <w:t>Cuarto período de sesiones</w:t>
      </w:r>
    </w:p>
    <w:p w:rsidR="00136771" w:rsidRPr="00573923" w:rsidRDefault="00136771" w:rsidP="002B296C">
      <w:pPr>
        <w:pStyle w:val="AATitle"/>
        <w:rPr>
          <w:b w:val="0"/>
          <w:sz w:val="20"/>
          <w:lang w:val="es-ES"/>
        </w:rPr>
      </w:pPr>
      <w:r w:rsidRPr="009054D5">
        <w:rPr>
          <w:b w:val="0"/>
          <w:sz w:val="20"/>
          <w:lang w:val="es-ES"/>
        </w:rPr>
        <w:t>Kuala Lumpur, 22 a 28 de febrero de 2016</w:t>
      </w:r>
    </w:p>
    <w:p w:rsidR="003D34F5" w:rsidRPr="00573923" w:rsidRDefault="003D34F5" w:rsidP="003D34F5">
      <w:pPr>
        <w:pStyle w:val="AATitle"/>
        <w:rPr>
          <w:b w:val="0"/>
          <w:sz w:val="20"/>
          <w:lang w:val="es-ES"/>
        </w:rPr>
      </w:pPr>
      <w:r w:rsidRPr="009054D5">
        <w:rPr>
          <w:b w:val="0"/>
          <w:sz w:val="20"/>
          <w:lang w:val="es-ES"/>
        </w:rPr>
        <w:t>Tema 7 c) del programa provisional</w:t>
      </w:r>
      <w:r w:rsidR="00133331" w:rsidRPr="00A576A0">
        <w:rPr>
          <w:b w:val="0"/>
          <w:lang w:val="es-ES"/>
        </w:rPr>
        <w:footnoteReference w:customMarkFollows="1" w:id="2"/>
        <w:t>*</w:t>
      </w:r>
    </w:p>
    <w:p w:rsidR="003D34F5" w:rsidRPr="00573923" w:rsidRDefault="003D34F5" w:rsidP="003D34F5">
      <w:pPr>
        <w:pStyle w:val="AATitle2"/>
        <w:spacing w:before="60"/>
        <w:rPr>
          <w:sz w:val="20"/>
          <w:lang w:val="es-ES"/>
        </w:rPr>
      </w:pPr>
      <w:r w:rsidRPr="009054D5">
        <w:rPr>
          <w:sz w:val="20"/>
          <w:lang w:val="es-ES"/>
        </w:rPr>
        <w:t>Normas y procedimientos para el funcionamiento de la Plataforma:</w:t>
      </w:r>
      <w:r w:rsidRPr="009054D5">
        <w:rPr>
          <w:sz w:val="20"/>
          <w:lang w:val="es-ES"/>
        </w:rPr>
        <w:br/>
        <w:t>procedimientos para el examen de la Plataforma</w:t>
      </w:r>
    </w:p>
    <w:p w:rsidR="003D34F5" w:rsidRPr="00573923" w:rsidRDefault="003D34F5" w:rsidP="003D34F5">
      <w:pPr>
        <w:pStyle w:val="BBTitle"/>
        <w:rPr>
          <w:lang w:val="es-ES"/>
        </w:rPr>
      </w:pPr>
      <w:r>
        <w:rPr>
          <w:lang w:val="es-ES"/>
        </w:rPr>
        <w:t>Procedimiento para examinar la eficacia de las funciones administrativas y científicas de la Plataforma (producto previsto 4 e))</w:t>
      </w:r>
    </w:p>
    <w:p w:rsidR="003D34F5" w:rsidRPr="00CE37E6" w:rsidRDefault="003D34F5" w:rsidP="003D34F5">
      <w:pPr>
        <w:pStyle w:val="CH2"/>
      </w:pPr>
      <w:r>
        <w:rPr>
          <w:lang w:val="es-ES"/>
        </w:rPr>
        <w:tab/>
      </w:r>
      <w:r>
        <w:rPr>
          <w:lang w:val="es-ES"/>
        </w:rPr>
        <w:tab/>
        <w:t>Nota de la Secretaría</w:t>
      </w:r>
    </w:p>
    <w:p w:rsidR="003D34F5" w:rsidRPr="00CE37E6" w:rsidRDefault="003D34F5" w:rsidP="003D34F5">
      <w:pPr>
        <w:pStyle w:val="CH1"/>
      </w:pPr>
      <w:r>
        <w:rPr>
          <w:lang w:val="es-ES"/>
        </w:rPr>
        <w:tab/>
      </w:r>
      <w:r>
        <w:rPr>
          <w:lang w:val="es-ES"/>
        </w:rPr>
        <w:tab/>
        <w:t>Introducción</w:t>
      </w:r>
    </w:p>
    <w:p w:rsidR="003D34F5" w:rsidRPr="00573923" w:rsidRDefault="003D34F5" w:rsidP="003D34F5">
      <w:pPr>
        <w:pStyle w:val="Normalnumber"/>
        <w:tabs>
          <w:tab w:val="clear" w:pos="567"/>
          <w:tab w:val="clear" w:pos="1247"/>
          <w:tab w:val="clear" w:pos="1814"/>
          <w:tab w:val="clear" w:pos="2381"/>
          <w:tab w:val="clear" w:pos="2948"/>
          <w:tab w:val="clear" w:pos="3515"/>
          <w:tab w:val="num" w:pos="624"/>
        </w:tabs>
        <w:rPr>
          <w:sz w:val="20"/>
          <w:lang w:val="es-ES"/>
        </w:rPr>
      </w:pPr>
      <w:r w:rsidRPr="009054D5">
        <w:rPr>
          <w:sz w:val="20"/>
          <w:lang w:val="es-ES"/>
        </w:rPr>
        <w:t>En su decisión IPBES</w:t>
      </w:r>
      <w:r w:rsidR="00900B8D">
        <w:rPr>
          <w:sz w:val="20"/>
          <w:lang w:val="es-ES"/>
        </w:rPr>
        <w:noBreakHyphen/>
      </w:r>
      <w:r w:rsidRPr="009054D5">
        <w:rPr>
          <w:sz w:val="20"/>
          <w:lang w:val="es-ES"/>
        </w:rPr>
        <w:t>2/5, el Plenario de la Plataforma Intergubernamental Científico</w:t>
      </w:r>
      <w:r w:rsidR="00900B8D">
        <w:rPr>
          <w:sz w:val="20"/>
          <w:lang w:val="es-ES"/>
        </w:rPr>
        <w:noBreakHyphen/>
      </w:r>
      <w:r w:rsidRPr="009054D5">
        <w:rPr>
          <w:sz w:val="20"/>
          <w:lang w:val="es-ES"/>
        </w:rPr>
        <w:t>normativa sobre Diversidad Biológica y Servicios de los Ecosistemas solicitó al Grupo Multidisciplinario de Expertos que, en consulta con la Mesa, elaborase un procedimiento para examinar la eficacia de las funciones administrativas y científicas de la Plataforma (producto previsto</w:t>
      </w:r>
      <w:r w:rsidR="00900B8D">
        <w:rPr>
          <w:sz w:val="20"/>
          <w:lang w:val="es-ES"/>
        </w:rPr>
        <w:t> </w:t>
      </w:r>
      <w:r w:rsidRPr="009054D5">
        <w:rPr>
          <w:sz w:val="20"/>
          <w:lang w:val="es-ES"/>
        </w:rPr>
        <w:t>4 e)). En el anexo I de esa decisión, relativa al programa de trabajo para el período</w:t>
      </w:r>
      <w:r w:rsidR="00900B8D">
        <w:rPr>
          <w:sz w:val="20"/>
          <w:lang w:val="es-ES"/>
        </w:rPr>
        <w:t> </w:t>
      </w:r>
      <w:r w:rsidRPr="009054D5">
        <w:rPr>
          <w:sz w:val="20"/>
          <w:lang w:val="es-ES"/>
        </w:rPr>
        <w:t>2014</w:t>
      </w:r>
      <w:r w:rsidR="00900B8D">
        <w:rPr>
          <w:sz w:val="20"/>
          <w:lang w:val="es-ES"/>
        </w:rPr>
        <w:noBreakHyphen/>
      </w:r>
      <w:r w:rsidRPr="009054D5">
        <w:rPr>
          <w:sz w:val="20"/>
          <w:lang w:val="es-ES"/>
        </w:rPr>
        <w:t>2018, se dispuso que, una vez acordado, el Plenario</w:t>
      </w:r>
      <w:r w:rsidR="000876B1">
        <w:rPr>
          <w:sz w:val="20"/>
          <w:lang w:val="es-ES"/>
        </w:rPr>
        <w:t xml:space="preserve"> designaría un órgano </w:t>
      </w:r>
      <w:r w:rsidRPr="009054D5">
        <w:rPr>
          <w:sz w:val="20"/>
          <w:lang w:val="es-ES"/>
        </w:rPr>
        <w:t xml:space="preserve">independiente </w:t>
      </w:r>
      <w:r w:rsidR="000876B1">
        <w:rPr>
          <w:sz w:val="20"/>
          <w:lang w:val="es-ES"/>
        </w:rPr>
        <w:t>para que realizase</w:t>
      </w:r>
      <w:r w:rsidR="00900B8D">
        <w:rPr>
          <w:sz w:val="20"/>
          <w:lang w:val="es-ES"/>
        </w:rPr>
        <w:t> </w:t>
      </w:r>
      <w:r w:rsidRPr="009054D5">
        <w:rPr>
          <w:sz w:val="20"/>
          <w:lang w:val="es-ES"/>
        </w:rPr>
        <w:t>ese</w:t>
      </w:r>
      <w:r w:rsidR="00900B8D">
        <w:rPr>
          <w:sz w:val="20"/>
          <w:lang w:val="es-ES"/>
        </w:rPr>
        <w:t> </w:t>
      </w:r>
      <w:r w:rsidRPr="009054D5">
        <w:rPr>
          <w:sz w:val="20"/>
          <w:lang w:val="es-ES"/>
        </w:rPr>
        <w:t>examen a mitad de período y al término del programa de trabajo correspondiente al período 2014</w:t>
      </w:r>
      <w:r w:rsidR="00900B8D">
        <w:rPr>
          <w:sz w:val="20"/>
          <w:lang w:val="es-ES"/>
        </w:rPr>
        <w:noBreakHyphen/>
      </w:r>
      <w:r w:rsidRPr="009054D5">
        <w:rPr>
          <w:sz w:val="20"/>
          <w:lang w:val="es-ES"/>
        </w:rPr>
        <w:t>2018. Se previó que el examen de mitad de período serviría de fundamento para las medidas que adoptase el Plenario en relación con la ejecución del resto del programa de trabajo de ese período y que el examen final proporcionaría las bases para la formulación del programa de trabajo del período siguiente. En su tercer período de sesiones, el Plenario fue informado de los progresos realizados en la elaboración del procedimiento (IPBES/3/INF/11)</w:t>
      </w:r>
      <w:r w:rsidR="00A44DB7">
        <w:rPr>
          <w:sz w:val="20"/>
          <w:lang w:val="es-ES"/>
        </w:rPr>
        <w:t>.</w:t>
      </w:r>
      <w:r w:rsidRPr="009054D5">
        <w:rPr>
          <w:sz w:val="20"/>
          <w:lang w:val="es-ES"/>
        </w:rPr>
        <w:t xml:space="preserve"> </w:t>
      </w:r>
    </w:p>
    <w:p w:rsidR="003D34F5" w:rsidRPr="00573923" w:rsidRDefault="003D34F5" w:rsidP="003D34F5">
      <w:pPr>
        <w:pStyle w:val="Normalnumber"/>
        <w:tabs>
          <w:tab w:val="clear" w:pos="567"/>
          <w:tab w:val="clear" w:pos="1247"/>
          <w:tab w:val="clear" w:pos="1814"/>
          <w:tab w:val="clear" w:pos="2381"/>
          <w:tab w:val="clear" w:pos="2948"/>
          <w:tab w:val="clear" w:pos="3515"/>
          <w:tab w:val="num" w:pos="624"/>
        </w:tabs>
        <w:rPr>
          <w:sz w:val="20"/>
          <w:lang w:val="es-ES"/>
        </w:rPr>
      </w:pPr>
      <w:r w:rsidRPr="009054D5">
        <w:rPr>
          <w:sz w:val="20"/>
          <w:lang w:val="es-ES"/>
        </w:rPr>
        <w:t>Se invitará al Plenario a aprobar un conjunto de medidas propuestas, que se enuncian en el párrafo 16, sobre la base de la información de antecedentes recogida en la presente nota, y el mandato de los exámenes, expuesto en el anexo de la presente nota.</w:t>
      </w:r>
    </w:p>
    <w:p w:rsidR="003D34F5" w:rsidRPr="00573923" w:rsidRDefault="0087665E" w:rsidP="00BB6D41">
      <w:pPr>
        <w:pStyle w:val="CH2"/>
        <w:rPr>
          <w:lang w:val="es-ES"/>
        </w:rPr>
      </w:pPr>
      <w:r>
        <w:rPr>
          <w:lang w:val="es-ES"/>
        </w:rPr>
        <w:tab/>
        <w:t>A.</w:t>
      </w:r>
      <w:r>
        <w:rPr>
          <w:lang w:val="es-ES"/>
        </w:rPr>
        <w:tab/>
        <w:t>Calendario y tipos de examen</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9054D5">
        <w:rPr>
          <w:sz w:val="20"/>
          <w:lang w:val="es-ES"/>
        </w:rPr>
        <w:t>Como se especifica en el programa de trabajo correspondiente al período 2014</w:t>
      </w:r>
      <w:r w:rsidR="00900B8D">
        <w:rPr>
          <w:sz w:val="20"/>
          <w:lang w:val="es-ES"/>
        </w:rPr>
        <w:noBreakHyphen/>
      </w:r>
      <w:r w:rsidRPr="009054D5">
        <w:rPr>
          <w:sz w:val="20"/>
          <w:lang w:val="es-ES"/>
        </w:rPr>
        <w:t>2018 (producto previsto 4 e)), para el primer programa de trabajo se realizarán un examen de mitad de período y un examen final.</w:t>
      </w:r>
    </w:p>
    <w:p w:rsidR="003D34F5" w:rsidRPr="00573923" w:rsidRDefault="00C7241D" w:rsidP="00BB6D41">
      <w:pPr>
        <w:pStyle w:val="Normalnumber"/>
        <w:tabs>
          <w:tab w:val="clear" w:pos="567"/>
          <w:tab w:val="clear" w:pos="1247"/>
          <w:tab w:val="clear" w:pos="1814"/>
          <w:tab w:val="clear" w:pos="2381"/>
          <w:tab w:val="clear" w:pos="2948"/>
          <w:tab w:val="clear" w:pos="3515"/>
          <w:tab w:val="num" w:pos="624"/>
        </w:tabs>
        <w:rPr>
          <w:sz w:val="20"/>
          <w:lang w:val="es-ES"/>
        </w:rPr>
      </w:pPr>
      <w:r>
        <w:rPr>
          <w:sz w:val="20"/>
          <w:lang w:val="es-ES"/>
        </w:rPr>
        <w:t>El examen final debería</w:t>
      </w:r>
      <w:r w:rsidR="003D34F5" w:rsidRPr="009054D5">
        <w:rPr>
          <w:sz w:val="20"/>
          <w:lang w:val="es-ES"/>
        </w:rPr>
        <w:t xml:space="preserve"> presentarse al Plenario en su sexto período de sesiones, cuya celebración está prevista, en principio, para comienzos de 2018</w:t>
      </w:r>
      <w:r>
        <w:rPr>
          <w:sz w:val="20"/>
          <w:lang w:val="es-ES"/>
        </w:rPr>
        <w:t>, a fin de que sirva de fundamento para</w:t>
      </w:r>
      <w:r w:rsidRPr="009054D5">
        <w:rPr>
          <w:sz w:val="20"/>
          <w:lang w:val="es-ES"/>
        </w:rPr>
        <w:t xml:space="preserve"> la elaboración del segundo programa de trabajo, tal como se espe</w:t>
      </w:r>
      <w:r>
        <w:rPr>
          <w:sz w:val="20"/>
          <w:lang w:val="es-ES"/>
        </w:rPr>
        <w:t>cifica en el mandato del examen</w:t>
      </w:r>
      <w:r w:rsidR="003D34F5" w:rsidRPr="009054D5">
        <w:rPr>
          <w:sz w:val="20"/>
          <w:lang w:val="es-ES"/>
        </w:rPr>
        <w:t xml:space="preserve">. Esta exigencia obedece a las consideraciones siguientes: el segundo programa de trabajo, cuyo inicio está previsto para 2019, tendría que ser aprobado por el Plenario en su séptimo período de sesiones, programado inicialmente para comienzos de 2019; el programa de trabajo se elaboraría en el </w:t>
      </w:r>
      <w:r w:rsidR="003D34F5" w:rsidRPr="009054D5">
        <w:rPr>
          <w:sz w:val="20"/>
          <w:lang w:val="es-ES"/>
        </w:rPr>
        <w:lastRenderedPageBreak/>
        <w:t>bienio</w:t>
      </w:r>
      <w:r w:rsidR="0044507A">
        <w:rPr>
          <w:sz w:val="20"/>
          <w:lang w:val="es-ES"/>
        </w:rPr>
        <w:t> </w:t>
      </w:r>
      <w:r w:rsidR="003D34F5" w:rsidRPr="009054D5">
        <w:rPr>
          <w:sz w:val="20"/>
          <w:lang w:val="es-ES"/>
        </w:rPr>
        <w:t>2018</w:t>
      </w:r>
      <w:r w:rsidR="00900B8D">
        <w:rPr>
          <w:sz w:val="20"/>
          <w:lang w:val="es-ES"/>
        </w:rPr>
        <w:noBreakHyphen/>
      </w:r>
      <w:r w:rsidR="003D34F5" w:rsidRPr="009054D5">
        <w:rPr>
          <w:sz w:val="20"/>
          <w:lang w:val="es-ES"/>
        </w:rPr>
        <w:t>2019, entre el sexto y el séptimo períodos de sesiones; por tanto, el exa</w:t>
      </w:r>
      <w:r>
        <w:rPr>
          <w:sz w:val="20"/>
          <w:lang w:val="es-ES"/>
        </w:rPr>
        <w:t>men de mitad de período debería</w:t>
      </w:r>
      <w:r w:rsidR="003D34F5" w:rsidRPr="009054D5">
        <w:rPr>
          <w:sz w:val="20"/>
          <w:lang w:val="es-ES"/>
        </w:rPr>
        <w:t xml:space="preserve"> presentarse al Plenario en su quinto período de sesiones, que se celebrará a principios de 2017. </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9054D5">
        <w:rPr>
          <w:sz w:val="20"/>
          <w:lang w:val="es-ES"/>
        </w:rPr>
        <w:t>Se propone que el examen de mitad de período y el examen final tengan dos componentes: un examen interno, que correrá a cargo de un subconjunto del Grupo Multidisciplinario de Expertos, la Mesa y la Secretaría, y un ex</w:t>
      </w:r>
      <w:r w:rsidR="00C7241D">
        <w:rPr>
          <w:sz w:val="20"/>
          <w:lang w:val="es-ES"/>
        </w:rPr>
        <w:t>amen externo, que se encomendará</w:t>
      </w:r>
      <w:r w:rsidRPr="009054D5">
        <w:rPr>
          <w:sz w:val="20"/>
          <w:lang w:val="es-ES"/>
        </w:rPr>
        <w:t xml:space="preserve"> </w:t>
      </w:r>
      <w:r w:rsidR="00C7241D">
        <w:rPr>
          <w:sz w:val="20"/>
          <w:lang w:val="es-ES"/>
        </w:rPr>
        <w:t>a</w:t>
      </w:r>
      <w:r w:rsidRPr="009054D5">
        <w:rPr>
          <w:sz w:val="20"/>
          <w:lang w:val="es-ES"/>
        </w:rPr>
        <w:t xml:space="preserve"> un equipo de evaluación externo designado por el órgano de examen independiente. En la sección B del anexo del presente documento se ofrece más información sobre los arreglos que pueden adoptarse.</w:t>
      </w:r>
    </w:p>
    <w:p w:rsidR="003D34F5" w:rsidRPr="00CE37E6" w:rsidRDefault="0087665E" w:rsidP="00BB6D41">
      <w:pPr>
        <w:pStyle w:val="CH2"/>
      </w:pPr>
      <w:r>
        <w:rPr>
          <w:lang w:val="es-ES"/>
        </w:rPr>
        <w:tab/>
        <w:t>B.</w:t>
      </w:r>
      <w:r>
        <w:rPr>
          <w:lang w:val="es-ES"/>
        </w:rPr>
        <w:tab/>
        <w:t xml:space="preserve">Objetivos de los exámenes </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9054D5">
        <w:rPr>
          <w:sz w:val="20"/>
          <w:lang w:val="es-ES"/>
        </w:rPr>
        <w:t>El objetivo de ambos exámenes es evaluar la eficacia de las funciones administrativas y científicas de la Plataforma, que se enumeran en UNEP/IPBES.MI/2/9 y se exponen a continuación.</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9054D5">
        <w:rPr>
          <w:sz w:val="20"/>
          <w:lang w:val="es-ES"/>
        </w:rPr>
        <w:t>Las funciones administrativas son las siguientes:</w:t>
      </w:r>
    </w:p>
    <w:p w:rsidR="003D34F5" w:rsidRPr="00573923" w:rsidRDefault="003D34F5" w:rsidP="0044507A">
      <w:pPr>
        <w:pStyle w:val="Normalnumber"/>
        <w:numPr>
          <w:ilvl w:val="0"/>
          <w:numId w:val="9"/>
        </w:numPr>
        <w:tabs>
          <w:tab w:val="clear" w:pos="1247"/>
          <w:tab w:val="clear" w:pos="1814"/>
          <w:tab w:val="clear" w:pos="2381"/>
          <w:tab w:val="clear" w:pos="2948"/>
          <w:tab w:val="clear" w:pos="3515"/>
        </w:tabs>
        <w:ind w:left="1247" w:firstLine="624"/>
        <w:rPr>
          <w:sz w:val="20"/>
          <w:lang w:val="es-ES"/>
        </w:rPr>
      </w:pPr>
      <w:r w:rsidRPr="009054D5">
        <w:rPr>
          <w:sz w:val="20"/>
          <w:lang w:val="es-ES"/>
        </w:rPr>
        <w:t xml:space="preserve">Responder a las solicitudes relacionadas con el programa de trabajo de la Plataforma y los productos que requieran la atención de la </w:t>
      </w:r>
      <w:r w:rsidR="00133331">
        <w:rPr>
          <w:sz w:val="20"/>
          <w:lang w:val="es-ES"/>
        </w:rPr>
        <w:t>P</w:t>
      </w:r>
      <w:r w:rsidRPr="009054D5">
        <w:rPr>
          <w:sz w:val="20"/>
          <w:lang w:val="es-ES"/>
        </w:rPr>
        <w:t>lataforma entre períodos de sesiones del Plenario;</w:t>
      </w:r>
    </w:p>
    <w:p w:rsidR="003D34F5" w:rsidRPr="00573923" w:rsidRDefault="003D34F5" w:rsidP="0044507A">
      <w:pPr>
        <w:pStyle w:val="Normalnumber"/>
        <w:numPr>
          <w:ilvl w:val="0"/>
          <w:numId w:val="9"/>
        </w:numPr>
        <w:tabs>
          <w:tab w:val="clear" w:pos="1247"/>
          <w:tab w:val="clear" w:pos="1814"/>
          <w:tab w:val="clear" w:pos="2381"/>
          <w:tab w:val="clear" w:pos="2948"/>
          <w:tab w:val="clear" w:pos="3515"/>
        </w:tabs>
        <w:ind w:left="1247" w:firstLine="624"/>
        <w:rPr>
          <w:rFonts w:eastAsia="Calibri"/>
          <w:w w:val="103"/>
          <w:sz w:val="20"/>
          <w:lang w:val="es-ES"/>
        </w:rPr>
      </w:pPr>
      <w:r w:rsidRPr="009054D5">
        <w:rPr>
          <w:sz w:val="20"/>
          <w:lang w:val="es-ES"/>
        </w:rPr>
        <w:t xml:space="preserve">Supervisar las actividades de comunicación y divulgación; </w:t>
      </w:r>
    </w:p>
    <w:p w:rsidR="003D34F5" w:rsidRPr="00573923" w:rsidRDefault="003D34F5" w:rsidP="0044507A">
      <w:pPr>
        <w:pStyle w:val="Normalnumber"/>
        <w:numPr>
          <w:ilvl w:val="0"/>
          <w:numId w:val="9"/>
        </w:numPr>
        <w:tabs>
          <w:tab w:val="clear" w:pos="1247"/>
          <w:tab w:val="clear" w:pos="1814"/>
          <w:tab w:val="clear" w:pos="2381"/>
          <w:tab w:val="clear" w:pos="2948"/>
          <w:tab w:val="clear" w:pos="3515"/>
        </w:tabs>
        <w:ind w:left="1247" w:firstLine="624"/>
        <w:rPr>
          <w:rFonts w:eastAsia="Calibri"/>
          <w:w w:val="103"/>
          <w:sz w:val="20"/>
          <w:lang w:val="es-ES"/>
        </w:rPr>
      </w:pPr>
      <w:r w:rsidRPr="009054D5">
        <w:rPr>
          <w:sz w:val="20"/>
          <w:lang w:val="es-ES"/>
        </w:rPr>
        <w:t>Examinar los progresos realizados en la aplicación de las decisiones del Plenario, si este así lo solicita;</w:t>
      </w:r>
    </w:p>
    <w:p w:rsidR="003D34F5" w:rsidRPr="00573923" w:rsidRDefault="003D34F5" w:rsidP="0044507A">
      <w:pPr>
        <w:pStyle w:val="Normalnumber"/>
        <w:numPr>
          <w:ilvl w:val="0"/>
          <w:numId w:val="9"/>
        </w:numPr>
        <w:tabs>
          <w:tab w:val="clear" w:pos="1247"/>
          <w:tab w:val="clear" w:pos="1814"/>
          <w:tab w:val="clear" w:pos="2381"/>
          <w:tab w:val="clear" w:pos="2948"/>
          <w:tab w:val="clear" w:pos="3515"/>
        </w:tabs>
        <w:ind w:left="1247" w:firstLine="624"/>
        <w:rPr>
          <w:rFonts w:eastAsia="Calibri"/>
          <w:w w:val="103"/>
          <w:sz w:val="20"/>
          <w:lang w:val="es-ES"/>
        </w:rPr>
      </w:pPr>
      <w:r w:rsidRPr="009054D5">
        <w:rPr>
          <w:sz w:val="20"/>
          <w:lang w:val="es-ES"/>
        </w:rPr>
        <w:t>Supervisar el desempeño de la Secretaría;</w:t>
      </w:r>
    </w:p>
    <w:p w:rsidR="003D34F5" w:rsidRPr="00573923" w:rsidRDefault="003D34F5" w:rsidP="0044507A">
      <w:pPr>
        <w:pStyle w:val="Normalnumber"/>
        <w:numPr>
          <w:ilvl w:val="0"/>
          <w:numId w:val="9"/>
        </w:numPr>
        <w:tabs>
          <w:tab w:val="clear" w:pos="1247"/>
          <w:tab w:val="clear" w:pos="1814"/>
          <w:tab w:val="clear" w:pos="2381"/>
          <w:tab w:val="clear" w:pos="2948"/>
          <w:tab w:val="clear" w:pos="3515"/>
        </w:tabs>
        <w:ind w:left="1247" w:firstLine="624"/>
        <w:rPr>
          <w:rFonts w:eastAsia="Calibri"/>
          <w:w w:val="103"/>
          <w:sz w:val="20"/>
          <w:lang w:val="es-ES"/>
        </w:rPr>
      </w:pPr>
      <w:r w:rsidRPr="009054D5">
        <w:rPr>
          <w:sz w:val="20"/>
          <w:lang w:val="es-ES"/>
        </w:rPr>
        <w:t>Organizar los períodos de sesiones del Plenario y contribuir a su desarrollo;</w:t>
      </w:r>
    </w:p>
    <w:p w:rsidR="003D34F5" w:rsidRPr="00573923" w:rsidRDefault="003D34F5" w:rsidP="0044507A">
      <w:pPr>
        <w:pStyle w:val="Normalnumber"/>
        <w:numPr>
          <w:ilvl w:val="0"/>
          <w:numId w:val="9"/>
        </w:numPr>
        <w:tabs>
          <w:tab w:val="clear" w:pos="1247"/>
          <w:tab w:val="clear" w:pos="1814"/>
          <w:tab w:val="clear" w:pos="2381"/>
          <w:tab w:val="clear" w:pos="2948"/>
          <w:tab w:val="clear" w:pos="3515"/>
        </w:tabs>
        <w:ind w:left="1247" w:firstLine="624"/>
        <w:rPr>
          <w:rFonts w:eastAsia="Calibri"/>
          <w:w w:val="103"/>
          <w:sz w:val="20"/>
          <w:lang w:val="es-ES"/>
        </w:rPr>
      </w:pPr>
      <w:r w:rsidRPr="009054D5">
        <w:rPr>
          <w:sz w:val="20"/>
          <w:lang w:val="es-ES"/>
        </w:rPr>
        <w:t>Examinar la observancia del reglamento y los procedimientos de la Plataforma;</w:t>
      </w:r>
    </w:p>
    <w:p w:rsidR="003D34F5" w:rsidRPr="00573923" w:rsidRDefault="003D34F5" w:rsidP="0044507A">
      <w:pPr>
        <w:pStyle w:val="Normalnumber"/>
        <w:numPr>
          <w:ilvl w:val="0"/>
          <w:numId w:val="9"/>
        </w:numPr>
        <w:tabs>
          <w:tab w:val="clear" w:pos="1247"/>
          <w:tab w:val="clear" w:pos="1814"/>
          <w:tab w:val="clear" w:pos="2381"/>
          <w:tab w:val="clear" w:pos="2948"/>
          <w:tab w:val="clear" w:pos="3515"/>
        </w:tabs>
        <w:ind w:left="1247" w:firstLine="624"/>
        <w:rPr>
          <w:rFonts w:eastAsia="Calibri"/>
          <w:w w:val="103"/>
          <w:sz w:val="20"/>
          <w:lang w:val="es-ES"/>
        </w:rPr>
      </w:pPr>
      <w:r w:rsidRPr="009054D5">
        <w:rPr>
          <w:sz w:val="20"/>
          <w:lang w:val="es-ES"/>
        </w:rPr>
        <w:t>Examinar la gestión de los recursos y la observancia del reglamento financiero e informar al Plenario al respecto;</w:t>
      </w:r>
    </w:p>
    <w:p w:rsidR="003D34F5" w:rsidRPr="00573923" w:rsidRDefault="003D34F5" w:rsidP="0044507A">
      <w:pPr>
        <w:pStyle w:val="Normalnumber"/>
        <w:numPr>
          <w:ilvl w:val="0"/>
          <w:numId w:val="9"/>
        </w:numPr>
        <w:tabs>
          <w:tab w:val="clear" w:pos="1247"/>
          <w:tab w:val="clear" w:pos="1814"/>
          <w:tab w:val="clear" w:pos="2381"/>
          <w:tab w:val="clear" w:pos="2948"/>
          <w:tab w:val="clear" w:pos="3515"/>
        </w:tabs>
        <w:ind w:left="1247" w:firstLine="624"/>
        <w:rPr>
          <w:rFonts w:eastAsia="Calibri"/>
          <w:w w:val="103"/>
          <w:sz w:val="20"/>
          <w:lang w:val="es-ES"/>
        </w:rPr>
      </w:pPr>
      <w:r w:rsidRPr="009054D5">
        <w:rPr>
          <w:sz w:val="20"/>
          <w:lang w:val="es-ES"/>
        </w:rPr>
        <w:t xml:space="preserve">Asesorar al Plenario en materia de coordinación entre la Plataforma y otras instituciones competentes; </w:t>
      </w:r>
    </w:p>
    <w:p w:rsidR="003D34F5" w:rsidRPr="00573923" w:rsidRDefault="003D34F5" w:rsidP="0044507A">
      <w:pPr>
        <w:pStyle w:val="Normalnumber"/>
        <w:numPr>
          <w:ilvl w:val="0"/>
          <w:numId w:val="9"/>
        </w:numPr>
        <w:tabs>
          <w:tab w:val="clear" w:pos="1247"/>
          <w:tab w:val="clear" w:pos="1814"/>
          <w:tab w:val="clear" w:pos="2381"/>
          <w:tab w:val="clear" w:pos="2948"/>
          <w:tab w:val="clear" w:pos="3515"/>
        </w:tabs>
        <w:ind w:left="1247" w:firstLine="624"/>
        <w:rPr>
          <w:rFonts w:eastAsia="Calibri"/>
          <w:w w:val="103"/>
          <w:sz w:val="20"/>
          <w:lang w:val="es-ES"/>
        </w:rPr>
      </w:pPr>
      <w:r w:rsidRPr="009054D5">
        <w:rPr>
          <w:sz w:val="20"/>
          <w:lang w:val="es-ES"/>
        </w:rPr>
        <w:t>Seleccionar donantes y definir acuerdos sobre modalidades de asociación para la ejecución de las actividades de la Plataforma.</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9054D5">
        <w:rPr>
          <w:sz w:val="20"/>
          <w:lang w:val="es-ES"/>
        </w:rPr>
        <w:t>Las funciones científicas y técnicas son las siguientes:</w:t>
      </w:r>
    </w:p>
    <w:p w:rsidR="003D34F5" w:rsidRPr="00573923" w:rsidRDefault="003D34F5" w:rsidP="0044507A">
      <w:pPr>
        <w:pStyle w:val="Normalnumber"/>
        <w:numPr>
          <w:ilvl w:val="0"/>
          <w:numId w:val="11"/>
        </w:numPr>
        <w:tabs>
          <w:tab w:val="clear" w:pos="1247"/>
          <w:tab w:val="clear" w:pos="1814"/>
          <w:tab w:val="clear" w:pos="2381"/>
          <w:tab w:val="clear" w:pos="2948"/>
          <w:tab w:val="clear" w:pos="3515"/>
        </w:tabs>
        <w:ind w:left="1247" w:firstLine="624"/>
        <w:rPr>
          <w:sz w:val="20"/>
          <w:lang w:val="es-ES"/>
        </w:rPr>
      </w:pPr>
      <w:r w:rsidRPr="009054D5">
        <w:rPr>
          <w:sz w:val="20"/>
          <w:lang w:val="es-ES"/>
        </w:rPr>
        <w:t>Asesorar al Plenario sobre los aspectos científicos y técnicos del programa de trabajo de la Plataforma;</w:t>
      </w:r>
    </w:p>
    <w:p w:rsidR="003D34F5" w:rsidRPr="00573923" w:rsidRDefault="003D34F5" w:rsidP="0044507A">
      <w:pPr>
        <w:pStyle w:val="Normalnumber"/>
        <w:numPr>
          <w:ilvl w:val="0"/>
          <w:numId w:val="11"/>
        </w:numPr>
        <w:tabs>
          <w:tab w:val="clear" w:pos="1247"/>
          <w:tab w:val="clear" w:pos="1814"/>
          <w:tab w:val="clear" w:pos="2381"/>
          <w:tab w:val="clear" w:pos="2948"/>
          <w:tab w:val="clear" w:pos="3515"/>
        </w:tabs>
        <w:ind w:left="1247" w:firstLine="624"/>
        <w:rPr>
          <w:sz w:val="20"/>
          <w:lang w:val="es-ES"/>
        </w:rPr>
      </w:pPr>
      <w:r w:rsidRPr="009054D5">
        <w:rPr>
          <w:sz w:val="20"/>
          <w:lang w:val="es-ES"/>
        </w:rPr>
        <w:t>Prestar asesoramiento y asistencia en cuestiones de comunicación científica o técnica;</w:t>
      </w:r>
    </w:p>
    <w:p w:rsidR="003D34F5" w:rsidRPr="00573923" w:rsidRDefault="003D34F5" w:rsidP="0044507A">
      <w:pPr>
        <w:pStyle w:val="Normalnumber"/>
        <w:numPr>
          <w:ilvl w:val="0"/>
          <w:numId w:val="11"/>
        </w:numPr>
        <w:tabs>
          <w:tab w:val="clear" w:pos="1247"/>
          <w:tab w:val="clear" w:pos="1814"/>
          <w:tab w:val="clear" w:pos="2381"/>
          <w:tab w:val="clear" w:pos="2948"/>
          <w:tab w:val="clear" w:pos="3515"/>
        </w:tabs>
        <w:ind w:left="1247" w:firstLine="624"/>
        <w:rPr>
          <w:sz w:val="20"/>
          <w:lang w:val="es-ES"/>
        </w:rPr>
      </w:pPr>
      <w:r w:rsidRPr="009054D5">
        <w:rPr>
          <w:sz w:val="20"/>
          <w:lang w:val="es-ES"/>
        </w:rPr>
        <w:t>Administrar el proceso de examen colegiado de la Plataforma para garantizar el más alto nivel de calidad científica, independencia y ri</w:t>
      </w:r>
      <w:r w:rsidR="00C7241D">
        <w:rPr>
          <w:sz w:val="20"/>
          <w:lang w:val="es-ES"/>
        </w:rPr>
        <w:t>gor</w:t>
      </w:r>
      <w:r w:rsidRPr="009054D5">
        <w:rPr>
          <w:sz w:val="20"/>
          <w:lang w:val="es-ES"/>
        </w:rPr>
        <w:t xml:space="preserve"> de todos los productos que surjan de la Plataforma en todas las etapas del proceso;</w:t>
      </w:r>
    </w:p>
    <w:p w:rsidR="003D34F5" w:rsidRPr="00573923" w:rsidRDefault="003D34F5" w:rsidP="0044507A">
      <w:pPr>
        <w:pStyle w:val="Normalnumber"/>
        <w:numPr>
          <w:ilvl w:val="0"/>
          <w:numId w:val="11"/>
        </w:numPr>
        <w:tabs>
          <w:tab w:val="clear" w:pos="1247"/>
          <w:tab w:val="clear" w:pos="1814"/>
          <w:tab w:val="clear" w:pos="2381"/>
          <w:tab w:val="clear" w:pos="2948"/>
          <w:tab w:val="clear" w:pos="3515"/>
        </w:tabs>
        <w:ind w:left="1247" w:firstLine="624"/>
        <w:rPr>
          <w:sz w:val="20"/>
          <w:lang w:val="es-ES"/>
        </w:rPr>
      </w:pPr>
      <w:r w:rsidRPr="009054D5">
        <w:rPr>
          <w:sz w:val="20"/>
          <w:lang w:val="es-ES"/>
        </w:rPr>
        <w:t xml:space="preserve">Atraer la participación de la comunidad científica y otros depositarios de conocimientos en el programa de trabajo, teniendo en cuenta la necesidad de </w:t>
      </w:r>
      <w:r w:rsidR="003A78FB">
        <w:rPr>
          <w:sz w:val="20"/>
          <w:lang w:val="es-ES"/>
        </w:rPr>
        <w:t>recurrir a</w:t>
      </w:r>
      <w:r w:rsidRPr="009054D5">
        <w:rPr>
          <w:sz w:val="20"/>
          <w:lang w:val="es-ES"/>
        </w:rPr>
        <w:t xml:space="preserve"> distintas disciplinas y tipos de conocimientos, </w:t>
      </w:r>
      <w:r w:rsidR="003A78FB">
        <w:rPr>
          <w:sz w:val="20"/>
          <w:lang w:val="es-ES"/>
        </w:rPr>
        <w:t>garantizar una representación paritaria en cuestión de género</w:t>
      </w:r>
      <w:r w:rsidRPr="009054D5">
        <w:rPr>
          <w:sz w:val="20"/>
          <w:lang w:val="es-ES"/>
        </w:rPr>
        <w:t xml:space="preserve"> y </w:t>
      </w:r>
      <w:r w:rsidR="003A78FB">
        <w:rPr>
          <w:sz w:val="20"/>
          <w:lang w:val="es-ES"/>
        </w:rPr>
        <w:t xml:space="preserve">recabar </w:t>
      </w:r>
      <w:r w:rsidRPr="009054D5">
        <w:rPr>
          <w:sz w:val="20"/>
          <w:lang w:val="es-ES"/>
        </w:rPr>
        <w:t>la contri</w:t>
      </w:r>
      <w:r w:rsidR="003A78FB">
        <w:rPr>
          <w:sz w:val="20"/>
          <w:lang w:val="es-ES"/>
        </w:rPr>
        <w:t>bución y la participación</w:t>
      </w:r>
      <w:r w:rsidRPr="009054D5">
        <w:rPr>
          <w:sz w:val="20"/>
          <w:lang w:val="es-ES"/>
        </w:rPr>
        <w:t xml:space="preserve"> de expertos procedentes de países en desarrollo;</w:t>
      </w:r>
    </w:p>
    <w:p w:rsidR="003D34F5" w:rsidRPr="00573923" w:rsidRDefault="003D34F5" w:rsidP="0044507A">
      <w:pPr>
        <w:pStyle w:val="Normalnumber"/>
        <w:numPr>
          <w:ilvl w:val="0"/>
          <w:numId w:val="11"/>
        </w:numPr>
        <w:tabs>
          <w:tab w:val="clear" w:pos="1247"/>
          <w:tab w:val="clear" w:pos="1814"/>
          <w:tab w:val="clear" w:pos="2381"/>
          <w:tab w:val="clear" w:pos="2948"/>
          <w:tab w:val="clear" w:pos="3515"/>
        </w:tabs>
        <w:ind w:left="1247" w:firstLine="624"/>
        <w:rPr>
          <w:sz w:val="20"/>
          <w:lang w:val="es-ES"/>
        </w:rPr>
      </w:pPr>
      <w:r w:rsidRPr="009054D5">
        <w:rPr>
          <w:sz w:val="20"/>
          <w:lang w:val="es-ES"/>
        </w:rPr>
        <w:t>Asegurar la coordinación científica y técnica entre las estructuras que se establezcan en el marco de la Plataforma y facilitar la coordinación entre la Plataforma y otros procesos conexos a fin de contribuir a las actividades existentes;</w:t>
      </w:r>
    </w:p>
    <w:p w:rsidR="003D34F5" w:rsidRPr="00573923" w:rsidRDefault="003D34F5" w:rsidP="0044507A">
      <w:pPr>
        <w:pStyle w:val="Normalnumber"/>
        <w:numPr>
          <w:ilvl w:val="0"/>
          <w:numId w:val="11"/>
        </w:numPr>
        <w:tabs>
          <w:tab w:val="clear" w:pos="1247"/>
          <w:tab w:val="clear" w:pos="1814"/>
          <w:tab w:val="clear" w:pos="2381"/>
          <w:tab w:val="clear" w:pos="2948"/>
          <w:tab w:val="clear" w:pos="3515"/>
        </w:tabs>
        <w:ind w:left="1247" w:firstLine="624"/>
        <w:rPr>
          <w:sz w:val="20"/>
          <w:lang w:val="es-ES"/>
        </w:rPr>
      </w:pPr>
      <w:r w:rsidRPr="009054D5">
        <w:rPr>
          <w:sz w:val="20"/>
          <w:lang w:val="es-ES"/>
        </w:rPr>
        <w:t>[Explorar enfoques para facilitar el intercambio y la transferencia de tecnologías en el contexto de la evaluación, la generación de conocimientos y la creación de capacidad de conformidad con el programa de trabajo de la Plataforma;]</w:t>
      </w:r>
    </w:p>
    <w:p w:rsidR="003D34F5" w:rsidRPr="00573923" w:rsidRDefault="003D34F5" w:rsidP="0044507A">
      <w:pPr>
        <w:pStyle w:val="Normalnumber"/>
        <w:numPr>
          <w:ilvl w:val="0"/>
          <w:numId w:val="11"/>
        </w:numPr>
        <w:tabs>
          <w:tab w:val="clear" w:pos="1247"/>
          <w:tab w:val="clear" w:pos="1814"/>
          <w:tab w:val="clear" w:pos="2381"/>
          <w:tab w:val="clear" w:pos="2948"/>
          <w:tab w:val="clear" w:pos="3515"/>
        </w:tabs>
        <w:ind w:left="1247" w:firstLine="624"/>
        <w:rPr>
          <w:sz w:val="20"/>
          <w:lang w:val="es-ES"/>
        </w:rPr>
      </w:pPr>
      <w:r w:rsidRPr="009054D5">
        <w:rPr>
          <w:sz w:val="20"/>
          <w:lang w:val="es-ES"/>
        </w:rPr>
        <w:t>Estudiar las formas de tener en cuenta diferentes sistemas de conocimientos, por ejemplo los</w:t>
      </w:r>
      <w:r w:rsidR="003A78FB">
        <w:rPr>
          <w:sz w:val="20"/>
          <w:lang w:val="es-ES"/>
        </w:rPr>
        <w:t xml:space="preserve"> de los pueblos indígenas, en el marco de la</w:t>
      </w:r>
      <w:r w:rsidRPr="009054D5">
        <w:rPr>
          <w:sz w:val="20"/>
          <w:lang w:val="es-ES"/>
        </w:rPr>
        <w:t xml:space="preserve"> relación entre la ciencia y las políticas.</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9054D5">
        <w:rPr>
          <w:sz w:val="20"/>
          <w:lang w:val="es-ES"/>
        </w:rPr>
        <w:t>El objetivo es cerciorarse de que los procedimientos de preparación de los productos previstos se han respetado y han servido para salvaguardar la credibilidad, la legitimidad y la pertinencia de la Plataforma.</w:t>
      </w:r>
    </w:p>
    <w:p w:rsidR="003D34F5" w:rsidRPr="00573923" w:rsidRDefault="00D96CE6" w:rsidP="00BB6D41">
      <w:pPr>
        <w:pStyle w:val="Normalnumber"/>
        <w:tabs>
          <w:tab w:val="clear" w:pos="567"/>
          <w:tab w:val="clear" w:pos="1247"/>
          <w:tab w:val="clear" w:pos="1814"/>
          <w:tab w:val="clear" w:pos="2381"/>
          <w:tab w:val="clear" w:pos="2948"/>
          <w:tab w:val="clear" w:pos="3515"/>
          <w:tab w:val="num" w:pos="624"/>
        </w:tabs>
        <w:rPr>
          <w:sz w:val="20"/>
          <w:lang w:val="es-ES"/>
        </w:rPr>
      </w:pPr>
      <w:r>
        <w:rPr>
          <w:sz w:val="20"/>
          <w:lang w:val="es-ES"/>
        </w:rPr>
        <w:t>Si bien es</w:t>
      </w:r>
      <w:r w:rsidR="003D34F5" w:rsidRPr="009054D5">
        <w:rPr>
          <w:sz w:val="20"/>
          <w:lang w:val="es-ES"/>
        </w:rPr>
        <w:t xml:space="preserve"> demasiado pronto para realizar los dos exámenes, en especial el de mitad de período, a fin de evaluar los efectos de la Plataforma los encargados del examen final podrían empezar </w:t>
      </w:r>
      <w:r w:rsidR="003D34F5" w:rsidRPr="009054D5">
        <w:rPr>
          <w:sz w:val="20"/>
          <w:lang w:val="es-ES"/>
        </w:rPr>
        <w:lastRenderedPageBreak/>
        <w:t xml:space="preserve">a trabajar en este aspecto fundamental. Cabría formular, entre otras, las preguntas siguientes: ¿las evaluaciones de la Plataforma se usan para fundamentar la adopción de decisiones?; de ser así, </w:t>
      </w:r>
      <w:r>
        <w:rPr>
          <w:sz w:val="20"/>
          <w:lang w:val="es-ES"/>
        </w:rPr>
        <w:t>¿</w:t>
      </w:r>
      <w:r w:rsidR="003D34F5" w:rsidRPr="009054D5">
        <w:rPr>
          <w:sz w:val="20"/>
          <w:lang w:val="es-ES"/>
        </w:rPr>
        <w:t>en qué contexto se usan? ¿Las herramientas de apoyo normativo y creación de capacidad sirven para ayudar a los encargados de formular políticas a usar información extraída de los productos de la Plataforma?</w:t>
      </w:r>
    </w:p>
    <w:p w:rsidR="003D34F5" w:rsidRPr="00573923" w:rsidRDefault="0087665E" w:rsidP="00BB6D41">
      <w:pPr>
        <w:pStyle w:val="CH2"/>
        <w:rPr>
          <w:lang w:val="es-ES"/>
        </w:rPr>
      </w:pPr>
      <w:r>
        <w:rPr>
          <w:lang w:val="es-ES"/>
        </w:rPr>
        <w:tab/>
        <w:t>C.</w:t>
      </w:r>
      <w:r>
        <w:rPr>
          <w:lang w:val="es-ES"/>
        </w:rPr>
        <w:tab/>
        <w:t>El órgano de examen independiente</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9054D5">
        <w:rPr>
          <w:sz w:val="20"/>
          <w:lang w:val="es-ES"/>
        </w:rPr>
        <w:t>Como se especifica en la decisión de la IPBES</w:t>
      </w:r>
      <w:r w:rsidR="00133331">
        <w:rPr>
          <w:sz w:val="20"/>
          <w:lang w:val="es-ES"/>
        </w:rPr>
        <w:noBreakHyphen/>
      </w:r>
      <w:r w:rsidR="00133331" w:rsidRPr="009054D5">
        <w:rPr>
          <w:sz w:val="20"/>
          <w:lang w:val="es-ES"/>
        </w:rPr>
        <w:t>2/5</w:t>
      </w:r>
      <w:r w:rsidRPr="009054D5">
        <w:rPr>
          <w:sz w:val="20"/>
          <w:lang w:val="es-ES"/>
        </w:rPr>
        <w:t>, el examen debe realizarlo un órgano independiente. Se propone que este órgano lleve a cabo los dos exámenes externos, el de mitad de período y el final.</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9054D5">
        <w:rPr>
          <w:sz w:val="20"/>
          <w:lang w:val="es-ES"/>
        </w:rPr>
        <w:t>Se propone solicitar al Consejo Internacional para</w:t>
      </w:r>
      <w:r w:rsidR="00D96CE6">
        <w:rPr>
          <w:sz w:val="20"/>
          <w:lang w:val="es-ES"/>
        </w:rPr>
        <w:t xml:space="preserve"> la Ciencia (CIUC) que designe </w:t>
      </w:r>
      <w:r w:rsidRPr="009054D5">
        <w:rPr>
          <w:sz w:val="20"/>
          <w:lang w:val="es-ES"/>
        </w:rPr>
        <w:t>un órgano de examen independiente y lo administre. El CIUC es una organización no gu</w:t>
      </w:r>
      <w:r w:rsidR="0038108B">
        <w:rPr>
          <w:sz w:val="20"/>
          <w:lang w:val="es-ES"/>
        </w:rPr>
        <w:t>bernamental</w:t>
      </w:r>
      <w:r w:rsidR="00C93DE7">
        <w:rPr>
          <w:sz w:val="20"/>
          <w:lang w:val="es-ES"/>
        </w:rPr>
        <w:t xml:space="preserve"> establecida en 1931 que agrupa</w:t>
      </w:r>
      <w:r w:rsidRPr="009054D5">
        <w:rPr>
          <w:sz w:val="20"/>
          <w:lang w:val="es-ES"/>
        </w:rPr>
        <w:t xml:space="preserve"> órganos científicos nacionales de todo el mundo, como academias nacionales de ciencias y consejos nacionales de investigación (122 miembros en repr</w:t>
      </w:r>
      <w:r w:rsidR="00C93DE7">
        <w:rPr>
          <w:sz w:val="20"/>
          <w:lang w:val="es-ES"/>
        </w:rPr>
        <w:t>esentación de 142 países), y</w:t>
      </w:r>
      <w:r w:rsidRPr="009054D5">
        <w:rPr>
          <w:sz w:val="20"/>
          <w:lang w:val="es-ES"/>
        </w:rPr>
        <w:t xml:space="preserve"> uniones científicas internacionales (31 miembros). Su misión consiste en fortalecer la ciencia internacional en beneficio de la sociedad, para lo cual moviliza los conocimientos y recursos de la comunidad científica internacional a fin de detectar y resolver cuestiones problemáticas de importancia para la ciencia y la sociedad; facilitar la interacción entre científicos de todas las disciplinas y países; promover la participación de todos los científicos, con independencia de su raza, nacionalidad, idioma, orientación política o género, en la labor de la comunidad científica internacional; y prestar asesoramiento ind</w:t>
      </w:r>
      <w:r w:rsidR="00C93DE7">
        <w:rPr>
          <w:sz w:val="20"/>
          <w:lang w:val="es-ES"/>
        </w:rPr>
        <w:t>ependiente y autorizado para</w:t>
      </w:r>
      <w:r w:rsidRPr="009054D5">
        <w:rPr>
          <w:sz w:val="20"/>
          <w:lang w:val="es-ES"/>
        </w:rPr>
        <w:t xml:space="preserve"> estimular el diálogo constructivo entre la comunidad científica y los gobiernos, la sociedad civil y el sector privado. </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9054D5">
        <w:rPr>
          <w:sz w:val="20"/>
          <w:lang w:val="es-ES"/>
        </w:rPr>
        <w:t>Además, se propone solicitar al CIUC que recabe el asesoramiento del Consejo Internacional de Ciencias Sociales (CICS) para la selección de expertos en ciencias sociales. El CICS, organización no gubernamental independiente fundada en 1952, es el principal órgano de representación de las ciencias sociales, económicas y del comportamiento en el plano internacional. Su misión es aume</w:t>
      </w:r>
      <w:r w:rsidR="00896704">
        <w:rPr>
          <w:sz w:val="20"/>
          <w:lang w:val="es-ES"/>
        </w:rPr>
        <w:t>ntar la producción y el uso</w:t>
      </w:r>
      <w:r w:rsidRPr="009054D5">
        <w:rPr>
          <w:sz w:val="20"/>
          <w:lang w:val="es-ES"/>
        </w:rPr>
        <w:t xml:space="preserve"> de los conocimientos en materia de ciencias sociales para el bienestar de las sociedades de todo el mundo. El CICS es una asociación regida por una asamblea general y un comité ejecutivo elegido por los miembros, entre los que figuran sindicatos y asociaciones profesionales internacionales, consejos de investigación y academias de ciencias sociales de carácter regional y nacional, y universidades e institutos nacionales especialmente interesados en las ciencias sociales.</w:t>
      </w:r>
    </w:p>
    <w:p w:rsidR="003D34F5" w:rsidRPr="00CE37E6" w:rsidRDefault="0087665E" w:rsidP="00BB6D41">
      <w:pPr>
        <w:pStyle w:val="CH2"/>
      </w:pPr>
      <w:r>
        <w:rPr>
          <w:lang w:val="es-ES"/>
        </w:rPr>
        <w:tab/>
        <w:t>D.</w:t>
      </w:r>
      <w:r>
        <w:rPr>
          <w:lang w:val="es-ES"/>
        </w:rPr>
        <w:tab/>
        <w:t>Necesidades presupuestarias</w:t>
      </w:r>
    </w:p>
    <w:p w:rsidR="003D34F5" w:rsidRPr="00573923" w:rsidRDefault="00896704" w:rsidP="00BB6D41">
      <w:pPr>
        <w:pStyle w:val="Normalnumber"/>
        <w:tabs>
          <w:tab w:val="clear" w:pos="567"/>
          <w:tab w:val="clear" w:pos="1247"/>
          <w:tab w:val="clear" w:pos="1814"/>
          <w:tab w:val="clear" w:pos="2381"/>
          <w:tab w:val="clear" w:pos="2948"/>
          <w:tab w:val="clear" w:pos="3515"/>
          <w:tab w:val="num" w:pos="624"/>
        </w:tabs>
        <w:rPr>
          <w:sz w:val="20"/>
          <w:lang w:val="es-ES"/>
        </w:rPr>
      </w:pPr>
      <w:r>
        <w:rPr>
          <w:sz w:val="20"/>
          <w:lang w:val="es-ES"/>
        </w:rPr>
        <w:t>El presupuesto debe</w:t>
      </w:r>
      <w:r w:rsidR="003D34F5" w:rsidRPr="009054D5">
        <w:rPr>
          <w:sz w:val="20"/>
          <w:lang w:val="es-ES"/>
        </w:rPr>
        <w:t xml:space="preserve"> cubrir los costos siguientes:</w:t>
      </w:r>
    </w:p>
    <w:p w:rsidR="003D34F5" w:rsidRPr="00573923" w:rsidRDefault="004F005B" w:rsidP="009054D5">
      <w:pPr>
        <w:pStyle w:val="Normalnumber"/>
        <w:numPr>
          <w:ilvl w:val="1"/>
          <w:numId w:val="4"/>
        </w:numPr>
        <w:tabs>
          <w:tab w:val="clear" w:pos="1247"/>
          <w:tab w:val="clear" w:pos="1814"/>
          <w:tab w:val="clear" w:pos="2381"/>
          <w:tab w:val="clear" w:pos="2948"/>
          <w:tab w:val="clear" w:pos="3515"/>
        </w:tabs>
        <w:rPr>
          <w:i/>
          <w:sz w:val="20"/>
          <w:lang w:val="es-ES"/>
        </w:rPr>
      </w:pPr>
      <w:r w:rsidRPr="00133331">
        <w:rPr>
          <w:i/>
          <w:sz w:val="20"/>
          <w:lang w:val="es-ES"/>
        </w:rPr>
        <w:t>Examen de mitad de período:</w:t>
      </w:r>
    </w:p>
    <w:p w:rsidR="003D34F5" w:rsidRPr="00573923" w:rsidRDefault="003D34F5" w:rsidP="00896704">
      <w:pPr>
        <w:pStyle w:val="Normalnumber"/>
        <w:numPr>
          <w:ilvl w:val="2"/>
          <w:numId w:val="4"/>
        </w:numPr>
        <w:tabs>
          <w:tab w:val="clear" w:pos="1247"/>
          <w:tab w:val="clear" w:pos="1814"/>
          <w:tab w:val="clear" w:pos="2381"/>
          <w:tab w:val="clear" w:pos="2948"/>
          <w:tab w:val="clear" w:pos="3515"/>
        </w:tabs>
        <w:ind w:left="3119"/>
        <w:rPr>
          <w:sz w:val="20"/>
          <w:lang w:val="es-ES"/>
        </w:rPr>
      </w:pPr>
      <w:r w:rsidRPr="009054D5">
        <w:rPr>
          <w:sz w:val="20"/>
          <w:lang w:val="es-ES"/>
        </w:rPr>
        <w:t>Se calcula que el apoyo administrativo al examen de mitad de período representa el equivalente a tres meses a tiempo completo, lo que asciende a</w:t>
      </w:r>
      <w:r w:rsidR="00133331">
        <w:rPr>
          <w:sz w:val="20"/>
          <w:lang w:val="es-ES"/>
        </w:rPr>
        <w:t> </w:t>
      </w:r>
      <w:r w:rsidRPr="009054D5">
        <w:rPr>
          <w:sz w:val="20"/>
          <w:lang w:val="es-ES"/>
        </w:rPr>
        <w:t>31.580 dólares de los Estados Unidos. La estimación se basa en el costo de un puesto de P</w:t>
      </w:r>
      <w:r w:rsidR="00900B8D">
        <w:rPr>
          <w:sz w:val="20"/>
          <w:lang w:val="es-ES"/>
        </w:rPr>
        <w:noBreakHyphen/>
      </w:r>
      <w:r w:rsidRPr="009054D5">
        <w:rPr>
          <w:sz w:val="20"/>
          <w:lang w:val="es-ES"/>
        </w:rPr>
        <w:t>2 del cuadro orgánico en el sistema de las Naciones Unidas (126.320 dólares al año).</w:t>
      </w:r>
    </w:p>
    <w:p w:rsidR="003D34F5" w:rsidRPr="00573923" w:rsidRDefault="009C4BB1" w:rsidP="00BB6D41">
      <w:pPr>
        <w:pStyle w:val="Normalnumber"/>
        <w:numPr>
          <w:ilvl w:val="2"/>
          <w:numId w:val="4"/>
        </w:numPr>
        <w:tabs>
          <w:tab w:val="clear" w:pos="1247"/>
          <w:tab w:val="clear" w:pos="1814"/>
          <w:tab w:val="clear" w:pos="2381"/>
          <w:tab w:val="clear" w:pos="2948"/>
          <w:tab w:val="clear" w:pos="3515"/>
        </w:tabs>
        <w:ind w:left="3119" w:hanging="624"/>
        <w:rPr>
          <w:sz w:val="20"/>
          <w:lang w:val="es-ES"/>
        </w:rPr>
      </w:pPr>
      <w:r w:rsidRPr="009054D5">
        <w:rPr>
          <w:sz w:val="20"/>
          <w:lang w:val="es-ES"/>
        </w:rPr>
        <w:t>Se propone pagar unos honorarios de 5.000 dólares a cada evaluador externo, es decir, 25.000 dólares por cinco expertos para el examen de mitad de período.</w:t>
      </w:r>
    </w:p>
    <w:p w:rsidR="003D34F5" w:rsidRPr="00133331" w:rsidRDefault="003D34F5" w:rsidP="00BB6D41">
      <w:pPr>
        <w:pStyle w:val="Normalnumber"/>
        <w:numPr>
          <w:ilvl w:val="1"/>
          <w:numId w:val="4"/>
        </w:numPr>
        <w:tabs>
          <w:tab w:val="clear" w:pos="1247"/>
          <w:tab w:val="clear" w:pos="1814"/>
          <w:tab w:val="clear" w:pos="2381"/>
          <w:tab w:val="clear" w:pos="2948"/>
          <w:tab w:val="clear" w:pos="3515"/>
        </w:tabs>
        <w:rPr>
          <w:i/>
          <w:sz w:val="20"/>
        </w:rPr>
      </w:pPr>
      <w:r w:rsidRPr="00133331">
        <w:rPr>
          <w:i/>
          <w:sz w:val="20"/>
          <w:lang w:val="es-ES"/>
        </w:rPr>
        <w:t>Examen final</w:t>
      </w:r>
    </w:p>
    <w:p w:rsidR="003D34F5" w:rsidRPr="00573923" w:rsidRDefault="003D34F5" w:rsidP="00BB6D41">
      <w:pPr>
        <w:pStyle w:val="Normalnumber"/>
        <w:numPr>
          <w:ilvl w:val="2"/>
          <w:numId w:val="4"/>
        </w:numPr>
        <w:tabs>
          <w:tab w:val="clear" w:pos="1247"/>
          <w:tab w:val="clear" w:pos="1814"/>
          <w:tab w:val="clear" w:pos="2381"/>
          <w:tab w:val="clear" w:pos="2948"/>
          <w:tab w:val="clear" w:pos="3515"/>
        </w:tabs>
        <w:ind w:left="3119" w:hanging="624"/>
        <w:rPr>
          <w:sz w:val="20"/>
          <w:lang w:val="es-ES"/>
        </w:rPr>
      </w:pPr>
      <w:r w:rsidRPr="009054D5">
        <w:rPr>
          <w:sz w:val="20"/>
          <w:lang w:val="es-ES"/>
        </w:rPr>
        <w:t>Se calcula que el apoyo administrativo al examen final representa el equivalente a seis meses a tiempo completo, lo que asciende a 63.160 dólares.</w:t>
      </w:r>
    </w:p>
    <w:p w:rsidR="003D34F5" w:rsidRPr="00573923" w:rsidRDefault="003D34F5" w:rsidP="00BB6D41">
      <w:pPr>
        <w:pStyle w:val="Normalnumber"/>
        <w:numPr>
          <w:ilvl w:val="2"/>
          <w:numId w:val="4"/>
        </w:numPr>
        <w:tabs>
          <w:tab w:val="clear" w:pos="1247"/>
          <w:tab w:val="clear" w:pos="1814"/>
          <w:tab w:val="clear" w:pos="2381"/>
          <w:tab w:val="clear" w:pos="2948"/>
          <w:tab w:val="clear" w:pos="3515"/>
        </w:tabs>
        <w:ind w:left="3119" w:hanging="624"/>
        <w:rPr>
          <w:sz w:val="20"/>
          <w:lang w:val="es-ES"/>
        </w:rPr>
      </w:pPr>
      <w:r w:rsidRPr="009054D5">
        <w:rPr>
          <w:sz w:val="20"/>
          <w:lang w:val="es-ES"/>
        </w:rPr>
        <w:t>Los honorarios de diez evaluadores externos totalizarían 50.000 dólares.</w:t>
      </w:r>
    </w:p>
    <w:p w:rsidR="003D34F5" w:rsidRPr="00573923" w:rsidRDefault="003D34F5" w:rsidP="00BB6D41">
      <w:pPr>
        <w:pStyle w:val="Normalnumber"/>
        <w:numPr>
          <w:ilvl w:val="2"/>
          <w:numId w:val="4"/>
        </w:numPr>
        <w:tabs>
          <w:tab w:val="clear" w:pos="1247"/>
          <w:tab w:val="clear" w:pos="1814"/>
          <w:tab w:val="clear" w:pos="2381"/>
          <w:tab w:val="clear" w:pos="2948"/>
          <w:tab w:val="clear" w:pos="3515"/>
        </w:tabs>
        <w:ind w:left="3119" w:hanging="624"/>
        <w:rPr>
          <w:sz w:val="20"/>
          <w:lang w:val="es-ES"/>
        </w:rPr>
      </w:pPr>
      <w:r w:rsidRPr="009054D5">
        <w:rPr>
          <w:sz w:val="20"/>
          <w:lang w:val="es-ES"/>
        </w:rPr>
        <w:t>Los viáticos y dietas para que el equipo de evaluación final y el personal administrativo asistan al quinto período de sesiones del Plenario ascenderían a</w:t>
      </w:r>
      <w:r w:rsidR="0044507A">
        <w:rPr>
          <w:sz w:val="20"/>
          <w:lang w:val="es-ES"/>
        </w:rPr>
        <w:t> </w:t>
      </w:r>
      <w:r w:rsidRPr="009054D5">
        <w:rPr>
          <w:sz w:val="20"/>
          <w:lang w:val="es-ES"/>
        </w:rPr>
        <w:t>3.750 dólares por persona para diez evaluadores y un auxiliar administrativo, es decir, 41.250 dólares.</w:t>
      </w:r>
    </w:p>
    <w:p w:rsidR="00C8459A" w:rsidRPr="00573923" w:rsidRDefault="003D34F5" w:rsidP="00BB6D41">
      <w:pPr>
        <w:pStyle w:val="Normal-pool"/>
        <w:spacing w:after="120"/>
        <w:ind w:left="1871"/>
        <w:rPr>
          <w:sz w:val="20"/>
          <w:lang w:val="es-ES"/>
        </w:rPr>
      </w:pPr>
      <w:r w:rsidRPr="009054D5">
        <w:rPr>
          <w:sz w:val="20"/>
          <w:lang w:val="es-ES"/>
        </w:rPr>
        <w:t>En el cuadro siguiente se resumen los costos totales, que ascienden a 210.990 dólares.</w:t>
      </w:r>
    </w:p>
    <w:p w:rsidR="0044507A" w:rsidRDefault="0044507A">
      <w:pPr>
        <w:tabs>
          <w:tab w:val="clear" w:pos="1247"/>
          <w:tab w:val="clear" w:pos="1814"/>
          <w:tab w:val="clear" w:pos="2381"/>
          <w:tab w:val="clear" w:pos="2948"/>
          <w:tab w:val="clear" w:pos="3515"/>
        </w:tabs>
        <w:rPr>
          <w:b/>
          <w:sz w:val="20"/>
          <w:lang w:val="es-ES"/>
        </w:rPr>
      </w:pPr>
      <w:r>
        <w:rPr>
          <w:b/>
          <w:sz w:val="20"/>
          <w:lang w:val="es-ES"/>
        </w:rPr>
        <w:br w:type="page"/>
      </w:r>
    </w:p>
    <w:p w:rsidR="00C8459A" w:rsidRPr="00573923" w:rsidRDefault="00C8459A" w:rsidP="00857BB2">
      <w:pPr>
        <w:pStyle w:val="Normal-pool"/>
        <w:spacing w:before="240" w:after="120"/>
        <w:ind w:left="1247"/>
        <w:rPr>
          <w:b/>
          <w:sz w:val="20"/>
          <w:szCs w:val="18"/>
          <w:lang w:val="es-ES"/>
        </w:rPr>
      </w:pPr>
      <w:r w:rsidRPr="009054D5">
        <w:rPr>
          <w:b/>
          <w:sz w:val="20"/>
          <w:lang w:val="es-ES"/>
        </w:rPr>
        <w:lastRenderedPageBreak/>
        <w:t xml:space="preserve">Cuadro: Estimación del costo total de los exámenes de mitad de período y final que se sufragarán con cargo al </w:t>
      </w:r>
      <w:r w:rsidR="00711390">
        <w:rPr>
          <w:b/>
          <w:sz w:val="20"/>
          <w:lang w:val="es-ES"/>
        </w:rPr>
        <w:t>F</w:t>
      </w:r>
      <w:r w:rsidRPr="009054D5">
        <w:rPr>
          <w:b/>
          <w:sz w:val="20"/>
          <w:lang w:val="es-ES"/>
        </w:rPr>
        <w:t xml:space="preserve">ondo </w:t>
      </w:r>
      <w:r w:rsidR="00711390">
        <w:rPr>
          <w:b/>
          <w:sz w:val="20"/>
          <w:lang w:val="es-ES"/>
        </w:rPr>
        <w:t>F</w:t>
      </w:r>
      <w:r w:rsidRPr="009054D5">
        <w:rPr>
          <w:b/>
          <w:sz w:val="20"/>
          <w:lang w:val="es-ES"/>
        </w:rPr>
        <w:t>iduciario de la Plataforma</w:t>
      </w:r>
    </w:p>
    <w:tbl>
      <w:tblPr>
        <w:tblW w:w="8528" w:type="dxa"/>
        <w:tblInd w:w="1247" w:type="dxa"/>
        <w:tblLayout w:type="fixed"/>
        <w:tblLook w:val="04A0" w:firstRow="1" w:lastRow="0" w:firstColumn="1" w:lastColumn="0" w:noHBand="0" w:noVBand="1"/>
      </w:tblPr>
      <w:tblGrid>
        <w:gridCol w:w="4417"/>
        <w:gridCol w:w="4111"/>
      </w:tblGrid>
      <w:tr w:rsidR="003D34F5" w:rsidRPr="00573923">
        <w:tc>
          <w:tcPr>
            <w:tcW w:w="4417" w:type="dxa"/>
            <w:tcBorders>
              <w:top w:val="single" w:sz="4" w:space="0" w:color="auto"/>
              <w:bottom w:val="single" w:sz="12" w:space="0" w:color="auto"/>
            </w:tcBorders>
            <w:shd w:val="clear" w:color="auto" w:fill="auto"/>
          </w:tcPr>
          <w:p w:rsidR="003D34F5" w:rsidRPr="009054D5" w:rsidRDefault="009365EC" w:rsidP="009F6F8B">
            <w:pPr>
              <w:pStyle w:val="Normalnumber"/>
              <w:numPr>
                <w:ilvl w:val="0"/>
                <w:numId w:val="0"/>
              </w:numPr>
              <w:tabs>
                <w:tab w:val="left" w:pos="1871"/>
              </w:tabs>
              <w:rPr>
                <w:sz w:val="20"/>
              </w:rPr>
            </w:pPr>
            <w:r>
              <w:rPr>
                <w:sz w:val="20"/>
                <w:lang w:val="es-ES"/>
              </w:rPr>
              <w:t>Partida</w:t>
            </w:r>
          </w:p>
        </w:tc>
        <w:tc>
          <w:tcPr>
            <w:tcW w:w="4111" w:type="dxa"/>
            <w:tcBorders>
              <w:top w:val="single" w:sz="4" w:space="0" w:color="auto"/>
              <w:bottom w:val="single" w:sz="12" w:space="0" w:color="auto"/>
            </w:tcBorders>
            <w:shd w:val="clear" w:color="auto" w:fill="auto"/>
          </w:tcPr>
          <w:p w:rsidR="003D34F5" w:rsidRPr="009365EC" w:rsidRDefault="003D34F5" w:rsidP="009B4D9A">
            <w:pPr>
              <w:pStyle w:val="Normalnumber"/>
              <w:numPr>
                <w:ilvl w:val="0"/>
                <w:numId w:val="0"/>
              </w:numPr>
              <w:tabs>
                <w:tab w:val="left" w:pos="1871"/>
              </w:tabs>
              <w:rPr>
                <w:sz w:val="20"/>
                <w:lang w:val="es-ES"/>
              </w:rPr>
            </w:pPr>
            <w:r w:rsidRPr="009054D5">
              <w:rPr>
                <w:sz w:val="20"/>
                <w:lang w:val="es-ES"/>
              </w:rPr>
              <w:t>Costo</w:t>
            </w:r>
            <w:r w:rsidR="009365EC">
              <w:rPr>
                <w:sz w:val="20"/>
                <w:lang w:val="es-ES"/>
              </w:rPr>
              <w:t>s</w:t>
            </w:r>
            <w:r w:rsidRPr="009054D5">
              <w:rPr>
                <w:sz w:val="20"/>
                <w:lang w:val="es-ES"/>
              </w:rPr>
              <w:t xml:space="preserve"> en dólares de los Estados Unidos</w:t>
            </w:r>
          </w:p>
        </w:tc>
      </w:tr>
      <w:tr w:rsidR="003D34F5" w:rsidRPr="00573923">
        <w:tc>
          <w:tcPr>
            <w:tcW w:w="4417" w:type="dxa"/>
            <w:tcBorders>
              <w:top w:val="single" w:sz="12" w:space="0" w:color="auto"/>
            </w:tcBorders>
            <w:shd w:val="clear" w:color="auto" w:fill="auto"/>
          </w:tcPr>
          <w:p w:rsidR="003D34F5" w:rsidRPr="00573923" w:rsidRDefault="004F005B" w:rsidP="009F6F8B">
            <w:pPr>
              <w:pStyle w:val="Normalnumber"/>
              <w:numPr>
                <w:ilvl w:val="0"/>
                <w:numId w:val="0"/>
              </w:numPr>
              <w:tabs>
                <w:tab w:val="left" w:pos="1871"/>
              </w:tabs>
              <w:rPr>
                <w:b/>
                <w:sz w:val="20"/>
                <w:lang w:val="es-ES"/>
              </w:rPr>
            </w:pPr>
            <w:r w:rsidRPr="002B3C20">
              <w:rPr>
                <w:b/>
                <w:sz w:val="20"/>
                <w:lang w:val="es-ES"/>
              </w:rPr>
              <w:t>Examen de mitad de período</w:t>
            </w:r>
          </w:p>
        </w:tc>
        <w:tc>
          <w:tcPr>
            <w:tcW w:w="4111" w:type="dxa"/>
            <w:tcBorders>
              <w:top w:val="single" w:sz="12" w:space="0" w:color="auto"/>
            </w:tcBorders>
            <w:shd w:val="clear" w:color="auto" w:fill="auto"/>
          </w:tcPr>
          <w:p w:rsidR="003D34F5" w:rsidRPr="00573923" w:rsidRDefault="003D34F5" w:rsidP="009F6F8B">
            <w:pPr>
              <w:pStyle w:val="Normalnumber"/>
              <w:numPr>
                <w:ilvl w:val="0"/>
                <w:numId w:val="0"/>
              </w:numPr>
              <w:tabs>
                <w:tab w:val="left" w:pos="1871"/>
              </w:tabs>
              <w:rPr>
                <w:sz w:val="20"/>
                <w:lang w:val="es-ES"/>
              </w:rPr>
            </w:pPr>
          </w:p>
        </w:tc>
      </w:tr>
      <w:tr w:rsidR="003D34F5" w:rsidRPr="009054D5" w:rsidTr="00857BB2">
        <w:trPr>
          <w:trHeight w:val="391"/>
        </w:trPr>
        <w:tc>
          <w:tcPr>
            <w:tcW w:w="4417" w:type="dxa"/>
            <w:shd w:val="clear" w:color="auto" w:fill="auto"/>
          </w:tcPr>
          <w:p w:rsidR="003D34F5" w:rsidRPr="009054D5" w:rsidRDefault="003D34F5" w:rsidP="009F6F8B">
            <w:pPr>
              <w:pStyle w:val="Normalnumber"/>
              <w:numPr>
                <w:ilvl w:val="0"/>
                <w:numId w:val="0"/>
              </w:numPr>
              <w:tabs>
                <w:tab w:val="left" w:pos="1871"/>
              </w:tabs>
              <w:ind w:left="330"/>
              <w:rPr>
                <w:sz w:val="20"/>
              </w:rPr>
            </w:pPr>
            <w:r w:rsidRPr="009054D5">
              <w:rPr>
                <w:sz w:val="20"/>
                <w:lang w:val="es-ES"/>
              </w:rPr>
              <w:t xml:space="preserve">Honorarios de consultoría </w:t>
            </w:r>
          </w:p>
        </w:tc>
        <w:tc>
          <w:tcPr>
            <w:tcW w:w="4111" w:type="dxa"/>
            <w:shd w:val="clear" w:color="auto" w:fill="auto"/>
            <w:vAlign w:val="bottom"/>
          </w:tcPr>
          <w:p w:rsidR="003D34F5" w:rsidRPr="009054D5" w:rsidRDefault="003D34F5" w:rsidP="009F6F8B">
            <w:pPr>
              <w:pStyle w:val="Normalnumber"/>
              <w:numPr>
                <w:ilvl w:val="0"/>
                <w:numId w:val="0"/>
              </w:numPr>
              <w:tabs>
                <w:tab w:val="left" w:pos="1871"/>
              </w:tabs>
              <w:rPr>
                <w:sz w:val="20"/>
              </w:rPr>
            </w:pPr>
            <w:r w:rsidRPr="009054D5">
              <w:rPr>
                <w:sz w:val="20"/>
                <w:lang w:val="es-ES"/>
              </w:rPr>
              <w:t>31.580</w:t>
            </w:r>
          </w:p>
        </w:tc>
      </w:tr>
      <w:tr w:rsidR="003D34F5" w:rsidRPr="009054D5" w:rsidTr="00857BB2">
        <w:tc>
          <w:tcPr>
            <w:tcW w:w="4417" w:type="dxa"/>
            <w:shd w:val="clear" w:color="auto" w:fill="auto"/>
          </w:tcPr>
          <w:p w:rsidR="003D34F5" w:rsidRPr="009054D5" w:rsidRDefault="003D34F5" w:rsidP="009F6F8B">
            <w:pPr>
              <w:pStyle w:val="Normalnumber"/>
              <w:numPr>
                <w:ilvl w:val="0"/>
                <w:numId w:val="0"/>
              </w:numPr>
              <w:tabs>
                <w:tab w:val="left" w:pos="1871"/>
              </w:tabs>
              <w:ind w:left="330"/>
              <w:rPr>
                <w:sz w:val="20"/>
              </w:rPr>
            </w:pPr>
            <w:r w:rsidRPr="009054D5">
              <w:rPr>
                <w:sz w:val="20"/>
                <w:lang w:val="es-ES"/>
              </w:rPr>
              <w:t>Honorarios de evaluación</w:t>
            </w:r>
          </w:p>
        </w:tc>
        <w:tc>
          <w:tcPr>
            <w:tcW w:w="4111" w:type="dxa"/>
            <w:shd w:val="clear" w:color="auto" w:fill="auto"/>
            <w:vAlign w:val="bottom"/>
          </w:tcPr>
          <w:p w:rsidR="003D34F5" w:rsidRPr="009054D5" w:rsidRDefault="003D34F5" w:rsidP="00E35DEF">
            <w:pPr>
              <w:pStyle w:val="Normalnumber"/>
              <w:numPr>
                <w:ilvl w:val="0"/>
                <w:numId w:val="0"/>
              </w:numPr>
              <w:tabs>
                <w:tab w:val="left" w:pos="1871"/>
              </w:tabs>
              <w:rPr>
                <w:sz w:val="20"/>
              </w:rPr>
            </w:pPr>
            <w:r w:rsidRPr="009054D5">
              <w:rPr>
                <w:sz w:val="20"/>
                <w:lang w:val="es-ES"/>
              </w:rPr>
              <w:t>25.000</w:t>
            </w:r>
          </w:p>
        </w:tc>
      </w:tr>
      <w:tr w:rsidR="003D34F5" w:rsidRPr="009054D5" w:rsidTr="00857BB2">
        <w:tc>
          <w:tcPr>
            <w:tcW w:w="4417" w:type="dxa"/>
            <w:shd w:val="clear" w:color="auto" w:fill="auto"/>
          </w:tcPr>
          <w:p w:rsidR="003D34F5" w:rsidRPr="002B3C20" w:rsidRDefault="003D34F5" w:rsidP="009F6F8B">
            <w:pPr>
              <w:pStyle w:val="Normalnumber"/>
              <w:numPr>
                <w:ilvl w:val="0"/>
                <w:numId w:val="0"/>
              </w:numPr>
              <w:tabs>
                <w:tab w:val="left" w:pos="1871"/>
              </w:tabs>
              <w:rPr>
                <w:b/>
                <w:sz w:val="20"/>
              </w:rPr>
            </w:pPr>
            <w:r w:rsidRPr="002B3C20">
              <w:rPr>
                <w:b/>
                <w:sz w:val="20"/>
                <w:lang w:val="es-ES"/>
              </w:rPr>
              <w:t>Examen final</w:t>
            </w:r>
          </w:p>
        </w:tc>
        <w:tc>
          <w:tcPr>
            <w:tcW w:w="4111" w:type="dxa"/>
            <w:shd w:val="clear" w:color="auto" w:fill="auto"/>
            <w:vAlign w:val="bottom"/>
          </w:tcPr>
          <w:p w:rsidR="003D34F5" w:rsidRPr="009054D5" w:rsidRDefault="003D34F5" w:rsidP="009F6F8B">
            <w:pPr>
              <w:pStyle w:val="Normalnumber"/>
              <w:numPr>
                <w:ilvl w:val="0"/>
                <w:numId w:val="0"/>
              </w:numPr>
              <w:tabs>
                <w:tab w:val="left" w:pos="1871"/>
              </w:tabs>
              <w:rPr>
                <w:sz w:val="20"/>
              </w:rPr>
            </w:pPr>
          </w:p>
        </w:tc>
      </w:tr>
      <w:tr w:rsidR="003D34F5" w:rsidRPr="009054D5" w:rsidTr="00857BB2">
        <w:tc>
          <w:tcPr>
            <w:tcW w:w="4417" w:type="dxa"/>
            <w:shd w:val="clear" w:color="auto" w:fill="auto"/>
          </w:tcPr>
          <w:p w:rsidR="003D34F5" w:rsidRPr="009054D5" w:rsidRDefault="003D34F5" w:rsidP="009F6F8B">
            <w:pPr>
              <w:pStyle w:val="Normalnumber"/>
              <w:numPr>
                <w:ilvl w:val="0"/>
                <w:numId w:val="0"/>
              </w:numPr>
              <w:tabs>
                <w:tab w:val="left" w:pos="1871"/>
              </w:tabs>
              <w:ind w:left="330"/>
              <w:rPr>
                <w:sz w:val="20"/>
              </w:rPr>
            </w:pPr>
            <w:r w:rsidRPr="009054D5">
              <w:rPr>
                <w:sz w:val="20"/>
                <w:lang w:val="es-ES"/>
              </w:rPr>
              <w:t xml:space="preserve">Honorarios de consultoría </w:t>
            </w:r>
          </w:p>
        </w:tc>
        <w:tc>
          <w:tcPr>
            <w:tcW w:w="4111" w:type="dxa"/>
            <w:shd w:val="clear" w:color="auto" w:fill="auto"/>
            <w:vAlign w:val="bottom"/>
          </w:tcPr>
          <w:p w:rsidR="003D34F5" w:rsidRPr="009054D5" w:rsidRDefault="003D34F5" w:rsidP="009F6F8B">
            <w:pPr>
              <w:pStyle w:val="Normalnumber"/>
              <w:numPr>
                <w:ilvl w:val="0"/>
                <w:numId w:val="0"/>
              </w:numPr>
              <w:tabs>
                <w:tab w:val="left" w:pos="1871"/>
              </w:tabs>
              <w:rPr>
                <w:sz w:val="20"/>
              </w:rPr>
            </w:pPr>
            <w:r w:rsidRPr="009054D5">
              <w:rPr>
                <w:sz w:val="20"/>
                <w:lang w:val="es-ES"/>
              </w:rPr>
              <w:t>63.160</w:t>
            </w:r>
          </w:p>
        </w:tc>
      </w:tr>
      <w:tr w:rsidR="003D34F5" w:rsidRPr="009054D5" w:rsidTr="00857BB2">
        <w:tc>
          <w:tcPr>
            <w:tcW w:w="4417" w:type="dxa"/>
            <w:shd w:val="clear" w:color="auto" w:fill="auto"/>
          </w:tcPr>
          <w:p w:rsidR="003D34F5" w:rsidRPr="009054D5" w:rsidRDefault="003D34F5" w:rsidP="009F6F8B">
            <w:pPr>
              <w:pStyle w:val="Normalnumber"/>
              <w:numPr>
                <w:ilvl w:val="0"/>
                <w:numId w:val="0"/>
              </w:numPr>
              <w:tabs>
                <w:tab w:val="left" w:pos="1871"/>
              </w:tabs>
              <w:ind w:left="330"/>
              <w:rPr>
                <w:sz w:val="20"/>
              </w:rPr>
            </w:pPr>
            <w:r w:rsidRPr="009054D5">
              <w:rPr>
                <w:sz w:val="20"/>
                <w:lang w:val="es-ES"/>
              </w:rPr>
              <w:t>Honorarios de evaluación</w:t>
            </w:r>
          </w:p>
        </w:tc>
        <w:tc>
          <w:tcPr>
            <w:tcW w:w="4111" w:type="dxa"/>
            <w:shd w:val="clear" w:color="auto" w:fill="auto"/>
            <w:vAlign w:val="bottom"/>
          </w:tcPr>
          <w:p w:rsidR="003D34F5" w:rsidRPr="009054D5" w:rsidRDefault="003D34F5" w:rsidP="009F6F8B">
            <w:pPr>
              <w:pStyle w:val="Normalnumber"/>
              <w:numPr>
                <w:ilvl w:val="0"/>
                <w:numId w:val="0"/>
              </w:numPr>
              <w:tabs>
                <w:tab w:val="left" w:pos="1871"/>
              </w:tabs>
              <w:rPr>
                <w:sz w:val="20"/>
              </w:rPr>
            </w:pPr>
            <w:r w:rsidRPr="009054D5">
              <w:rPr>
                <w:sz w:val="20"/>
                <w:lang w:val="es-ES"/>
              </w:rPr>
              <w:t>50.000</w:t>
            </w:r>
          </w:p>
        </w:tc>
      </w:tr>
      <w:tr w:rsidR="003D34F5" w:rsidRPr="009054D5" w:rsidTr="00857BB2">
        <w:tc>
          <w:tcPr>
            <w:tcW w:w="4417" w:type="dxa"/>
            <w:tcBorders>
              <w:bottom w:val="single" w:sz="4" w:space="0" w:color="auto"/>
            </w:tcBorders>
            <w:shd w:val="clear" w:color="auto" w:fill="auto"/>
          </w:tcPr>
          <w:p w:rsidR="003D34F5" w:rsidRPr="00573923" w:rsidRDefault="003D34F5" w:rsidP="009B4D9A">
            <w:pPr>
              <w:pStyle w:val="Normalnumber"/>
              <w:numPr>
                <w:ilvl w:val="0"/>
                <w:numId w:val="0"/>
              </w:numPr>
              <w:tabs>
                <w:tab w:val="left" w:pos="1871"/>
              </w:tabs>
              <w:ind w:left="330"/>
              <w:rPr>
                <w:sz w:val="20"/>
                <w:lang w:val="es-ES"/>
              </w:rPr>
            </w:pPr>
            <w:r w:rsidRPr="009054D5">
              <w:rPr>
                <w:sz w:val="20"/>
                <w:lang w:val="es-ES"/>
              </w:rPr>
              <w:t xml:space="preserve">Viáticos y dietas para asistir al quinto período de sesiones del Plenario </w:t>
            </w:r>
          </w:p>
        </w:tc>
        <w:tc>
          <w:tcPr>
            <w:tcW w:w="4111" w:type="dxa"/>
            <w:tcBorders>
              <w:bottom w:val="single" w:sz="4" w:space="0" w:color="auto"/>
            </w:tcBorders>
            <w:shd w:val="clear" w:color="auto" w:fill="auto"/>
            <w:vAlign w:val="bottom"/>
          </w:tcPr>
          <w:p w:rsidR="003D34F5" w:rsidRPr="009054D5" w:rsidRDefault="009365EC" w:rsidP="009F6F8B">
            <w:pPr>
              <w:pStyle w:val="Normalnumber"/>
              <w:numPr>
                <w:ilvl w:val="0"/>
                <w:numId w:val="0"/>
              </w:numPr>
              <w:tabs>
                <w:tab w:val="left" w:pos="1871"/>
              </w:tabs>
              <w:rPr>
                <w:sz w:val="20"/>
              </w:rPr>
            </w:pPr>
            <w:r>
              <w:rPr>
                <w:sz w:val="20"/>
                <w:lang w:val="es-ES"/>
              </w:rPr>
              <w:t>41.</w:t>
            </w:r>
            <w:r w:rsidR="003D34F5" w:rsidRPr="009054D5">
              <w:rPr>
                <w:sz w:val="20"/>
                <w:lang w:val="es-ES"/>
              </w:rPr>
              <w:t>250</w:t>
            </w:r>
          </w:p>
        </w:tc>
      </w:tr>
      <w:tr w:rsidR="003D34F5" w:rsidRPr="009054D5" w:rsidTr="00857BB2">
        <w:tc>
          <w:tcPr>
            <w:tcW w:w="4417" w:type="dxa"/>
            <w:tcBorders>
              <w:top w:val="single" w:sz="4" w:space="0" w:color="auto"/>
              <w:bottom w:val="single" w:sz="12" w:space="0" w:color="auto"/>
            </w:tcBorders>
            <w:shd w:val="clear" w:color="auto" w:fill="auto"/>
          </w:tcPr>
          <w:p w:rsidR="003D34F5" w:rsidRPr="002B3C20" w:rsidRDefault="003D34F5" w:rsidP="009F6F8B">
            <w:pPr>
              <w:pStyle w:val="Normalnumber"/>
              <w:numPr>
                <w:ilvl w:val="0"/>
                <w:numId w:val="0"/>
              </w:numPr>
              <w:tabs>
                <w:tab w:val="left" w:pos="1871"/>
              </w:tabs>
              <w:rPr>
                <w:b/>
                <w:sz w:val="20"/>
              </w:rPr>
            </w:pPr>
            <w:r w:rsidRPr="002B3C20">
              <w:rPr>
                <w:b/>
                <w:sz w:val="20"/>
                <w:lang w:val="es-ES"/>
              </w:rPr>
              <w:t>Total</w:t>
            </w:r>
          </w:p>
        </w:tc>
        <w:tc>
          <w:tcPr>
            <w:tcW w:w="4111" w:type="dxa"/>
            <w:tcBorders>
              <w:top w:val="single" w:sz="4" w:space="0" w:color="auto"/>
              <w:bottom w:val="single" w:sz="12" w:space="0" w:color="auto"/>
            </w:tcBorders>
            <w:shd w:val="clear" w:color="auto" w:fill="auto"/>
            <w:vAlign w:val="bottom"/>
          </w:tcPr>
          <w:p w:rsidR="003D34F5" w:rsidRPr="009054D5" w:rsidRDefault="009365EC" w:rsidP="009F6F8B">
            <w:pPr>
              <w:pStyle w:val="Normalnumber"/>
              <w:numPr>
                <w:ilvl w:val="0"/>
                <w:numId w:val="0"/>
              </w:numPr>
              <w:tabs>
                <w:tab w:val="left" w:pos="1871"/>
              </w:tabs>
              <w:rPr>
                <w:sz w:val="20"/>
              </w:rPr>
            </w:pPr>
            <w:r>
              <w:rPr>
                <w:sz w:val="20"/>
                <w:lang w:val="es-ES"/>
              </w:rPr>
              <w:t>210.</w:t>
            </w:r>
            <w:r w:rsidR="003D34F5" w:rsidRPr="009054D5">
              <w:rPr>
                <w:sz w:val="20"/>
                <w:lang w:val="es-ES"/>
              </w:rPr>
              <w:t>990</w:t>
            </w:r>
          </w:p>
        </w:tc>
      </w:tr>
    </w:tbl>
    <w:p w:rsidR="003D34F5" w:rsidRPr="00573923" w:rsidRDefault="003D34F5" w:rsidP="0044507A">
      <w:pPr>
        <w:pStyle w:val="Normalnumber"/>
        <w:tabs>
          <w:tab w:val="clear" w:pos="567"/>
          <w:tab w:val="clear" w:pos="1247"/>
          <w:tab w:val="clear" w:pos="1814"/>
          <w:tab w:val="clear" w:pos="2381"/>
          <w:tab w:val="clear" w:pos="2948"/>
          <w:tab w:val="clear" w:pos="3515"/>
          <w:tab w:val="num" w:pos="624"/>
        </w:tabs>
        <w:spacing w:before="120"/>
        <w:rPr>
          <w:sz w:val="20"/>
          <w:lang w:val="es-ES"/>
        </w:rPr>
      </w:pPr>
      <w:r w:rsidRPr="009054D5">
        <w:rPr>
          <w:sz w:val="20"/>
          <w:lang w:val="es-ES"/>
        </w:rPr>
        <w:t>En la actualidad, la suma prevista en el presupuesto de la Plataforma para el examen es de</w:t>
      </w:r>
      <w:r w:rsidR="0044507A">
        <w:rPr>
          <w:sz w:val="20"/>
          <w:lang w:val="es-ES"/>
        </w:rPr>
        <w:t> </w:t>
      </w:r>
      <w:r w:rsidRPr="009054D5">
        <w:rPr>
          <w:sz w:val="20"/>
          <w:lang w:val="es-ES"/>
        </w:rPr>
        <w:t>120.000 dólares, por lo que habría que añadir 90.990 dólares al presupuesto. E</w:t>
      </w:r>
      <w:r w:rsidR="00896704">
        <w:rPr>
          <w:sz w:val="20"/>
          <w:lang w:val="es-ES"/>
        </w:rPr>
        <w:t>sta cuestión</w:t>
      </w:r>
      <w:r w:rsidRPr="009054D5">
        <w:rPr>
          <w:sz w:val="20"/>
          <w:lang w:val="es-ES"/>
        </w:rPr>
        <w:t xml:space="preserve"> se examinará en los debates sobre los presupuestos y los gastos.</w:t>
      </w:r>
    </w:p>
    <w:p w:rsidR="003D34F5" w:rsidRPr="00573923" w:rsidRDefault="0087665E" w:rsidP="00BB6D41">
      <w:pPr>
        <w:pStyle w:val="CH2"/>
        <w:rPr>
          <w:lang w:val="es-ES"/>
        </w:rPr>
      </w:pPr>
      <w:r>
        <w:rPr>
          <w:lang w:val="es-ES"/>
        </w:rPr>
        <w:tab/>
        <w:t>E.</w:t>
      </w:r>
      <w:r>
        <w:rPr>
          <w:lang w:val="es-ES"/>
        </w:rPr>
        <w:tab/>
        <w:t>Medidas que podría adoptar el Plenario</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El Plenario, en respuesta a la de</w:t>
      </w:r>
      <w:r w:rsidR="00896704">
        <w:rPr>
          <w:sz w:val="20"/>
          <w:lang w:val="es-ES"/>
        </w:rPr>
        <w:t>cisión IPBES</w:t>
      </w:r>
      <w:r w:rsidR="00900B8D">
        <w:rPr>
          <w:sz w:val="20"/>
          <w:lang w:val="es-ES"/>
        </w:rPr>
        <w:noBreakHyphen/>
      </w:r>
      <w:r w:rsidR="00896704">
        <w:rPr>
          <w:sz w:val="20"/>
          <w:lang w:val="es-ES"/>
        </w:rPr>
        <w:t>2/5, en la que solicit</w:t>
      </w:r>
      <w:r w:rsidRPr="002B3C20">
        <w:rPr>
          <w:sz w:val="20"/>
          <w:lang w:val="es-ES"/>
        </w:rPr>
        <w:t>ó al Grupo Multidisciplinario de Expertos que, en consulta con la Mesa, elaborase un procedimiento para el examen de la eficacia de las funciones administrativas y científicas de la Plataforma, tal vez desee adoptar las medidas siguientes:</w:t>
      </w:r>
    </w:p>
    <w:p w:rsidR="003D34F5" w:rsidRPr="00573923" w:rsidRDefault="003D34F5" w:rsidP="00BB6D41">
      <w:pPr>
        <w:pStyle w:val="Normalnumber"/>
        <w:numPr>
          <w:ilvl w:val="1"/>
          <w:numId w:val="4"/>
        </w:numPr>
        <w:tabs>
          <w:tab w:val="clear" w:pos="1247"/>
          <w:tab w:val="clear" w:pos="1814"/>
          <w:tab w:val="clear" w:pos="2381"/>
          <w:tab w:val="clear" w:pos="2948"/>
          <w:tab w:val="clear" w:pos="3515"/>
        </w:tabs>
        <w:ind w:firstLine="624"/>
        <w:rPr>
          <w:rFonts w:eastAsia="Calibri"/>
          <w:w w:val="103"/>
          <w:sz w:val="20"/>
          <w:lang w:val="es-ES"/>
        </w:rPr>
      </w:pPr>
      <w:r w:rsidRPr="002B3C20">
        <w:rPr>
          <w:sz w:val="20"/>
          <w:lang w:val="es-ES"/>
        </w:rPr>
        <w:t>Invitar al CIUC a elegir, en colaboración con el CICS, el órgano de examen independiente para el examen de mitad de período y el examen final de conformidad con el mandato expuesto en el anexo del presente documento, y a administrarlo;</w:t>
      </w:r>
    </w:p>
    <w:p w:rsidR="003D34F5" w:rsidRPr="00573923" w:rsidRDefault="003D34F5" w:rsidP="00BB6D41">
      <w:pPr>
        <w:pStyle w:val="Normalnumber"/>
        <w:numPr>
          <w:ilvl w:val="1"/>
          <w:numId w:val="4"/>
        </w:numPr>
        <w:tabs>
          <w:tab w:val="clear" w:pos="1247"/>
          <w:tab w:val="clear" w:pos="1814"/>
          <w:tab w:val="clear" w:pos="2381"/>
          <w:tab w:val="clear" w:pos="2948"/>
          <w:tab w:val="clear" w:pos="3515"/>
        </w:tabs>
        <w:ind w:firstLine="624"/>
        <w:rPr>
          <w:rFonts w:eastAsia="Calibri"/>
          <w:w w:val="103"/>
          <w:sz w:val="20"/>
          <w:lang w:val="es-ES"/>
        </w:rPr>
      </w:pPr>
      <w:r w:rsidRPr="002B3C20">
        <w:rPr>
          <w:sz w:val="20"/>
          <w:lang w:val="es-ES"/>
        </w:rPr>
        <w:t>Solicitar al Grupo y a la Mesa que, con el apoyo de la Secretaría, realicen un examen interno de mitad de período y un examen interno final de las cuestiones que se especifican para estos exámenes en el anexo del presente documento.</w:t>
      </w:r>
    </w:p>
    <w:p w:rsidR="0044507A" w:rsidRDefault="0044507A">
      <w:pPr>
        <w:tabs>
          <w:tab w:val="clear" w:pos="1247"/>
          <w:tab w:val="clear" w:pos="1814"/>
          <w:tab w:val="clear" w:pos="2381"/>
          <w:tab w:val="clear" w:pos="2948"/>
          <w:tab w:val="clear" w:pos="3515"/>
        </w:tabs>
        <w:rPr>
          <w:b/>
          <w:bCs/>
          <w:sz w:val="28"/>
          <w:szCs w:val="22"/>
          <w:lang w:val="es-ES"/>
        </w:rPr>
      </w:pPr>
      <w:r>
        <w:rPr>
          <w:lang w:val="es-ES"/>
        </w:rPr>
        <w:br w:type="page"/>
      </w:r>
    </w:p>
    <w:p w:rsidR="00E12F3E" w:rsidRPr="00573923" w:rsidRDefault="00BB6D41" w:rsidP="00BB6D41">
      <w:pPr>
        <w:pStyle w:val="ZZAnxheader"/>
        <w:rPr>
          <w:lang w:val="es-ES"/>
        </w:rPr>
      </w:pPr>
      <w:r>
        <w:rPr>
          <w:lang w:val="es-ES"/>
        </w:rPr>
        <w:lastRenderedPageBreak/>
        <w:t>Anexo</w:t>
      </w:r>
    </w:p>
    <w:p w:rsidR="003D34F5" w:rsidRPr="00573923" w:rsidRDefault="00896704" w:rsidP="00BB6D41">
      <w:pPr>
        <w:pStyle w:val="ZZAnxtitle"/>
        <w:rPr>
          <w:lang w:val="es-ES"/>
        </w:rPr>
      </w:pPr>
      <w:r>
        <w:rPr>
          <w:lang w:val="es-ES"/>
        </w:rPr>
        <w:t>Mandato de</w:t>
      </w:r>
      <w:r w:rsidR="003D34F5">
        <w:rPr>
          <w:lang w:val="es-ES"/>
        </w:rPr>
        <w:t xml:space="preserve"> los exámenes de mitad de período y final de la eficacia de la Plataforma</w:t>
      </w:r>
    </w:p>
    <w:p w:rsidR="003D34F5" w:rsidRPr="00CE37E6" w:rsidRDefault="00733369" w:rsidP="00BB6D41">
      <w:pPr>
        <w:pStyle w:val="CH2"/>
      </w:pPr>
      <w:r>
        <w:rPr>
          <w:lang w:val="es-ES"/>
        </w:rPr>
        <w:tab/>
        <w:t>A.</w:t>
      </w:r>
      <w:r>
        <w:rPr>
          <w:lang w:val="es-ES"/>
        </w:rPr>
        <w:tab/>
        <w:t>Enfoque general</w:t>
      </w:r>
    </w:p>
    <w:p w:rsidR="003D34F5" w:rsidRPr="002B3C20" w:rsidRDefault="003D34F5" w:rsidP="003C3AD5">
      <w:pPr>
        <w:pStyle w:val="Normalnumber"/>
        <w:numPr>
          <w:ilvl w:val="0"/>
          <w:numId w:val="6"/>
        </w:numPr>
        <w:tabs>
          <w:tab w:val="clear" w:pos="567"/>
          <w:tab w:val="clear" w:pos="1247"/>
          <w:tab w:val="clear" w:pos="1814"/>
          <w:tab w:val="clear" w:pos="2381"/>
          <w:tab w:val="clear" w:pos="2948"/>
          <w:tab w:val="clear" w:pos="3515"/>
          <w:tab w:val="num" w:pos="624"/>
        </w:tabs>
        <w:rPr>
          <w:sz w:val="20"/>
        </w:rPr>
      </w:pPr>
      <w:r w:rsidRPr="002B3C20">
        <w:rPr>
          <w:sz w:val="20"/>
          <w:lang w:val="es-ES"/>
        </w:rPr>
        <w:t>Se realizará un examen de mitad de período y un examen final para que el Plenario los estudie en sus períodos de sesiones quinto (comienzos de 2017) y sexto (comienzos de 2018), respectivamente. Los dos exámenes incluirán un componente interno.</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En el examen final se estudiarán todas las funciones administrativas y científicas de la Plataforma que se enumeran en UNEP/IPBES.MI/2/9. Se analizar</w:t>
      </w:r>
      <w:r w:rsidR="00722749">
        <w:rPr>
          <w:sz w:val="20"/>
          <w:lang w:val="es-ES"/>
        </w:rPr>
        <w:t>á la eficacia de la Plataforma, </w:t>
      </w:r>
      <w:r w:rsidRPr="002B3C20">
        <w:rPr>
          <w:sz w:val="20"/>
          <w:lang w:val="es-ES"/>
        </w:rPr>
        <w:t>a</w:t>
      </w:r>
      <w:r w:rsidR="00857BB2">
        <w:rPr>
          <w:sz w:val="20"/>
          <w:lang w:val="es-ES"/>
        </w:rPr>
        <w:t> </w:t>
      </w:r>
      <w:r w:rsidRPr="002B3C20">
        <w:rPr>
          <w:sz w:val="20"/>
          <w:lang w:val="es-ES"/>
        </w:rPr>
        <w:t>la</w:t>
      </w:r>
      <w:r w:rsidR="00857BB2">
        <w:rPr>
          <w:sz w:val="20"/>
          <w:lang w:val="es-ES"/>
        </w:rPr>
        <w:t> </w:t>
      </w:r>
      <w:r w:rsidRPr="002B3C20">
        <w:rPr>
          <w:sz w:val="20"/>
          <w:lang w:val="es-ES"/>
        </w:rPr>
        <w:t xml:space="preserve">luz de sus principios operativos, en el cumplimiento de sus cuatro funciones </w:t>
      </w:r>
      <w:r w:rsidR="00722749">
        <w:rPr>
          <w:sz w:val="20"/>
          <w:lang w:val="es-ES"/>
        </w:rPr>
        <w:t>(véase </w:t>
      </w:r>
      <w:r w:rsidRPr="002B3C20">
        <w:rPr>
          <w:sz w:val="20"/>
          <w:lang w:val="es-ES"/>
        </w:rPr>
        <w:t>UNEP/IPBES.MI/2/9) en relación con los objetivos y 18 productos previstos del programa de trabajo y las estructuras de apoyo establecidas, según lo dispuesto en el reglamento del Consejo (véase el anexo de la decisión IPBES</w:t>
      </w:r>
      <w:r w:rsidR="00900B8D">
        <w:rPr>
          <w:sz w:val="20"/>
          <w:lang w:val="es-ES"/>
        </w:rPr>
        <w:noBreakHyphen/>
      </w:r>
      <w:r w:rsidRPr="002B3C20">
        <w:rPr>
          <w:sz w:val="20"/>
          <w:lang w:val="es-ES"/>
        </w:rPr>
        <w:t>1/1) y los procedimientos para la preparación de los productos previstos de la Plataforma (véase el anexo I de la decisión IPBES</w:t>
      </w:r>
      <w:r w:rsidR="00900B8D">
        <w:rPr>
          <w:sz w:val="20"/>
          <w:lang w:val="es-ES"/>
        </w:rPr>
        <w:noBreakHyphen/>
      </w:r>
      <w:r w:rsidRPr="002B3C20">
        <w:rPr>
          <w:sz w:val="20"/>
          <w:lang w:val="es-ES"/>
        </w:rPr>
        <w:t>3/3).</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 xml:space="preserve">En el examen de mitad de período se analizarán las mismas funciones mencionadas en el párrafo precedente con miras a </w:t>
      </w:r>
      <w:r w:rsidR="00896704">
        <w:rPr>
          <w:sz w:val="20"/>
          <w:lang w:val="es-ES"/>
        </w:rPr>
        <w:t>proporcionar las bases</w:t>
      </w:r>
      <w:r w:rsidRPr="002B3C20">
        <w:rPr>
          <w:sz w:val="20"/>
          <w:lang w:val="es-ES"/>
        </w:rPr>
        <w:t xml:space="preserve"> para las medidas que adoptará el Plenario en relación con la ejecución del resto del programa de trabajo </w:t>
      </w:r>
      <w:r w:rsidR="00896704">
        <w:rPr>
          <w:sz w:val="20"/>
          <w:lang w:val="es-ES"/>
        </w:rPr>
        <w:t>d</w:t>
      </w:r>
      <w:r w:rsidRPr="002B3C20">
        <w:rPr>
          <w:sz w:val="20"/>
          <w:lang w:val="es-ES"/>
        </w:rPr>
        <w:t>el período</w:t>
      </w:r>
      <w:r w:rsidR="00896704">
        <w:rPr>
          <w:sz w:val="20"/>
          <w:lang w:val="es-ES"/>
        </w:rPr>
        <w:t xml:space="preserve"> en cuestión</w:t>
      </w:r>
      <w:r w:rsidRPr="002B3C20">
        <w:rPr>
          <w:sz w:val="20"/>
          <w:lang w:val="es-ES"/>
        </w:rPr>
        <w:t>, es decir, de principios de 2017 a principios de 2019. La labor de examen se centrará en determinar las principales dificultades que pueden surgir en el período y en evaluar la probabilidad y las consecuencias de que así ocurra.</w:t>
      </w:r>
    </w:p>
    <w:p w:rsidR="003D34F5" w:rsidRPr="00573923" w:rsidRDefault="00733369" w:rsidP="00CE37E6">
      <w:pPr>
        <w:pStyle w:val="CH2"/>
        <w:rPr>
          <w:lang w:val="es-ES"/>
        </w:rPr>
      </w:pPr>
      <w:r>
        <w:rPr>
          <w:lang w:val="es-ES"/>
        </w:rPr>
        <w:tab/>
        <w:t>B.</w:t>
      </w:r>
      <w:r>
        <w:rPr>
          <w:lang w:val="es-ES"/>
        </w:rPr>
        <w:tab/>
        <w:t xml:space="preserve">Arreglos institucionales para la realización del examen </w:t>
      </w:r>
    </w:p>
    <w:p w:rsidR="003D34F5" w:rsidRPr="00857BB2" w:rsidRDefault="0087665E" w:rsidP="00BB6D41">
      <w:pPr>
        <w:pStyle w:val="CH3"/>
        <w:rPr>
          <w:sz w:val="20"/>
          <w:szCs w:val="20"/>
        </w:rPr>
      </w:pPr>
      <w:r w:rsidRPr="00857BB2">
        <w:rPr>
          <w:sz w:val="20"/>
          <w:szCs w:val="20"/>
          <w:lang w:val="es-ES"/>
        </w:rPr>
        <w:tab/>
        <w:t>1.</w:t>
      </w:r>
      <w:r w:rsidRPr="00857BB2">
        <w:rPr>
          <w:sz w:val="20"/>
          <w:szCs w:val="20"/>
          <w:lang w:val="es-ES"/>
        </w:rPr>
        <w:tab/>
        <w:t>Examen de mitad de período</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 xml:space="preserve">El órgano de examen independiente se compondrá de cinco expertos, seleccionados por el Consejo Internacional para la Ciencia (CIUC), en consulta con el Consejo Internacional de Ciencias Sociales (CICS), según criterios paritarios de representación geográfica y de género. El órgano realizará su labor por diversos métodos, como el análisis de documentos y las entrevistas con los principales agentes. En conjunto, el equipo tendrá conocimientos especializados en las siguientes esferas: </w:t>
      </w:r>
    </w:p>
    <w:p w:rsidR="003D34F5" w:rsidRPr="00573923" w:rsidRDefault="00761393" w:rsidP="00BB6D41">
      <w:pPr>
        <w:pStyle w:val="Normalnumber"/>
        <w:numPr>
          <w:ilvl w:val="1"/>
          <w:numId w:val="4"/>
        </w:numPr>
        <w:tabs>
          <w:tab w:val="clear" w:pos="1247"/>
          <w:tab w:val="clear" w:pos="1814"/>
          <w:tab w:val="clear" w:pos="2381"/>
          <w:tab w:val="clear" w:pos="2948"/>
          <w:tab w:val="clear" w:pos="3515"/>
        </w:tabs>
        <w:ind w:firstLine="624"/>
        <w:rPr>
          <w:sz w:val="20"/>
          <w:lang w:val="es-ES"/>
        </w:rPr>
      </w:pPr>
      <w:r w:rsidRPr="002B3C20">
        <w:rPr>
          <w:sz w:val="20"/>
          <w:lang w:val="es-ES"/>
        </w:rPr>
        <w:t>Ciencias relacionadas con la diversidad biológica y los servicios de los ecosistemas (en especial, biología y ciencias sociales);</w:t>
      </w:r>
    </w:p>
    <w:p w:rsidR="003D34F5" w:rsidRPr="00573923" w:rsidRDefault="003D34F5" w:rsidP="00BB6D41">
      <w:pPr>
        <w:pStyle w:val="Normalnumber"/>
        <w:numPr>
          <w:ilvl w:val="1"/>
          <w:numId w:val="4"/>
        </w:numPr>
        <w:tabs>
          <w:tab w:val="clear" w:pos="1247"/>
          <w:tab w:val="clear" w:pos="1814"/>
          <w:tab w:val="clear" w:pos="2381"/>
          <w:tab w:val="clear" w:pos="2948"/>
          <w:tab w:val="clear" w:pos="3515"/>
        </w:tabs>
        <w:ind w:firstLine="624"/>
        <w:rPr>
          <w:sz w:val="20"/>
          <w:lang w:val="es-ES"/>
        </w:rPr>
      </w:pPr>
      <w:r w:rsidRPr="002B3C20">
        <w:rPr>
          <w:sz w:val="20"/>
          <w:lang w:val="es-ES"/>
        </w:rPr>
        <w:t>Sistemas de conocimientos indígenas y locales;</w:t>
      </w:r>
    </w:p>
    <w:p w:rsidR="003D34F5" w:rsidRPr="00573923" w:rsidRDefault="003D34F5" w:rsidP="00BB6D41">
      <w:pPr>
        <w:pStyle w:val="Normalnumber"/>
        <w:numPr>
          <w:ilvl w:val="1"/>
          <w:numId w:val="4"/>
        </w:numPr>
        <w:tabs>
          <w:tab w:val="clear" w:pos="1247"/>
          <w:tab w:val="clear" w:pos="1814"/>
          <w:tab w:val="clear" w:pos="2381"/>
          <w:tab w:val="clear" w:pos="2948"/>
          <w:tab w:val="clear" w:pos="3515"/>
        </w:tabs>
        <w:ind w:firstLine="624"/>
        <w:rPr>
          <w:sz w:val="20"/>
          <w:lang w:val="es-ES"/>
        </w:rPr>
      </w:pPr>
      <w:r w:rsidRPr="002B3C20">
        <w:rPr>
          <w:sz w:val="20"/>
          <w:lang w:val="es-ES"/>
        </w:rPr>
        <w:t>Evaluaciones anteriores relacionadas con la diversidad biológica (por ejemplo, la Evaluación de los Ecosistemas del Milenio y evaluaciones nacionales);</w:t>
      </w:r>
    </w:p>
    <w:p w:rsidR="003D34F5" w:rsidRPr="00573923" w:rsidRDefault="003D34F5" w:rsidP="00BB6D41">
      <w:pPr>
        <w:pStyle w:val="Normalnumber"/>
        <w:numPr>
          <w:ilvl w:val="1"/>
          <w:numId w:val="4"/>
        </w:numPr>
        <w:tabs>
          <w:tab w:val="clear" w:pos="1247"/>
          <w:tab w:val="clear" w:pos="1814"/>
          <w:tab w:val="clear" w:pos="2381"/>
          <w:tab w:val="clear" w:pos="2948"/>
          <w:tab w:val="clear" w:pos="3515"/>
        </w:tabs>
        <w:ind w:firstLine="624"/>
        <w:rPr>
          <w:sz w:val="20"/>
          <w:lang w:val="es-ES"/>
        </w:rPr>
      </w:pPr>
      <w:r w:rsidRPr="002B3C20">
        <w:rPr>
          <w:sz w:val="20"/>
          <w:lang w:val="es-ES"/>
        </w:rPr>
        <w:t>Procesos de la interfaz científico</w:t>
      </w:r>
      <w:r w:rsidR="00900B8D">
        <w:rPr>
          <w:sz w:val="20"/>
          <w:lang w:val="es-ES"/>
        </w:rPr>
        <w:noBreakHyphen/>
      </w:r>
      <w:r w:rsidRPr="002B3C20">
        <w:rPr>
          <w:sz w:val="20"/>
          <w:lang w:val="es-ES"/>
        </w:rPr>
        <w:t>normativa;</w:t>
      </w:r>
    </w:p>
    <w:p w:rsidR="003D34F5" w:rsidRPr="00573923" w:rsidRDefault="003D34F5" w:rsidP="00BB6D41">
      <w:pPr>
        <w:pStyle w:val="Normalnumber"/>
        <w:numPr>
          <w:ilvl w:val="1"/>
          <w:numId w:val="4"/>
        </w:numPr>
        <w:tabs>
          <w:tab w:val="clear" w:pos="1247"/>
          <w:tab w:val="clear" w:pos="1814"/>
          <w:tab w:val="clear" w:pos="2381"/>
          <w:tab w:val="clear" w:pos="2948"/>
          <w:tab w:val="clear" w:pos="3515"/>
        </w:tabs>
        <w:ind w:firstLine="624"/>
        <w:rPr>
          <w:sz w:val="20"/>
          <w:lang w:val="es-ES"/>
        </w:rPr>
      </w:pPr>
      <w:r w:rsidRPr="002B3C20">
        <w:rPr>
          <w:sz w:val="20"/>
          <w:lang w:val="es-ES"/>
        </w:rPr>
        <w:t xml:space="preserve">Acuerdos ambientales multilaterales, como la Convención sobre la Diversidad Biológica; </w:t>
      </w:r>
    </w:p>
    <w:p w:rsidR="003D34F5" w:rsidRPr="00573923" w:rsidRDefault="003D34F5" w:rsidP="00BB6D41">
      <w:pPr>
        <w:pStyle w:val="Normalnumber"/>
        <w:numPr>
          <w:ilvl w:val="1"/>
          <w:numId w:val="4"/>
        </w:numPr>
        <w:tabs>
          <w:tab w:val="clear" w:pos="1247"/>
          <w:tab w:val="clear" w:pos="1814"/>
          <w:tab w:val="clear" w:pos="2381"/>
          <w:tab w:val="clear" w:pos="2948"/>
          <w:tab w:val="clear" w:pos="3515"/>
        </w:tabs>
        <w:ind w:firstLine="624"/>
        <w:rPr>
          <w:sz w:val="20"/>
          <w:lang w:val="es-ES"/>
        </w:rPr>
      </w:pPr>
      <w:r w:rsidRPr="002B3C20">
        <w:rPr>
          <w:sz w:val="20"/>
          <w:lang w:val="es-ES"/>
        </w:rPr>
        <w:t xml:space="preserve">Formulación de políticas a nivel intergubernamental y nacional; </w:t>
      </w:r>
    </w:p>
    <w:p w:rsidR="003D34F5" w:rsidRPr="00573923" w:rsidRDefault="003D34F5" w:rsidP="00BB6D41">
      <w:pPr>
        <w:pStyle w:val="Normalnumber"/>
        <w:numPr>
          <w:ilvl w:val="1"/>
          <w:numId w:val="4"/>
        </w:numPr>
        <w:tabs>
          <w:tab w:val="clear" w:pos="1247"/>
          <w:tab w:val="clear" w:pos="1814"/>
          <w:tab w:val="clear" w:pos="2381"/>
          <w:tab w:val="clear" w:pos="2948"/>
          <w:tab w:val="clear" w:pos="3515"/>
        </w:tabs>
        <w:ind w:firstLine="624"/>
        <w:rPr>
          <w:sz w:val="20"/>
          <w:lang w:val="es-ES"/>
        </w:rPr>
      </w:pPr>
      <w:r w:rsidRPr="002B3C20">
        <w:rPr>
          <w:sz w:val="20"/>
          <w:lang w:val="es-ES"/>
        </w:rPr>
        <w:t xml:space="preserve">Sistema y procedimientos de las Naciones Unidas. </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El órgano de examen independiente recibirá el apoyo de un funcionario del CIUC y la Secretaría de la Plataforma, según proceda. La labor de es</w:t>
      </w:r>
      <w:r w:rsidR="00F82132">
        <w:rPr>
          <w:sz w:val="20"/>
          <w:lang w:val="es-ES"/>
        </w:rPr>
        <w:t>t</w:t>
      </w:r>
      <w:r w:rsidRPr="002B3C20">
        <w:rPr>
          <w:sz w:val="20"/>
          <w:lang w:val="es-ES"/>
        </w:rPr>
        <w:t xml:space="preserve">e </w:t>
      </w:r>
      <w:r w:rsidR="005F2291">
        <w:rPr>
          <w:sz w:val="20"/>
          <w:lang w:val="es-ES"/>
        </w:rPr>
        <w:t>funcionario</w:t>
      </w:r>
      <w:r w:rsidRPr="002B3C20">
        <w:rPr>
          <w:sz w:val="20"/>
          <w:lang w:val="es-ES"/>
        </w:rPr>
        <w:t xml:space="preserve"> para gestionar el proceso y elaborar el informe equivaldrá a tres meses a tiempo completo</w:t>
      </w:r>
      <w:r w:rsidR="00857BB2">
        <w:rPr>
          <w:sz w:val="20"/>
          <w:lang w:val="es-ES"/>
        </w:rPr>
        <w:t>.</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Paralelamente, un grupo integrado por dos miembros de la Mesa, dos miembros del Grupo Multidisciplinario de Expertos y el Secretario Ejecutivo realizará un examen interno. El equipo de examen interno se reunirá por teleconferencia y durante las reuniones del Grupo y de la Mesa para llevar a cabo su labor</w:t>
      </w:r>
      <w:r w:rsidR="00F82132">
        <w:rPr>
          <w:sz w:val="20"/>
          <w:lang w:val="es-ES"/>
        </w:rPr>
        <w:t>,</w:t>
      </w:r>
      <w:r w:rsidRPr="002B3C20">
        <w:rPr>
          <w:sz w:val="20"/>
          <w:lang w:val="es-ES"/>
        </w:rPr>
        <w:t xml:space="preserve"> y tratará las mismas cuestiones que el equipo de examen externo.</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El equipo del órgano de examen independiente celebrará consultas con el equipo de examen interno, según proceda.</w:t>
      </w:r>
    </w:p>
    <w:p w:rsidR="003D34F5" w:rsidRPr="00857BB2"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El informe de mitad de período constará de los informes interno y externo.</w:t>
      </w:r>
    </w:p>
    <w:p w:rsidR="003D34F5" w:rsidRPr="00857BB2" w:rsidRDefault="00733369" w:rsidP="00BB6D41">
      <w:pPr>
        <w:pStyle w:val="CH3"/>
        <w:rPr>
          <w:sz w:val="20"/>
          <w:szCs w:val="20"/>
        </w:rPr>
      </w:pPr>
      <w:r w:rsidRPr="00857BB2">
        <w:rPr>
          <w:sz w:val="20"/>
          <w:szCs w:val="20"/>
          <w:lang w:val="es-ES"/>
        </w:rPr>
        <w:lastRenderedPageBreak/>
        <w:tab/>
        <w:t>2.</w:t>
      </w:r>
      <w:r w:rsidRPr="00857BB2">
        <w:rPr>
          <w:sz w:val="20"/>
          <w:szCs w:val="20"/>
          <w:lang w:val="es-ES"/>
        </w:rPr>
        <w:tab/>
        <w:t>Examen final</w:t>
      </w:r>
    </w:p>
    <w:p w:rsidR="003D34F5" w:rsidRPr="00573923" w:rsidRDefault="00863FEB"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 xml:space="preserve">Para el examen final, teniendo en cuenta la amplitud y el volumen de trabajo que deberá realizarse, el órgano independiente de examen consistirá en diez expertos con los mismos conocimientos especializados enumerados más arriba, cinco de los </w:t>
      </w:r>
      <w:proofErr w:type="spellStart"/>
      <w:r w:rsidR="00722749">
        <w:rPr>
          <w:sz w:val="20"/>
          <w:lang w:val="es-ES"/>
        </w:rPr>
        <w:t>cua</w:t>
      </w:r>
      <w:r w:rsidR="00722749" w:rsidRPr="002B3C20">
        <w:rPr>
          <w:sz w:val="20"/>
          <w:lang w:val="es-ES"/>
        </w:rPr>
        <w:t>les</w:t>
      </w:r>
      <w:proofErr w:type="spellEnd"/>
      <w:r w:rsidRPr="002B3C20">
        <w:rPr>
          <w:sz w:val="20"/>
          <w:lang w:val="es-ES"/>
        </w:rPr>
        <w:t xml:space="preserve"> serán los expertos seleccionados para el examen de mitad de período, a fin de garantizar la continuidad en la labor. Se prestará atención al equilibrio en la representación geográfica y de género. El equipo será seleccionado por</w:t>
      </w:r>
      <w:r w:rsidR="00F82132">
        <w:rPr>
          <w:sz w:val="20"/>
          <w:lang w:val="es-ES"/>
        </w:rPr>
        <w:t xml:space="preserve"> el CIUC en consulta con el CICS</w:t>
      </w:r>
      <w:r w:rsidRPr="002B3C20">
        <w:rPr>
          <w:sz w:val="20"/>
          <w:lang w:val="es-ES"/>
        </w:rPr>
        <w:t xml:space="preserve"> y desempeñará su labor de manera similar a la descrita más arriba (análisis de documentos y entrevistas con los agentes principales). Además, el equipo asistirá al quinto período de sesiones del Plenario para observar todos los debates, entrevistar a los agentes principales y celebrar otros debates, según proceda. También invitará a los gobiernos y los interesados a realizar aportaciones mediante un cuestionario.</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El equipo de evaluación externa recibirá el apoyo de un funcionario del CIUC y la Secretaría de la Plataforma, según proceda. Se calcula que la carga total de trabajo de es</w:t>
      </w:r>
      <w:r w:rsidR="007B4E36">
        <w:rPr>
          <w:sz w:val="20"/>
          <w:lang w:val="es-ES"/>
        </w:rPr>
        <w:t>te funcionario</w:t>
      </w:r>
      <w:r w:rsidRPr="002B3C20">
        <w:rPr>
          <w:sz w:val="20"/>
          <w:lang w:val="es-ES"/>
        </w:rPr>
        <w:t xml:space="preserve"> para gestionar el proceso y elaborar el informe equivaldrá a seis meses a tiempo completo.</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Un grupo integrado por dos miembros de la Mesa, dos miembros del Grupo Multidisciplinario de Expertos y el Secretario Ejecutivo realizará un examen interno de forma parecida a la del examen interno de mitad de período. El equipo de examen interno se reunirá por teleconferencia y durante las reuniones del Grupo y de la Mesa para tratar las mismas cuestiones que el equipo de examen externo.</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El equipo del órgano de examen independiente celebrará consultas con el equipo de examen interno, según proceda.</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lang w:val="es-ES"/>
        </w:rPr>
      </w:pPr>
      <w:r w:rsidRPr="002B3C20">
        <w:rPr>
          <w:sz w:val="20"/>
          <w:lang w:val="es-ES"/>
        </w:rPr>
        <w:t>El informe sobre el examen final constará de los informes interno y externo.</w:t>
      </w:r>
    </w:p>
    <w:p w:rsidR="003D34F5" w:rsidRPr="00CE37E6" w:rsidRDefault="00733369" w:rsidP="00BB6D41">
      <w:pPr>
        <w:pStyle w:val="CH2"/>
      </w:pPr>
      <w:r>
        <w:rPr>
          <w:lang w:val="es-ES"/>
        </w:rPr>
        <w:tab/>
        <w:t xml:space="preserve">C. </w:t>
      </w:r>
      <w:r>
        <w:rPr>
          <w:lang w:val="es-ES"/>
        </w:rPr>
        <w:tab/>
        <w:t>Calendario</w:t>
      </w:r>
    </w:p>
    <w:p w:rsidR="003D34F5" w:rsidRPr="00573923" w:rsidRDefault="003D34F5" w:rsidP="00BB6D41">
      <w:pPr>
        <w:pStyle w:val="Normalnumber"/>
        <w:tabs>
          <w:tab w:val="clear" w:pos="567"/>
          <w:tab w:val="clear" w:pos="1247"/>
          <w:tab w:val="clear" w:pos="1814"/>
          <w:tab w:val="clear" w:pos="2381"/>
          <w:tab w:val="clear" w:pos="2948"/>
          <w:tab w:val="clear" w:pos="3515"/>
          <w:tab w:val="num" w:pos="624"/>
        </w:tabs>
        <w:rPr>
          <w:sz w:val="20"/>
          <w:szCs w:val="20"/>
          <w:lang w:val="es-ES"/>
        </w:rPr>
      </w:pPr>
      <w:r w:rsidRPr="00062159">
        <w:rPr>
          <w:sz w:val="20"/>
          <w:szCs w:val="20"/>
          <w:lang w:val="es-ES"/>
        </w:rPr>
        <w:t>El examen de mitad de período y el examen final se realizarán según el calendario siguiente:</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695"/>
        <w:gridCol w:w="85"/>
        <w:gridCol w:w="1857"/>
        <w:gridCol w:w="434"/>
        <w:gridCol w:w="1509"/>
        <w:gridCol w:w="1943"/>
        <w:gridCol w:w="1943"/>
        <w:gridCol w:w="39"/>
      </w:tblGrid>
      <w:tr w:rsidR="00733369" w:rsidRPr="00573923" w:rsidTr="00722749">
        <w:trPr>
          <w:gridBefore w:val="1"/>
          <w:wBefore w:w="1247" w:type="dxa"/>
        </w:trPr>
        <w:tc>
          <w:tcPr>
            <w:tcW w:w="780" w:type="dxa"/>
            <w:gridSpan w:val="2"/>
            <w:vMerge w:val="restart"/>
            <w:shd w:val="clear" w:color="auto" w:fill="auto"/>
          </w:tcPr>
          <w:p w:rsidR="003D34F5" w:rsidRPr="00062159" w:rsidRDefault="003D34F5" w:rsidP="00BB6D41">
            <w:pPr>
              <w:spacing w:before="40" w:after="40"/>
              <w:rPr>
                <w:sz w:val="20"/>
                <w:szCs w:val="20"/>
              </w:rPr>
            </w:pPr>
            <w:r w:rsidRPr="00062159">
              <w:rPr>
                <w:sz w:val="20"/>
                <w:szCs w:val="20"/>
                <w:lang w:val="es-ES"/>
              </w:rPr>
              <w:t xml:space="preserve">2016 </w:t>
            </w:r>
          </w:p>
        </w:tc>
        <w:tc>
          <w:tcPr>
            <w:tcW w:w="2291" w:type="dxa"/>
            <w:gridSpan w:val="2"/>
          </w:tcPr>
          <w:p w:rsidR="003D34F5" w:rsidRPr="00573923" w:rsidRDefault="000A756E" w:rsidP="00BB6D41">
            <w:pPr>
              <w:spacing w:before="40" w:after="40"/>
              <w:rPr>
                <w:sz w:val="20"/>
                <w:szCs w:val="20"/>
                <w:lang w:val="es-ES"/>
              </w:rPr>
            </w:pPr>
            <w:r w:rsidRPr="00062159">
              <w:rPr>
                <w:sz w:val="20"/>
                <w:szCs w:val="20"/>
                <w:lang w:val="es-ES"/>
              </w:rPr>
              <w:t>Cuarto período de sesiones del Plenario</w:t>
            </w:r>
            <w:r w:rsidRPr="00062159">
              <w:rPr>
                <w:sz w:val="20"/>
                <w:szCs w:val="20"/>
                <w:lang w:val="es-ES"/>
              </w:rPr>
              <w:br/>
              <w:t>(febrero de 2016)</w:t>
            </w:r>
          </w:p>
        </w:tc>
        <w:tc>
          <w:tcPr>
            <w:tcW w:w="5434" w:type="dxa"/>
            <w:gridSpan w:val="4"/>
            <w:shd w:val="clear" w:color="auto" w:fill="auto"/>
          </w:tcPr>
          <w:p w:rsidR="003D34F5" w:rsidRPr="00573923" w:rsidRDefault="006B0B03" w:rsidP="00BB6D41">
            <w:pPr>
              <w:spacing w:before="40" w:after="40"/>
              <w:rPr>
                <w:sz w:val="20"/>
                <w:szCs w:val="20"/>
                <w:lang w:val="es-ES"/>
              </w:rPr>
            </w:pPr>
            <w:r w:rsidRPr="00062159">
              <w:rPr>
                <w:sz w:val="20"/>
                <w:szCs w:val="20"/>
                <w:lang w:val="es-ES"/>
              </w:rPr>
              <w:t>Aprobación del proceso y presupuesto para los exámenes de mitad de período y final</w:t>
            </w:r>
          </w:p>
        </w:tc>
      </w:tr>
      <w:tr w:rsidR="00733369" w:rsidRPr="00573923" w:rsidTr="00722749">
        <w:trPr>
          <w:gridBefore w:val="1"/>
          <w:wBefore w:w="1247" w:type="dxa"/>
          <w:trHeight w:val="443"/>
        </w:trPr>
        <w:tc>
          <w:tcPr>
            <w:tcW w:w="780" w:type="dxa"/>
            <w:gridSpan w:val="2"/>
            <w:vMerge/>
            <w:shd w:val="clear" w:color="auto" w:fill="auto"/>
          </w:tcPr>
          <w:p w:rsidR="003D34F5" w:rsidRPr="00573923" w:rsidRDefault="003D34F5" w:rsidP="00BB6D41">
            <w:pPr>
              <w:spacing w:before="40" w:after="40"/>
              <w:rPr>
                <w:sz w:val="20"/>
                <w:szCs w:val="20"/>
                <w:lang w:val="es-ES"/>
              </w:rPr>
            </w:pPr>
          </w:p>
        </w:tc>
        <w:tc>
          <w:tcPr>
            <w:tcW w:w="2291" w:type="dxa"/>
            <w:gridSpan w:val="2"/>
          </w:tcPr>
          <w:p w:rsidR="003D34F5" w:rsidRPr="00062159" w:rsidRDefault="003D34F5" w:rsidP="00BB6D41">
            <w:pPr>
              <w:spacing w:before="40" w:after="40"/>
              <w:rPr>
                <w:sz w:val="20"/>
                <w:szCs w:val="20"/>
              </w:rPr>
            </w:pPr>
            <w:r w:rsidRPr="00062159">
              <w:rPr>
                <w:sz w:val="20"/>
                <w:szCs w:val="20"/>
                <w:lang w:val="es-ES"/>
              </w:rPr>
              <w:t>Secretaría</w:t>
            </w:r>
          </w:p>
          <w:p w:rsidR="003D34F5" w:rsidRPr="00062159" w:rsidRDefault="003D34F5" w:rsidP="00BB6D41">
            <w:pPr>
              <w:spacing w:before="40" w:after="40"/>
              <w:rPr>
                <w:sz w:val="20"/>
                <w:szCs w:val="20"/>
              </w:rPr>
            </w:pPr>
            <w:r w:rsidRPr="00062159">
              <w:rPr>
                <w:sz w:val="20"/>
                <w:szCs w:val="20"/>
                <w:lang w:val="es-ES"/>
              </w:rPr>
              <w:t>(marzo de 2016)</w:t>
            </w:r>
          </w:p>
        </w:tc>
        <w:tc>
          <w:tcPr>
            <w:tcW w:w="5434" w:type="dxa"/>
            <w:gridSpan w:val="4"/>
            <w:shd w:val="clear" w:color="auto" w:fill="auto"/>
          </w:tcPr>
          <w:p w:rsidR="003D34F5" w:rsidRPr="00573923" w:rsidRDefault="006B0B03" w:rsidP="00BB6D41">
            <w:pPr>
              <w:spacing w:before="40" w:after="40"/>
              <w:rPr>
                <w:sz w:val="20"/>
                <w:szCs w:val="20"/>
                <w:lang w:val="es-ES"/>
              </w:rPr>
            </w:pPr>
            <w:r w:rsidRPr="00062159">
              <w:rPr>
                <w:sz w:val="20"/>
                <w:szCs w:val="20"/>
                <w:lang w:val="es-ES"/>
              </w:rPr>
              <w:t>Establecimiento de los arreglos institucionales con el órgano de examen independiente para los exámenes internos y externos</w:t>
            </w:r>
          </w:p>
        </w:tc>
      </w:tr>
      <w:tr w:rsidR="00733369" w:rsidRPr="00573923" w:rsidTr="00722749">
        <w:trPr>
          <w:gridBefore w:val="1"/>
          <w:wBefore w:w="1247" w:type="dxa"/>
          <w:trHeight w:val="381"/>
        </w:trPr>
        <w:tc>
          <w:tcPr>
            <w:tcW w:w="780" w:type="dxa"/>
            <w:gridSpan w:val="2"/>
            <w:vMerge/>
            <w:shd w:val="clear" w:color="auto" w:fill="auto"/>
          </w:tcPr>
          <w:p w:rsidR="003D34F5" w:rsidRPr="00573923" w:rsidRDefault="003D34F5" w:rsidP="00BB6D41">
            <w:pPr>
              <w:spacing w:before="40" w:after="40"/>
              <w:rPr>
                <w:sz w:val="20"/>
                <w:szCs w:val="20"/>
                <w:lang w:val="es-ES"/>
              </w:rPr>
            </w:pPr>
          </w:p>
        </w:tc>
        <w:tc>
          <w:tcPr>
            <w:tcW w:w="2291" w:type="dxa"/>
            <w:gridSpan w:val="2"/>
          </w:tcPr>
          <w:p w:rsidR="003D34F5" w:rsidRPr="00573923" w:rsidRDefault="003D34F5" w:rsidP="00BB6D41">
            <w:pPr>
              <w:spacing w:before="40" w:after="40"/>
              <w:rPr>
                <w:sz w:val="20"/>
                <w:szCs w:val="20"/>
                <w:lang w:val="es-ES"/>
              </w:rPr>
            </w:pPr>
            <w:r w:rsidRPr="00062159">
              <w:rPr>
                <w:sz w:val="20"/>
                <w:szCs w:val="20"/>
                <w:lang w:val="es-ES"/>
              </w:rPr>
              <w:t>Órgano de examen independiente</w:t>
            </w:r>
          </w:p>
          <w:p w:rsidR="003D34F5" w:rsidRPr="00573923" w:rsidRDefault="003D34F5" w:rsidP="000A756E">
            <w:pPr>
              <w:rPr>
                <w:sz w:val="20"/>
                <w:szCs w:val="20"/>
                <w:lang w:val="es-ES"/>
              </w:rPr>
            </w:pPr>
            <w:r w:rsidRPr="00062159">
              <w:rPr>
                <w:sz w:val="20"/>
                <w:szCs w:val="20"/>
                <w:lang w:val="es-ES"/>
              </w:rPr>
              <w:t>(marzo</w:t>
            </w:r>
            <w:r w:rsidR="00900B8D" w:rsidRPr="00062159">
              <w:rPr>
                <w:sz w:val="20"/>
                <w:szCs w:val="20"/>
                <w:lang w:val="es-ES"/>
              </w:rPr>
              <w:noBreakHyphen/>
            </w:r>
            <w:r w:rsidRPr="00062159">
              <w:rPr>
                <w:sz w:val="20"/>
                <w:szCs w:val="20"/>
                <w:lang w:val="es-ES"/>
              </w:rPr>
              <w:t>abril)</w:t>
            </w:r>
          </w:p>
        </w:tc>
        <w:tc>
          <w:tcPr>
            <w:tcW w:w="5434" w:type="dxa"/>
            <w:gridSpan w:val="4"/>
            <w:shd w:val="clear" w:color="auto" w:fill="auto"/>
          </w:tcPr>
          <w:p w:rsidR="003D34F5" w:rsidRPr="00573923" w:rsidRDefault="006B0B03" w:rsidP="00BB6D41">
            <w:pPr>
              <w:spacing w:before="40" w:after="40"/>
              <w:rPr>
                <w:sz w:val="20"/>
                <w:szCs w:val="20"/>
                <w:lang w:val="es-ES"/>
              </w:rPr>
            </w:pPr>
            <w:r w:rsidRPr="00062159">
              <w:rPr>
                <w:sz w:val="20"/>
                <w:szCs w:val="20"/>
                <w:lang w:val="es-ES"/>
              </w:rPr>
              <w:t>Designación del equipo de evaluación del examen externo (examen de mitad de período)</w:t>
            </w:r>
          </w:p>
          <w:p w:rsidR="003D34F5" w:rsidRPr="00573923" w:rsidRDefault="006B0B03" w:rsidP="00BB6D41">
            <w:pPr>
              <w:spacing w:before="40" w:after="40"/>
              <w:rPr>
                <w:sz w:val="20"/>
                <w:szCs w:val="20"/>
                <w:lang w:val="es-ES"/>
              </w:rPr>
            </w:pPr>
            <w:r w:rsidRPr="00062159">
              <w:rPr>
                <w:sz w:val="20"/>
                <w:szCs w:val="20"/>
                <w:lang w:val="es-ES"/>
              </w:rPr>
              <w:t>Puesta en marcha del examen externo de mitad de período</w:t>
            </w:r>
          </w:p>
        </w:tc>
      </w:tr>
      <w:tr w:rsidR="00733369" w:rsidRPr="00573923" w:rsidTr="00722749">
        <w:trPr>
          <w:gridBefore w:val="1"/>
          <w:wBefore w:w="1247" w:type="dxa"/>
        </w:trPr>
        <w:tc>
          <w:tcPr>
            <w:tcW w:w="780" w:type="dxa"/>
            <w:gridSpan w:val="2"/>
            <w:vMerge/>
            <w:shd w:val="clear" w:color="auto" w:fill="auto"/>
          </w:tcPr>
          <w:p w:rsidR="003D34F5" w:rsidRPr="00573923" w:rsidRDefault="003D34F5" w:rsidP="00BB6D41">
            <w:pPr>
              <w:spacing w:before="40" w:after="40"/>
              <w:rPr>
                <w:sz w:val="20"/>
                <w:szCs w:val="20"/>
                <w:lang w:val="es-ES"/>
              </w:rPr>
            </w:pPr>
          </w:p>
        </w:tc>
        <w:tc>
          <w:tcPr>
            <w:tcW w:w="2291" w:type="dxa"/>
            <w:gridSpan w:val="2"/>
          </w:tcPr>
          <w:p w:rsidR="003D34F5" w:rsidRPr="00573923" w:rsidRDefault="000A756E" w:rsidP="00BB6D41">
            <w:pPr>
              <w:spacing w:before="40" w:after="40"/>
              <w:rPr>
                <w:sz w:val="20"/>
                <w:szCs w:val="20"/>
                <w:lang w:val="es-ES"/>
              </w:rPr>
            </w:pPr>
            <w:r w:rsidRPr="00062159">
              <w:rPr>
                <w:sz w:val="20"/>
                <w:szCs w:val="20"/>
                <w:lang w:val="es-ES"/>
              </w:rPr>
              <w:t>Séptima reunión del Grupo Multidisciplinario de Expertos y la Mesa (mayo)</w:t>
            </w:r>
          </w:p>
        </w:tc>
        <w:tc>
          <w:tcPr>
            <w:tcW w:w="5434" w:type="dxa"/>
            <w:gridSpan w:val="4"/>
            <w:shd w:val="clear" w:color="auto" w:fill="auto"/>
          </w:tcPr>
          <w:p w:rsidR="003D34F5" w:rsidRPr="00573923" w:rsidRDefault="006B0B03" w:rsidP="00BB6D41">
            <w:pPr>
              <w:spacing w:before="40" w:after="40"/>
              <w:rPr>
                <w:sz w:val="20"/>
                <w:szCs w:val="20"/>
                <w:lang w:val="es-ES"/>
              </w:rPr>
            </w:pPr>
            <w:r w:rsidRPr="00062159">
              <w:rPr>
                <w:sz w:val="20"/>
                <w:szCs w:val="20"/>
                <w:lang w:val="es-ES"/>
              </w:rPr>
              <w:t>Puesta en marcha del examen interno por el equipo de examen interno (examen de mitad de período)</w:t>
            </w:r>
          </w:p>
        </w:tc>
      </w:tr>
      <w:tr w:rsidR="00733369" w:rsidRPr="00573923" w:rsidTr="00722749">
        <w:trPr>
          <w:gridBefore w:val="1"/>
          <w:wBefore w:w="1247" w:type="dxa"/>
        </w:trPr>
        <w:tc>
          <w:tcPr>
            <w:tcW w:w="780" w:type="dxa"/>
            <w:gridSpan w:val="2"/>
            <w:vMerge/>
            <w:shd w:val="clear" w:color="auto" w:fill="auto"/>
          </w:tcPr>
          <w:p w:rsidR="003D34F5" w:rsidRPr="00573923" w:rsidRDefault="003D34F5" w:rsidP="00BB6D41">
            <w:pPr>
              <w:spacing w:before="40" w:after="40"/>
              <w:rPr>
                <w:sz w:val="20"/>
                <w:szCs w:val="20"/>
                <w:lang w:val="es-ES"/>
              </w:rPr>
            </w:pPr>
          </w:p>
        </w:tc>
        <w:tc>
          <w:tcPr>
            <w:tcW w:w="2291" w:type="dxa"/>
            <w:gridSpan w:val="2"/>
          </w:tcPr>
          <w:p w:rsidR="003D34F5" w:rsidRPr="00573923" w:rsidRDefault="000A756E" w:rsidP="00BB6D41">
            <w:pPr>
              <w:spacing w:before="40" w:after="40"/>
              <w:rPr>
                <w:sz w:val="20"/>
                <w:szCs w:val="20"/>
                <w:lang w:val="es-ES"/>
              </w:rPr>
            </w:pPr>
            <w:r w:rsidRPr="00062159">
              <w:rPr>
                <w:sz w:val="20"/>
                <w:szCs w:val="20"/>
                <w:lang w:val="es-ES"/>
              </w:rPr>
              <w:t>Octava reunión del Grupo Multidisciplinario de Expertos y la Mesa (noviembre)</w:t>
            </w:r>
          </w:p>
        </w:tc>
        <w:tc>
          <w:tcPr>
            <w:tcW w:w="5434" w:type="dxa"/>
            <w:gridSpan w:val="4"/>
            <w:shd w:val="clear" w:color="auto" w:fill="auto"/>
          </w:tcPr>
          <w:p w:rsidR="003D34F5" w:rsidRPr="00573923" w:rsidRDefault="006B0B03" w:rsidP="00BB6D41">
            <w:pPr>
              <w:spacing w:before="40" w:after="40"/>
              <w:rPr>
                <w:sz w:val="20"/>
                <w:szCs w:val="20"/>
                <w:u w:val="single"/>
                <w:lang w:val="es-ES"/>
              </w:rPr>
            </w:pPr>
            <w:r w:rsidRPr="00062159">
              <w:rPr>
                <w:sz w:val="20"/>
                <w:szCs w:val="20"/>
                <w:lang w:val="es-ES"/>
              </w:rPr>
              <w:t>Análisis del examen interno y preparación del informe para el quinto período de sesiones del Plenario</w:t>
            </w:r>
          </w:p>
        </w:tc>
      </w:tr>
      <w:tr w:rsidR="00733369" w:rsidRPr="00573923" w:rsidTr="00722749">
        <w:trPr>
          <w:gridBefore w:val="1"/>
          <w:wBefore w:w="1247" w:type="dxa"/>
        </w:trPr>
        <w:tc>
          <w:tcPr>
            <w:tcW w:w="780" w:type="dxa"/>
            <w:gridSpan w:val="2"/>
            <w:vMerge/>
            <w:shd w:val="clear" w:color="auto" w:fill="auto"/>
          </w:tcPr>
          <w:p w:rsidR="003D34F5" w:rsidRPr="00573923" w:rsidRDefault="003D34F5" w:rsidP="00BB6D41">
            <w:pPr>
              <w:spacing w:before="40" w:after="40"/>
              <w:rPr>
                <w:sz w:val="20"/>
                <w:szCs w:val="20"/>
                <w:lang w:val="es-ES"/>
              </w:rPr>
            </w:pPr>
          </w:p>
        </w:tc>
        <w:tc>
          <w:tcPr>
            <w:tcW w:w="2291" w:type="dxa"/>
            <w:gridSpan w:val="2"/>
          </w:tcPr>
          <w:p w:rsidR="003D34F5" w:rsidRPr="00573923" w:rsidRDefault="003D34F5" w:rsidP="00BB6D41">
            <w:pPr>
              <w:spacing w:before="40" w:after="40"/>
              <w:rPr>
                <w:sz w:val="20"/>
                <w:szCs w:val="20"/>
                <w:lang w:val="es-ES"/>
              </w:rPr>
            </w:pPr>
            <w:r w:rsidRPr="00062159">
              <w:rPr>
                <w:sz w:val="20"/>
                <w:szCs w:val="20"/>
                <w:lang w:val="es-ES"/>
              </w:rPr>
              <w:t>Órgano de examen independiente (diciembre)</w:t>
            </w:r>
          </w:p>
        </w:tc>
        <w:tc>
          <w:tcPr>
            <w:tcW w:w="5434" w:type="dxa"/>
            <w:gridSpan w:val="4"/>
            <w:shd w:val="clear" w:color="auto" w:fill="auto"/>
          </w:tcPr>
          <w:p w:rsidR="003D34F5" w:rsidRPr="00573923" w:rsidRDefault="006B0B03" w:rsidP="00BB6D41">
            <w:pPr>
              <w:spacing w:before="40" w:after="40"/>
              <w:rPr>
                <w:sz w:val="20"/>
                <w:szCs w:val="20"/>
                <w:lang w:val="es-ES"/>
              </w:rPr>
            </w:pPr>
            <w:r w:rsidRPr="00062159">
              <w:rPr>
                <w:sz w:val="20"/>
                <w:szCs w:val="20"/>
                <w:lang w:val="es-ES"/>
              </w:rPr>
              <w:t>Elaboración del informe de mitad de período para el quinto período de sesiones del Plenario</w:t>
            </w:r>
          </w:p>
          <w:p w:rsidR="003D34F5" w:rsidRPr="00573923" w:rsidRDefault="006B0B03" w:rsidP="00BB6D41">
            <w:pPr>
              <w:spacing w:before="40" w:after="40"/>
              <w:rPr>
                <w:sz w:val="20"/>
                <w:szCs w:val="20"/>
                <w:lang w:val="es-ES"/>
              </w:rPr>
            </w:pPr>
            <w:r w:rsidRPr="00062159">
              <w:rPr>
                <w:sz w:val="20"/>
                <w:szCs w:val="20"/>
                <w:lang w:val="es-ES"/>
              </w:rPr>
              <w:t>Designación de más miembros del equipo para que todo el equipo pueda asistir al quinto período de sesiones del Plenario</w:t>
            </w:r>
          </w:p>
        </w:tc>
      </w:tr>
      <w:tr w:rsidR="00733369" w:rsidRPr="00573923" w:rsidTr="00722749">
        <w:trPr>
          <w:gridBefore w:val="1"/>
          <w:wBefore w:w="1247" w:type="dxa"/>
          <w:trHeight w:val="485"/>
        </w:trPr>
        <w:tc>
          <w:tcPr>
            <w:tcW w:w="780" w:type="dxa"/>
            <w:gridSpan w:val="2"/>
            <w:vMerge w:val="restart"/>
            <w:shd w:val="clear" w:color="auto" w:fill="auto"/>
          </w:tcPr>
          <w:p w:rsidR="003D34F5" w:rsidRPr="00062159" w:rsidRDefault="003D34F5" w:rsidP="00BB6D41">
            <w:pPr>
              <w:spacing w:before="40" w:after="40"/>
              <w:rPr>
                <w:sz w:val="20"/>
                <w:szCs w:val="20"/>
              </w:rPr>
            </w:pPr>
            <w:r w:rsidRPr="00062159">
              <w:rPr>
                <w:sz w:val="20"/>
                <w:szCs w:val="20"/>
                <w:lang w:val="es-ES"/>
              </w:rPr>
              <w:t>2017</w:t>
            </w:r>
          </w:p>
        </w:tc>
        <w:tc>
          <w:tcPr>
            <w:tcW w:w="2291" w:type="dxa"/>
            <w:gridSpan w:val="2"/>
          </w:tcPr>
          <w:p w:rsidR="003D34F5" w:rsidRPr="00573923" w:rsidRDefault="000A756E" w:rsidP="00BB6D41">
            <w:pPr>
              <w:spacing w:before="40" w:after="40"/>
              <w:rPr>
                <w:sz w:val="20"/>
                <w:szCs w:val="20"/>
                <w:lang w:val="es-ES"/>
              </w:rPr>
            </w:pPr>
            <w:r w:rsidRPr="00062159">
              <w:rPr>
                <w:sz w:val="20"/>
                <w:szCs w:val="20"/>
                <w:lang w:val="es-ES"/>
              </w:rPr>
              <w:t xml:space="preserve">Quinto período de sesiones del Plenario </w:t>
            </w:r>
            <w:r w:rsidRPr="00062159">
              <w:rPr>
                <w:sz w:val="20"/>
                <w:szCs w:val="20"/>
                <w:lang w:val="es-ES"/>
              </w:rPr>
              <w:br/>
              <w:t>(marzo)</w:t>
            </w:r>
          </w:p>
        </w:tc>
        <w:tc>
          <w:tcPr>
            <w:tcW w:w="5434" w:type="dxa"/>
            <w:gridSpan w:val="4"/>
            <w:shd w:val="clear" w:color="auto" w:fill="auto"/>
          </w:tcPr>
          <w:p w:rsidR="00857BB2" w:rsidRPr="00062159" w:rsidRDefault="006B0B03" w:rsidP="00BB6D41">
            <w:pPr>
              <w:spacing w:before="40" w:after="40"/>
              <w:rPr>
                <w:sz w:val="20"/>
                <w:szCs w:val="20"/>
                <w:lang w:val="es-ES"/>
              </w:rPr>
            </w:pPr>
            <w:r w:rsidRPr="00062159">
              <w:rPr>
                <w:sz w:val="20"/>
                <w:szCs w:val="20"/>
                <w:lang w:val="es-ES"/>
              </w:rPr>
              <w:t>Presentación del informe</w:t>
            </w:r>
            <w:r w:rsidR="001047FB" w:rsidRPr="00062159">
              <w:rPr>
                <w:sz w:val="20"/>
                <w:szCs w:val="20"/>
                <w:lang w:val="es-ES"/>
              </w:rPr>
              <w:t xml:space="preserve"> de mitad de período </w:t>
            </w:r>
            <w:r w:rsidRPr="00062159">
              <w:rPr>
                <w:sz w:val="20"/>
                <w:szCs w:val="20"/>
                <w:lang w:val="es-ES"/>
              </w:rPr>
              <w:t>al quinto período de sesiones del Plenario</w:t>
            </w:r>
          </w:p>
          <w:p w:rsidR="003D34F5" w:rsidRPr="00573923" w:rsidRDefault="006B0B03" w:rsidP="00BB6D41">
            <w:pPr>
              <w:spacing w:before="40" w:after="40"/>
              <w:rPr>
                <w:sz w:val="20"/>
                <w:szCs w:val="20"/>
                <w:lang w:val="es-ES"/>
              </w:rPr>
            </w:pPr>
            <w:r w:rsidRPr="00062159">
              <w:rPr>
                <w:sz w:val="20"/>
                <w:szCs w:val="20"/>
                <w:lang w:val="es-ES"/>
              </w:rPr>
              <w:t>Orientación adicional del Plenario para el examen final</w:t>
            </w:r>
          </w:p>
          <w:p w:rsidR="003D34F5" w:rsidRPr="00573923" w:rsidRDefault="003D34F5" w:rsidP="00BB6D41">
            <w:pPr>
              <w:spacing w:before="40" w:after="40"/>
              <w:rPr>
                <w:sz w:val="20"/>
                <w:szCs w:val="20"/>
                <w:lang w:val="es-ES"/>
              </w:rPr>
            </w:pPr>
            <w:r w:rsidRPr="00062159">
              <w:rPr>
                <w:sz w:val="20"/>
                <w:szCs w:val="20"/>
                <w:lang w:val="es-ES"/>
              </w:rPr>
              <w:t xml:space="preserve">Realización de entrevistas por el equipo de evaluación del examen final </w:t>
            </w:r>
          </w:p>
        </w:tc>
      </w:tr>
      <w:tr w:rsidR="00733369" w:rsidRPr="00573923" w:rsidTr="00722749">
        <w:trPr>
          <w:gridBefore w:val="1"/>
          <w:wBefore w:w="1247" w:type="dxa"/>
        </w:trPr>
        <w:tc>
          <w:tcPr>
            <w:tcW w:w="780" w:type="dxa"/>
            <w:gridSpan w:val="2"/>
            <w:vMerge/>
            <w:shd w:val="clear" w:color="auto" w:fill="auto"/>
          </w:tcPr>
          <w:p w:rsidR="003D34F5" w:rsidRPr="00573923" w:rsidRDefault="003D34F5" w:rsidP="00BB6D41">
            <w:pPr>
              <w:spacing w:before="40" w:after="40"/>
              <w:rPr>
                <w:sz w:val="20"/>
                <w:szCs w:val="20"/>
                <w:lang w:val="es-ES"/>
              </w:rPr>
            </w:pPr>
          </w:p>
        </w:tc>
        <w:tc>
          <w:tcPr>
            <w:tcW w:w="2291" w:type="dxa"/>
            <w:gridSpan w:val="2"/>
          </w:tcPr>
          <w:p w:rsidR="003D34F5" w:rsidRPr="00573923" w:rsidRDefault="003D34F5" w:rsidP="00BB6D41">
            <w:pPr>
              <w:spacing w:before="40" w:after="40"/>
              <w:rPr>
                <w:sz w:val="20"/>
                <w:szCs w:val="20"/>
                <w:lang w:val="es-ES"/>
              </w:rPr>
            </w:pPr>
            <w:r w:rsidRPr="00062159">
              <w:rPr>
                <w:sz w:val="20"/>
                <w:szCs w:val="20"/>
                <w:lang w:val="es-ES"/>
              </w:rPr>
              <w:t>Órgano de examen independiente</w:t>
            </w:r>
          </w:p>
          <w:p w:rsidR="003D34F5" w:rsidRPr="00573923" w:rsidRDefault="003D34F5" w:rsidP="00BB6D41">
            <w:pPr>
              <w:spacing w:before="40" w:after="40"/>
              <w:rPr>
                <w:sz w:val="20"/>
                <w:szCs w:val="20"/>
                <w:lang w:val="es-ES"/>
              </w:rPr>
            </w:pPr>
            <w:r w:rsidRPr="00062159">
              <w:rPr>
                <w:sz w:val="20"/>
                <w:szCs w:val="20"/>
                <w:lang w:val="es-ES"/>
              </w:rPr>
              <w:t>(abril</w:t>
            </w:r>
            <w:r w:rsidR="00900B8D" w:rsidRPr="00062159">
              <w:rPr>
                <w:sz w:val="20"/>
                <w:szCs w:val="20"/>
                <w:lang w:val="es-ES"/>
              </w:rPr>
              <w:noBreakHyphen/>
            </w:r>
            <w:r w:rsidRPr="00062159">
              <w:rPr>
                <w:sz w:val="20"/>
                <w:szCs w:val="20"/>
                <w:lang w:val="es-ES"/>
              </w:rPr>
              <w:t>mayo)</w:t>
            </w:r>
          </w:p>
        </w:tc>
        <w:tc>
          <w:tcPr>
            <w:tcW w:w="5434" w:type="dxa"/>
            <w:gridSpan w:val="4"/>
            <w:shd w:val="clear" w:color="auto" w:fill="auto"/>
          </w:tcPr>
          <w:p w:rsidR="003D34F5" w:rsidRPr="00573923" w:rsidRDefault="00C870B3" w:rsidP="00BB6D41">
            <w:pPr>
              <w:spacing w:before="40" w:after="40"/>
              <w:rPr>
                <w:sz w:val="20"/>
                <w:szCs w:val="20"/>
                <w:lang w:val="es-ES"/>
              </w:rPr>
            </w:pPr>
            <w:r w:rsidRPr="00062159">
              <w:rPr>
                <w:sz w:val="20"/>
                <w:szCs w:val="20"/>
                <w:lang w:val="es-ES"/>
              </w:rPr>
              <w:t>Nombrar al equipo encargado del examen final</w:t>
            </w:r>
          </w:p>
          <w:p w:rsidR="003D34F5" w:rsidRPr="00573923" w:rsidRDefault="00C870B3" w:rsidP="00BB6D41">
            <w:pPr>
              <w:spacing w:before="40" w:after="40"/>
              <w:rPr>
                <w:sz w:val="20"/>
                <w:szCs w:val="20"/>
                <w:lang w:val="es-ES"/>
              </w:rPr>
            </w:pPr>
            <w:r w:rsidRPr="00062159">
              <w:rPr>
                <w:sz w:val="20"/>
                <w:szCs w:val="20"/>
                <w:lang w:val="es-ES"/>
              </w:rPr>
              <w:t xml:space="preserve">Puesta en marcha del examen final, teniendo en cuenta las orientaciones del Plenario </w:t>
            </w:r>
          </w:p>
        </w:tc>
      </w:tr>
      <w:tr w:rsidR="00733369" w:rsidRPr="00573923" w:rsidTr="00722749">
        <w:trPr>
          <w:gridBefore w:val="1"/>
          <w:wBefore w:w="1247" w:type="dxa"/>
        </w:trPr>
        <w:tc>
          <w:tcPr>
            <w:tcW w:w="780" w:type="dxa"/>
            <w:gridSpan w:val="2"/>
            <w:vMerge/>
            <w:shd w:val="clear" w:color="auto" w:fill="auto"/>
          </w:tcPr>
          <w:p w:rsidR="003D34F5" w:rsidRPr="00573923" w:rsidRDefault="003D34F5" w:rsidP="00BB6D41">
            <w:pPr>
              <w:spacing w:before="40" w:after="40"/>
              <w:rPr>
                <w:sz w:val="20"/>
                <w:szCs w:val="20"/>
                <w:lang w:val="es-ES"/>
              </w:rPr>
            </w:pPr>
          </w:p>
        </w:tc>
        <w:tc>
          <w:tcPr>
            <w:tcW w:w="2291" w:type="dxa"/>
            <w:gridSpan w:val="2"/>
          </w:tcPr>
          <w:p w:rsidR="003D34F5" w:rsidRPr="00573923" w:rsidRDefault="000A756E" w:rsidP="00BB6D41">
            <w:pPr>
              <w:spacing w:before="40" w:after="40"/>
              <w:rPr>
                <w:sz w:val="20"/>
                <w:szCs w:val="20"/>
                <w:lang w:val="es-ES"/>
              </w:rPr>
            </w:pPr>
            <w:r w:rsidRPr="00062159">
              <w:rPr>
                <w:sz w:val="20"/>
                <w:szCs w:val="20"/>
                <w:lang w:val="es-ES"/>
              </w:rPr>
              <w:t xml:space="preserve">Novena reunión del Grupo Multidisciplinario de Expertos y la Mesa </w:t>
            </w:r>
          </w:p>
        </w:tc>
        <w:tc>
          <w:tcPr>
            <w:tcW w:w="5434" w:type="dxa"/>
            <w:gridSpan w:val="4"/>
            <w:shd w:val="clear" w:color="auto" w:fill="auto"/>
          </w:tcPr>
          <w:p w:rsidR="003D34F5" w:rsidRPr="00573923" w:rsidRDefault="00C870B3" w:rsidP="00BB6D41">
            <w:pPr>
              <w:spacing w:before="40" w:after="40"/>
              <w:rPr>
                <w:sz w:val="20"/>
                <w:szCs w:val="20"/>
                <w:u w:val="single"/>
                <w:lang w:val="es-ES"/>
              </w:rPr>
            </w:pPr>
            <w:r w:rsidRPr="00062159">
              <w:rPr>
                <w:sz w:val="20"/>
                <w:szCs w:val="20"/>
                <w:lang w:val="es-ES"/>
              </w:rPr>
              <w:t>Aportación al equipo de examen de las indicaciones y observaciones que sean necesarias</w:t>
            </w:r>
          </w:p>
        </w:tc>
      </w:tr>
      <w:tr w:rsidR="00733369" w:rsidRPr="00062159" w:rsidTr="00722749">
        <w:trPr>
          <w:gridBefore w:val="1"/>
          <w:wBefore w:w="1247" w:type="dxa"/>
        </w:trPr>
        <w:tc>
          <w:tcPr>
            <w:tcW w:w="780" w:type="dxa"/>
            <w:gridSpan w:val="2"/>
            <w:vMerge/>
            <w:shd w:val="clear" w:color="auto" w:fill="auto"/>
          </w:tcPr>
          <w:p w:rsidR="003D34F5" w:rsidRPr="00573923" w:rsidRDefault="003D34F5" w:rsidP="00BB6D41">
            <w:pPr>
              <w:spacing w:before="40" w:after="40"/>
              <w:rPr>
                <w:sz w:val="20"/>
                <w:szCs w:val="20"/>
                <w:lang w:val="es-ES"/>
              </w:rPr>
            </w:pPr>
          </w:p>
        </w:tc>
        <w:tc>
          <w:tcPr>
            <w:tcW w:w="2291" w:type="dxa"/>
            <w:gridSpan w:val="2"/>
          </w:tcPr>
          <w:p w:rsidR="003D34F5" w:rsidRPr="00573923" w:rsidRDefault="003D34F5" w:rsidP="00BB6D41">
            <w:pPr>
              <w:spacing w:before="40" w:after="40"/>
              <w:rPr>
                <w:sz w:val="20"/>
                <w:szCs w:val="20"/>
                <w:lang w:val="es-ES"/>
              </w:rPr>
            </w:pPr>
            <w:r w:rsidRPr="00062159">
              <w:rPr>
                <w:sz w:val="20"/>
                <w:szCs w:val="20"/>
                <w:lang w:val="es-ES"/>
              </w:rPr>
              <w:t>Equipo de evaluación del examen final</w:t>
            </w:r>
          </w:p>
        </w:tc>
        <w:tc>
          <w:tcPr>
            <w:tcW w:w="5434" w:type="dxa"/>
            <w:gridSpan w:val="4"/>
            <w:shd w:val="clear" w:color="auto" w:fill="auto"/>
          </w:tcPr>
          <w:p w:rsidR="003D34F5" w:rsidRPr="00062159" w:rsidRDefault="00C870B3" w:rsidP="00BB6D41">
            <w:pPr>
              <w:spacing w:before="40" w:after="40"/>
              <w:rPr>
                <w:sz w:val="20"/>
                <w:szCs w:val="20"/>
              </w:rPr>
            </w:pPr>
            <w:r w:rsidRPr="00062159">
              <w:rPr>
                <w:sz w:val="20"/>
                <w:szCs w:val="20"/>
                <w:lang w:val="es-ES"/>
              </w:rPr>
              <w:t xml:space="preserve">Examen continuo </w:t>
            </w:r>
          </w:p>
        </w:tc>
      </w:tr>
      <w:tr w:rsidR="00733369" w:rsidRPr="00573923" w:rsidTr="00722749">
        <w:trPr>
          <w:gridBefore w:val="1"/>
          <w:wBefore w:w="1247" w:type="dxa"/>
          <w:trHeight w:val="267"/>
        </w:trPr>
        <w:tc>
          <w:tcPr>
            <w:tcW w:w="780" w:type="dxa"/>
            <w:gridSpan w:val="2"/>
            <w:vMerge/>
            <w:shd w:val="clear" w:color="auto" w:fill="auto"/>
          </w:tcPr>
          <w:p w:rsidR="003D34F5" w:rsidRPr="00062159" w:rsidRDefault="003D34F5" w:rsidP="00BB6D41">
            <w:pPr>
              <w:spacing w:before="40" w:after="40"/>
              <w:rPr>
                <w:sz w:val="20"/>
                <w:szCs w:val="20"/>
              </w:rPr>
            </w:pPr>
          </w:p>
        </w:tc>
        <w:tc>
          <w:tcPr>
            <w:tcW w:w="2291" w:type="dxa"/>
            <w:gridSpan w:val="2"/>
          </w:tcPr>
          <w:p w:rsidR="003D34F5" w:rsidRPr="00573923" w:rsidRDefault="000A756E" w:rsidP="00BB6D41">
            <w:pPr>
              <w:spacing w:before="40" w:after="40"/>
              <w:rPr>
                <w:sz w:val="20"/>
                <w:szCs w:val="20"/>
                <w:lang w:val="es-ES"/>
              </w:rPr>
            </w:pPr>
            <w:r w:rsidRPr="00062159">
              <w:rPr>
                <w:sz w:val="20"/>
                <w:szCs w:val="20"/>
                <w:lang w:val="es-ES"/>
              </w:rPr>
              <w:t xml:space="preserve">Décima reunión del Grupo Multidisciplinario de Expertos y la Mesa </w:t>
            </w:r>
          </w:p>
        </w:tc>
        <w:tc>
          <w:tcPr>
            <w:tcW w:w="5434" w:type="dxa"/>
            <w:gridSpan w:val="4"/>
            <w:shd w:val="clear" w:color="auto" w:fill="auto"/>
          </w:tcPr>
          <w:p w:rsidR="003D34F5" w:rsidRPr="00573923" w:rsidRDefault="00C870B3" w:rsidP="00BB6D41">
            <w:pPr>
              <w:spacing w:before="40" w:after="40"/>
              <w:rPr>
                <w:sz w:val="20"/>
                <w:szCs w:val="20"/>
                <w:u w:val="single"/>
                <w:lang w:val="es-ES"/>
              </w:rPr>
            </w:pPr>
            <w:r w:rsidRPr="00062159">
              <w:rPr>
                <w:sz w:val="20"/>
                <w:szCs w:val="20"/>
                <w:lang w:val="es-ES"/>
              </w:rPr>
              <w:t>Aportación al equipo de examen de las indicaciones y observaciones que sean necesarias</w:t>
            </w:r>
          </w:p>
        </w:tc>
      </w:tr>
      <w:tr w:rsidR="00733369" w:rsidRPr="00573923" w:rsidTr="00722749">
        <w:trPr>
          <w:gridBefore w:val="1"/>
          <w:wBefore w:w="1247" w:type="dxa"/>
        </w:trPr>
        <w:tc>
          <w:tcPr>
            <w:tcW w:w="780" w:type="dxa"/>
            <w:gridSpan w:val="2"/>
            <w:vMerge/>
            <w:shd w:val="clear" w:color="auto" w:fill="auto"/>
          </w:tcPr>
          <w:p w:rsidR="003D34F5" w:rsidRPr="00573923" w:rsidRDefault="003D34F5" w:rsidP="00BB6D41">
            <w:pPr>
              <w:spacing w:before="40" w:after="40"/>
              <w:rPr>
                <w:sz w:val="20"/>
                <w:szCs w:val="20"/>
                <w:lang w:val="es-ES"/>
              </w:rPr>
            </w:pPr>
          </w:p>
        </w:tc>
        <w:tc>
          <w:tcPr>
            <w:tcW w:w="2291" w:type="dxa"/>
            <w:gridSpan w:val="2"/>
          </w:tcPr>
          <w:p w:rsidR="003D34F5" w:rsidRPr="00573923" w:rsidRDefault="003D34F5" w:rsidP="00BB6D41">
            <w:pPr>
              <w:spacing w:before="40" w:after="40"/>
              <w:rPr>
                <w:sz w:val="20"/>
                <w:szCs w:val="20"/>
                <w:lang w:val="es-ES"/>
              </w:rPr>
            </w:pPr>
            <w:r w:rsidRPr="00062159">
              <w:rPr>
                <w:sz w:val="20"/>
                <w:szCs w:val="20"/>
                <w:lang w:val="es-ES"/>
              </w:rPr>
              <w:t>Equipo de evaluación del examen final (diciembre)</w:t>
            </w:r>
          </w:p>
        </w:tc>
        <w:tc>
          <w:tcPr>
            <w:tcW w:w="5434" w:type="dxa"/>
            <w:gridSpan w:val="4"/>
            <w:shd w:val="clear" w:color="auto" w:fill="auto"/>
          </w:tcPr>
          <w:p w:rsidR="003D34F5" w:rsidRPr="00573923" w:rsidRDefault="00C870B3" w:rsidP="00BB6D41">
            <w:pPr>
              <w:spacing w:before="40" w:after="40"/>
              <w:rPr>
                <w:sz w:val="20"/>
                <w:szCs w:val="20"/>
                <w:lang w:val="es-ES"/>
              </w:rPr>
            </w:pPr>
            <w:r w:rsidRPr="00062159">
              <w:rPr>
                <w:sz w:val="20"/>
                <w:szCs w:val="20"/>
                <w:lang w:val="es-ES"/>
              </w:rPr>
              <w:t xml:space="preserve">Elaboración del informe sobre el examen final </w:t>
            </w:r>
          </w:p>
        </w:tc>
      </w:tr>
      <w:tr w:rsidR="00733369" w:rsidRPr="00573923" w:rsidTr="00722749">
        <w:trPr>
          <w:gridBefore w:val="1"/>
          <w:wBefore w:w="1247" w:type="dxa"/>
        </w:trPr>
        <w:tc>
          <w:tcPr>
            <w:tcW w:w="780" w:type="dxa"/>
            <w:gridSpan w:val="2"/>
            <w:shd w:val="clear" w:color="auto" w:fill="auto"/>
          </w:tcPr>
          <w:p w:rsidR="003D34F5" w:rsidRPr="00062159" w:rsidRDefault="003D34F5" w:rsidP="00BB6D41">
            <w:pPr>
              <w:spacing w:before="40" w:after="40"/>
              <w:rPr>
                <w:sz w:val="20"/>
                <w:szCs w:val="20"/>
              </w:rPr>
            </w:pPr>
            <w:r w:rsidRPr="00062159">
              <w:rPr>
                <w:sz w:val="20"/>
                <w:szCs w:val="20"/>
                <w:lang w:val="es-ES"/>
              </w:rPr>
              <w:t xml:space="preserve">2018 </w:t>
            </w:r>
          </w:p>
        </w:tc>
        <w:tc>
          <w:tcPr>
            <w:tcW w:w="2291" w:type="dxa"/>
            <w:gridSpan w:val="2"/>
          </w:tcPr>
          <w:p w:rsidR="003D34F5" w:rsidRPr="00573923" w:rsidRDefault="000A756E" w:rsidP="00BB6D41">
            <w:pPr>
              <w:spacing w:before="40" w:after="40"/>
              <w:rPr>
                <w:sz w:val="20"/>
                <w:szCs w:val="20"/>
                <w:lang w:val="es-ES"/>
              </w:rPr>
            </w:pPr>
            <w:r w:rsidRPr="00062159">
              <w:rPr>
                <w:sz w:val="20"/>
                <w:szCs w:val="20"/>
                <w:lang w:val="es-ES"/>
              </w:rPr>
              <w:t>Sexto período de sesiones del Plenario</w:t>
            </w:r>
            <w:r w:rsidRPr="00062159">
              <w:rPr>
                <w:sz w:val="20"/>
                <w:szCs w:val="20"/>
                <w:lang w:val="es-ES"/>
              </w:rPr>
              <w:br/>
              <w:t>(marzo de 2018, provisional)</w:t>
            </w:r>
          </w:p>
        </w:tc>
        <w:tc>
          <w:tcPr>
            <w:tcW w:w="5434" w:type="dxa"/>
            <w:gridSpan w:val="4"/>
            <w:shd w:val="clear" w:color="auto" w:fill="auto"/>
          </w:tcPr>
          <w:p w:rsidR="003D34F5" w:rsidRPr="00573923" w:rsidRDefault="003D34F5" w:rsidP="001047FB">
            <w:pPr>
              <w:spacing w:before="40" w:after="40"/>
              <w:rPr>
                <w:sz w:val="20"/>
                <w:szCs w:val="20"/>
                <w:u w:val="single"/>
                <w:lang w:val="es-ES"/>
              </w:rPr>
            </w:pPr>
            <w:r w:rsidRPr="00062159">
              <w:rPr>
                <w:sz w:val="20"/>
                <w:szCs w:val="20"/>
                <w:lang w:val="es-ES"/>
              </w:rPr>
              <w:t xml:space="preserve">Presentación del informe sobre el examen final </w:t>
            </w:r>
            <w:r w:rsidR="001047FB" w:rsidRPr="00062159">
              <w:rPr>
                <w:sz w:val="20"/>
                <w:szCs w:val="20"/>
                <w:lang w:val="es-ES"/>
              </w:rPr>
              <w:t>para su estudio por el</w:t>
            </w:r>
            <w:r w:rsidRPr="00062159">
              <w:rPr>
                <w:sz w:val="20"/>
                <w:szCs w:val="20"/>
                <w:lang w:val="es-ES"/>
              </w:rPr>
              <w:t xml:space="preserve"> Plenario en su sexto período de sesiones (marzo de 2018) </w:t>
            </w:r>
          </w:p>
        </w:tc>
      </w:tr>
      <w:tr w:rsidR="002B296C" w:rsidRPr="00573923" w:rsidTr="00722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 w:type="dxa"/>
          <w:trHeight w:val="311"/>
        </w:trPr>
        <w:tc>
          <w:tcPr>
            <w:tcW w:w="1942" w:type="dxa"/>
            <w:gridSpan w:val="2"/>
            <w:shd w:val="clear" w:color="auto" w:fill="auto"/>
          </w:tcPr>
          <w:p w:rsidR="002B296C" w:rsidRPr="00573923" w:rsidRDefault="002B296C" w:rsidP="00BB6D41">
            <w:pPr>
              <w:pStyle w:val="Normal-pool"/>
              <w:spacing w:before="520"/>
              <w:rPr>
                <w:lang w:val="es-ES"/>
              </w:rPr>
            </w:pPr>
          </w:p>
        </w:tc>
        <w:tc>
          <w:tcPr>
            <w:tcW w:w="1942" w:type="dxa"/>
            <w:gridSpan w:val="2"/>
            <w:shd w:val="clear" w:color="auto" w:fill="auto"/>
          </w:tcPr>
          <w:p w:rsidR="002B296C" w:rsidRPr="00573923" w:rsidRDefault="002B296C" w:rsidP="00BB6D41">
            <w:pPr>
              <w:pStyle w:val="Normal-pool"/>
              <w:spacing w:before="520"/>
              <w:rPr>
                <w:lang w:val="es-ES"/>
              </w:rPr>
            </w:pPr>
          </w:p>
        </w:tc>
        <w:tc>
          <w:tcPr>
            <w:tcW w:w="1943" w:type="dxa"/>
            <w:gridSpan w:val="2"/>
            <w:tcBorders>
              <w:bottom w:val="single" w:sz="4" w:space="0" w:color="auto"/>
            </w:tcBorders>
            <w:shd w:val="clear" w:color="auto" w:fill="auto"/>
          </w:tcPr>
          <w:p w:rsidR="002B296C" w:rsidRPr="00573923" w:rsidRDefault="002B296C" w:rsidP="00BB6D41">
            <w:pPr>
              <w:pStyle w:val="Normal-pool"/>
              <w:spacing w:before="520"/>
              <w:rPr>
                <w:lang w:val="es-ES"/>
              </w:rPr>
            </w:pPr>
          </w:p>
        </w:tc>
        <w:tc>
          <w:tcPr>
            <w:tcW w:w="1943" w:type="dxa"/>
            <w:shd w:val="clear" w:color="auto" w:fill="auto"/>
          </w:tcPr>
          <w:p w:rsidR="002B296C" w:rsidRPr="00573923" w:rsidRDefault="002B296C" w:rsidP="00BB6D41">
            <w:pPr>
              <w:pStyle w:val="Normal-pool"/>
              <w:spacing w:before="520"/>
              <w:rPr>
                <w:lang w:val="es-ES"/>
              </w:rPr>
            </w:pPr>
          </w:p>
        </w:tc>
        <w:tc>
          <w:tcPr>
            <w:tcW w:w="1943" w:type="dxa"/>
            <w:shd w:val="clear" w:color="auto" w:fill="auto"/>
          </w:tcPr>
          <w:p w:rsidR="002B296C" w:rsidRPr="00573923" w:rsidRDefault="002B296C" w:rsidP="00BB6D41">
            <w:pPr>
              <w:pStyle w:val="Normal-pool"/>
              <w:spacing w:before="520"/>
              <w:rPr>
                <w:lang w:val="es-ES"/>
              </w:rPr>
            </w:pPr>
          </w:p>
        </w:tc>
      </w:tr>
    </w:tbl>
    <w:p w:rsidR="002B296C" w:rsidRPr="00573923" w:rsidRDefault="002B296C" w:rsidP="00722749">
      <w:pPr>
        <w:pStyle w:val="Normal-pool"/>
        <w:rPr>
          <w:lang w:val="es-ES"/>
        </w:rPr>
      </w:pPr>
    </w:p>
    <w:sectPr w:rsidR="002B296C" w:rsidRPr="00573923" w:rsidSect="009054D5">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907" w:right="1021" w:bottom="1418" w:left="1418" w:header="539" w:footer="102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6A" w:rsidRDefault="0054066A">
      <w:r>
        <w:separator/>
      </w:r>
    </w:p>
  </w:endnote>
  <w:endnote w:type="continuationSeparator" w:id="0">
    <w:p w:rsidR="0054066A" w:rsidRDefault="0054066A">
      <w:r>
        <w:continuationSeparator/>
      </w:r>
    </w:p>
  </w:endnote>
  <w:endnote w:type="continuationNotice" w:id="1">
    <w:p w:rsidR="0054066A" w:rsidRDefault="00540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1" w:rsidRDefault="00133331">
    <w:pPr>
      <w:pStyle w:val="Footer"/>
    </w:pPr>
    <w:r>
      <w:rPr>
        <w:rStyle w:val="PageNumber"/>
      </w:rPr>
      <w:fldChar w:fldCharType="begin"/>
    </w:r>
    <w:r>
      <w:rPr>
        <w:rStyle w:val="PageNumber"/>
      </w:rPr>
      <w:instrText xml:space="preserve"> PAGE </w:instrText>
    </w:r>
    <w:r>
      <w:rPr>
        <w:rStyle w:val="PageNumber"/>
      </w:rPr>
      <w:fldChar w:fldCharType="separate"/>
    </w:r>
    <w:r w:rsidR="003077B7">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1" w:rsidRDefault="00133331" w:rsidP="00F81058">
    <w:pPr>
      <w:pStyle w:val="Footer"/>
      <w:jc w:val="right"/>
    </w:pPr>
    <w:r>
      <w:rPr>
        <w:rStyle w:val="PageNumber"/>
      </w:rPr>
      <w:fldChar w:fldCharType="begin"/>
    </w:r>
    <w:r>
      <w:rPr>
        <w:rStyle w:val="PageNumber"/>
      </w:rPr>
      <w:instrText xml:space="preserve"> PAGE </w:instrText>
    </w:r>
    <w:r>
      <w:rPr>
        <w:rStyle w:val="PageNumber"/>
      </w:rPr>
      <w:fldChar w:fldCharType="separate"/>
    </w:r>
    <w:r w:rsidR="003077B7">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1" w:rsidRPr="008C6713" w:rsidRDefault="00133331">
    <w:pPr>
      <w:pStyle w:val="Footer"/>
      <w:rPr>
        <w:sz w:val="20"/>
      </w:rPr>
    </w:pPr>
    <w:r>
      <w:rPr>
        <w:lang w:val="es-ES"/>
      </w:rPr>
      <w:t>K1503736</w:t>
    </w:r>
    <w:r>
      <w:rPr>
        <w:lang w:val="es-ES"/>
      </w:rPr>
      <w:tab/>
      <w:t>1</w:t>
    </w:r>
    <w:r w:rsidR="00A574EF">
      <w:rPr>
        <w:lang w:val="es-ES"/>
      </w:rPr>
      <w:t>8</w:t>
    </w:r>
    <w:r>
      <w:rPr>
        <w:lang w:val="es-ES"/>
      </w:rPr>
      <w:t>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6A" w:rsidRDefault="0054066A" w:rsidP="008E6BE7">
      <w:pPr>
        <w:spacing w:before="60"/>
        <w:ind w:left="624"/>
      </w:pPr>
      <w:r>
        <w:separator/>
      </w:r>
    </w:p>
  </w:footnote>
  <w:footnote w:type="continuationSeparator" w:id="0">
    <w:p w:rsidR="0054066A" w:rsidRDefault="0054066A">
      <w:r>
        <w:continuationSeparator/>
      </w:r>
    </w:p>
  </w:footnote>
  <w:footnote w:type="continuationNotice" w:id="1">
    <w:p w:rsidR="0054066A" w:rsidRDefault="0054066A"/>
  </w:footnote>
  <w:footnote w:id="2">
    <w:p w:rsidR="00133331" w:rsidRPr="00B91AEA" w:rsidRDefault="00133331" w:rsidP="00133331">
      <w:pPr>
        <w:pStyle w:val="FootnoteText"/>
        <w:tabs>
          <w:tab w:val="clear" w:pos="1247"/>
          <w:tab w:val="clear" w:pos="1814"/>
          <w:tab w:val="clear" w:pos="2381"/>
          <w:tab w:val="clear" w:pos="2948"/>
          <w:tab w:val="clear" w:pos="3515"/>
          <w:tab w:val="left" w:pos="624"/>
        </w:tabs>
        <w:rPr>
          <w:lang w:val="en-US"/>
        </w:rPr>
      </w:pPr>
      <w:r w:rsidRPr="00857BB2">
        <w:rPr>
          <w:rStyle w:val="FootnoteReference"/>
          <w:vertAlign w:val="baseline"/>
          <w:lang w:val="en-US"/>
        </w:rPr>
        <w:t>*</w:t>
      </w:r>
      <w:r w:rsidRPr="00B91AEA">
        <w:rPr>
          <w:lang w:val="en-US"/>
        </w:rPr>
        <w:t xml:space="preserve"> IPBES/4/1</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1" w:rsidRPr="001A075E" w:rsidRDefault="00133331" w:rsidP="001A3B25">
    <w:pPr>
      <w:pStyle w:val="Header"/>
    </w:pPr>
    <w:r>
      <w:t>IPBES/4/16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1" w:rsidRPr="00990CD6" w:rsidRDefault="00133331" w:rsidP="0087665E">
    <w:pPr>
      <w:pStyle w:val="Header"/>
      <w:jc w:val="right"/>
    </w:pPr>
    <w:r>
      <w:t>IPBES/4/16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1" w:rsidRPr="00932357" w:rsidRDefault="00133331" w:rsidP="0083678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1CC"/>
    <w:multiLevelType w:val="hybridMultilevel"/>
    <w:tmpl w:val="5A803D98"/>
    <w:lvl w:ilvl="0" w:tplc="040A0017">
      <w:start w:val="1"/>
      <w:numFmt w:val="lowerLetter"/>
      <w:lvlText w:val="%1)"/>
      <w:lvlJc w:val="left"/>
      <w:pPr>
        <w:ind w:left="2232" w:hanging="360"/>
      </w:pPr>
    </w:lvl>
    <w:lvl w:ilvl="1" w:tplc="040A0019" w:tentative="1">
      <w:start w:val="1"/>
      <w:numFmt w:val="lowerLetter"/>
      <w:lvlText w:val="%2."/>
      <w:lvlJc w:val="left"/>
      <w:pPr>
        <w:ind w:left="2952" w:hanging="360"/>
      </w:pPr>
    </w:lvl>
    <w:lvl w:ilvl="2" w:tplc="040A001B" w:tentative="1">
      <w:start w:val="1"/>
      <w:numFmt w:val="lowerRoman"/>
      <w:lvlText w:val="%3."/>
      <w:lvlJc w:val="right"/>
      <w:pPr>
        <w:ind w:left="3672" w:hanging="180"/>
      </w:pPr>
    </w:lvl>
    <w:lvl w:ilvl="3" w:tplc="040A000F" w:tentative="1">
      <w:start w:val="1"/>
      <w:numFmt w:val="decimal"/>
      <w:lvlText w:val="%4."/>
      <w:lvlJc w:val="left"/>
      <w:pPr>
        <w:ind w:left="4392" w:hanging="360"/>
      </w:pPr>
    </w:lvl>
    <w:lvl w:ilvl="4" w:tplc="040A0019" w:tentative="1">
      <w:start w:val="1"/>
      <w:numFmt w:val="lowerLetter"/>
      <w:lvlText w:val="%5."/>
      <w:lvlJc w:val="left"/>
      <w:pPr>
        <w:ind w:left="5112" w:hanging="360"/>
      </w:pPr>
    </w:lvl>
    <w:lvl w:ilvl="5" w:tplc="040A001B" w:tentative="1">
      <w:start w:val="1"/>
      <w:numFmt w:val="lowerRoman"/>
      <w:lvlText w:val="%6."/>
      <w:lvlJc w:val="right"/>
      <w:pPr>
        <w:ind w:left="5832" w:hanging="180"/>
      </w:pPr>
    </w:lvl>
    <w:lvl w:ilvl="6" w:tplc="040A000F" w:tentative="1">
      <w:start w:val="1"/>
      <w:numFmt w:val="decimal"/>
      <w:lvlText w:val="%7."/>
      <w:lvlJc w:val="left"/>
      <w:pPr>
        <w:ind w:left="6552" w:hanging="360"/>
      </w:pPr>
    </w:lvl>
    <w:lvl w:ilvl="7" w:tplc="040A0019" w:tentative="1">
      <w:start w:val="1"/>
      <w:numFmt w:val="lowerLetter"/>
      <w:lvlText w:val="%8."/>
      <w:lvlJc w:val="left"/>
      <w:pPr>
        <w:ind w:left="7272" w:hanging="360"/>
      </w:pPr>
    </w:lvl>
    <w:lvl w:ilvl="8" w:tplc="040A001B" w:tentative="1">
      <w:start w:val="1"/>
      <w:numFmt w:val="lowerRoman"/>
      <w:lvlText w:val="%9."/>
      <w:lvlJc w:val="right"/>
      <w:pPr>
        <w:ind w:left="7992" w:hanging="180"/>
      </w:pPr>
    </w:lvl>
  </w:abstractNum>
  <w:abstractNum w:abstractNumId="1" w15:restartNumberingAfterBreak="0">
    <w:nsid w:val="0EE63D61"/>
    <w:multiLevelType w:val="multilevel"/>
    <w:tmpl w:val="709699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71113A7"/>
    <w:multiLevelType w:val="multilevel"/>
    <w:tmpl w:val="EE9096C4"/>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41D24925"/>
    <w:multiLevelType w:val="multilevel"/>
    <w:tmpl w:val="709699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616F1F61"/>
    <w:multiLevelType w:val="multilevel"/>
    <w:tmpl w:val="709699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7CEA7677"/>
    <w:multiLevelType w:val="hybridMultilevel"/>
    <w:tmpl w:val="F094DE6C"/>
    <w:lvl w:ilvl="0" w:tplc="040A0017">
      <w:start w:val="1"/>
      <w:numFmt w:val="lowerLetter"/>
      <w:lvlText w:val="%1)"/>
      <w:lvlJc w:val="left"/>
      <w:pPr>
        <w:ind w:left="2232" w:hanging="360"/>
      </w:pPr>
    </w:lvl>
    <w:lvl w:ilvl="1" w:tplc="040A0019" w:tentative="1">
      <w:start w:val="1"/>
      <w:numFmt w:val="lowerLetter"/>
      <w:lvlText w:val="%2."/>
      <w:lvlJc w:val="left"/>
      <w:pPr>
        <w:ind w:left="2952" w:hanging="360"/>
      </w:pPr>
    </w:lvl>
    <w:lvl w:ilvl="2" w:tplc="040A001B" w:tentative="1">
      <w:start w:val="1"/>
      <w:numFmt w:val="lowerRoman"/>
      <w:lvlText w:val="%3."/>
      <w:lvlJc w:val="right"/>
      <w:pPr>
        <w:ind w:left="3672" w:hanging="180"/>
      </w:pPr>
    </w:lvl>
    <w:lvl w:ilvl="3" w:tplc="040A000F" w:tentative="1">
      <w:start w:val="1"/>
      <w:numFmt w:val="decimal"/>
      <w:lvlText w:val="%4."/>
      <w:lvlJc w:val="left"/>
      <w:pPr>
        <w:ind w:left="4392" w:hanging="360"/>
      </w:pPr>
    </w:lvl>
    <w:lvl w:ilvl="4" w:tplc="040A0019" w:tentative="1">
      <w:start w:val="1"/>
      <w:numFmt w:val="lowerLetter"/>
      <w:lvlText w:val="%5."/>
      <w:lvlJc w:val="left"/>
      <w:pPr>
        <w:ind w:left="5112" w:hanging="360"/>
      </w:pPr>
    </w:lvl>
    <w:lvl w:ilvl="5" w:tplc="040A001B" w:tentative="1">
      <w:start w:val="1"/>
      <w:numFmt w:val="lowerRoman"/>
      <w:lvlText w:val="%6."/>
      <w:lvlJc w:val="right"/>
      <w:pPr>
        <w:ind w:left="5832" w:hanging="180"/>
      </w:pPr>
    </w:lvl>
    <w:lvl w:ilvl="6" w:tplc="040A000F" w:tentative="1">
      <w:start w:val="1"/>
      <w:numFmt w:val="decimal"/>
      <w:lvlText w:val="%7."/>
      <w:lvlJc w:val="left"/>
      <w:pPr>
        <w:ind w:left="6552" w:hanging="360"/>
      </w:pPr>
    </w:lvl>
    <w:lvl w:ilvl="7" w:tplc="040A0019" w:tentative="1">
      <w:start w:val="1"/>
      <w:numFmt w:val="lowerLetter"/>
      <w:lvlText w:val="%8."/>
      <w:lvlJc w:val="left"/>
      <w:pPr>
        <w:ind w:left="7272" w:hanging="360"/>
      </w:pPr>
    </w:lvl>
    <w:lvl w:ilvl="8" w:tplc="040A001B" w:tentative="1">
      <w:start w:val="1"/>
      <w:numFmt w:val="lowerRoman"/>
      <w:lvlText w:val="%9."/>
      <w:lvlJc w:val="right"/>
      <w:pPr>
        <w:ind w:left="7992" w:hanging="180"/>
      </w:pPr>
    </w:lvl>
  </w:abstractNum>
  <w:num w:numId="1">
    <w:abstractNumId w:val="3"/>
  </w:num>
  <w:num w:numId="2">
    <w:abstractNumId w:val="5"/>
  </w:num>
  <w:num w:numId="3">
    <w:abstractNumId w:val="7"/>
  </w:num>
  <w:num w:numId="4">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i w:val="0"/>
        </w:rPr>
      </w:lvl>
    </w:lvlOverride>
    <w:lvlOverride w:ilvl="2">
      <w:lvl w:ilvl="2">
        <w:start w:val="1"/>
        <w:numFmt w:val="lowerRoman"/>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4"/>
  </w:num>
  <w:num w:numId="6">
    <w:abstractNumId w:val="2"/>
    <w:lvlOverride w:ilvl="0">
      <w:startOverride w:val="1"/>
      <w:lvl w:ilvl="0">
        <w:start w:val="1"/>
        <w:numFmt w:val="decimal"/>
        <w:pStyle w:val="Normalnumber"/>
        <w:lvlText w:val="%1."/>
        <w:lvlJc w:val="left"/>
        <w:pPr>
          <w:tabs>
            <w:tab w:val="num" w:pos="567"/>
          </w:tabs>
          <w:ind w:left="1247"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i w:val="0"/>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7">
    <w:abstractNumId w:val="6"/>
  </w:num>
  <w:num w:numId="8">
    <w:abstractNumId w:val="8"/>
  </w:num>
  <w:num w:numId="9">
    <w:abstractNumId w:val="0"/>
  </w:num>
  <w:num w:numId="10">
    <w:abstractNumId w:val="1"/>
  </w:num>
  <w:num w:numId="11">
    <w:abstractNumId w:val="9"/>
  </w:num>
  <w:num w:numId="12">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i w:val="0"/>
        </w:rPr>
      </w:lvl>
    </w:lvlOverride>
    <w:lvlOverride w:ilvl="2">
      <w:lvl w:ilvl="2">
        <w:start w:val="1"/>
        <w:numFmt w:val="lowerRoman"/>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i w:val="0"/>
        </w:rPr>
      </w:lvl>
    </w:lvlOverride>
    <w:lvlOverride w:ilvl="2">
      <w:lvl w:ilvl="2">
        <w:start w:val="1"/>
        <w:numFmt w:val="lowerRoman"/>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i w:val="0"/>
        </w:rPr>
      </w:lvl>
    </w:lvlOverride>
    <w:lvlOverride w:ilvl="2">
      <w:lvl w:ilvl="2">
        <w:start w:val="1"/>
        <w:numFmt w:val="lowerRoman"/>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2"/>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i w:val="0"/>
        </w:rPr>
      </w:lvl>
    </w:lvlOverride>
    <w:lvlOverride w:ilvl="2">
      <w:lvl w:ilvl="2">
        <w:start w:val="1"/>
        <w:numFmt w:val="lowerRoman"/>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64"/>
    <w:rsid w:val="00016580"/>
    <w:rsid w:val="0002417A"/>
    <w:rsid w:val="0003739F"/>
    <w:rsid w:val="00062159"/>
    <w:rsid w:val="000849DE"/>
    <w:rsid w:val="00085A83"/>
    <w:rsid w:val="000876B1"/>
    <w:rsid w:val="000924AA"/>
    <w:rsid w:val="000A3FB2"/>
    <w:rsid w:val="000A756E"/>
    <w:rsid w:val="000B2825"/>
    <w:rsid w:val="000B5C56"/>
    <w:rsid w:val="000B6EC3"/>
    <w:rsid w:val="000C0973"/>
    <w:rsid w:val="000D5B4E"/>
    <w:rsid w:val="000D6A7C"/>
    <w:rsid w:val="000E51B5"/>
    <w:rsid w:val="000E6941"/>
    <w:rsid w:val="000F039D"/>
    <w:rsid w:val="000F30B2"/>
    <w:rsid w:val="000F3B60"/>
    <w:rsid w:val="000F4873"/>
    <w:rsid w:val="000F7F16"/>
    <w:rsid w:val="001047FB"/>
    <w:rsid w:val="00114011"/>
    <w:rsid w:val="00114429"/>
    <w:rsid w:val="0012091D"/>
    <w:rsid w:val="00133331"/>
    <w:rsid w:val="00133A01"/>
    <w:rsid w:val="001340D6"/>
    <w:rsid w:val="00136771"/>
    <w:rsid w:val="00136A50"/>
    <w:rsid w:val="0015506C"/>
    <w:rsid w:val="0017105B"/>
    <w:rsid w:val="00176485"/>
    <w:rsid w:val="001A075E"/>
    <w:rsid w:val="001A3B25"/>
    <w:rsid w:val="001A5852"/>
    <w:rsid w:val="001A655E"/>
    <w:rsid w:val="001B32FF"/>
    <w:rsid w:val="001E0022"/>
    <w:rsid w:val="001F36E9"/>
    <w:rsid w:val="001F399A"/>
    <w:rsid w:val="00212682"/>
    <w:rsid w:val="00215765"/>
    <w:rsid w:val="00222CE1"/>
    <w:rsid w:val="00230751"/>
    <w:rsid w:val="00246122"/>
    <w:rsid w:val="00255329"/>
    <w:rsid w:val="002632D6"/>
    <w:rsid w:val="00267967"/>
    <w:rsid w:val="00274593"/>
    <w:rsid w:val="002B296C"/>
    <w:rsid w:val="002B3C20"/>
    <w:rsid w:val="002C09F9"/>
    <w:rsid w:val="002D0184"/>
    <w:rsid w:val="002D08B8"/>
    <w:rsid w:val="002F4D46"/>
    <w:rsid w:val="002F7217"/>
    <w:rsid w:val="00303ADB"/>
    <w:rsid w:val="003077B7"/>
    <w:rsid w:val="0031496D"/>
    <w:rsid w:val="003163CC"/>
    <w:rsid w:val="003168EB"/>
    <w:rsid w:val="0032538D"/>
    <w:rsid w:val="00344A97"/>
    <w:rsid w:val="0034607F"/>
    <w:rsid w:val="00351431"/>
    <w:rsid w:val="003620A2"/>
    <w:rsid w:val="0037125E"/>
    <w:rsid w:val="0038108B"/>
    <w:rsid w:val="00385098"/>
    <w:rsid w:val="00385D05"/>
    <w:rsid w:val="0039278F"/>
    <w:rsid w:val="003A78FB"/>
    <w:rsid w:val="003B2EA7"/>
    <w:rsid w:val="003C3AD5"/>
    <w:rsid w:val="003C3E0F"/>
    <w:rsid w:val="003C4C1D"/>
    <w:rsid w:val="003D34F5"/>
    <w:rsid w:val="003D638B"/>
    <w:rsid w:val="003E14DC"/>
    <w:rsid w:val="003E4466"/>
    <w:rsid w:val="003E5C5B"/>
    <w:rsid w:val="003F4238"/>
    <w:rsid w:val="004040FB"/>
    <w:rsid w:val="004131B9"/>
    <w:rsid w:val="0042733B"/>
    <w:rsid w:val="00442467"/>
    <w:rsid w:val="00443F9F"/>
    <w:rsid w:val="0044507A"/>
    <w:rsid w:val="00452322"/>
    <w:rsid w:val="0045760B"/>
    <w:rsid w:val="004647F6"/>
    <w:rsid w:val="00470139"/>
    <w:rsid w:val="00490544"/>
    <w:rsid w:val="004A3864"/>
    <w:rsid w:val="004A595D"/>
    <w:rsid w:val="004A6E2A"/>
    <w:rsid w:val="004B3FB8"/>
    <w:rsid w:val="004C4046"/>
    <w:rsid w:val="004C4167"/>
    <w:rsid w:val="004C677D"/>
    <w:rsid w:val="004C6AE4"/>
    <w:rsid w:val="004D09F3"/>
    <w:rsid w:val="004E317E"/>
    <w:rsid w:val="004E3C83"/>
    <w:rsid w:val="004E402D"/>
    <w:rsid w:val="004E5790"/>
    <w:rsid w:val="004F005B"/>
    <w:rsid w:val="005146D3"/>
    <w:rsid w:val="005171A8"/>
    <w:rsid w:val="00530A82"/>
    <w:rsid w:val="005355F4"/>
    <w:rsid w:val="0054066A"/>
    <w:rsid w:val="005500AF"/>
    <w:rsid w:val="00567B69"/>
    <w:rsid w:val="00570BB6"/>
    <w:rsid w:val="00573923"/>
    <w:rsid w:val="00576E02"/>
    <w:rsid w:val="00591BF6"/>
    <w:rsid w:val="005977EE"/>
    <w:rsid w:val="005A0E45"/>
    <w:rsid w:val="005A6699"/>
    <w:rsid w:val="005C0767"/>
    <w:rsid w:val="005C33BE"/>
    <w:rsid w:val="005C445F"/>
    <w:rsid w:val="005C6853"/>
    <w:rsid w:val="005D7472"/>
    <w:rsid w:val="005E07B0"/>
    <w:rsid w:val="005E6992"/>
    <w:rsid w:val="005F2291"/>
    <w:rsid w:val="00603ABC"/>
    <w:rsid w:val="0060536A"/>
    <w:rsid w:val="0061614E"/>
    <w:rsid w:val="00626400"/>
    <w:rsid w:val="00635F18"/>
    <w:rsid w:val="00644CDC"/>
    <w:rsid w:val="00645DB6"/>
    <w:rsid w:val="006463A8"/>
    <w:rsid w:val="00647161"/>
    <w:rsid w:val="006472E0"/>
    <w:rsid w:val="00650DB2"/>
    <w:rsid w:val="00651F2C"/>
    <w:rsid w:val="00655298"/>
    <w:rsid w:val="00660A3B"/>
    <w:rsid w:val="00665BA6"/>
    <w:rsid w:val="00666307"/>
    <w:rsid w:val="0067032B"/>
    <w:rsid w:val="006764C8"/>
    <w:rsid w:val="00677D1A"/>
    <w:rsid w:val="00685597"/>
    <w:rsid w:val="006A1C49"/>
    <w:rsid w:val="006A3ED7"/>
    <w:rsid w:val="006B0B03"/>
    <w:rsid w:val="006C1A17"/>
    <w:rsid w:val="006C51B0"/>
    <w:rsid w:val="006D0494"/>
    <w:rsid w:val="006E056D"/>
    <w:rsid w:val="006E7354"/>
    <w:rsid w:val="00704172"/>
    <w:rsid w:val="00711390"/>
    <w:rsid w:val="00717DDE"/>
    <w:rsid w:val="00720F07"/>
    <w:rsid w:val="00722749"/>
    <w:rsid w:val="007237B1"/>
    <w:rsid w:val="007262ED"/>
    <w:rsid w:val="007271CB"/>
    <w:rsid w:val="0073162E"/>
    <w:rsid w:val="00733369"/>
    <w:rsid w:val="007333D0"/>
    <w:rsid w:val="00734318"/>
    <w:rsid w:val="00761393"/>
    <w:rsid w:val="00764637"/>
    <w:rsid w:val="00772974"/>
    <w:rsid w:val="00797042"/>
    <w:rsid w:val="007A432C"/>
    <w:rsid w:val="007A5922"/>
    <w:rsid w:val="007B0AC3"/>
    <w:rsid w:val="007B4E36"/>
    <w:rsid w:val="007C199E"/>
    <w:rsid w:val="007D187E"/>
    <w:rsid w:val="007D7C36"/>
    <w:rsid w:val="007E2091"/>
    <w:rsid w:val="007E4E85"/>
    <w:rsid w:val="007E6C92"/>
    <w:rsid w:val="00806664"/>
    <w:rsid w:val="008142AE"/>
    <w:rsid w:val="00814688"/>
    <w:rsid w:val="00831DC5"/>
    <w:rsid w:val="00836789"/>
    <w:rsid w:val="00841FEE"/>
    <w:rsid w:val="00853993"/>
    <w:rsid w:val="00857559"/>
    <w:rsid w:val="00857BB2"/>
    <w:rsid w:val="00863FEB"/>
    <w:rsid w:val="00870D16"/>
    <w:rsid w:val="00874406"/>
    <w:rsid w:val="0087665E"/>
    <w:rsid w:val="00876C13"/>
    <w:rsid w:val="00886CEC"/>
    <w:rsid w:val="00893981"/>
    <w:rsid w:val="00896704"/>
    <w:rsid w:val="008A1F20"/>
    <w:rsid w:val="008A47FA"/>
    <w:rsid w:val="008A5412"/>
    <w:rsid w:val="008B287B"/>
    <w:rsid w:val="008C6713"/>
    <w:rsid w:val="008D4DA6"/>
    <w:rsid w:val="008E261D"/>
    <w:rsid w:val="008E4C3E"/>
    <w:rsid w:val="008E6BE7"/>
    <w:rsid w:val="008F646B"/>
    <w:rsid w:val="00900B8D"/>
    <w:rsid w:val="00900BF6"/>
    <w:rsid w:val="0090324B"/>
    <w:rsid w:val="009054D5"/>
    <w:rsid w:val="00907401"/>
    <w:rsid w:val="00915ED3"/>
    <w:rsid w:val="00917B0F"/>
    <w:rsid w:val="00932357"/>
    <w:rsid w:val="00932452"/>
    <w:rsid w:val="009365EC"/>
    <w:rsid w:val="00943C0E"/>
    <w:rsid w:val="00977FEB"/>
    <w:rsid w:val="00982E15"/>
    <w:rsid w:val="00986749"/>
    <w:rsid w:val="00990CD6"/>
    <w:rsid w:val="0099472E"/>
    <w:rsid w:val="009A13C3"/>
    <w:rsid w:val="009A7D26"/>
    <w:rsid w:val="009B1164"/>
    <w:rsid w:val="009B40AF"/>
    <w:rsid w:val="009B4D9A"/>
    <w:rsid w:val="009C4BB1"/>
    <w:rsid w:val="009E293C"/>
    <w:rsid w:val="009E6518"/>
    <w:rsid w:val="009F360A"/>
    <w:rsid w:val="009F4ACB"/>
    <w:rsid w:val="009F6F8B"/>
    <w:rsid w:val="009F77E2"/>
    <w:rsid w:val="00A0681B"/>
    <w:rsid w:val="00A13843"/>
    <w:rsid w:val="00A31AEB"/>
    <w:rsid w:val="00A32042"/>
    <w:rsid w:val="00A44DB7"/>
    <w:rsid w:val="00A52F71"/>
    <w:rsid w:val="00A574EF"/>
    <w:rsid w:val="00A77B95"/>
    <w:rsid w:val="00A8563F"/>
    <w:rsid w:val="00AA7733"/>
    <w:rsid w:val="00AC716E"/>
    <w:rsid w:val="00AC7C8A"/>
    <w:rsid w:val="00AE7B44"/>
    <w:rsid w:val="00B0350D"/>
    <w:rsid w:val="00B1007F"/>
    <w:rsid w:val="00B766C7"/>
    <w:rsid w:val="00B829D7"/>
    <w:rsid w:val="00BB3022"/>
    <w:rsid w:val="00BB3E80"/>
    <w:rsid w:val="00BB5ED9"/>
    <w:rsid w:val="00BB6D41"/>
    <w:rsid w:val="00BB7972"/>
    <w:rsid w:val="00BC1834"/>
    <w:rsid w:val="00BC1F8A"/>
    <w:rsid w:val="00BC5BEF"/>
    <w:rsid w:val="00BD2F38"/>
    <w:rsid w:val="00BD3DEB"/>
    <w:rsid w:val="00BE6FFD"/>
    <w:rsid w:val="00BF7179"/>
    <w:rsid w:val="00C02166"/>
    <w:rsid w:val="00C06C17"/>
    <w:rsid w:val="00C11118"/>
    <w:rsid w:val="00C17FA7"/>
    <w:rsid w:val="00C26336"/>
    <w:rsid w:val="00C338C1"/>
    <w:rsid w:val="00C44B60"/>
    <w:rsid w:val="00C61BD6"/>
    <w:rsid w:val="00C635EC"/>
    <w:rsid w:val="00C7241D"/>
    <w:rsid w:val="00C73AB5"/>
    <w:rsid w:val="00C7483A"/>
    <w:rsid w:val="00C75E9A"/>
    <w:rsid w:val="00C7714F"/>
    <w:rsid w:val="00C8459A"/>
    <w:rsid w:val="00C870B3"/>
    <w:rsid w:val="00C92B52"/>
    <w:rsid w:val="00C933EA"/>
    <w:rsid w:val="00C93DE7"/>
    <w:rsid w:val="00C94A72"/>
    <w:rsid w:val="00CA4B61"/>
    <w:rsid w:val="00CB3FC9"/>
    <w:rsid w:val="00CC0103"/>
    <w:rsid w:val="00CD39D3"/>
    <w:rsid w:val="00CD5D49"/>
    <w:rsid w:val="00CE37E6"/>
    <w:rsid w:val="00CE5706"/>
    <w:rsid w:val="00CE68DB"/>
    <w:rsid w:val="00CE7144"/>
    <w:rsid w:val="00D2461F"/>
    <w:rsid w:val="00D35A02"/>
    <w:rsid w:val="00D40728"/>
    <w:rsid w:val="00D53943"/>
    <w:rsid w:val="00D62EB9"/>
    <w:rsid w:val="00D668DC"/>
    <w:rsid w:val="00D733F5"/>
    <w:rsid w:val="00D75B82"/>
    <w:rsid w:val="00D92B3B"/>
    <w:rsid w:val="00D92D57"/>
    <w:rsid w:val="00D94B23"/>
    <w:rsid w:val="00D96CE6"/>
    <w:rsid w:val="00DA675E"/>
    <w:rsid w:val="00DB04DA"/>
    <w:rsid w:val="00DE25D7"/>
    <w:rsid w:val="00E12F3E"/>
    <w:rsid w:val="00E159BE"/>
    <w:rsid w:val="00E1777E"/>
    <w:rsid w:val="00E35DEF"/>
    <w:rsid w:val="00E366BC"/>
    <w:rsid w:val="00E46A18"/>
    <w:rsid w:val="00E6388D"/>
    <w:rsid w:val="00E73E32"/>
    <w:rsid w:val="00E83228"/>
    <w:rsid w:val="00EB355D"/>
    <w:rsid w:val="00EB39ED"/>
    <w:rsid w:val="00EC5D1D"/>
    <w:rsid w:val="00ED65AF"/>
    <w:rsid w:val="00EF715A"/>
    <w:rsid w:val="00F0235B"/>
    <w:rsid w:val="00F108E6"/>
    <w:rsid w:val="00F15A05"/>
    <w:rsid w:val="00F23BB0"/>
    <w:rsid w:val="00F37A99"/>
    <w:rsid w:val="00F43B9C"/>
    <w:rsid w:val="00F47BF9"/>
    <w:rsid w:val="00F53067"/>
    <w:rsid w:val="00F53A04"/>
    <w:rsid w:val="00F567DE"/>
    <w:rsid w:val="00F64BE0"/>
    <w:rsid w:val="00F712C4"/>
    <w:rsid w:val="00F73DB8"/>
    <w:rsid w:val="00F749E8"/>
    <w:rsid w:val="00F81058"/>
    <w:rsid w:val="00F82132"/>
    <w:rsid w:val="00F82C5E"/>
    <w:rsid w:val="00F912FF"/>
    <w:rsid w:val="00F91D3A"/>
    <w:rsid w:val="00F93FA3"/>
    <w:rsid w:val="00FB05CE"/>
    <w:rsid w:val="00FC071F"/>
    <w:rsid w:val="00FC2D11"/>
    <w:rsid w:val="00FD0D7F"/>
    <w:rsid w:val="00FD786C"/>
    <w:rsid w:val="00FF42B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AA49A-220B-408A-8A58-C5259BE7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7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A32042"/>
    <w:pPr>
      <w:keepNext/>
      <w:spacing w:before="240" w:after="120"/>
      <w:ind w:left="1247" w:hanging="680"/>
      <w:outlineLvl w:val="0"/>
    </w:pPr>
    <w:rPr>
      <w:b/>
      <w:sz w:val="28"/>
    </w:rPr>
  </w:style>
  <w:style w:type="paragraph" w:styleId="Heading2">
    <w:name w:val="heading 2"/>
    <w:aliases w:val="Chpt"/>
    <w:basedOn w:val="Normal"/>
    <w:next w:val="Normalnumber"/>
    <w:qFormat/>
    <w:rsid w:val="00A32042"/>
    <w:pPr>
      <w:keepNext/>
      <w:spacing w:before="240" w:after="120"/>
      <w:ind w:left="1247" w:hanging="680"/>
      <w:outlineLvl w:val="1"/>
    </w:pPr>
    <w:rPr>
      <w:b/>
    </w:rPr>
  </w:style>
  <w:style w:type="paragraph" w:styleId="Heading3">
    <w:name w:val="heading 3"/>
    <w:aliases w:val="Sec"/>
    <w:basedOn w:val="Normal"/>
    <w:next w:val="Normalnumber"/>
    <w:link w:val="Heading3Char"/>
    <w:qFormat/>
    <w:rsid w:val="00A32042"/>
    <w:pPr>
      <w:spacing w:after="120"/>
      <w:ind w:left="1247" w:hanging="680"/>
      <w:outlineLvl w:val="2"/>
    </w:pPr>
    <w:rPr>
      <w:b/>
    </w:rPr>
  </w:style>
  <w:style w:type="paragraph" w:styleId="Heading4">
    <w:name w:val="heading 4"/>
    <w:aliases w:val="MainPara"/>
    <w:basedOn w:val="Heading3"/>
    <w:next w:val="Normalnumber"/>
    <w:qFormat/>
    <w:rsid w:val="00A32042"/>
    <w:pPr>
      <w:keepNext/>
      <w:outlineLvl w:val="3"/>
    </w:pPr>
  </w:style>
  <w:style w:type="paragraph" w:styleId="Heading5">
    <w:name w:val="heading 5"/>
    <w:aliases w:val="Subpara 2"/>
    <w:basedOn w:val="Normal"/>
    <w:next w:val="Normal"/>
    <w:qFormat/>
    <w:rsid w:val="00A32042"/>
    <w:pPr>
      <w:keepNext/>
      <w:outlineLvl w:val="4"/>
    </w:pPr>
    <w:rPr>
      <w:rFonts w:ascii="Univers" w:hAnsi="Univers"/>
      <w:b/>
    </w:rPr>
  </w:style>
  <w:style w:type="paragraph" w:styleId="Heading6">
    <w:name w:val="heading 6"/>
    <w:basedOn w:val="Normal"/>
    <w:next w:val="Normal"/>
    <w:qFormat/>
    <w:rsid w:val="00A32042"/>
    <w:pPr>
      <w:keepNext/>
      <w:ind w:left="578"/>
      <w:outlineLvl w:val="5"/>
    </w:pPr>
    <w:rPr>
      <w:b/>
      <w:bCs/>
    </w:rPr>
  </w:style>
  <w:style w:type="paragraph" w:styleId="Heading7">
    <w:name w:val="heading 7"/>
    <w:basedOn w:val="Normal"/>
    <w:next w:val="Normal"/>
    <w:qFormat/>
    <w:rsid w:val="00A32042"/>
    <w:pPr>
      <w:keepNext/>
      <w:widowControl w:val="0"/>
      <w:jc w:val="center"/>
      <w:outlineLvl w:val="6"/>
    </w:pPr>
    <w:rPr>
      <w:snapToGrid w:val="0"/>
      <w:u w:val="single"/>
      <w:lang w:val="en-US"/>
    </w:rPr>
  </w:style>
  <w:style w:type="paragraph" w:styleId="Heading8">
    <w:name w:val="heading 8"/>
    <w:basedOn w:val="Normal"/>
    <w:next w:val="Normal"/>
    <w:qFormat/>
    <w:rsid w:val="00A32042"/>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32042"/>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32042"/>
    <w:rPr>
      <w:rFonts w:ascii="Times New Roman" w:hAnsi="Times New Roman"/>
      <w:b/>
      <w:sz w:val="18"/>
    </w:rPr>
  </w:style>
  <w:style w:type="table" w:customStyle="1" w:styleId="Tabledocright">
    <w:name w:val="Table_doc_right"/>
    <w:basedOn w:val="TableNormal"/>
    <w:rsid w:val="00A32042"/>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32042"/>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A32042"/>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A32042"/>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A32042"/>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A32042"/>
    <w:rPr>
      <w:bCs w:val="0"/>
    </w:rPr>
  </w:style>
  <w:style w:type="paragraph" w:styleId="TableofFigures">
    <w:name w:val="table of figures"/>
    <w:basedOn w:val="Normal"/>
    <w:next w:val="Normal"/>
    <w:autoRedefine/>
    <w:semiHidden/>
    <w:rsid w:val="00A32042"/>
    <w:pPr>
      <w:tabs>
        <w:tab w:val="clear" w:pos="1814"/>
        <w:tab w:val="clear" w:pos="2381"/>
        <w:tab w:val="clear" w:pos="2948"/>
        <w:tab w:val="clear" w:pos="3515"/>
      </w:tabs>
      <w:ind w:left="1814" w:hanging="567"/>
    </w:pPr>
  </w:style>
  <w:style w:type="paragraph" w:customStyle="1" w:styleId="CH1">
    <w:name w:val="CH1"/>
    <w:basedOn w:val="Normal-pool"/>
    <w:next w:val="CH2"/>
    <w:rsid w:val="00A3204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A32042"/>
    <w:pPr>
      <w:keepNext/>
      <w:keepLines/>
      <w:tabs>
        <w:tab w:val="right" w:pos="851"/>
      </w:tabs>
      <w:suppressAutoHyphens/>
      <w:spacing w:before="120" w:after="120"/>
      <w:ind w:left="1247" w:right="284" w:hanging="1247"/>
    </w:pPr>
    <w:rPr>
      <w:b/>
    </w:rPr>
  </w:style>
  <w:style w:type="paragraph" w:customStyle="1" w:styleId="CH3">
    <w:name w:val="CH3"/>
    <w:basedOn w:val="Normal-pool"/>
    <w:next w:val="Normalnumber"/>
    <w:link w:val="CH3Char"/>
    <w:rsid w:val="00A32042"/>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3204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32042"/>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32042"/>
    <w:pPr>
      <w:keepNext/>
      <w:keepLines/>
      <w:tabs>
        <w:tab w:val="right" w:pos="851"/>
      </w:tabs>
      <w:suppressAutoHyphens/>
      <w:spacing w:after="120"/>
      <w:ind w:left="1247" w:right="284" w:hanging="1247"/>
    </w:pPr>
    <w:rPr>
      <w:b/>
    </w:rPr>
  </w:style>
  <w:style w:type="paragraph" w:styleId="NormalIndent">
    <w:name w:val="Normal Indent"/>
    <w:basedOn w:val="Normal"/>
    <w:semiHidden/>
    <w:rsid w:val="00A32042"/>
    <w:pPr>
      <w:ind w:left="1247"/>
    </w:pPr>
  </w:style>
  <w:style w:type="paragraph" w:customStyle="1" w:styleId="Normal-pool">
    <w:name w:val="Normal-pool"/>
    <w:link w:val="Normal-poolChar"/>
    <w:rsid w:val="00A32042"/>
    <w:pPr>
      <w:tabs>
        <w:tab w:val="left" w:pos="1247"/>
        <w:tab w:val="left" w:pos="1814"/>
        <w:tab w:val="left" w:pos="2381"/>
        <w:tab w:val="left" w:pos="2948"/>
        <w:tab w:val="left" w:pos="3515"/>
      </w:tabs>
    </w:pPr>
    <w:rPr>
      <w:lang w:val="en-GB" w:eastAsia="en-US"/>
    </w:rPr>
  </w:style>
  <w:style w:type="table" w:customStyle="1" w:styleId="TableNormal1">
    <w:name w:val="Table Normal1"/>
    <w:next w:val="TableNormal"/>
    <w:semiHidden/>
    <w:rsid w:val="003E4466"/>
    <w:rPr>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59"/>
    <w:rsid w:val="005C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3E4466"/>
  </w:style>
  <w:style w:type="paragraph" w:customStyle="1" w:styleId="Spacer">
    <w:name w:val="Spacer"/>
    <w:basedOn w:val="Normal"/>
    <w:rsid w:val="003E4466"/>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character" w:styleId="FootnoteReference">
    <w:name w:val="footnote reference"/>
    <w:aliases w:val="16 Point,Superscript 6 Point,number,SUPERS,Footnote Reference Superscript"/>
    <w:uiPriority w:val="99"/>
    <w:rsid w:val="00A32042"/>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A32042"/>
    <w:pPr>
      <w:spacing w:before="20" w:after="40"/>
      <w:ind w:left="1247"/>
    </w:pPr>
    <w:rPr>
      <w:sz w:val="18"/>
    </w:rPr>
  </w:style>
  <w:style w:type="paragraph" w:customStyle="1" w:styleId="Spacer1">
    <w:name w:val="Spacer1"/>
    <w:basedOn w:val="Normal"/>
    <w:rsid w:val="003E4466"/>
    <w:pPr>
      <w:tabs>
        <w:tab w:val="clear" w:pos="1247"/>
        <w:tab w:val="clear" w:pos="1814"/>
        <w:tab w:val="clear" w:pos="2381"/>
        <w:tab w:val="clear" w:pos="2948"/>
        <w:tab w:val="clear" w:pos="3515"/>
      </w:tabs>
    </w:pPr>
    <w:rPr>
      <w:b/>
      <w:bCs/>
    </w:rPr>
  </w:style>
  <w:style w:type="paragraph" w:customStyle="1" w:styleId="Listings">
    <w:name w:val="Listings"/>
    <w:basedOn w:val="Normal"/>
    <w:rsid w:val="003E4466"/>
    <w:pPr>
      <w:tabs>
        <w:tab w:val="clear" w:pos="1247"/>
        <w:tab w:val="clear" w:pos="1814"/>
        <w:tab w:val="clear" w:pos="2381"/>
        <w:tab w:val="clear" w:pos="2948"/>
        <w:tab w:val="clear" w:pos="3515"/>
      </w:tabs>
      <w:spacing w:after="40"/>
    </w:pPr>
  </w:style>
  <w:style w:type="paragraph" w:customStyle="1" w:styleId="ListBold">
    <w:name w:val="ListBold"/>
    <w:basedOn w:val="Listings"/>
    <w:rsid w:val="003E4466"/>
    <w:rPr>
      <w:b/>
      <w:bCs/>
    </w:rPr>
  </w:style>
  <w:style w:type="paragraph" w:customStyle="1" w:styleId="ListAD">
    <w:name w:val="ListAD"/>
    <w:basedOn w:val="Listings"/>
    <w:rsid w:val="003E4466"/>
    <w:pPr>
      <w:spacing w:after="0"/>
    </w:pPr>
  </w:style>
  <w:style w:type="paragraph" w:customStyle="1" w:styleId="Substance">
    <w:name w:val="Substance"/>
    <w:basedOn w:val="Heading1"/>
    <w:rsid w:val="003E4466"/>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3E4466"/>
    <w:pPr>
      <w:spacing w:after="0"/>
      <w:jc w:val="right"/>
    </w:pPr>
    <w:rPr>
      <w:i/>
      <w:iCs/>
    </w:rPr>
  </w:style>
  <w:style w:type="character" w:styleId="CommentReference">
    <w:name w:val="annotation reference"/>
    <w:semiHidden/>
    <w:rsid w:val="003E4466"/>
    <w:rPr>
      <w:sz w:val="16"/>
      <w:szCs w:val="16"/>
    </w:rPr>
  </w:style>
  <w:style w:type="paragraph" w:customStyle="1" w:styleId="Ripeat">
    <w:name w:val="Ripeat"/>
    <w:basedOn w:val="Normal"/>
    <w:next w:val="Normal"/>
    <w:rsid w:val="003E4466"/>
    <w:pPr>
      <w:tabs>
        <w:tab w:val="clear" w:pos="1247"/>
        <w:tab w:val="clear" w:pos="1814"/>
        <w:tab w:val="clear" w:pos="2381"/>
        <w:tab w:val="clear" w:pos="2948"/>
        <w:tab w:val="clear" w:pos="3515"/>
      </w:tabs>
    </w:pPr>
    <w:rPr>
      <w:i/>
      <w:iCs/>
    </w:rPr>
  </w:style>
  <w:style w:type="paragraph" w:styleId="CommentText">
    <w:name w:val="annotation text"/>
    <w:basedOn w:val="Normal"/>
    <w:link w:val="CommentTextChar"/>
    <w:semiHidden/>
    <w:rsid w:val="003E4466"/>
    <w:pPr>
      <w:tabs>
        <w:tab w:val="clear" w:pos="1247"/>
        <w:tab w:val="clear" w:pos="1814"/>
        <w:tab w:val="clear" w:pos="2381"/>
        <w:tab w:val="clear" w:pos="2948"/>
        <w:tab w:val="clear" w:pos="3515"/>
      </w:tabs>
    </w:pPr>
  </w:style>
  <w:style w:type="paragraph" w:styleId="DocumentMap">
    <w:name w:val="Document Map"/>
    <w:basedOn w:val="Normal"/>
    <w:semiHidden/>
    <w:rsid w:val="003E4466"/>
    <w:pPr>
      <w:shd w:val="clear" w:color="auto" w:fill="000080"/>
      <w:tabs>
        <w:tab w:val="clear" w:pos="1247"/>
        <w:tab w:val="clear" w:pos="1814"/>
        <w:tab w:val="clear" w:pos="2381"/>
        <w:tab w:val="clear" w:pos="2948"/>
        <w:tab w:val="clear" w:pos="3515"/>
      </w:tabs>
    </w:pPr>
    <w:rPr>
      <w:rFonts w:ascii="Tahoma" w:hAnsi="Tahoma" w:cs="Tahoma"/>
    </w:rPr>
  </w:style>
  <w:style w:type="character" w:styleId="FollowedHyperlink">
    <w:name w:val="FollowedHyperlink"/>
    <w:rsid w:val="003E4466"/>
    <w:rPr>
      <w:color w:val="800080"/>
      <w:u w:val="single"/>
    </w:rPr>
  </w:style>
  <w:style w:type="paragraph" w:customStyle="1" w:styleId="Annex">
    <w:name w:val="Annex"/>
    <w:basedOn w:val="Normal"/>
    <w:next w:val="Normal"/>
    <w:autoRedefine/>
    <w:rsid w:val="003E4466"/>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3E4466"/>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3E4466"/>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3E4466"/>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rsid w:val="003E4466"/>
    <w:pPr>
      <w:tabs>
        <w:tab w:val="clear" w:pos="1247"/>
        <w:tab w:val="clear" w:pos="1814"/>
        <w:tab w:val="clear" w:pos="2381"/>
        <w:tab w:val="clear" w:pos="2948"/>
        <w:tab w:val="clear" w:pos="3515"/>
      </w:tabs>
      <w:spacing w:line="240" w:lineRule="atLeast"/>
      <w:ind w:left="-143"/>
    </w:pPr>
    <w:rPr>
      <w:sz w:val="38"/>
      <w:szCs w:val="38"/>
    </w:rPr>
  </w:style>
  <w:style w:type="paragraph" w:customStyle="1" w:styleId="ad">
    <w:name w:val="ad"/>
    <w:basedOn w:val="Normal"/>
    <w:rsid w:val="003E4466"/>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3E4466"/>
    <w:pPr>
      <w:tabs>
        <w:tab w:val="clear" w:pos="6480"/>
        <w:tab w:val="clear" w:pos="7200"/>
      </w:tabs>
      <w:spacing w:before="80"/>
    </w:pPr>
    <w:rPr>
      <w:rFonts w:ascii="Arial Narrow" w:hAnsi="Arial Narrow"/>
      <w:b/>
      <w:bCs/>
    </w:rPr>
  </w:style>
  <w:style w:type="paragraph" w:styleId="BodyText">
    <w:name w:val="Body Text"/>
    <w:basedOn w:val="Normal"/>
    <w:rsid w:val="003E4466"/>
    <w:pPr>
      <w:tabs>
        <w:tab w:val="clear" w:pos="1247"/>
        <w:tab w:val="clear" w:pos="1814"/>
        <w:tab w:val="clear" w:pos="2381"/>
        <w:tab w:val="clear" w:pos="2948"/>
        <w:tab w:val="clear" w:pos="3515"/>
      </w:tabs>
    </w:pPr>
    <w:rPr>
      <w:sz w:val="28"/>
      <w:szCs w:val="28"/>
    </w:rPr>
  </w:style>
  <w:style w:type="character" w:styleId="Strong">
    <w:name w:val="Strong"/>
    <w:qFormat/>
    <w:rsid w:val="003E4466"/>
    <w:rPr>
      <w:b/>
      <w:bCs/>
    </w:rPr>
  </w:style>
  <w:style w:type="character" w:styleId="Emphasis">
    <w:name w:val="Emphasis"/>
    <w:uiPriority w:val="20"/>
    <w:qFormat/>
    <w:rsid w:val="003E4466"/>
    <w:rPr>
      <w:i/>
      <w:iCs/>
    </w:rPr>
  </w:style>
  <w:style w:type="paragraph" w:styleId="BodyTextIndent2">
    <w:name w:val="Body Text Indent 2"/>
    <w:basedOn w:val="Normal"/>
    <w:rsid w:val="003E4466"/>
    <w:pPr>
      <w:tabs>
        <w:tab w:val="clear" w:pos="1247"/>
        <w:tab w:val="clear" w:pos="1814"/>
        <w:tab w:val="clear" w:pos="2381"/>
        <w:tab w:val="clear" w:pos="2948"/>
        <w:tab w:val="clear" w:pos="3515"/>
      </w:tabs>
      <w:ind w:left="2552"/>
    </w:pPr>
    <w:rPr>
      <w:lang w:val="it-IT"/>
    </w:rPr>
  </w:style>
  <w:style w:type="paragraph" w:styleId="BodyTextIndent3">
    <w:name w:val="Body Text Indent 3"/>
    <w:basedOn w:val="Normal"/>
    <w:rsid w:val="003E4466"/>
    <w:pPr>
      <w:tabs>
        <w:tab w:val="clear" w:pos="1247"/>
        <w:tab w:val="clear" w:pos="1814"/>
        <w:tab w:val="clear" w:pos="2381"/>
        <w:tab w:val="clear" w:pos="2948"/>
        <w:tab w:val="clear" w:pos="3515"/>
      </w:tabs>
      <w:ind w:left="567" w:hanging="567"/>
    </w:pPr>
    <w:rPr>
      <w:lang w:val="en-US"/>
    </w:rPr>
  </w:style>
  <w:style w:type="paragraph" w:styleId="Subtitle">
    <w:name w:val="Subtitle"/>
    <w:basedOn w:val="Normal"/>
    <w:qFormat/>
    <w:rsid w:val="003E4466"/>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paragraph" w:styleId="Title">
    <w:name w:val="Title"/>
    <w:basedOn w:val="Normal"/>
    <w:qFormat/>
    <w:rsid w:val="003E4466"/>
    <w:pPr>
      <w:tabs>
        <w:tab w:val="clear" w:pos="1247"/>
        <w:tab w:val="clear" w:pos="1814"/>
        <w:tab w:val="clear" w:pos="2381"/>
        <w:tab w:val="clear" w:pos="2948"/>
        <w:tab w:val="clear" w:pos="3515"/>
      </w:tabs>
      <w:jc w:val="center"/>
    </w:pPr>
    <w:rPr>
      <w:u w:val="single"/>
    </w:rPr>
  </w:style>
  <w:style w:type="paragraph" w:customStyle="1" w:styleId="mainpara">
    <w:name w:val="mainpara"/>
    <w:basedOn w:val="Normal"/>
    <w:rsid w:val="003E4466"/>
    <w:pPr>
      <w:numPr>
        <w:numId w:val="5"/>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3E4466"/>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3E4466"/>
    <w:rPr>
      <w:rFonts w:ascii="Arial" w:hAnsi="Arial" w:cs="Arial"/>
      <w:color w:val="000000"/>
      <w:sz w:val="20"/>
      <w:szCs w:val="20"/>
    </w:rPr>
  </w:style>
  <w:style w:type="paragraph" w:styleId="BodyText2">
    <w:name w:val="Body Text 2"/>
    <w:basedOn w:val="Normal"/>
    <w:rsid w:val="003E4466"/>
    <w:pPr>
      <w:tabs>
        <w:tab w:val="clear" w:pos="1247"/>
        <w:tab w:val="clear" w:pos="1814"/>
        <w:tab w:val="clear" w:pos="2381"/>
        <w:tab w:val="clear" w:pos="2948"/>
        <w:tab w:val="clear" w:pos="3515"/>
      </w:tabs>
    </w:pPr>
    <w:rPr>
      <w:color w:val="FF0000"/>
      <w:sz w:val="18"/>
      <w:szCs w:val="18"/>
    </w:rPr>
  </w:style>
  <w:style w:type="paragraph" w:styleId="BodyText3">
    <w:name w:val="Body Text 3"/>
    <w:basedOn w:val="Normal"/>
    <w:rsid w:val="003E4466"/>
    <w:pPr>
      <w:tabs>
        <w:tab w:val="clear" w:pos="1247"/>
        <w:tab w:val="clear" w:pos="1814"/>
        <w:tab w:val="clear" w:pos="2381"/>
        <w:tab w:val="clear" w:pos="2948"/>
        <w:tab w:val="clear" w:pos="3515"/>
      </w:tabs>
    </w:pPr>
    <w:rPr>
      <w:b/>
      <w:bCs/>
      <w:i/>
      <w:iCs/>
    </w:rPr>
  </w:style>
  <w:style w:type="paragraph" w:styleId="EndnoteText">
    <w:name w:val="endnote text"/>
    <w:basedOn w:val="Normal"/>
    <w:semiHidden/>
    <w:rsid w:val="003E4466"/>
    <w:pPr>
      <w:tabs>
        <w:tab w:val="clear" w:pos="1247"/>
        <w:tab w:val="clear" w:pos="1814"/>
        <w:tab w:val="clear" w:pos="2381"/>
        <w:tab w:val="clear" w:pos="2948"/>
        <w:tab w:val="clear" w:pos="3515"/>
      </w:tabs>
    </w:pPr>
  </w:style>
  <w:style w:type="character" w:styleId="EndnoteReference">
    <w:name w:val="endnote reference"/>
    <w:semiHidden/>
    <w:rsid w:val="003E4466"/>
    <w:rPr>
      <w:vertAlign w:val="superscript"/>
    </w:rPr>
  </w:style>
  <w:style w:type="character" w:customStyle="1" w:styleId="emailstyle15">
    <w:name w:val="emailstyle15"/>
    <w:rsid w:val="003E4466"/>
    <w:rPr>
      <w:rFonts w:ascii="Arial" w:hAnsi="Arial" w:cs="Arial"/>
      <w:color w:val="000000"/>
      <w:sz w:val="20"/>
      <w:szCs w:val="20"/>
    </w:rPr>
  </w:style>
  <w:style w:type="paragraph" w:styleId="BalloonText">
    <w:name w:val="Balloon Text"/>
    <w:basedOn w:val="Normal"/>
    <w:link w:val="BalloonTextChar"/>
    <w:rsid w:val="003E4466"/>
    <w:pPr>
      <w:tabs>
        <w:tab w:val="clear" w:pos="1247"/>
        <w:tab w:val="clear" w:pos="1814"/>
        <w:tab w:val="clear" w:pos="2381"/>
        <w:tab w:val="clear" w:pos="2948"/>
        <w:tab w:val="clear" w:pos="3515"/>
      </w:tabs>
    </w:pPr>
    <w:rPr>
      <w:rFonts w:ascii="Tahoma" w:hAnsi="Tahoma"/>
      <w:sz w:val="16"/>
      <w:szCs w:val="16"/>
    </w:rPr>
  </w:style>
  <w:style w:type="paragraph" w:styleId="CommentSubject">
    <w:name w:val="annotation subject"/>
    <w:basedOn w:val="CommentText"/>
    <w:next w:val="CommentText"/>
    <w:link w:val="CommentSubjectChar"/>
    <w:semiHidden/>
    <w:unhideWhenUsed/>
    <w:rsid w:val="003E4466"/>
    <w:rPr>
      <w:rFonts w:eastAsia="SimSun"/>
      <w:b/>
      <w:bCs/>
      <w:lang w:eastAsia="zh-CN"/>
    </w:rPr>
  </w:style>
  <w:style w:type="character" w:customStyle="1" w:styleId="CommentTextChar">
    <w:name w:val="Comment Text Char"/>
    <w:link w:val="CommentText"/>
    <w:rsid w:val="003E4466"/>
    <w:rPr>
      <w:lang w:val="en-GB" w:eastAsia="en-US" w:bidi="ar-SA"/>
    </w:rPr>
  </w:style>
  <w:style w:type="character" w:customStyle="1" w:styleId="CommentSubjectChar">
    <w:name w:val="Comment Subject Char"/>
    <w:link w:val="CommentSubject"/>
    <w:rsid w:val="003E4466"/>
    <w:rPr>
      <w:rFonts w:eastAsia="SimSun"/>
      <w:b/>
      <w:bCs/>
      <w:lang w:val="en-GB" w:eastAsia="zh-CN" w:bidi="ar-SA"/>
    </w:rPr>
  </w:style>
  <w:style w:type="paragraph" w:customStyle="1" w:styleId="Ingenmellomrom1">
    <w:name w:val="Ingen mellomrom1"/>
    <w:qFormat/>
    <w:rsid w:val="003E4466"/>
    <w:rPr>
      <w:rFonts w:eastAsia="SimSun"/>
      <w:lang w:val="en-GB" w:eastAsia="zh-CN"/>
    </w:rPr>
  </w:style>
  <w:style w:type="paragraph" w:customStyle="1" w:styleId="Char1CharCharCharCharChar">
    <w:name w:val="Char1 Char Char Char Char Char"/>
    <w:basedOn w:val="Normal"/>
    <w:rsid w:val="003E4466"/>
    <w:pPr>
      <w:tabs>
        <w:tab w:val="clear" w:pos="1247"/>
        <w:tab w:val="clear" w:pos="1814"/>
        <w:tab w:val="clear" w:pos="2381"/>
        <w:tab w:val="clear" w:pos="2948"/>
        <w:tab w:val="clear" w:pos="3515"/>
      </w:tabs>
      <w:spacing w:after="160" w:line="240" w:lineRule="exact"/>
    </w:pPr>
    <w:rPr>
      <w:rFonts w:ascii="Tahoma" w:hAnsi="Tahoma"/>
      <w:lang w:val="en-US"/>
    </w:rPr>
  </w:style>
  <w:style w:type="paragraph" w:styleId="NormalWeb">
    <w:name w:val="Normal (Web)"/>
    <w:basedOn w:val="Normal"/>
    <w:unhideWhenUsed/>
    <w:rsid w:val="003E4466"/>
    <w:pPr>
      <w:tabs>
        <w:tab w:val="clear" w:pos="1247"/>
        <w:tab w:val="clear" w:pos="1814"/>
        <w:tab w:val="clear" w:pos="2381"/>
        <w:tab w:val="clear" w:pos="2948"/>
        <w:tab w:val="clear" w:pos="3515"/>
      </w:tabs>
      <w:spacing w:before="100" w:beforeAutospacing="1" w:after="100" w:afterAutospacing="1"/>
    </w:pPr>
    <w:rPr>
      <w:rFonts w:ascii="Arial" w:hAnsi="Arial" w:cs="Arial"/>
      <w:color w:val="4D4D4D"/>
      <w:sz w:val="18"/>
      <w:szCs w:val="18"/>
      <w:lang w:val="nb-NO" w:eastAsia="nb-NO"/>
    </w:rPr>
  </w:style>
  <w:style w:type="numbering" w:customStyle="1" w:styleId="Ingenliste1">
    <w:name w:val="Ingen liste1"/>
    <w:next w:val="NoList"/>
    <w:semiHidden/>
    <w:unhideWhenUsed/>
    <w:rsid w:val="003E4466"/>
  </w:style>
  <w:style w:type="character" w:customStyle="1" w:styleId="colname1">
    <w:name w:val="col_name1"/>
    <w:basedOn w:val="DefaultParagraphFont"/>
    <w:rsid w:val="003E4466"/>
  </w:style>
  <w:style w:type="character" w:customStyle="1" w:styleId="colftyp">
    <w:name w:val="col_ftyp"/>
    <w:basedOn w:val="DefaultParagraphFont"/>
    <w:rsid w:val="003E4466"/>
  </w:style>
  <w:style w:type="character" w:customStyle="1" w:styleId="colland">
    <w:name w:val="col_land"/>
    <w:basedOn w:val="DefaultParagraphFont"/>
    <w:rsid w:val="003E4466"/>
  </w:style>
  <w:style w:type="character" w:customStyle="1" w:styleId="colblank">
    <w:name w:val="col_blank"/>
    <w:basedOn w:val="DefaultParagraphFont"/>
    <w:rsid w:val="003E4466"/>
  </w:style>
  <w:style w:type="character" w:customStyle="1" w:styleId="hrtext">
    <w:name w:val="hr_text"/>
    <w:basedOn w:val="DefaultParagraphFont"/>
    <w:rsid w:val="003E4466"/>
  </w:style>
  <w:style w:type="character" w:customStyle="1" w:styleId="BalloonTextChar">
    <w:name w:val="Balloon Text Char"/>
    <w:link w:val="BalloonText"/>
    <w:rsid w:val="003E4466"/>
    <w:rPr>
      <w:rFonts w:ascii="Tahoma" w:hAnsi="Tahoma"/>
      <w:sz w:val="16"/>
      <w:szCs w:val="16"/>
      <w:lang w:val="en-GB" w:eastAsia="en-US" w:bidi="ar-SA"/>
    </w:rPr>
  </w:style>
  <w:style w:type="paragraph" w:styleId="ListParagraph">
    <w:name w:val="List Paragraph"/>
    <w:basedOn w:val="Normal"/>
    <w:uiPriority w:val="34"/>
    <w:qFormat/>
    <w:rsid w:val="003E4466"/>
    <w:pPr>
      <w:tabs>
        <w:tab w:val="clear" w:pos="1247"/>
        <w:tab w:val="clear" w:pos="1814"/>
        <w:tab w:val="clear" w:pos="2381"/>
        <w:tab w:val="clear" w:pos="2948"/>
        <w:tab w:val="clear" w:pos="3515"/>
      </w:tabs>
      <w:ind w:left="720"/>
      <w:contextualSpacing/>
    </w:pPr>
    <w:rPr>
      <w:rFonts w:eastAsia="SimSun"/>
      <w:lang w:eastAsia="zh-CN"/>
    </w:rPr>
  </w:style>
  <w:style w:type="paragraph" w:styleId="Revision">
    <w:name w:val="Revision"/>
    <w:hidden/>
    <w:semiHidden/>
    <w:rsid w:val="003E4466"/>
    <w:rPr>
      <w:rFonts w:eastAsia="SimSun"/>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locked/>
    <w:rsid w:val="007C199E"/>
    <w:rPr>
      <w:sz w:val="18"/>
      <w:lang w:eastAsia="en-US"/>
    </w:rPr>
  </w:style>
  <w:style w:type="table" w:customStyle="1" w:styleId="AATable">
    <w:name w:val="AA_Table"/>
    <w:basedOn w:val="TableNormal"/>
    <w:rsid w:val="00A32042"/>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Symbol" w:hAnsi="Symbo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32042"/>
    <w:pPr>
      <w:keepNext/>
      <w:keepLines/>
      <w:suppressAutoHyphens/>
      <w:ind w:right="3402"/>
    </w:pPr>
    <w:rPr>
      <w:b/>
    </w:rPr>
  </w:style>
  <w:style w:type="paragraph" w:customStyle="1" w:styleId="AATitle2">
    <w:name w:val="AA_Title2"/>
    <w:basedOn w:val="AATitle"/>
    <w:rsid w:val="00A32042"/>
    <w:pPr>
      <w:spacing w:before="120" w:after="120"/>
      <w:ind w:right="1701"/>
    </w:pPr>
  </w:style>
  <w:style w:type="paragraph" w:customStyle="1" w:styleId="BBTitle">
    <w:name w:val="BB_Title"/>
    <w:basedOn w:val="Normal-pool"/>
    <w:rsid w:val="00A32042"/>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32042"/>
    <w:pPr>
      <w:tabs>
        <w:tab w:val="center" w:pos="4320"/>
        <w:tab w:val="right" w:pos="8640"/>
      </w:tabs>
      <w:spacing w:before="60" w:after="120"/>
    </w:pPr>
    <w:rPr>
      <w:sz w:val="18"/>
    </w:rPr>
  </w:style>
  <w:style w:type="paragraph" w:styleId="Header">
    <w:name w:val="header"/>
    <w:basedOn w:val="Normal-pool"/>
    <w:rsid w:val="00A3204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A32042"/>
    <w:rPr>
      <w:rFonts w:ascii="Times New Roman" w:hAnsi="Times New Roman"/>
      <w:color w:val="auto"/>
      <w:sz w:val="20"/>
      <w:szCs w:val="20"/>
      <w:u w:val="none"/>
      <w:lang w:val="fr-FR"/>
    </w:rPr>
  </w:style>
  <w:style w:type="numbering" w:customStyle="1" w:styleId="Normallist">
    <w:name w:val="Normal_list"/>
    <w:basedOn w:val="NoList"/>
    <w:rsid w:val="00A32042"/>
    <w:pPr>
      <w:numPr>
        <w:numId w:val="3"/>
      </w:numPr>
    </w:pPr>
  </w:style>
  <w:style w:type="paragraph" w:customStyle="1" w:styleId="NormalNonumber">
    <w:name w:val="Normal_No_number"/>
    <w:basedOn w:val="Normal-pool"/>
    <w:rsid w:val="00A32042"/>
    <w:pPr>
      <w:spacing w:after="120"/>
      <w:ind w:left="1247"/>
    </w:pPr>
  </w:style>
  <w:style w:type="paragraph" w:customStyle="1" w:styleId="Normalnumber">
    <w:name w:val="Normal_number"/>
    <w:basedOn w:val="Normal-pool"/>
    <w:link w:val="NormalnumberChar"/>
    <w:rsid w:val="00A32042"/>
    <w:pPr>
      <w:numPr>
        <w:numId w:val="4"/>
      </w:numPr>
      <w:spacing w:after="120"/>
    </w:pPr>
  </w:style>
  <w:style w:type="paragraph" w:customStyle="1" w:styleId="Titletable">
    <w:name w:val="Title_table"/>
    <w:basedOn w:val="Normal-pool"/>
    <w:next w:val="NormalNonumber"/>
    <w:rsid w:val="00A32042"/>
    <w:pPr>
      <w:keepNext/>
      <w:keepLines/>
      <w:suppressAutoHyphens/>
      <w:spacing w:after="60"/>
      <w:ind w:left="1247"/>
    </w:pPr>
    <w:rPr>
      <w:b/>
      <w:bCs/>
    </w:rPr>
  </w:style>
  <w:style w:type="paragraph" w:styleId="TOC1">
    <w:name w:val="toc 1"/>
    <w:basedOn w:val="Normal-pool"/>
    <w:next w:val="Normal-pool"/>
    <w:rsid w:val="00A32042"/>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32042"/>
    <w:pPr>
      <w:tabs>
        <w:tab w:val="clear" w:pos="1814"/>
        <w:tab w:val="clear" w:pos="2948"/>
        <w:tab w:val="clear" w:pos="3515"/>
        <w:tab w:val="right" w:leader="dot" w:pos="9486"/>
      </w:tabs>
      <w:ind w:left="2381" w:hanging="567"/>
    </w:pPr>
  </w:style>
  <w:style w:type="paragraph" w:styleId="TOC3">
    <w:name w:val="toc 3"/>
    <w:basedOn w:val="Normal-pool"/>
    <w:next w:val="Normal-pool"/>
    <w:rsid w:val="00A32042"/>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32042"/>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32042"/>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A32042"/>
    <w:rPr>
      <w:b/>
      <w:bCs/>
      <w:sz w:val="28"/>
      <w:szCs w:val="22"/>
    </w:rPr>
  </w:style>
  <w:style w:type="paragraph" w:customStyle="1" w:styleId="ZZAnxtitle">
    <w:name w:val="ZZ_Anx_title"/>
    <w:basedOn w:val="Normal-pool"/>
    <w:rsid w:val="00A32042"/>
    <w:pPr>
      <w:spacing w:before="360" w:after="120"/>
      <w:ind w:left="1247"/>
    </w:pPr>
    <w:rPr>
      <w:b/>
      <w:bCs/>
      <w:sz w:val="28"/>
      <w:szCs w:val="26"/>
    </w:rPr>
  </w:style>
  <w:style w:type="character" w:customStyle="1" w:styleId="EstiloDeEmail511">
    <w:name w:val="EstiloDeEmail511"/>
    <w:rsid w:val="005D7472"/>
    <w:rPr>
      <w:rFonts w:ascii="Arial" w:hAnsi="Arial" w:cs="Arial"/>
      <w:color w:val="000000"/>
      <w:sz w:val="20"/>
      <w:szCs w:val="20"/>
    </w:rPr>
  </w:style>
  <w:style w:type="character" w:customStyle="1" w:styleId="EstiloDeEmail561">
    <w:name w:val="EstiloDeEmail561"/>
    <w:rsid w:val="005D7472"/>
    <w:rPr>
      <w:rFonts w:ascii="Arial" w:hAnsi="Arial" w:cs="Arial"/>
      <w:color w:val="000000"/>
      <w:sz w:val="20"/>
      <w:szCs w:val="20"/>
    </w:rPr>
  </w:style>
  <w:style w:type="paragraph" w:customStyle="1" w:styleId="ListParagraph1">
    <w:name w:val="List Paragraph1"/>
    <w:basedOn w:val="Normal"/>
    <w:rsid w:val="005D7472"/>
    <w:pPr>
      <w:tabs>
        <w:tab w:val="clear" w:pos="1247"/>
        <w:tab w:val="clear" w:pos="1814"/>
        <w:tab w:val="clear" w:pos="2381"/>
        <w:tab w:val="clear" w:pos="2948"/>
        <w:tab w:val="clear" w:pos="3515"/>
      </w:tabs>
      <w:ind w:left="720"/>
      <w:contextualSpacing/>
    </w:pPr>
    <w:rPr>
      <w:rFonts w:eastAsia="SimSun"/>
      <w:lang w:val="pt-BR" w:eastAsia="pt-BR"/>
    </w:rPr>
  </w:style>
  <w:style w:type="character" w:customStyle="1" w:styleId="Heading3Char">
    <w:name w:val="Heading 3 Char"/>
    <w:aliases w:val="Sec Char"/>
    <w:link w:val="Heading3"/>
    <w:locked/>
    <w:rsid w:val="005D7472"/>
    <w:rPr>
      <w:b/>
      <w:lang w:val="en-GB" w:eastAsia="en-US"/>
    </w:rPr>
  </w:style>
  <w:style w:type="paragraph" w:styleId="HTMLPreformatted">
    <w:name w:val="HTML Preformatted"/>
    <w:basedOn w:val="Normal"/>
    <w:link w:val="HTMLPreformattedChar"/>
    <w:uiPriority w:val="99"/>
    <w:rsid w:val="005D7472"/>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pt-BR" w:eastAsia="pt-BR"/>
    </w:rPr>
  </w:style>
  <w:style w:type="character" w:customStyle="1" w:styleId="HTMLPreformattedChar">
    <w:name w:val="HTML Preformatted Char"/>
    <w:link w:val="HTMLPreformatted"/>
    <w:uiPriority w:val="99"/>
    <w:rsid w:val="005D7472"/>
    <w:rPr>
      <w:rFonts w:ascii="Courier New" w:eastAsia="SimSun" w:hAnsi="Courier New" w:cs="Courier New"/>
      <w:lang w:val="pt-BR" w:eastAsia="pt-BR"/>
    </w:rPr>
  </w:style>
  <w:style w:type="paragraph" w:customStyle="1" w:styleId="Revision1">
    <w:name w:val="Revision1"/>
    <w:hidden/>
    <w:semiHidden/>
    <w:rsid w:val="005D7472"/>
    <w:rPr>
      <w:rFonts w:eastAsia="SimSun"/>
      <w:lang w:val="pt-BR" w:eastAsia="pt-BR"/>
    </w:rPr>
  </w:style>
  <w:style w:type="character" w:customStyle="1" w:styleId="FooterChar">
    <w:name w:val="Footer Char"/>
    <w:link w:val="Footer"/>
    <w:uiPriority w:val="99"/>
    <w:rsid w:val="00D92B3B"/>
    <w:rPr>
      <w:sz w:val="18"/>
      <w:lang w:val="en-GB" w:eastAsia="en-US"/>
    </w:rPr>
  </w:style>
  <w:style w:type="character" w:customStyle="1" w:styleId="Normal-poolChar">
    <w:name w:val="Normal-pool Char"/>
    <w:link w:val="Normal-pool"/>
    <w:rsid w:val="00943C0E"/>
    <w:rPr>
      <w:lang w:val="en-GB" w:eastAsia="en-US" w:bidi="ar-SA"/>
    </w:rPr>
  </w:style>
  <w:style w:type="character" w:customStyle="1" w:styleId="NormalnumberChar">
    <w:name w:val="Normal_number Char"/>
    <w:link w:val="Normalnumber"/>
    <w:rsid w:val="00136771"/>
    <w:rPr>
      <w:lang w:val="en-GB" w:eastAsia="en-US"/>
    </w:rPr>
  </w:style>
  <w:style w:type="character" w:customStyle="1" w:styleId="CH3Char">
    <w:name w:val="CH3 Char"/>
    <w:link w:val="CH3"/>
    <w:rsid w:val="0087665E"/>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ranos\AppData\Local\Microsoft\Windows\Temporary%20Internet%20Files\Content.MSO\F04A00D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23A58-E756-443C-9FC7-503E95ABB308}">
  <ds:schemaRefs>
    <ds:schemaRef ds:uri="http://schemas.openxmlformats.org/officeDocument/2006/bibliography"/>
  </ds:schemaRefs>
</ds:datastoreItem>
</file>

<file path=customXml/itemProps2.xml><?xml version="1.0" encoding="utf-8"?>
<ds:datastoreItem xmlns:ds="http://schemas.openxmlformats.org/officeDocument/2006/customXml" ds:itemID="{BD079D4E-7A20-49C5-A79F-200FD502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F04A00DA</Template>
  <TotalTime>1</TotalTime>
  <Pages>7</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cp:lastModifiedBy>
  <cp:revision>2</cp:revision>
  <cp:lastPrinted>2015-11-25T16:05:00Z</cp:lastPrinted>
  <dcterms:created xsi:type="dcterms:W3CDTF">2015-12-30T19:58:00Z</dcterms:created>
  <dcterms:modified xsi:type="dcterms:W3CDTF">2015-12-30T19:58:00Z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vicente.ubeda fernandez</vt:lpwstr>
  </property>
  <property fmtid="{D5CDD505-2E9C-101B-9397-08002B2CF9AE}" pid="4" name="GeneratedDate">
    <vt:lpwstr>12/11/2015 3:14:53 PM</vt:lpwstr>
  </property>
  <property fmtid="{D5CDD505-2E9C-101B-9397-08002B2CF9AE}" pid="5" name="OriginalDocID">
    <vt:lpwstr>c53bf6b6-4afb-45ce-9a00-ac0e72ed8eed</vt:lpwstr>
  </property>
</Properties>
</file>