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79CC" w14:textId="6FEF8C77" w:rsidR="000F3FDB" w:rsidRPr="003F3120" w:rsidRDefault="00A37F24" w:rsidP="00A37F24">
      <w:pPr>
        <w:pStyle w:val="CH1"/>
      </w:pPr>
      <w:r>
        <w:tab/>
      </w:r>
      <w:r>
        <w:tab/>
        <w:t>D</w:t>
      </w:r>
      <w:r w:rsidR="006534B9">
        <w:t>écision </w:t>
      </w:r>
      <w:r w:rsidR="000F3FDB" w:rsidRPr="003F3120">
        <w:t>IPBES-7/</w:t>
      </w:r>
      <w:r w:rsidR="00F14BB2" w:rsidRPr="003F3120">
        <w:t>1</w:t>
      </w:r>
      <w:r w:rsidR="00FD5D6A">
        <w:t> :</w:t>
      </w:r>
      <w:r w:rsidR="000F3FDB" w:rsidRPr="003F3120">
        <w:t xml:space="preserve"> Prog</w:t>
      </w:r>
      <w:r w:rsidR="00C6409C">
        <w:t>ramme de travail glissant de</w:t>
      </w:r>
      <w:r w:rsidR="007031E0">
        <w:t xml:space="preserve"> la </w:t>
      </w:r>
      <w:r w:rsidR="000F3FDB" w:rsidRPr="003F3120">
        <w:t>Plateforme inter</w:t>
      </w:r>
      <w:r w:rsidR="00C6409C">
        <w:t>gouvernementale scientifique et politique sur</w:t>
      </w:r>
      <w:r w:rsidR="007031E0">
        <w:t xml:space="preserve"> la </w:t>
      </w:r>
      <w:r w:rsidR="00C6409C">
        <w:t>biodiversité et</w:t>
      </w:r>
      <w:r w:rsidR="007031E0">
        <w:t xml:space="preserve"> les </w:t>
      </w:r>
      <w:r w:rsidR="000F3FDB" w:rsidRPr="003F3120">
        <w:t xml:space="preserve">services écosystémiques </w:t>
      </w:r>
      <w:r w:rsidR="005165E3" w:rsidRPr="003F3120">
        <w:t>pour</w:t>
      </w:r>
      <w:r w:rsidR="007031E0">
        <w:t xml:space="preserve"> la </w:t>
      </w:r>
      <w:r w:rsidR="005165E3" w:rsidRPr="003F3120">
        <w:t xml:space="preserve">période allant </w:t>
      </w:r>
      <w:r w:rsidR="000F3FDB" w:rsidRPr="003F3120">
        <w:t>jusqu</w:t>
      </w:r>
      <w:r w:rsidR="00FA5ADB">
        <w:t>’</w:t>
      </w:r>
      <w:r w:rsidR="000F3FDB" w:rsidRPr="003F3120">
        <w:t>en 2030</w:t>
      </w:r>
    </w:p>
    <w:p w14:paraId="660551D0" w14:textId="77777777" w:rsidR="000F3FDB" w:rsidRPr="003F3120" w:rsidRDefault="000F3FDB" w:rsidP="000F3FDB">
      <w:pPr>
        <w:pStyle w:val="NormalNonumber"/>
        <w:rPr>
          <w:i/>
          <w:lang w:val="fr-FR"/>
        </w:rPr>
      </w:pPr>
      <w:r w:rsidRPr="003F3120">
        <w:rPr>
          <w:lang w:val="fr-FR"/>
        </w:rPr>
        <w:tab/>
      </w:r>
      <w:r w:rsidRPr="003F3120">
        <w:rPr>
          <w:i/>
          <w:lang w:val="fr-FR"/>
        </w:rPr>
        <w:t>La Plénière,</w:t>
      </w:r>
    </w:p>
    <w:p w14:paraId="75207612" w14:textId="353B8AD8" w:rsidR="000F3FDB" w:rsidRPr="003F3120" w:rsidRDefault="00C6409C" w:rsidP="000F3FDB">
      <w:pPr>
        <w:pStyle w:val="NormalNonumber"/>
        <w:rPr>
          <w:i/>
          <w:lang w:val="fr-FR"/>
        </w:rPr>
      </w:pPr>
      <w:r>
        <w:rPr>
          <w:i/>
          <w:iCs/>
          <w:lang w:val="fr-FR"/>
        </w:rPr>
        <w:tab/>
        <w:t xml:space="preserve">Rappelant </w:t>
      </w:r>
      <w:r w:rsidRPr="00520B69">
        <w:rPr>
          <w:iCs/>
          <w:lang w:val="fr-FR"/>
        </w:rPr>
        <w:t>ses</w:t>
      </w:r>
      <w:r>
        <w:rPr>
          <w:i/>
          <w:iCs/>
          <w:lang w:val="fr-FR"/>
        </w:rPr>
        <w:t xml:space="preserve"> </w:t>
      </w:r>
      <w:r w:rsidR="000F3FDB" w:rsidRPr="003F3120">
        <w:rPr>
          <w:lang w:val="fr-FR"/>
        </w:rPr>
        <w:t>décisions IPBES-5/3 et IPBES-6/2,</w:t>
      </w:r>
    </w:p>
    <w:p w14:paraId="795E84C0" w14:textId="0ABDD463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Accueillant avec satisfaction</w:t>
      </w:r>
      <w:r w:rsidR="007031E0">
        <w:rPr>
          <w:i/>
          <w:iCs/>
          <w:lang w:val="fr-FR"/>
        </w:rPr>
        <w:t xml:space="preserve"> les </w:t>
      </w:r>
      <w:r w:rsidRPr="003F3120">
        <w:rPr>
          <w:lang w:val="fr-FR"/>
        </w:rPr>
        <w:t>effor</w:t>
      </w:r>
      <w:r w:rsidR="00C6409C">
        <w:rPr>
          <w:lang w:val="fr-FR"/>
        </w:rPr>
        <w:t>ts déployés par</w:t>
      </w:r>
      <w:r w:rsidR="007031E0">
        <w:rPr>
          <w:lang w:val="fr-FR"/>
        </w:rPr>
        <w:t xml:space="preserve"> le </w:t>
      </w:r>
      <w:r w:rsidR="00C6409C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ainsi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contribution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C6409C">
        <w:rPr>
          <w:lang w:val="fr-FR"/>
        </w:rPr>
        <w:t xml:space="preserve"> et</w:t>
      </w:r>
      <w:r w:rsidR="007031E0">
        <w:rPr>
          <w:lang w:val="fr-FR"/>
        </w:rPr>
        <w:t xml:space="preserve"> des </w:t>
      </w:r>
      <w:r w:rsidR="00C6409C">
        <w:rPr>
          <w:lang w:val="fr-FR"/>
        </w:rPr>
        <w:t>parties prenantes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 politique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à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du programme de travail glissant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</w:t>
      </w:r>
      <w:r w:rsidR="005165E3" w:rsidRPr="003F3120">
        <w:rPr>
          <w:lang w:val="fr-FR"/>
        </w:rPr>
        <w:t>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 xml:space="preserve">période allant </w:t>
      </w:r>
      <w:r w:rsidRPr="003F3120">
        <w:rPr>
          <w:lang w:val="fr-FR"/>
        </w:rPr>
        <w:t>jusqu</w:t>
      </w:r>
      <w:r w:rsidR="00FA5ADB">
        <w:rPr>
          <w:lang w:val="fr-FR"/>
        </w:rPr>
        <w:t>’</w:t>
      </w:r>
      <w:r w:rsidRPr="003F3120">
        <w:rPr>
          <w:lang w:val="fr-FR"/>
        </w:rPr>
        <w:t>en 2030,</w:t>
      </w:r>
    </w:p>
    <w:p w14:paraId="3A17AF77" w14:textId="51C629AF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Se félicitant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demandes, contribution</w:t>
      </w:r>
      <w:r w:rsidR="00C6409C">
        <w:rPr>
          <w:lang w:val="fr-FR"/>
        </w:rPr>
        <w:t>s et suggestions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priorités à court terme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besoins stratégiques à plus long terme,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celles présentées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organes compétents d</w:t>
      </w:r>
      <w:r w:rsidR="00FA5ADB">
        <w:rPr>
          <w:lang w:val="fr-FR"/>
        </w:rPr>
        <w:t>’</w:t>
      </w:r>
      <w:r w:rsidRPr="003F3120">
        <w:rPr>
          <w:lang w:val="fr-FR"/>
        </w:rPr>
        <w:t>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 relatifs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aux services écosystémiques,</w:t>
      </w:r>
    </w:p>
    <w:p w14:paraId="39B3297E" w14:textId="5C15D686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Prenant note</w:t>
      </w:r>
      <w:r w:rsidRPr="003F3120">
        <w:rPr>
          <w:lang w:val="fr-FR"/>
        </w:rPr>
        <w:t xml:space="preserve"> du rapport du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 du Bureau</w:t>
      </w:r>
      <w:r w:rsidRPr="003F3120">
        <w:rPr>
          <w:rStyle w:val="FootnoteReference"/>
          <w:szCs w:val="20"/>
          <w:lang w:val="fr-FR"/>
        </w:rPr>
        <w:footnoteReference w:id="1"/>
      </w:r>
      <w:r w:rsidR="00C6409C">
        <w:rPr>
          <w:lang w:val="fr-FR"/>
        </w:rPr>
        <w:t xml:space="preserve"> contenant une</w:t>
      </w:r>
      <w:r w:rsidR="00A37F24">
        <w:rPr>
          <w:lang w:val="fr-FR"/>
        </w:rPr>
        <w:t> </w:t>
      </w:r>
      <w:r w:rsidRPr="003F3120">
        <w:rPr>
          <w:lang w:val="fr-FR"/>
        </w:rPr>
        <w:t>liste hiérarchisée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demandes, contributions et sugge</w:t>
      </w:r>
      <w:r w:rsidR="00C6409C">
        <w:rPr>
          <w:lang w:val="fr-FR"/>
        </w:rPr>
        <w:t xml:space="preserve">stions établie comme </w:t>
      </w:r>
      <w:proofErr w:type="gramStart"/>
      <w:r w:rsidR="00C6409C">
        <w:rPr>
          <w:lang w:val="fr-FR"/>
        </w:rPr>
        <w:t>suite à</w:t>
      </w:r>
      <w:proofErr w:type="gramEnd"/>
      <w:r w:rsidR="007031E0">
        <w:rPr>
          <w:lang w:val="fr-FR"/>
        </w:rPr>
        <w:t xml:space="preserve"> la </w:t>
      </w:r>
      <w:r w:rsidR="00C6409C">
        <w:rPr>
          <w:lang w:val="fr-FR"/>
        </w:rPr>
        <w:t>décision IPBES</w:t>
      </w:r>
      <w:r w:rsidR="00C6409C">
        <w:rPr>
          <w:lang w:val="fr-FR"/>
        </w:rPr>
        <w:noBreakHyphen/>
      </w:r>
      <w:r w:rsidRPr="003F3120">
        <w:rPr>
          <w:lang w:val="fr-FR"/>
        </w:rPr>
        <w:t>6/2 et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de réce</w:t>
      </w:r>
      <w:r w:rsidR="00C6409C">
        <w:rPr>
          <w:lang w:val="fr-FR"/>
        </w:rPr>
        <w:t>ption et de hiérarchisation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 présentées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qui figure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</w:t>
      </w:r>
      <w:r w:rsidRPr="003F3120">
        <w:rPr>
          <w:lang w:val="fr-FR"/>
        </w:rPr>
        <w:noBreakHyphen/>
        <w:t>1/3,</w:t>
      </w:r>
    </w:p>
    <w:p w14:paraId="686C9209" w14:textId="798BDEB2" w:rsidR="004843BC" w:rsidRPr="003F3120" w:rsidRDefault="000F3FDB" w:rsidP="00ED6939">
      <w:pPr>
        <w:numPr>
          <w:ilvl w:val="0"/>
          <w:numId w:val="2"/>
        </w:numPr>
        <w:tabs>
          <w:tab w:val="clear" w:pos="1134"/>
          <w:tab w:val="num" w:pos="624"/>
        </w:tabs>
        <w:spacing w:after="120"/>
        <w:ind w:firstLine="624"/>
      </w:pPr>
      <w:r w:rsidRPr="003F3120">
        <w:rPr>
          <w:i/>
          <w:iCs/>
        </w:rPr>
        <w:t>Adopte</w:t>
      </w:r>
      <w:r w:rsidR="007031E0">
        <w:t xml:space="preserve"> le </w:t>
      </w:r>
      <w:r w:rsidRPr="003F3120">
        <w:t>prog</w:t>
      </w:r>
      <w:r w:rsidR="00C6409C">
        <w:t>ramme de travail glissant de</w:t>
      </w:r>
      <w:r w:rsidR="007031E0">
        <w:t xml:space="preserve"> la </w:t>
      </w:r>
      <w:r w:rsidRPr="003F3120">
        <w:t xml:space="preserve">Plateforme </w:t>
      </w:r>
      <w:r w:rsidR="005165E3" w:rsidRPr="003F3120">
        <w:t>pour</w:t>
      </w:r>
      <w:r w:rsidR="007031E0">
        <w:t xml:space="preserve"> la </w:t>
      </w:r>
      <w:r w:rsidR="005165E3" w:rsidRPr="003F3120">
        <w:t xml:space="preserve">période allant </w:t>
      </w:r>
      <w:r w:rsidRPr="003F3120">
        <w:t>jusqu</w:t>
      </w:r>
      <w:r w:rsidR="00FA5ADB">
        <w:t>’</w:t>
      </w:r>
      <w:r w:rsidR="00C6409C">
        <w:t xml:space="preserve">en 2030, qui figure dans </w:t>
      </w:r>
      <w:r w:rsidRPr="003F3120">
        <w:t>l</w:t>
      </w:r>
      <w:r w:rsidR="00FA5ADB">
        <w:t>’</w:t>
      </w:r>
      <w:r w:rsidR="00C6409C">
        <w:t>annexe I de</w:t>
      </w:r>
      <w:r w:rsidR="007031E0">
        <w:t xml:space="preserve"> la </w:t>
      </w:r>
      <w:r w:rsidRPr="003F3120">
        <w:t>présente décision</w:t>
      </w:r>
      <w:r w:rsidR="00FD5D6A">
        <w:t> ;</w:t>
      </w:r>
    </w:p>
    <w:p w14:paraId="282B5709" w14:textId="4C77558D" w:rsidR="004843BC" w:rsidRPr="003F3120" w:rsidRDefault="000F3FDB" w:rsidP="00ED6939">
      <w:pPr>
        <w:numPr>
          <w:ilvl w:val="0"/>
          <w:numId w:val="2"/>
        </w:numPr>
        <w:tabs>
          <w:tab w:val="num" w:pos="624"/>
        </w:tabs>
        <w:spacing w:after="120"/>
        <w:ind w:firstLine="624"/>
        <w:rPr>
          <w:i/>
        </w:rPr>
      </w:pPr>
      <w:r w:rsidRPr="003F3120">
        <w:rPr>
          <w:i/>
          <w:iCs/>
        </w:rPr>
        <w:t xml:space="preserve">Décide </w:t>
      </w:r>
      <w:r w:rsidRPr="003F3120">
        <w:t>de lancer un appel sollicitant de nouvelles demandes, contributions et suggestions concer</w:t>
      </w:r>
      <w:r w:rsidR="00C6409C">
        <w:t>nant</w:t>
      </w:r>
      <w:r w:rsidR="007031E0">
        <w:t xml:space="preserve"> le </w:t>
      </w:r>
      <w:r w:rsidRPr="003F3120">
        <w:t xml:space="preserve">programme de travail, assorti de délais </w:t>
      </w:r>
      <w:r w:rsidR="00C6409C">
        <w:t>lui permettant de procéder à un</w:t>
      </w:r>
      <w:r w:rsidR="00A37F24">
        <w:t> </w:t>
      </w:r>
      <w:r w:rsidRPr="003F3120">
        <w:t xml:space="preserve">examen à sa dixième session, et </w:t>
      </w:r>
      <w:r w:rsidR="00993AE7">
        <w:t>de déterminer</w:t>
      </w:r>
      <w:r w:rsidRPr="003F3120">
        <w:t xml:space="preserve"> à cette même session s</w:t>
      </w:r>
      <w:r w:rsidR="00FA5ADB">
        <w:t>’</w:t>
      </w:r>
      <w:r w:rsidRPr="003F3120">
        <w:t>il faut organiser d</w:t>
      </w:r>
      <w:r w:rsidR="00FA5ADB">
        <w:t>’</w:t>
      </w:r>
      <w:r w:rsidR="00C6409C">
        <w:t>autres appels et,</w:t>
      </w:r>
      <w:r w:rsidR="007031E0">
        <w:t xml:space="preserve"> le </w:t>
      </w:r>
      <w:r w:rsidRPr="003F3120">
        <w:t>cas échéant, à quel moment</w:t>
      </w:r>
      <w:r w:rsidR="00FD5D6A">
        <w:t> ;</w:t>
      </w:r>
    </w:p>
    <w:p w14:paraId="2C75D7EE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I</w:t>
      </w:r>
    </w:p>
    <w:p w14:paraId="3FE98154" w14:textId="1091FE2F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Mise en œuvre du programme de travail glissant de</w:t>
      </w:r>
      <w:r w:rsidR="007031E0">
        <w:rPr>
          <w:b/>
          <w:bCs/>
          <w:lang w:val="fr-FR"/>
        </w:rPr>
        <w:t xml:space="preserve"> la </w:t>
      </w:r>
      <w:r w:rsidRPr="003F3120">
        <w:rPr>
          <w:b/>
          <w:bCs/>
          <w:lang w:val="fr-FR"/>
        </w:rPr>
        <w:t xml:space="preserve">Plateforme </w:t>
      </w:r>
      <w:r w:rsidR="005165E3" w:rsidRPr="003F3120">
        <w:rPr>
          <w:b/>
          <w:lang w:val="fr-FR"/>
        </w:rPr>
        <w:t>pour</w:t>
      </w:r>
      <w:r w:rsidR="007031E0">
        <w:rPr>
          <w:b/>
          <w:lang w:val="fr-FR"/>
        </w:rPr>
        <w:t xml:space="preserve"> la </w:t>
      </w:r>
      <w:r w:rsidR="005165E3" w:rsidRPr="003F3120">
        <w:rPr>
          <w:b/>
          <w:lang w:val="fr-FR"/>
        </w:rPr>
        <w:t>période allant</w:t>
      </w:r>
      <w:r w:rsidR="00A37F24">
        <w:rPr>
          <w:b/>
          <w:lang w:val="fr-FR"/>
        </w:rPr>
        <w:t> </w:t>
      </w:r>
      <w:r w:rsidRPr="003F3120">
        <w:rPr>
          <w:b/>
          <w:bCs/>
          <w:lang w:val="fr-FR"/>
        </w:rPr>
        <w:t>jusqu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en 2030</w:t>
      </w:r>
    </w:p>
    <w:p w14:paraId="7C13525F" w14:textId="3003E03A" w:rsidR="004C0022" w:rsidRPr="003F3120" w:rsidRDefault="002D74CD" w:rsidP="004C0022">
      <w:pPr>
        <w:pStyle w:val="NormalNonumber"/>
        <w:keepNext/>
        <w:keepLines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de procéder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mise en œuvre du prog</w:t>
      </w:r>
      <w:r w:rsidR="00C6409C">
        <w:rPr>
          <w:lang w:val="fr-FR"/>
        </w:rPr>
        <w:t>ramme de travail glissant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Plateforme </w:t>
      </w:r>
      <w:r w:rsidR="005165E3" w:rsidRPr="003F3120">
        <w:rPr>
          <w:lang w:val="fr-FR"/>
        </w:rPr>
        <w:t>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 xml:space="preserve">période allant </w:t>
      </w:r>
      <w:r w:rsidR="004C0022" w:rsidRPr="003F3120">
        <w:rPr>
          <w:lang w:val="fr-FR"/>
        </w:rPr>
        <w:t>jusqu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en 2030 conformément au b</w:t>
      </w:r>
      <w:r w:rsidR="00C6409C">
        <w:rPr>
          <w:lang w:val="fr-FR"/>
        </w:rPr>
        <w:t>udget approuvé figurant dans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</w:t>
      </w:r>
      <w:r w:rsidR="004C0022" w:rsidRPr="003F3120">
        <w:rPr>
          <w:lang w:val="fr-FR"/>
        </w:rPr>
        <w:noBreakHyphen/>
        <w:t>7/</w:t>
      </w:r>
      <w:r w:rsidR="00252F48" w:rsidRPr="003F3120">
        <w:rPr>
          <w:lang w:val="fr-FR"/>
        </w:rPr>
        <w:t>4 et dans</w:t>
      </w:r>
      <w:r w:rsidR="007031E0">
        <w:rPr>
          <w:lang w:val="fr-FR"/>
        </w:rPr>
        <w:t xml:space="preserve"> la </w:t>
      </w:r>
      <w:r w:rsidR="00252F48" w:rsidRPr="003F3120">
        <w:rPr>
          <w:lang w:val="fr-FR"/>
        </w:rPr>
        <w:t>limite</w:t>
      </w:r>
      <w:r w:rsidR="007031E0">
        <w:rPr>
          <w:lang w:val="fr-FR"/>
        </w:rPr>
        <w:t xml:space="preserve"> des </w:t>
      </w:r>
      <w:r w:rsidR="00252F48" w:rsidRPr="003F3120">
        <w:rPr>
          <w:lang w:val="fr-FR"/>
        </w:rPr>
        <w:t>ressources disponibles</w:t>
      </w:r>
      <w:r w:rsidR="00FD5D6A">
        <w:rPr>
          <w:lang w:val="fr-FR"/>
        </w:rPr>
        <w:t> ;</w:t>
      </w:r>
    </w:p>
    <w:p w14:paraId="0C4C0512" w14:textId="532926FB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lui prése</w:t>
      </w:r>
      <w:r w:rsidR="00C6409C">
        <w:rPr>
          <w:lang w:val="fr-FR"/>
        </w:rPr>
        <w:t>nter, à sa huitième session, un rapport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progrès accomplis dans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exécution du program</w:t>
      </w:r>
      <w:r w:rsidR="00C6409C">
        <w:rPr>
          <w:lang w:val="fr-FR"/>
        </w:rPr>
        <w:t>me de travail conformément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5B6B2F12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bCs/>
          <w:lang w:val="fr-FR"/>
        </w:rPr>
      </w:pPr>
      <w:r w:rsidRPr="003F3120">
        <w:rPr>
          <w:b/>
          <w:bCs/>
          <w:lang w:val="fr-FR"/>
        </w:rPr>
        <w:t>II</w:t>
      </w:r>
    </w:p>
    <w:p w14:paraId="39F9B3D6" w14:textId="22F751F1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bCs/>
          <w:lang w:val="fr-FR"/>
        </w:rPr>
      </w:pPr>
      <w:r w:rsidRPr="003F3120">
        <w:rPr>
          <w:b/>
          <w:bCs/>
          <w:lang w:val="fr-FR"/>
        </w:rPr>
        <w:t>Évaluation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connaissances</w:t>
      </w:r>
    </w:p>
    <w:p w14:paraId="3B74DA9B" w14:textId="356C3417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Approuve</w:t>
      </w:r>
      <w:r w:rsidR="007031E0">
        <w:rPr>
          <w:i/>
          <w:iCs/>
          <w:lang w:val="fr-FR"/>
        </w:rPr>
        <w:t xml:space="preserve"> le </w:t>
      </w:r>
      <w:r w:rsidR="004C0022"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services écosystémiques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2"/>
      </w:r>
      <w:r w:rsidR="004C0022" w:rsidRPr="003F3120">
        <w:rPr>
          <w:lang w:val="fr-FR"/>
        </w:rPr>
        <w:t xml:space="preserve"> et accepte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chapitres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évaluation,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compris leurs résumés analytiques</w:t>
      </w:r>
      <w:r w:rsidR="004C0022" w:rsidRPr="003F3120">
        <w:rPr>
          <w:rFonts w:eastAsia="Calibri"/>
          <w:vertAlign w:val="superscript"/>
          <w:lang w:val="fr-FR"/>
        </w:rPr>
        <w:footnoteReference w:id="3"/>
      </w:r>
      <w:r w:rsidR="00FD5D6A">
        <w:rPr>
          <w:lang w:val="fr-FR"/>
        </w:rPr>
        <w:t> ;</w:t>
      </w:r>
    </w:p>
    <w:p w14:paraId="0CF33930" w14:textId="5F87AC78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Approuve également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deux processus de cadrage suivants, pour examen à sa huitième session</w:t>
      </w:r>
      <w:r w:rsidR="00FD5D6A">
        <w:rPr>
          <w:lang w:val="fr-FR"/>
        </w:rPr>
        <w:t> :</w:t>
      </w:r>
    </w:p>
    <w:p w14:paraId="69E5A7D9" w14:textId="50CB887F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a)</w:t>
      </w:r>
      <w:r w:rsidR="004C0022" w:rsidRPr="003F3120">
        <w:rPr>
          <w:lang w:val="fr-FR"/>
        </w:rPr>
        <w:tab/>
        <w:t>Une évaluation thématique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 xml:space="preserve">liens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 xml:space="preserve">interdépendance </w:t>
      </w:r>
      <w:r w:rsidR="004C0022" w:rsidRPr="003F3120">
        <w:rPr>
          <w:lang w:val="fr-FR"/>
        </w:rPr>
        <w:t>entre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biodiversité, </w:t>
      </w:r>
      <w:r w:rsidR="003849C4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 xml:space="preserve">eau, </w:t>
      </w:r>
      <w:r w:rsidR="003849C4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alimentation et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santé, conformément aux 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4"/>
      </w:r>
      <w:r w:rsidR="004C0022" w:rsidRPr="003F3120">
        <w:rPr>
          <w:lang w:val="fr-FR"/>
        </w:rPr>
        <w:t xml:space="preserve"> et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du rapport initial de cadrage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5"/>
      </w:r>
      <w:r w:rsidR="00FD5D6A">
        <w:rPr>
          <w:lang w:val="fr-FR"/>
        </w:rPr>
        <w:t> ;</w:t>
      </w:r>
      <w:bookmarkStart w:id="0" w:name="_Hlk500170660"/>
    </w:p>
    <w:p w14:paraId="2A651FA0" w14:textId="42476865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b)</w:t>
      </w:r>
      <w:r w:rsidR="004C0022" w:rsidRPr="003F3120">
        <w:rPr>
          <w:lang w:val="fr-FR"/>
        </w:rPr>
        <w:tab/>
      </w:r>
      <w:bookmarkStart w:id="1" w:name="_DV_C123"/>
      <w:r w:rsidR="004C0022" w:rsidRPr="003F3120">
        <w:rPr>
          <w:lang w:val="fr-FR"/>
        </w:rPr>
        <w:t>Une évaluation thématique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causes profondes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perte de biodiversité </w:t>
      </w:r>
      <w:r w:rsidR="004C0022" w:rsidRPr="003F3120">
        <w:rPr>
          <w:rStyle w:val="DeltaViewInsertion"/>
          <w:color w:val="auto"/>
          <w:u w:val="none"/>
          <w:lang w:val="fr-FR"/>
        </w:rPr>
        <w:t>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moteurs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transformation ainsi que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mesures pouvant être prises pour concrétiser</w:t>
      </w:r>
      <w:r w:rsidR="007031E0">
        <w:rPr>
          <w:rStyle w:val="DeltaViewInsertion"/>
          <w:color w:val="auto"/>
          <w:u w:val="none"/>
          <w:lang w:val="fr-FR"/>
        </w:rPr>
        <w:t xml:space="preserve"> </w:t>
      </w:r>
      <w:r w:rsidR="007031E0">
        <w:rPr>
          <w:rStyle w:val="DeltaViewInsertion"/>
          <w:color w:val="auto"/>
          <w:u w:val="none"/>
          <w:lang w:val="fr-FR"/>
        </w:rPr>
        <w:lastRenderedPageBreak/>
        <w:t>la </w:t>
      </w:r>
      <w:r w:rsidR="004C0022" w:rsidRPr="003F3120">
        <w:rPr>
          <w:rStyle w:val="DeltaViewInsertion"/>
          <w:color w:val="auto"/>
          <w:u w:val="none"/>
          <w:lang w:val="fr-FR"/>
        </w:rPr>
        <w:t>Vision 2050 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biodiversité, conformément aux procédures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établissement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produits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</w:t>
      </w:r>
      <w:r w:rsidR="004C0022" w:rsidRPr="003F3120">
        <w:rPr>
          <w:rStyle w:val="DeltaViewInsertion"/>
          <w:color w:val="auto"/>
          <w:u w:val="none"/>
          <w:vertAlign w:val="superscript"/>
          <w:lang w:val="fr-FR"/>
        </w:rPr>
        <w:t>4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et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base du rapport initial de cadrage de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évaluation</w:t>
      </w:r>
      <w:r w:rsidR="009E2DCC">
        <w:rPr>
          <w:rStyle w:val="FootnoteReference"/>
          <w:lang w:val="fr-FR"/>
        </w:rPr>
        <w:footnoteReference w:id="6"/>
      </w:r>
      <w:bookmarkEnd w:id="1"/>
      <w:r w:rsidR="00C6409C">
        <w:rPr>
          <w:rStyle w:val="DeltaViewInsertion"/>
          <w:color w:val="auto"/>
          <w:u w:val="none"/>
          <w:vertAlign w:val="superscript"/>
          <w:lang w:val="fr-FR"/>
        </w:rPr>
        <w:t> </w:t>
      </w:r>
      <w:r w:rsidR="00C6409C">
        <w:rPr>
          <w:rStyle w:val="DeltaViewInsertion"/>
          <w:color w:val="auto"/>
          <w:u w:val="none"/>
          <w:lang w:val="fr-FR"/>
        </w:rPr>
        <w:t>;</w:t>
      </w:r>
    </w:p>
    <w:p w14:paraId="047B1745" w14:textId="45AC24FC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Groupe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experts multidisciplinaire,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Bureau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de faciliter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travaux entre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deux processus de cadrage en vue de dégager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plus de synergies possible</w:t>
      </w:r>
      <w:r w:rsidR="00993AE7">
        <w:rPr>
          <w:rStyle w:val="DeltaViewInsertion"/>
          <w:color w:val="auto"/>
          <w:u w:val="none"/>
          <w:lang w:val="fr-FR"/>
        </w:rPr>
        <w:t>s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entre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éviter que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mêmes sujets soient examinés deux fois</w:t>
      </w:r>
      <w:r w:rsidR="00FD5D6A">
        <w:rPr>
          <w:rStyle w:val="DeltaViewInsertion"/>
          <w:color w:val="auto"/>
          <w:u w:val="none"/>
          <w:lang w:val="fr-FR"/>
        </w:rPr>
        <w:t> ;</w:t>
      </w:r>
    </w:p>
    <w:p w14:paraId="013852E4" w14:textId="11ADB52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Approuve </w:t>
      </w:r>
      <w:r w:rsidR="004C0022" w:rsidRPr="00993AE7">
        <w:rPr>
          <w:iCs/>
          <w:lang w:val="fr-FR"/>
        </w:rPr>
        <w:t>un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processus de cadrage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 évaluation méthodologique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impact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entreprises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dépendance de ces dernières vis</w:t>
      </w:r>
      <w:r w:rsidR="004C0022" w:rsidRPr="003F3120">
        <w:rPr>
          <w:lang w:val="fr-FR"/>
        </w:rPr>
        <w:noBreakHyphen/>
        <w:t>à</w:t>
      </w:r>
      <w:r w:rsidR="004C0022" w:rsidRPr="003F3120">
        <w:rPr>
          <w:lang w:val="fr-FR"/>
        </w:rPr>
        <w:noBreakHyphen/>
        <w:t>vis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ainsi 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contributions apportées par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nature aux</w:t>
      </w:r>
      <w:r w:rsidR="003D36E8" w:rsidRPr="003F3120">
        <w:rPr>
          <w:lang w:val="fr-FR"/>
        </w:rPr>
        <w:t xml:space="preserve"> populations, pour examen à sa </w:t>
      </w:r>
      <w:r w:rsidR="004C0022" w:rsidRPr="003F3120">
        <w:rPr>
          <w:lang w:val="fr-FR"/>
        </w:rPr>
        <w:t>neuvième session, conformément aux 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vertAlign w:val="superscript"/>
          <w:lang w:val="fr-FR"/>
        </w:rPr>
        <w:t>4</w:t>
      </w:r>
      <w:r w:rsidR="00520B69">
        <w:rPr>
          <w:lang w:val="fr-FR"/>
        </w:rPr>
        <w:t xml:space="preserve"> et </w:t>
      </w:r>
      <w:r w:rsidR="004C0022" w:rsidRPr="003F3120">
        <w:rPr>
          <w:lang w:val="fr-FR"/>
        </w:rPr>
        <w:t>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du rapport initial de cadrage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7"/>
      </w:r>
      <w:r w:rsidR="004C0022" w:rsidRPr="003F3120">
        <w:rPr>
          <w:lang w:val="fr-FR"/>
        </w:rPr>
        <w:t>, et décide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envisager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effectuer cette évaluation sur une période de deux ans selon une méthode accélérée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8"/>
      </w:r>
      <w:r w:rsidR="00FD5D6A">
        <w:rPr>
          <w:lang w:val="fr-FR"/>
        </w:rPr>
        <w:t> ;</w:t>
      </w:r>
    </w:p>
    <w:p w14:paraId="68D0975E" w14:textId="2AC9662E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5.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Décide</w:t>
      </w:r>
      <w:r w:rsidR="004C0022" w:rsidRPr="003F3120">
        <w:rPr>
          <w:rStyle w:val="DeltaViewInsertion"/>
          <w:color w:val="auto"/>
          <w:u w:val="none"/>
          <w:lang w:val="fr-FR"/>
        </w:rPr>
        <w:t>, dans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cadre du processus de cadrage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FC442C">
        <w:rPr>
          <w:rStyle w:val="DeltaViewInsertion"/>
          <w:color w:val="auto"/>
          <w:u w:val="none"/>
          <w:lang w:val="fr-FR"/>
        </w:rPr>
        <w:t>évaluations visé au paragraphe </w:t>
      </w:r>
      <w:r w:rsidR="004C0022" w:rsidRPr="003F3120">
        <w:rPr>
          <w:rStyle w:val="DeltaViewInsertion"/>
          <w:color w:val="auto"/>
          <w:u w:val="none"/>
          <w:lang w:val="fr-FR"/>
        </w:rPr>
        <w:t>2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présente section,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 comment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fonctions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en matière de renforcement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capacités, de consolidation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base de connaissances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appui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élaboration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politiques ainsi que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différentes équipes spéciales peuvent être utilisées pour faciliter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préparation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réalisation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ainsi que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adoption de politiques de manière intégrée</w:t>
      </w:r>
      <w:r w:rsidR="00FD5D6A">
        <w:rPr>
          <w:rStyle w:val="DeltaViewInsertion"/>
          <w:color w:val="auto"/>
          <w:u w:val="none"/>
          <w:lang w:val="fr-FR"/>
        </w:rPr>
        <w:t> ;</w:t>
      </w:r>
    </w:p>
    <w:bookmarkEnd w:id="0"/>
    <w:p w14:paraId="254BE73D" w14:textId="2F730EEF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6.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Approuve </w:t>
      </w:r>
      <w:r w:rsidR="004C0022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 document technique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changements climatiques fondé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documents auxquels renvoient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établis par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ou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figurant et, de manière exceptionnelle,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du 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 xml:space="preserve">évolution du climat, </w:t>
      </w:r>
      <w:bookmarkStart w:id="3" w:name="_DV_C151"/>
      <w:r w:rsidR="004C0022" w:rsidRPr="003F3120">
        <w:rPr>
          <w:lang w:val="fr-FR"/>
        </w:rPr>
        <w:t>en vue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informer, entre autres,</w:t>
      </w:r>
      <w:r w:rsidR="007031E0">
        <w:rPr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Conférence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Parties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Convention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diversité biologique à sa quinzième</w:t>
      </w:r>
      <w:r w:rsidR="00FC442C">
        <w:rPr>
          <w:rStyle w:val="DeltaViewInsertion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color w:val="auto"/>
          <w:u w:val="none"/>
          <w:lang w:val="fr-FR"/>
        </w:rPr>
        <w:t>réunion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Conférence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Parties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Convention-cadre</w:t>
      </w:r>
      <w:r w:rsidR="007031E0">
        <w:rPr>
          <w:rStyle w:val="FootnoteReference"/>
          <w:bCs/>
          <w:szCs w:val="20"/>
          <w:vertAlign w:val="baseline"/>
          <w:lang w:val="fr-FR"/>
        </w:rPr>
        <w:t xml:space="preserve"> des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Nations Unies sur</w:t>
      </w:r>
      <w:r w:rsidR="007031E0">
        <w:rPr>
          <w:rStyle w:val="FootnoteReference"/>
          <w:bCs/>
          <w:szCs w:val="20"/>
          <w:vertAlign w:val="baseline"/>
          <w:lang w:val="fr-FR"/>
        </w:rPr>
        <w:t xml:space="preserve"> les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changements climatiques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à sa vingt-sixième session, par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biais du document technique devant être produit</w:t>
      </w:r>
      <w:bookmarkEnd w:id="3"/>
      <w:r w:rsidR="004C0022" w:rsidRPr="003F3120">
        <w:rPr>
          <w:rStyle w:val="DeltaViewInsertion"/>
          <w:color w:val="auto"/>
          <w:u w:val="none"/>
          <w:lang w:val="fr-FR"/>
        </w:rPr>
        <w:t>,</w:t>
      </w:r>
      <w:r w:rsidR="004C0022" w:rsidRPr="00993AE7">
        <w:rPr>
          <w:rStyle w:val="DeltaViewInsertion"/>
          <w:color w:val="auto"/>
          <w:u w:val="none"/>
          <w:lang w:val="fr-FR"/>
        </w:rPr>
        <w:t xml:space="preserve"> </w:t>
      </w:r>
      <w:r w:rsidR="004C0022" w:rsidRPr="003F3120">
        <w:rPr>
          <w:lang w:val="fr-FR"/>
        </w:rPr>
        <w:t>conformément au processus de validation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documents techniques, qui figure dans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9"/>
      </w:r>
      <w:r w:rsidR="004C0022" w:rsidRPr="003F3120">
        <w:rPr>
          <w:lang w:val="fr-FR"/>
        </w:rPr>
        <w:t>, et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note de cadrage du document technique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10"/>
      </w:r>
      <w:r w:rsidR="00FD5D6A">
        <w:rPr>
          <w:lang w:val="fr-FR"/>
        </w:rPr>
        <w:t> ;</w:t>
      </w:r>
    </w:p>
    <w:p w14:paraId="6BF2D84A" w14:textId="51EBFB0C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7.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exécutive, à cette fin,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étudier, en collaboration avec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secrétariat du</w:t>
      </w:r>
      <w:r w:rsidR="00520B69">
        <w:rPr>
          <w:lang w:val="fr-FR"/>
        </w:rPr>
        <w:t>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évolution du climat,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activités conjointes pouvant être mises en œuvre dans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domaines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changements climatiques,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compris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possibilité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élaborer conjointement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document technique mentionné ci</w:t>
      </w:r>
      <w:r w:rsidR="004C0022" w:rsidRPr="003F3120">
        <w:rPr>
          <w:lang w:val="fr-FR"/>
        </w:rPr>
        <w:noBreakHyphen/>
        <w:t>dessus, et de lui faire rapport, à sa huitième session,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débats concernant</w:t>
      </w:r>
      <w:r w:rsidR="007031E0">
        <w:rPr>
          <w:lang w:val="fr-FR"/>
        </w:rPr>
        <w:t xml:space="preserve"> les </w:t>
      </w:r>
      <w:r w:rsidR="003D36E8" w:rsidRPr="003F3120">
        <w:rPr>
          <w:lang w:val="fr-FR"/>
        </w:rPr>
        <w:t>autres</w:t>
      </w:r>
      <w:r w:rsidR="004C0022" w:rsidRPr="003F3120">
        <w:rPr>
          <w:lang w:val="fr-FR"/>
        </w:rPr>
        <w:t xml:space="preserve"> activités conjointes potentielles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produits liés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 aux services écosystémiques ainsi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aux changements climatiques, en précisant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incidences en termes de temps et de ressources, et prie également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Secrétaire exécutive de transmettre rapidement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 au secrétariat du Groupe</w:t>
      </w:r>
      <w:r w:rsidR="00FD5D6A">
        <w:rPr>
          <w:lang w:val="fr-FR"/>
        </w:rPr>
        <w:t> ;</w:t>
      </w:r>
    </w:p>
    <w:p w14:paraId="5E607383" w14:textId="65EE1326" w:rsidR="004C0022" w:rsidRPr="003F3120" w:rsidRDefault="002D74CD" w:rsidP="004C0022">
      <w:pPr>
        <w:pStyle w:val="NormalNonumber"/>
        <w:rPr>
          <w:lang w:val="fr-FR"/>
        </w:rPr>
      </w:pPr>
      <w:bookmarkStart w:id="4" w:name="_DV_C175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8.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 xml:space="preserve">Décide </w:t>
      </w:r>
      <w:r w:rsidR="004C0022" w:rsidRPr="003F3120">
        <w:rPr>
          <w:rStyle w:val="DeltaViewInsertion"/>
          <w:color w:val="auto"/>
          <w:u w:val="none"/>
          <w:lang w:val="fr-FR"/>
        </w:rPr>
        <w:t>de réexaminer, à sa neuvième session,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demandes, contributions et suggestions reçues suffisamment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avance pour être examinées à ladite session,</w:t>
      </w:r>
      <w:r w:rsidR="007031E0">
        <w:rPr>
          <w:rStyle w:val="DeltaViewInsertion"/>
          <w:color w:val="auto"/>
          <w:u w:val="none"/>
          <w:lang w:val="fr-FR"/>
        </w:rPr>
        <w:t xml:space="preserve"> y </w:t>
      </w:r>
      <w:r w:rsidR="004C0022" w:rsidRPr="003F3120">
        <w:rPr>
          <w:rStyle w:val="DeltaViewInsertion"/>
          <w:color w:val="auto"/>
          <w:u w:val="none"/>
          <w:lang w:val="fr-FR"/>
        </w:rPr>
        <w:t>compris aux fins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une deuxième évaluation mondiale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services écosystémiques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une évaluation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connectivité écologique, et prie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inscrire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question à 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ordre du jour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neuvième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4"/>
    </w:p>
    <w:p w14:paraId="353C4055" w14:textId="18521A5E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9.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mettre régulièrement à jour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guide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évaluations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11"/>
      </w:r>
      <w:r w:rsidR="004C0022" w:rsidRPr="003F3120">
        <w:rPr>
          <w:lang w:val="fr-FR"/>
        </w:rPr>
        <w:t xml:space="preserve">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lumière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travaux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et de tout autre document pertinent</w:t>
      </w:r>
      <w:r w:rsidR="00FD5D6A">
        <w:rPr>
          <w:lang w:val="fr-FR"/>
        </w:rPr>
        <w:t> ;</w:t>
      </w:r>
    </w:p>
    <w:p w14:paraId="637CCB41" w14:textId="7DE244DB" w:rsidR="004C0022" w:rsidRPr="003F3120" w:rsidRDefault="002D74CD" w:rsidP="004C0022">
      <w:pPr>
        <w:pStyle w:val="NormalNonumber"/>
        <w:rPr>
          <w:rStyle w:val="DeltaViewInsertion"/>
          <w:color w:val="auto"/>
          <w:u w:val="none"/>
          <w:lang w:val="fr-FR"/>
        </w:rPr>
      </w:pPr>
      <w:bookmarkStart w:id="5" w:name="_DV_C184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10.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Groupe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experts multidisciplinaire et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Bureau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cadre conceptuel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conformément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FC442C">
        <w:rPr>
          <w:rStyle w:val="DeltaViewInsertion"/>
          <w:color w:val="auto"/>
          <w:u w:val="none"/>
          <w:lang w:val="fr-FR"/>
        </w:rPr>
        <w:t>objectif 6 </w:t>
      </w:r>
      <w:r w:rsidR="004C0022" w:rsidRPr="003F3120">
        <w:rPr>
          <w:rStyle w:val="DeltaViewInsertion"/>
          <w:color w:val="auto"/>
          <w:u w:val="none"/>
          <w:lang w:val="fr-FR"/>
        </w:rPr>
        <w:t>b) du programme de travail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5"/>
    </w:p>
    <w:p w14:paraId="458E564D" w14:textId="3181FA8A" w:rsidR="004C0022" w:rsidRPr="003F3120" w:rsidRDefault="002D74CD" w:rsidP="004C0022">
      <w:pPr>
        <w:pStyle w:val="NormalNonumber"/>
        <w:rPr>
          <w:lang w:val="fr-FR"/>
        </w:rPr>
      </w:pPr>
      <w:bookmarkStart w:id="6" w:name="_DV_C185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11. 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de faciliter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transmission aux personnes qui effectueront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futures évaluations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enseignements tirés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conseils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auteurs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passées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autres personnes ayant contribué à ces dernières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6"/>
    </w:p>
    <w:p w14:paraId="0091B213" w14:textId="6D0C1327" w:rsidR="004C0022" w:rsidRPr="003F3120" w:rsidRDefault="002D74CD" w:rsidP="004C0022">
      <w:pPr>
        <w:pStyle w:val="NormalNonumber"/>
        <w:rPr>
          <w:i/>
          <w:lang w:val="fr-FR"/>
        </w:rPr>
      </w:pPr>
      <w:bookmarkStart w:id="7" w:name="_DV_C186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12.</w:t>
      </w:r>
      <w:r w:rsidR="004C0022" w:rsidRPr="003F3120">
        <w:rPr>
          <w:rStyle w:val="DeltaViewInsertion"/>
          <w:i/>
          <w:color w:val="auto"/>
          <w:u w:val="none"/>
          <w:lang w:val="fr-FR"/>
        </w:rPr>
        <w:tab/>
        <w:t xml:space="preserve">Estime </w:t>
      </w:r>
      <w:r w:rsidR="004C0022" w:rsidRPr="003F3120">
        <w:rPr>
          <w:rStyle w:val="DeltaViewInsertion"/>
          <w:color w:val="auto"/>
          <w:u w:val="none"/>
          <w:lang w:val="fr-FR"/>
        </w:rPr>
        <w:t>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il faut gérer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avec souplesse en fonction de ses besoins et priorités et décide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 tout ajustement au calendrier et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liste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évaluations, si nécessaire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"/>
    </w:p>
    <w:p w14:paraId="70693E2B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lastRenderedPageBreak/>
        <w:t>III</w:t>
      </w:r>
    </w:p>
    <w:p w14:paraId="1082EB77" w14:textId="22FB4381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Renforcement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capacités</w:t>
      </w:r>
    </w:p>
    <w:p w14:paraId="098FEC35" w14:textId="0C435072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lang w:val="fr-FR"/>
        </w:rPr>
        <w:t>Rappelle</w:t>
      </w:r>
      <w:r w:rsidR="004C0022" w:rsidRPr="003F3120">
        <w:rPr>
          <w:lang w:val="fr-FR"/>
        </w:rPr>
        <w:t xml:space="preserve">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capacités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 du paragraphe 1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</w:t>
      </w:r>
      <w:r w:rsidR="00FC442C">
        <w:rPr>
          <w:lang w:val="fr-FR"/>
        </w:rPr>
        <w:t>alisation</w:t>
      </w:r>
      <w:r w:rsidR="007031E0">
        <w:rPr>
          <w:lang w:val="fr-FR"/>
        </w:rPr>
        <w:t xml:space="preserve"> des </w:t>
      </w:r>
      <w:r w:rsidR="00FC442C">
        <w:rPr>
          <w:lang w:val="fr-FR"/>
        </w:rPr>
        <w:t>objectifs 2 a), 2 b) et 2 </w:t>
      </w:r>
      <w:r w:rsidR="004C0022" w:rsidRPr="003F3120">
        <w:rPr>
          <w:lang w:val="fr-FR"/>
        </w:rPr>
        <w:t xml:space="preserve">c)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>, conformément au mandat révisé énoncé</w:t>
      </w:r>
      <w:r w:rsidR="003D36E8" w:rsidRPr="003F3120">
        <w:rPr>
          <w:lang w:val="fr-FR"/>
        </w:rPr>
        <w:t xml:space="preserve"> aux sections I et II de</w:t>
      </w:r>
      <w:r w:rsidR="004C0022"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="00FC442C">
        <w:rPr>
          <w:lang w:val="fr-FR"/>
        </w:rPr>
        <w:t>annexe </w:t>
      </w:r>
      <w:r w:rsidR="004C0022" w:rsidRPr="003F3120">
        <w:rPr>
          <w:lang w:val="fr-FR"/>
        </w:rPr>
        <w:t>II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716554AA" w14:textId="67AE66A2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à sa dixième session</w:t>
      </w:r>
      <w:r w:rsidR="00FD5D6A">
        <w:rPr>
          <w:lang w:val="fr-FR"/>
        </w:rPr>
        <w:t> ;</w:t>
      </w:r>
    </w:p>
    <w:p w14:paraId="576DEC6D" w14:textId="3F355BB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i/>
          <w:iCs/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doit entreprendre en 2019 et 2020</w:t>
      </w:r>
      <w:r w:rsidR="004C0022" w:rsidRPr="003F3120">
        <w:rPr>
          <w:rStyle w:val="FootnoteReference"/>
          <w:szCs w:val="20"/>
          <w:lang w:val="fr-FR"/>
        </w:rPr>
        <w:footnoteReference w:id="12"/>
      </w:r>
      <w:r w:rsidR="00FD5D6A">
        <w:rPr>
          <w:lang w:val="fr-FR"/>
        </w:rPr>
        <w:t> ;</w:t>
      </w:r>
    </w:p>
    <w:p w14:paraId="2F13F661" w14:textId="5485992D" w:rsidR="004C0022" w:rsidRPr="003F3120" w:rsidRDefault="002D74CD" w:rsidP="004C0022">
      <w:pPr>
        <w:pStyle w:val="NormalNonumber"/>
        <w:rPr>
          <w:lang w:val="fr-FR"/>
        </w:rPr>
      </w:pPr>
      <w:bookmarkStart w:id="8" w:name="_DV_C207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4. 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équipe spéciale de définir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sujets prio</w:t>
      </w:r>
      <w:r w:rsidR="00FC442C">
        <w:rPr>
          <w:rStyle w:val="DeltaViewInsertion"/>
          <w:color w:val="auto"/>
          <w:u w:val="none"/>
          <w:lang w:val="fr-FR"/>
        </w:rPr>
        <w:t>ritaires énumérés au paragraphe </w:t>
      </w:r>
      <w:r w:rsidR="00F14BB2" w:rsidRPr="003F3120">
        <w:rPr>
          <w:rStyle w:val="DeltaViewInsertion"/>
          <w:color w:val="auto"/>
          <w:u w:val="none"/>
          <w:lang w:val="fr-FR"/>
        </w:rPr>
        <w:t>8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du programme de travail glissant </w:t>
      </w:r>
      <w:r w:rsidR="003D36E8" w:rsidRPr="003F3120">
        <w:rPr>
          <w:rStyle w:val="DeltaViewInsertion"/>
          <w:color w:val="auto"/>
          <w:u w:val="none"/>
          <w:lang w:val="fr-FR"/>
        </w:rPr>
        <w:t>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D36E8" w:rsidRPr="003F3120">
        <w:rPr>
          <w:rStyle w:val="DeltaViewInsertion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color w:val="auto"/>
          <w:u w:val="none"/>
          <w:lang w:val="fr-FR"/>
        </w:rPr>
        <w:t>jusqu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en</w:t>
      </w:r>
      <w:r w:rsidR="007E0D14">
        <w:rPr>
          <w:rStyle w:val="DeltaViewInsertion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8"/>
    </w:p>
    <w:p w14:paraId="2BDFA67B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IV</w:t>
      </w:r>
    </w:p>
    <w:p w14:paraId="3E027BD9" w14:textId="638951B5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Renforcement de</w:t>
      </w:r>
      <w:r w:rsidR="007031E0">
        <w:rPr>
          <w:b/>
          <w:bCs/>
          <w:lang w:val="fr-FR"/>
        </w:rPr>
        <w:t xml:space="preserve"> la </w:t>
      </w:r>
      <w:r w:rsidRPr="003F3120">
        <w:rPr>
          <w:b/>
          <w:bCs/>
          <w:lang w:val="fr-FR"/>
        </w:rPr>
        <w:t>base de connaissances</w:t>
      </w:r>
    </w:p>
    <w:p w14:paraId="00561265" w14:textId="0806EA6E" w:rsidR="004C0022" w:rsidRPr="003F3120" w:rsidRDefault="002D74CD" w:rsidP="004C0022">
      <w:pPr>
        <w:pStyle w:val="NormalNonumber"/>
        <w:rPr>
          <w:lang w:val="fr-FR"/>
        </w:rPr>
      </w:pPr>
      <w:bookmarkStart w:id="9" w:name="_Hlk500240677"/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Rappelle </w:t>
      </w:r>
      <w:r w:rsidR="004C0022" w:rsidRPr="003F3120">
        <w:rPr>
          <w:iCs/>
          <w:lang w:val="fr-FR"/>
        </w:rPr>
        <w:t>qu</w:t>
      </w:r>
      <w:r w:rsidR="00FA5ADB">
        <w:rPr>
          <w:iCs/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données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II du paragraphe 2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3 </w:t>
      </w:r>
      <w:r w:rsidR="004C0022" w:rsidRPr="003F3120">
        <w:rPr>
          <w:lang w:val="fr-FR"/>
        </w:rPr>
        <w:t xml:space="preserve">a)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révisé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III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010C6903" w14:textId="777549B0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Rappelle également </w:t>
      </w:r>
      <w:r w:rsidR="004C0022" w:rsidRPr="003F3120">
        <w:rPr>
          <w:iCs/>
          <w:lang w:val="fr-FR"/>
        </w:rPr>
        <w:t>qu</w:t>
      </w:r>
      <w:r w:rsidR="00FA5ADB">
        <w:rPr>
          <w:iCs/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savoirs autochtones et locaux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II du paragraphe 1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3 b)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révisé énoncé </w:t>
      </w:r>
      <w:r w:rsidR="00FC442C">
        <w:rPr>
          <w:lang w:val="fr-FR"/>
        </w:rPr>
        <w:t>aux</w:t>
      </w:r>
      <w:r w:rsidR="007E0D14">
        <w:rPr>
          <w:lang w:val="fr-FR"/>
        </w:rPr>
        <w:t> </w:t>
      </w:r>
      <w:r w:rsidR="00FC442C">
        <w:rPr>
          <w:lang w:val="fr-FR"/>
        </w:rPr>
        <w:t>sections I et </w:t>
      </w:r>
      <w:r w:rsidR="009207E4" w:rsidRPr="003F3120">
        <w:rPr>
          <w:lang w:val="fr-FR"/>
        </w:rPr>
        <w:t>IV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54255408" w14:textId="272E83C3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 à sa dixième session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mandats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</w:t>
      </w:r>
      <w:r w:rsidR="00FD5D6A">
        <w:rPr>
          <w:lang w:val="fr-FR"/>
        </w:rPr>
        <w:t> ;</w:t>
      </w:r>
    </w:p>
    <w:p w14:paraId="3715AB1C" w14:textId="3AFEEAE9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données</w:t>
      </w:r>
      <w:r w:rsidR="004C0022" w:rsidRPr="003F3120">
        <w:rPr>
          <w:rStyle w:val="FootnoteReference"/>
          <w:szCs w:val="20"/>
          <w:lang w:val="fr-FR"/>
        </w:rPr>
        <w:footnoteReference w:id="13"/>
      </w:r>
      <w:r w:rsidR="004C0022" w:rsidRPr="003F3120">
        <w:rPr>
          <w:lang w:val="fr-FR"/>
        </w:rPr>
        <w:t xml:space="preserve"> et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savoirs autochtones et locaux</w:t>
      </w:r>
      <w:r w:rsidR="004C0022" w:rsidRPr="003F3120">
        <w:rPr>
          <w:rStyle w:val="FootnoteReference"/>
          <w:szCs w:val="20"/>
          <w:lang w:val="fr-FR"/>
        </w:rPr>
        <w:footnoteReference w:id="14"/>
      </w:r>
      <w:r w:rsidR="004C0022" w:rsidRPr="003F3120">
        <w:rPr>
          <w:lang w:val="fr-FR"/>
        </w:rPr>
        <w:t xml:space="preserve"> doivent entreprendre en 2019 et 2020</w:t>
      </w:r>
      <w:r w:rsidR="00FD5D6A">
        <w:rPr>
          <w:lang w:val="fr-FR"/>
        </w:rPr>
        <w:t> ;</w:t>
      </w:r>
    </w:p>
    <w:p w14:paraId="5552150E" w14:textId="048C1A09" w:rsidR="004C0022" w:rsidRPr="003F3120" w:rsidRDefault="002D74CD" w:rsidP="004C002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/>
        <w:rPr>
          <w:rFonts w:eastAsia="MS Mincho"/>
          <w:lang w:val="fr-FR"/>
        </w:rPr>
      </w:pPr>
      <w:bookmarkStart w:id="10" w:name="_DV_C244"/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5.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rFonts w:eastAsia="MS Mincho"/>
          <w:i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équipes spéciales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établir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sujets prio</w:t>
      </w:r>
      <w:r w:rsidR="009207E4" w:rsidRPr="003F3120">
        <w:rPr>
          <w:rStyle w:val="DeltaViewInsertion"/>
          <w:rFonts w:eastAsia="MS Mincho"/>
          <w:color w:val="auto"/>
          <w:u w:val="none"/>
          <w:lang w:val="fr-FR"/>
        </w:rPr>
        <w:t>ritaires énumérés au paragraphe 8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jusqu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en</w:t>
      </w:r>
      <w:r w:rsidR="007E0D14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> ;</w:t>
      </w:r>
      <w:bookmarkEnd w:id="10"/>
    </w:p>
    <w:bookmarkEnd w:id="9"/>
    <w:p w14:paraId="48FEA9A7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V</w:t>
      </w:r>
    </w:p>
    <w:p w14:paraId="6CBF5743" w14:textId="6C18101A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Appui à l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élaboration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politiques</w:t>
      </w:r>
    </w:p>
    <w:p w14:paraId="03839F41" w14:textId="79AC6FF1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Crée </w:t>
      </w:r>
      <w:r w:rsidR="004C0022" w:rsidRPr="00E12A9F">
        <w:rPr>
          <w:iCs/>
          <w:lang w:val="fr-FR"/>
        </w:rPr>
        <w:t>une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outils et méthodes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politiques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4 a)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IV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>annexe II</w:t>
      </w:r>
      <w:r w:rsidR="004C0022"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 équipe spéciale en fonction dudit mandat</w:t>
      </w:r>
      <w:r w:rsidR="00FD5D6A">
        <w:rPr>
          <w:lang w:val="fr-FR"/>
        </w:rPr>
        <w:t> ;</w:t>
      </w:r>
    </w:p>
    <w:p w14:paraId="6B81221B" w14:textId="0CBB33E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Crée également </w:t>
      </w:r>
      <w:r w:rsidR="004C0022" w:rsidRPr="00E12A9F">
        <w:rPr>
          <w:iCs/>
          <w:lang w:val="fr-FR"/>
        </w:rPr>
        <w:t>une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scénarios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modèles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4 b)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</w:t>
      </w:r>
      <w:r w:rsidR="007E0D14">
        <w:rPr>
          <w:lang w:val="fr-FR"/>
        </w:rPr>
        <w:t> </w:t>
      </w:r>
      <w:r w:rsidR="005165E3" w:rsidRPr="003F3120">
        <w:rPr>
          <w:lang w:val="fr-FR"/>
        </w:rPr>
        <w:t>2030</w:t>
      </w:r>
      <w:r w:rsidR="004C0022" w:rsidRPr="003F3120">
        <w:rPr>
          <w:lang w:val="fr-FR"/>
        </w:rPr>
        <w:t xml:space="preserve">, conformément au mandat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présente </w:t>
      </w:r>
      <w:r w:rsidR="004C0022" w:rsidRPr="003F3120">
        <w:rPr>
          <w:lang w:val="fr-FR"/>
        </w:rPr>
        <w:lastRenderedPageBreak/>
        <w:t>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en fonction dudit mandat</w:t>
      </w:r>
      <w:r w:rsidR="00FD5D6A">
        <w:rPr>
          <w:lang w:val="fr-FR"/>
        </w:rPr>
        <w:t> ;</w:t>
      </w:r>
    </w:p>
    <w:p w14:paraId="54064711" w14:textId="65BD7033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 à sa dixième session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</w:t>
      </w:r>
      <w:r w:rsidR="00FD5D6A">
        <w:rPr>
          <w:lang w:val="fr-FR"/>
        </w:rPr>
        <w:t> ;</w:t>
      </w:r>
    </w:p>
    <w:p w14:paraId="0FE12854" w14:textId="3258DA9F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outils et méthodes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politiques</w:t>
      </w:r>
      <w:r w:rsidR="004C0022" w:rsidRPr="003F3120">
        <w:rPr>
          <w:rStyle w:val="FootnoteReference"/>
          <w:szCs w:val="20"/>
          <w:lang w:val="fr-FR"/>
        </w:rPr>
        <w:footnoteReference w:id="15"/>
      </w:r>
      <w:r w:rsidR="004C0022" w:rsidRPr="003F3120">
        <w:rPr>
          <w:lang w:val="fr-FR"/>
        </w:rPr>
        <w:t xml:space="preserve"> et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scénarios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modèles</w:t>
      </w:r>
      <w:r w:rsidR="004C0022" w:rsidRPr="003F3120">
        <w:rPr>
          <w:rStyle w:val="FootnoteReference"/>
          <w:szCs w:val="20"/>
          <w:lang w:val="fr-FR"/>
        </w:rPr>
        <w:footnoteReference w:id="16"/>
      </w:r>
      <w:r w:rsidR="004C0022" w:rsidRPr="003F3120">
        <w:rPr>
          <w:lang w:val="fr-FR"/>
        </w:rPr>
        <w:t xml:space="preserve"> doivent entreprendre en 2019 et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2020</w:t>
      </w:r>
      <w:r w:rsidR="00FD5D6A">
        <w:rPr>
          <w:lang w:val="fr-FR"/>
        </w:rPr>
        <w:t> ;</w:t>
      </w:r>
    </w:p>
    <w:p w14:paraId="4BD4C720" w14:textId="0712FCEC" w:rsidR="004C0022" w:rsidRPr="003F3120" w:rsidRDefault="002D74CD" w:rsidP="004C0022">
      <w:pPr>
        <w:pStyle w:val="NormalNonumber"/>
        <w:rPr>
          <w:rFonts w:eastAsia="MS Mincho"/>
          <w:lang w:val="fr-FR"/>
        </w:rPr>
      </w:pP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  <w:t>5.</w:t>
      </w: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rFonts w:eastAsia="MS Mincho"/>
          <w:i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équipes spéciales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établir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sujets prioritaires énumérés au paragraphe</w:t>
      </w:r>
      <w:r w:rsidR="009207E4" w:rsidRPr="003F3120">
        <w:rPr>
          <w:rStyle w:val="DeltaViewInsertion"/>
          <w:rFonts w:eastAsia="MS Mincho"/>
          <w:color w:val="auto"/>
          <w:u w:val="none"/>
          <w:lang w:val="fr-FR"/>
        </w:rPr>
        <w:t> 8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jusqu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en</w:t>
      </w:r>
      <w:r w:rsidR="007E0D14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> ;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</w:p>
    <w:p w14:paraId="3CE801B3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VI</w:t>
      </w:r>
    </w:p>
    <w:p w14:paraId="2B95F929" w14:textId="3649982B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Examen de l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efficacité</w:t>
      </w:r>
    </w:p>
    <w:p w14:paraId="33845829" w14:textId="49214223" w:rsidR="004C0022" w:rsidRPr="003F3120" w:rsidRDefault="002D74CD" w:rsidP="004C0022">
      <w:pPr>
        <w:pStyle w:val="NormalNonumber"/>
        <w:rPr>
          <w:iCs/>
          <w:lang w:val="fr-FR"/>
        </w:rPr>
      </w:pPr>
      <w:r w:rsidRPr="003F3120">
        <w:rPr>
          <w:iCs/>
          <w:lang w:val="fr-FR"/>
        </w:rPr>
        <w:tab/>
      </w:r>
      <w:r w:rsidR="004C0022" w:rsidRPr="003F3120">
        <w:rPr>
          <w:iCs/>
          <w:lang w:val="fr-FR"/>
        </w:rPr>
        <w:t>1</w:t>
      </w:r>
      <w:r w:rsidR="004C0022" w:rsidRPr="003F3120">
        <w:rPr>
          <w:i/>
          <w:iCs/>
          <w:lang w:val="fr-FR"/>
        </w:rPr>
        <w:t>.</w:t>
      </w:r>
      <w:r w:rsidR="004C0022" w:rsidRPr="003F3120">
        <w:rPr>
          <w:i/>
          <w:iCs/>
          <w:lang w:val="fr-FR"/>
        </w:rPr>
        <w:tab/>
        <w:t xml:space="preserve">Rappelant </w:t>
      </w:r>
      <w:r w:rsidR="004C0022" w:rsidRPr="003F3120">
        <w:rPr>
          <w:lang w:val="fr-FR"/>
        </w:rPr>
        <w:t>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principes directeurs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veut que son efficacité et son efficience feront régulièrement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objet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 examen et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 évaluation indépendants, ainsi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elle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en a décidé,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ajustements étant apportés au besoin</w:t>
      </w:r>
      <w:r w:rsidR="004C0022" w:rsidRPr="003F3120">
        <w:rPr>
          <w:rStyle w:val="FootnoteReference"/>
          <w:iCs/>
          <w:szCs w:val="20"/>
          <w:lang w:val="fr-FR"/>
        </w:rPr>
        <w:footnoteReference w:id="17"/>
      </w:r>
      <w:r w:rsidR="00FD5D6A">
        <w:rPr>
          <w:lang w:val="fr-FR"/>
        </w:rPr>
        <w:t> ;</w:t>
      </w:r>
    </w:p>
    <w:p w14:paraId="7736F48F" w14:textId="0017E4BA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solliciter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vues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 xml:space="preserve">membres </w:t>
      </w:r>
      <w:r w:rsidR="009207E4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9207E4" w:rsidRPr="003F3120">
        <w:rPr>
          <w:lang w:val="fr-FR"/>
        </w:rPr>
        <w:t xml:space="preserve">Plateforme </w:t>
      </w:r>
      <w:r w:rsidR="004C0022" w:rsidRPr="003F3120">
        <w:rPr>
          <w:lang w:val="fr-FR"/>
        </w:rPr>
        <w:t>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parties prenantes au sujet du processus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examen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issue de son premier programme de travail</w:t>
      </w:r>
      <w:r w:rsidR="00FD5D6A">
        <w:rPr>
          <w:lang w:val="fr-FR"/>
        </w:rPr>
        <w:t> ;</w:t>
      </w:r>
    </w:p>
    <w:p w14:paraId="1250FFB9" w14:textId="28048EB7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 de se pencher sur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processus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examen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issue de son premier programme de travail, compte tenu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vues exprimées par ses membres et parties prenantes dans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cadre du processus visé au paragraphe </w:t>
      </w:r>
      <w:r w:rsidR="003F392B">
        <w:rPr>
          <w:lang w:val="fr-FR"/>
        </w:rPr>
        <w:t>2</w:t>
      </w:r>
      <w:r w:rsidR="004C0022"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section</w:t>
      </w:r>
      <w:r w:rsidR="00FD5D6A">
        <w:rPr>
          <w:lang w:val="fr-FR"/>
        </w:rPr>
        <w:t> ;</w:t>
      </w:r>
    </w:p>
    <w:p w14:paraId="486F13BB" w14:textId="30183E06" w:rsidR="004C0022" w:rsidRPr="003F3120" w:rsidRDefault="004C0022" w:rsidP="004C0022">
      <w:pPr>
        <w:pStyle w:val="NormalNonumber"/>
        <w:rPr>
          <w:lang w:val="fr-FR"/>
        </w:rPr>
      </w:pPr>
      <w:r w:rsidRPr="003F3120">
        <w:rPr>
          <w:lang w:val="fr-FR"/>
        </w:rPr>
        <w:t>4.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d</w:t>
      </w:r>
      <w:r w:rsidR="00FA5ADB">
        <w:rPr>
          <w:lang w:val="fr-FR"/>
        </w:rPr>
        <w:t>’</w:t>
      </w:r>
      <w:r w:rsidRPr="003F3120">
        <w:rPr>
          <w:lang w:val="fr-FR"/>
        </w:rPr>
        <w:t>élaborer un projet de mandat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examen à mi-parcours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qu</w:t>
      </w:r>
      <w:r w:rsidR="00FA5ADB">
        <w:rPr>
          <w:lang w:val="fr-FR"/>
        </w:rPr>
        <w:t>’</w:t>
      </w:r>
      <w:r w:rsidRPr="003F3120">
        <w:rPr>
          <w:lang w:val="fr-FR"/>
        </w:rPr>
        <w:t>elle examinera à sa neuvième session</w:t>
      </w:r>
      <w:r w:rsidR="00FD5D6A">
        <w:rPr>
          <w:lang w:val="fr-FR"/>
        </w:rPr>
        <w:t> ;</w:t>
      </w:r>
    </w:p>
    <w:p w14:paraId="6854B743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VII</w:t>
      </w:r>
    </w:p>
    <w:p w14:paraId="15076660" w14:textId="631ECDB6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 xml:space="preserve">Appui technique au programme de travail glissant </w:t>
      </w:r>
      <w:r w:rsidR="00F96E46" w:rsidRPr="003F3120">
        <w:rPr>
          <w:rStyle w:val="DeltaViewInsertion"/>
          <w:rFonts w:eastAsia="MS Mincho"/>
          <w:b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b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b/>
          <w:color w:val="auto"/>
          <w:u w:val="none"/>
          <w:lang w:val="fr-FR"/>
        </w:rPr>
        <w:t>période allant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Pr="003F3120">
        <w:rPr>
          <w:b/>
          <w:bCs/>
          <w:lang w:val="fr-FR"/>
        </w:rPr>
        <w:t>jusqu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en 2030</w:t>
      </w:r>
    </w:p>
    <w:p w14:paraId="491F4BA9" w14:textId="0EEB932B" w:rsidR="0020440E" w:rsidRPr="003F3120" w:rsidRDefault="004C0022" w:rsidP="004C0022">
      <w:pPr>
        <w:pStyle w:val="ListParagraph"/>
        <w:keepNext/>
        <w:keepLines/>
        <w:tabs>
          <w:tab w:val="left" w:pos="4082"/>
        </w:tabs>
        <w:spacing w:after="120"/>
        <w:ind w:left="1247"/>
      </w:pPr>
      <w:r w:rsidRPr="003F3120">
        <w:rPr>
          <w:i/>
          <w:iCs/>
        </w:rPr>
        <w:tab/>
        <w:t>Prie</w:t>
      </w:r>
      <w:r w:rsidR="007031E0">
        <w:rPr>
          <w:i/>
          <w:iCs/>
        </w:rPr>
        <w:t xml:space="preserve"> le </w:t>
      </w:r>
      <w:r w:rsidRPr="003F3120">
        <w:t>secrétariat de mettre en place, en consultation avec</w:t>
      </w:r>
      <w:r w:rsidR="007031E0">
        <w:t xml:space="preserve"> le </w:t>
      </w:r>
      <w:r w:rsidRPr="003F3120">
        <w:t>Bureau et dans</w:t>
      </w:r>
      <w:r w:rsidR="007031E0">
        <w:t xml:space="preserve"> les </w:t>
      </w:r>
      <w:r w:rsidRPr="003F3120">
        <w:t>limites du budget approuvé figurant dans l</w:t>
      </w:r>
      <w:r w:rsidR="00FA5ADB">
        <w:t>’</w:t>
      </w:r>
      <w:r w:rsidRPr="003F3120">
        <w:t>annexe de</w:t>
      </w:r>
      <w:r w:rsidR="007031E0">
        <w:t xml:space="preserve"> la </w:t>
      </w:r>
      <w:r w:rsidRPr="003F3120">
        <w:t>décision IPBES-7/</w:t>
      </w:r>
      <w:r w:rsidR="009207E4" w:rsidRPr="003F3120">
        <w:t>4,</w:t>
      </w:r>
      <w:r w:rsidR="007031E0">
        <w:t xml:space="preserve"> les </w:t>
      </w:r>
      <w:r w:rsidRPr="003F3120">
        <w:t>dispositions institutionnelles nécessaires à</w:t>
      </w:r>
      <w:r w:rsidR="007031E0">
        <w:t xml:space="preserve"> la </w:t>
      </w:r>
      <w:r w:rsidRPr="003F3120">
        <w:t>mise en œuvre de l</w:t>
      </w:r>
      <w:r w:rsidR="00FA5ADB">
        <w:t>’</w:t>
      </w:r>
      <w:r w:rsidRPr="003F3120">
        <w:t>appui technique requis pour</w:t>
      </w:r>
      <w:r w:rsidR="007031E0">
        <w:t xml:space="preserve"> le </w:t>
      </w:r>
      <w:r w:rsidRPr="003F3120">
        <w:t xml:space="preserve">programme de travail glissant </w:t>
      </w:r>
      <w:r w:rsidR="00F96E46" w:rsidRPr="003F3120">
        <w:t>pour</w:t>
      </w:r>
      <w:r w:rsidR="007031E0">
        <w:t xml:space="preserve"> la </w:t>
      </w:r>
      <w:r w:rsidR="00F96E46" w:rsidRPr="003F3120">
        <w:t xml:space="preserve">période allant </w:t>
      </w:r>
      <w:r w:rsidRPr="003F3120">
        <w:t>jusqu</w:t>
      </w:r>
      <w:r w:rsidR="00FA5ADB">
        <w:t>’</w:t>
      </w:r>
      <w:r w:rsidRPr="003F3120">
        <w:t>en 2030</w:t>
      </w:r>
      <w:r w:rsidR="00F96E46" w:rsidRPr="003F3120">
        <w:t>.</w:t>
      </w:r>
    </w:p>
    <w:p w14:paraId="07CEB37B" w14:textId="77777777" w:rsidR="0020440E" w:rsidRPr="003F3120" w:rsidRDefault="0020440E" w:rsidP="004843BC">
      <w:pPr>
        <w:keepNext/>
        <w:keepLines/>
        <w:tabs>
          <w:tab w:val="left" w:pos="4082"/>
        </w:tabs>
        <w:spacing w:after="120"/>
        <w:ind w:left="1247" w:firstLine="624"/>
      </w:pPr>
    </w:p>
    <w:p w14:paraId="227C8407" w14:textId="77777777" w:rsidR="0020440E" w:rsidRPr="003F3120" w:rsidRDefault="0020440E" w:rsidP="004843BC">
      <w:pPr>
        <w:keepNext/>
        <w:keepLines/>
        <w:tabs>
          <w:tab w:val="left" w:pos="4082"/>
        </w:tabs>
        <w:spacing w:after="120"/>
        <w:ind w:left="1247" w:firstLine="624"/>
        <w:sectPr w:rsidR="0020440E" w:rsidRPr="003F3120" w:rsidSect="00A37F24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</w:p>
    <w:p w14:paraId="03D4F48E" w14:textId="4F28B05D" w:rsidR="004843BC" w:rsidRPr="003F3120" w:rsidRDefault="004843BC" w:rsidP="007C65E5">
      <w:pPr>
        <w:pStyle w:val="ZZAnxtitle"/>
        <w:spacing w:before="0"/>
      </w:pPr>
      <w:r w:rsidRPr="003F3120">
        <w:lastRenderedPageBreak/>
        <w:t>Annex</w:t>
      </w:r>
      <w:r w:rsidR="00A608E4" w:rsidRPr="003F3120">
        <w:t>e</w:t>
      </w:r>
      <w:r w:rsidRPr="003F3120">
        <w:t xml:space="preserve"> I</w:t>
      </w:r>
      <w:r w:rsidR="00764B11" w:rsidRPr="003F3120">
        <w:t xml:space="preserve"> </w:t>
      </w:r>
      <w:r w:rsidR="009207E4" w:rsidRPr="003F3120">
        <w:t>de</w:t>
      </w:r>
      <w:r w:rsidR="007031E0">
        <w:t xml:space="preserve"> la </w:t>
      </w:r>
      <w:r w:rsidR="00A608E4" w:rsidRPr="003F3120">
        <w:t>dé</w:t>
      </w:r>
      <w:r w:rsidR="00764B11" w:rsidRPr="003F3120">
        <w:t>cision IPBES-7/1</w:t>
      </w:r>
      <w:r w:rsidR="00B91B80" w:rsidRPr="003F3120">
        <w:t xml:space="preserve"> </w:t>
      </w:r>
    </w:p>
    <w:p w14:paraId="67DFC2ED" w14:textId="19C97832" w:rsidR="001609F3" w:rsidRPr="003F3120" w:rsidRDefault="001609F3" w:rsidP="007E0D14">
      <w:pPr>
        <w:pStyle w:val="BBTitle"/>
      </w:pPr>
      <w:r w:rsidRPr="003F3120">
        <w:t>Programme de travail glissant de</w:t>
      </w:r>
      <w:r w:rsidR="007031E0">
        <w:t xml:space="preserve"> la </w:t>
      </w:r>
      <w:r w:rsidRPr="003F3120">
        <w:t>Plateforme intergouvernementale scientifique et politique sur</w:t>
      </w:r>
      <w:r w:rsidR="007031E0">
        <w:t xml:space="preserve"> la </w:t>
      </w:r>
      <w:r w:rsidRPr="003F3120">
        <w:t>biodiversité et</w:t>
      </w:r>
      <w:r w:rsidR="007031E0">
        <w:t xml:space="preserve"> les </w:t>
      </w:r>
      <w:r w:rsidRPr="003F3120">
        <w:t>services écosystémiques</w:t>
      </w:r>
      <w:r w:rsidR="00F96E46" w:rsidRPr="003F3120">
        <w:t xml:space="preserve"> </w:t>
      </w:r>
      <w:r w:rsidR="00F96E46" w:rsidRPr="007E0D14">
        <w:t>pour</w:t>
      </w:r>
      <w:r w:rsidR="007031E0">
        <w:t xml:space="preserve"> la </w:t>
      </w:r>
      <w:r w:rsidR="00F96E46" w:rsidRPr="007E0D14">
        <w:t>période allant jusqu</w:t>
      </w:r>
      <w:r w:rsidR="00FA5ADB">
        <w:t>’</w:t>
      </w:r>
      <w:r w:rsidR="00F96E46" w:rsidRPr="007E0D14">
        <w:t>en 2030</w:t>
      </w:r>
    </w:p>
    <w:p w14:paraId="0E45DB03" w14:textId="77777777" w:rsidR="001609F3" w:rsidRPr="003F3120" w:rsidRDefault="001609F3" w:rsidP="001609F3">
      <w:pPr>
        <w:pStyle w:val="CH1"/>
        <w:rPr>
          <w:rFonts w:eastAsia="SimSun"/>
          <w:noProof/>
          <w:lang w:val="fr-FR"/>
        </w:rPr>
      </w:pPr>
      <w:bookmarkStart w:id="11" w:name="_Hlk531688603"/>
      <w:bookmarkStart w:id="12" w:name="_Hlk532205030"/>
      <w:r w:rsidRPr="003F3120">
        <w:rPr>
          <w:rFonts w:eastAsia="SimSun"/>
          <w:noProof/>
          <w:lang w:val="fr-FR"/>
        </w:rPr>
        <w:tab/>
        <w:t>I.</w:t>
      </w:r>
      <w:r w:rsidRPr="003F3120">
        <w:rPr>
          <w:rFonts w:eastAsia="SimSun"/>
          <w:noProof/>
          <w:lang w:val="fr-FR"/>
        </w:rPr>
        <w:tab/>
      </w:r>
      <w:bookmarkEnd w:id="11"/>
      <w:r w:rsidRPr="003F3120">
        <w:rPr>
          <w:rFonts w:eastAsia="SimSun"/>
          <w:noProof/>
          <w:lang w:val="fr-FR"/>
        </w:rPr>
        <w:t>Introduction</w:t>
      </w:r>
      <w:bookmarkEnd w:id="12"/>
    </w:p>
    <w:p w14:paraId="28EFBE8F" w14:textId="23CA7A8D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 xml:space="preserve">Le </w:t>
      </w:r>
      <w:bookmarkStart w:id="13" w:name="_Hlk531157497"/>
      <w:r w:rsidRPr="003F3120">
        <w:rPr>
          <w:rFonts w:eastAsia="SimSun"/>
          <w:lang w:val="fr-FR" w:eastAsia="zh-CN"/>
        </w:rPr>
        <w:t>programme de travail glissant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intergouvernementale scientifique et politique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services écosystémiques (</w:t>
      </w:r>
      <w:r w:rsidR="00F96E46" w:rsidRPr="003F3120">
        <w:rPr>
          <w:rFonts w:eastAsia="SimSun"/>
          <w:lang w:val="fr-FR" w:eastAsia="zh-CN"/>
        </w:rPr>
        <w:t>la « Plateforme »</w:t>
      </w:r>
      <w:r w:rsidRPr="003F3120">
        <w:rPr>
          <w:rFonts w:eastAsia="SimSun"/>
          <w:lang w:val="fr-FR" w:eastAsia="zh-CN"/>
        </w:rPr>
        <w:t xml:space="preserve">)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Pr="003F3120">
        <w:rPr>
          <w:rFonts w:eastAsia="SimSun"/>
          <w:lang w:val="fr-FR" w:eastAsia="zh-CN"/>
        </w:rPr>
        <w:t>jusqu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en 2030</w:t>
      </w:r>
      <w:bookmarkEnd w:id="13"/>
      <w:r w:rsidRPr="003F3120">
        <w:rPr>
          <w:rFonts w:eastAsia="SimSun"/>
          <w:lang w:val="fr-FR" w:eastAsia="zh-CN"/>
        </w:rPr>
        <w:t xml:space="preserve"> </w:t>
      </w:r>
      <w:r w:rsidR="006B0D1A">
        <w:rPr>
          <w:rFonts w:eastAsia="SimSun"/>
          <w:lang w:val="fr-FR" w:eastAsia="zh-CN"/>
        </w:rPr>
        <w:t xml:space="preserve">(le « programme de travail glissant ») </w:t>
      </w:r>
      <w:r w:rsidRPr="003F3120">
        <w:rPr>
          <w:rFonts w:eastAsia="SimSun"/>
          <w:lang w:val="fr-FR" w:eastAsia="zh-CN"/>
        </w:rPr>
        <w:t xml:space="preserve">a pour but de </w:t>
      </w:r>
      <w:r w:rsidR="006B0D1A">
        <w:rPr>
          <w:rFonts w:eastAsia="SimSun"/>
          <w:lang w:val="fr-FR" w:eastAsia="zh-CN"/>
        </w:rPr>
        <w:t>promouvoir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objectif global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</w:t>
      </w:r>
      <w:r w:rsidRPr="003F3120">
        <w:rPr>
          <w:rStyle w:val="FootnoteReference"/>
          <w:lang w:val="fr-FR"/>
        </w:rPr>
        <w:footnoteReference w:id="18"/>
      </w:r>
      <w:r w:rsidRPr="003F3120">
        <w:rPr>
          <w:rFonts w:eastAsia="SimSun"/>
          <w:lang w:val="fr-FR" w:eastAsia="zh-CN"/>
        </w:rPr>
        <w:t xml:space="preserve">, </w:t>
      </w:r>
      <w:r w:rsidR="006B0D1A">
        <w:rPr>
          <w:rFonts w:eastAsia="SimSun"/>
          <w:lang w:val="fr-FR" w:eastAsia="zh-CN"/>
        </w:rPr>
        <w:t>à savoir</w:t>
      </w:r>
      <w:r w:rsidRPr="003F3120">
        <w:rPr>
          <w:rFonts w:eastAsia="SimSun"/>
          <w:lang w:val="fr-FR" w:eastAsia="zh-CN"/>
        </w:rPr>
        <w:t xml:space="preserve"> renforcer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interface </w:t>
      </w:r>
      <w:r w:rsidRPr="003F3120">
        <w:rPr>
          <w:lang w:val="fr-FR"/>
        </w:rPr>
        <w:t>science-politique</w:t>
      </w:r>
      <w:r w:rsidR="000C25F6">
        <w:rPr>
          <w:lang w:val="fr-FR"/>
        </w:rPr>
        <w:t>s</w:t>
      </w:r>
      <w:r w:rsidRPr="003F3120">
        <w:rPr>
          <w:lang w:val="fr-FR"/>
        </w:rPr>
        <w:t xml:space="preserve">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aux fins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conservation et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biodiversité, du bien-être humain à long terme et du développement durable. </w:t>
      </w:r>
    </w:p>
    <w:p w14:paraId="106E3DD5" w14:textId="05AE9531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bookmarkStart w:id="14" w:name="_Hlk534726843"/>
      <w:r w:rsidRPr="003F3120">
        <w:rPr>
          <w:lang w:val="fr-FR"/>
        </w:rPr>
        <w:t>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IPBES-5/3,</w:t>
      </w:r>
      <w:r w:rsidR="007031E0">
        <w:rPr>
          <w:lang w:val="fr-FR"/>
        </w:rPr>
        <w:t xml:space="preserve"> le </w:t>
      </w:r>
      <w:r w:rsidR="006B0D1A">
        <w:rPr>
          <w:lang w:val="fr-FR"/>
        </w:rPr>
        <w:t>plan</w:t>
      </w:r>
      <w:r w:rsidRPr="003F3120">
        <w:rPr>
          <w:lang w:val="fr-FR"/>
        </w:rPr>
        <w:t xml:space="preserve"> </w:t>
      </w:r>
      <w:r w:rsidR="006B0D1A">
        <w:rPr>
          <w:lang w:val="fr-FR"/>
        </w:rPr>
        <w:t>directeur</w:t>
      </w:r>
      <w:r w:rsidRPr="003F3120">
        <w:rPr>
          <w:lang w:val="fr-FR"/>
        </w:rPr>
        <w:t xml:space="preserve"> du programme de travail glissant</w:t>
      </w:r>
      <w:r w:rsidR="00F96E46" w:rsidRPr="003F3120">
        <w:rPr>
          <w:lang w:val="fr-FR"/>
        </w:rPr>
        <w:t xml:space="preserve"> </w:t>
      </w:r>
      <w:r w:rsidRPr="003F3120">
        <w:rPr>
          <w:lang w:val="fr-FR"/>
        </w:rPr>
        <w:t>correspond au Programme de développement durable à l</w:t>
      </w:r>
      <w:r w:rsidR="00FA5ADB">
        <w:rPr>
          <w:lang w:val="fr-FR"/>
        </w:rPr>
        <w:t>’</w:t>
      </w:r>
      <w:r w:rsidRPr="003F3120">
        <w:rPr>
          <w:lang w:val="fr-FR"/>
        </w:rPr>
        <w:t>horizon</w:t>
      </w:r>
      <w:r w:rsidR="007C65E5">
        <w:rPr>
          <w:lang w:val="fr-FR"/>
        </w:rPr>
        <w:t> </w:t>
      </w:r>
      <w:r w:rsidRPr="003F3120">
        <w:rPr>
          <w:lang w:val="fr-FR"/>
        </w:rPr>
        <w:t>2030 et ses objectifs de développement durable, aux conventions relatives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autres processus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services écosystémiques. </w:t>
      </w:r>
      <w:bookmarkEnd w:id="14"/>
    </w:p>
    <w:p w14:paraId="7046CB99" w14:textId="23889331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Le programme de travail glissant est entièrement axé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demande, reposant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demandes reçues </w:t>
      </w:r>
      <w:r w:rsidR="009207E4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>organes concernés au titre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environnement et de gouvernements et </w:t>
      </w:r>
      <w:r w:rsidR="009207E4" w:rsidRPr="003F3120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contributions et suggestions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autres parties prenantes. Il devrait </w:t>
      </w:r>
      <w:r w:rsidR="006B0D1A">
        <w:rPr>
          <w:lang w:val="fr-FR"/>
        </w:rPr>
        <w:t>éclairer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 leurs activités à l</w:t>
      </w:r>
      <w:r w:rsidR="00FA5ADB">
        <w:rPr>
          <w:lang w:val="fr-FR"/>
        </w:rPr>
        <w:t>’</w:t>
      </w:r>
      <w:r w:rsidRPr="003F3120">
        <w:rPr>
          <w:lang w:val="fr-FR"/>
        </w:rPr>
        <w:t>appui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Cadre mondial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pour l</w:t>
      </w:r>
      <w:r w:rsidR="00FA5ADB">
        <w:rPr>
          <w:lang w:val="fr-FR"/>
        </w:rPr>
        <w:t>’</w:t>
      </w:r>
      <w:r w:rsidRPr="003F3120">
        <w:rPr>
          <w:lang w:val="fr-FR"/>
        </w:rPr>
        <w:t>après-2020 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Vision 2050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biodiversité, ainsi que d</w:t>
      </w:r>
      <w:r w:rsidR="00FA5ADB">
        <w:rPr>
          <w:lang w:val="fr-FR"/>
        </w:rPr>
        <w:t>’</w:t>
      </w:r>
      <w:r w:rsidRPr="003F3120">
        <w:rPr>
          <w:lang w:val="fr-FR"/>
        </w:rPr>
        <w:t>autres travaux ayant trait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 menés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contexte d</w:t>
      </w:r>
      <w:r w:rsidR="00FA5ADB">
        <w:rPr>
          <w:lang w:val="fr-FR"/>
        </w:rPr>
        <w:t>’</w:t>
      </w:r>
      <w:r w:rsidRPr="003F3120">
        <w:rPr>
          <w:lang w:val="fr-FR"/>
        </w:rPr>
        <w:t>autres 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environnement. </w:t>
      </w:r>
      <w:r w:rsidR="006B0D1A">
        <w:rPr>
          <w:lang w:val="fr-FR"/>
        </w:rPr>
        <w:t>Il</w:t>
      </w:r>
      <w:r w:rsidRPr="003F3120">
        <w:rPr>
          <w:lang w:val="fr-FR"/>
        </w:rPr>
        <w:t xml:space="preserve"> peut également </w:t>
      </w:r>
      <w:r w:rsidR="006B0D1A">
        <w:rPr>
          <w:lang w:val="fr-FR"/>
        </w:rPr>
        <w:t>guider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application de l</w:t>
      </w:r>
      <w:r w:rsidR="00FA5ADB">
        <w:rPr>
          <w:lang w:val="fr-FR"/>
        </w:rPr>
        <w:t>’</w:t>
      </w:r>
      <w:r w:rsidRPr="003F3120">
        <w:rPr>
          <w:lang w:val="fr-FR"/>
        </w:rPr>
        <w:t>Accord de Paris 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liens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changements climatiques.</w:t>
      </w:r>
    </w:p>
    <w:p w14:paraId="66FDA7C3" w14:textId="126828FE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lang w:val="fr-FR"/>
        </w:rPr>
        <w:t>Le programme</w:t>
      </w:r>
      <w:r w:rsidRPr="003F3120">
        <w:rPr>
          <w:rFonts w:eastAsia="SimSun"/>
          <w:lang w:val="fr-FR" w:eastAsia="zh-CN"/>
        </w:rPr>
        <w:t xml:space="preserve"> de travail </w:t>
      </w:r>
      <w:r w:rsidR="006B0D1A">
        <w:rPr>
          <w:rFonts w:eastAsia="SimSun"/>
          <w:lang w:val="fr-FR" w:eastAsia="zh-CN"/>
        </w:rPr>
        <w:t xml:space="preserve">glissant </w:t>
      </w:r>
      <w:r w:rsidRPr="003F3120">
        <w:rPr>
          <w:rFonts w:eastAsia="SimSun"/>
          <w:lang w:val="fr-FR" w:eastAsia="zh-CN"/>
        </w:rPr>
        <w:t>a pour but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assurer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exécution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quatre fonctions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Plateforme, </w:t>
      </w:r>
      <w:r w:rsidR="006B0D1A">
        <w:rPr>
          <w:rFonts w:eastAsia="SimSun"/>
          <w:lang w:val="fr-FR" w:eastAsia="zh-CN"/>
        </w:rPr>
        <w:t>à savoir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2C19D55C" w14:textId="1C74A7E6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Identifier, par ordre de priorité,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principales informations scientifiques dont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décideurs ont </w:t>
      </w:r>
      <w:r w:rsidRPr="003F3120">
        <w:rPr>
          <w:lang w:val="fr-FR"/>
        </w:rPr>
        <w:t>besoin</w:t>
      </w:r>
      <w:r w:rsidRPr="003F3120">
        <w:rPr>
          <w:rFonts w:eastAsia="SimSun"/>
          <w:lang w:val="fr-FR" w:eastAsia="zh-CN"/>
        </w:rPr>
        <w:t>, aux échelles appropriées, et activer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production de nouvelles connaissances en nouant un dialogue avec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organisations scientifiques de renom,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décideurs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organismes de financement, sans toutefois entreprendre directement de nouvelles recherches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761AE503" w14:textId="09A2CA93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Réaliser, périodiquement et en temps opportun,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connaissances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services écosystémiques et leurs liens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interdépendance, qui devraient comporter</w:t>
      </w:r>
      <w:r w:rsidR="00FD5D6A">
        <w:rPr>
          <w:rFonts w:eastAsia="SimSun"/>
          <w:lang w:val="fr-FR" w:eastAsia="zh-CN"/>
        </w:rPr>
        <w:t> :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 complètes aux niveaux mondial, régional et, au besoin, sous-régional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 thématiques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échelle appropriée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nouvelles questions identifiées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science, sur décision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</w:t>
      </w:r>
      <w:r w:rsidR="00FD5D6A">
        <w:rPr>
          <w:rFonts w:eastAsia="SimSun"/>
          <w:lang w:val="fr-FR" w:eastAsia="zh-CN"/>
        </w:rPr>
        <w:t> ;</w:t>
      </w:r>
    </w:p>
    <w:p w14:paraId="00D0A5F2" w14:textId="116019B2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Appuyer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formulation et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application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politiques en </w:t>
      </w:r>
      <w:r w:rsidR="006B0D1A">
        <w:rPr>
          <w:rFonts w:eastAsia="SimSun"/>
          <w:lang w:val="fr-FR" w:eastAsia="zh-CN"/>
        </w:rPr>
        <w:t>recensant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outils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méthodes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aide, découlant notamment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évaluations, en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mettant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disposition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décideurs et, au besoin, en encourageant et en accélérant leur mise au point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5F7AE025" w14:textId="0D71E44C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Hiérarchiser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principaux besoins de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à satisfaire pour améliorer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aux niveaux appropriés, pour ensuite fournir et mobiliser un </w:t>
      </w:r>
      <w:r w:rsidR="006B0D1A">
        <w:rPr>
          <w:rFonts w:eastAsia="SimSun"/>
          <w:lang w:val="fr-FR" w:eastAsia="zh-CN"/>
        </w:rPr>
        <w:t>appui</w:t>
      </w:r>
      <w:r w:rsidRPr="003F3120">
        <w:rPr>
          <w:rFonts w:eastAsia="SimSun"/>
          <w:lang w:val="fr-FR" w:eastAsia="zh-CN"/>
        </w:rPr>
        <w:t xml:space="preserve"> financier et autre afin de répondre aux besoins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plus prioritaires ayant directement trait aux activités de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capacités, comme décidé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Plénière, et </w:t>
      </w:r>
      <w:r w:rsidR="006B0D1A">
        <w:rPr>
          <w:rFonts w:eastAsia="SimSun"/>
          <w:lang w:val="fr-FR" w:eastAsia="zh-CN"/>
        </w:rPr>
        <w:t>mobiliser</w:t>
      </w:r>
      <w:r w:rsidRPr="003F3120">
        <w:rPr>
          <w:rFonts w:eastAsia="SimSun"/>
          <w:lang w:val="fr-FR" w:eastAsia="zh-CN"/>
        </w:rPr>
        <w:t xml:space="preserve"> un financement en faveur de ces activités en créant un forum alimenté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sources de financement conventionnelles et potentielles.</w:t>
      </w:r>
    </w:p>
    <w:p w14:paraId="07F5E43B" w14:textId="6AB1A466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Le programme de travail glissant insiste beaucoup sur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renforcement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collaboration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science,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politique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pratique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="00C3764A" w:rsidRPr="003F3120">
        <w:rPr>
          <w:rFonts w:eastAsia="SimSun"/>
          <w:lang w:val="fr-FR" w:eastAsia="zh-CN"/>
        </w:rPr>
        <w:t>disciplines scientifiques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différents types de connaissances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quatre fonctions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Plateforme.</w:t>
      </w:r>
    </w:p>
    <w:p w14:paraId="7F4162E1" w14:textId="70FBEA8E" w:rsidR="001609F3" w:rsidRPr="003F3120" w:rsidRDefault="001609F3" w:rsidP="00ED6939">
      <w:pPr>
        <w:pStyle w:val="Normalnumber"/>
        <w:keepLines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lastRenderedPageBreak/>
        <w:t>Le programme de travail glissant est guidé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principes régissant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fonctionnement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</w:t>
      </w:r>
      <w:r w:rsidRPr="003F3120">
        <w:rPr>
          <w:rFonts w:eastAsia="SimSun"/>
          <w:vertAlign w:val="superscript"/>
          <w:lang w:val="fr-FR" w:eastAsia="zh-CN"/>
        </w:rPr>
        <w:footnoteReference w:id="19"/>
      </w:r>
      <w:r w:rsidR="00310EA1" w:rsidRPr="003F3120">
        <w:rPr>
          <w:rFonts w:eastAsia="SimSun"/>
          <w:lang w:val="fr-FR" w:eastAsia="zh-CN"/>
        </w:rPr>
        <w:t>, à savoir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collaborer avec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initiatives existantes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="00310EA1" w:rsidRPr="003F3120">
        <w:rPr>
          <w:rFonts w:eastAsia="SimSun"/>
          <w:lang w:val="fr-FR" w:eastAsia="zh-CN"/>
        </w:rPr>
        <w:t>services écosystémiques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être indépendante sur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plan scientifique et assurer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crédibilité,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pertinence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légitimité de ses travaux en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faisant revoir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pairs et en prenant ses décisions dans</w:t>
      </w:r>
      <w:r w:rsidR="007031E0">
        <w:rPr>
          <w:rFonts w:eastAsia="SimSun"/>
          <w:lang w:val="fr-FR" w:eastAsia="zh-CN"/>
        </w:rPr>
        <w:t xml:space="preserve"> la </w:t>
      </w:r>
      <w:r w:rsidR="005048C0" w:rsidRPr="003F3120">
        <w:rPr>
          <w:rFonts w:eastAsia="SimSun"/>
          <w:lang w:val="fr-FR" w:eastAsia="zh-CN"/>
        </w:rPr>
        <w:t>transparence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employer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moyens de communication clairs, transparents et scientifiquement crédibles pour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échange,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partage et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utilisation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données,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informations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te</w:t>
      </w:r>
      <w:r w:rsidR="005048C0" w:rsidRPr="003F3120">
        <w:rPr>
          <w:rFonts w:eastAsia="SimSun"/>
          <w:lang w:val="fr-FR" w:eastAsia="zh-CN"/>
        </w:rPr>
        <w:t>chnologies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reconnaître et respecter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contribution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savoir</w:t>
      </w:r>
      <w:r w:rsidR="00263DE4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autochtone</w:t>
      </w:r>
      <w:r w:rsidR="00263DE4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et loca</w:t>
      </w:r>
      <w:r w:rsidR="00263DE4">
        <w:rPr>
          <w:rFonts w:eastAsia="SimSun"/>
          <w:lang w:val="fr-FR" w:eastAsia="zh-CN"/>
        </w:rPr>
        <w:t>ux</w:t>
      </w:r>
      <w:r w:rsidRPr="003F3120">
        <w:rPr>
          <w:rFonts w:eastAsia="SimSun"/>
          <w:lang w:val="fr-FR" w:eastAsia="zh-CN"/>
        </w:rPr>
        <w:t xml:space="preserve">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lang w:val="fr-FR"/>
        </w:rPr>
        <w:t>conservation et à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5048C0" w:rsidRPr="003F3120">
        <w:rPr>
          <w:lang w:val="fr-FR"/>
        </w:rPr>
        <w:t>écosystèmes</w:t>
      </w:r>
      <w:r w:rsidR="00FD5D6A">
        <w:rPr>
          <w:lang w:val="fr-FR"/>
        </w:rPr>
        <w:t> ;</w:t>
      </w:r>
      <w:r w:rsidRPr="003F3120">
        <w:rPr>
          <w:rFonts w:eastAsia="SimSun"/>
          <w:lang w:val="fr-FR" w:eastAsia="zh-CN"/>
        </w:rPr>
        <w:t xml:space="preserve"> donner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informations utiles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 sans donner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avis prescriptifs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inclure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dans tous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/>
        </w:rPr>
        <w:t>aspects pertinents de ses </w:t>
      </w:r>
      <w:r w:rsidR="005048C0" w:rsidRPr="003F3120">
        <w:rPr>
          <w:lang w:val="fr-FR"/>
        </w:rPr>
        <w:t>travaux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prendre en compte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singularité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scientifiques connexes de chaque région et entre régions, ainsi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nécessité d</w:t>
      </w:r>
      <w:r w:rsidR="00FA5ADB">
        <w:rPr>
          <w:lang w:val="fr-FR"/>
        </w:rPr>
        <w:t>’</w:t>
      </w:r>
      <w:r w:rsidRPr="003F3120">
        <w:rPr>
          <w:lang w:val="fr-FR"/>
        </w:rPr>
        <w:t>une </w:t>
      </w:r>
      <w:r w:rsidRPr="003F3120">
        <w:rPr>
          <w:rFonts w:eastAsia="SimSun"/>
          <w:lang w:val="fr-FR" w:eastAsia="zh-CN"/>
        </w:rPr>
        <w:t>participation pleine et effective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pays en développement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une représentation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une participation régionales équilibrées dans sa structure et ses travaux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adopter une démarche interdisc</w:t>
      </w:r>
      <w:r w:rsidR="005048C0" w:rsidRPr="003F3120">
        <w:rPr>
          <w:rFonts w:eastAsia="SimSun"/>
          <w:lang w:val="fr-FR" w:eastAsia="zh-CN"/>
        </w:rPr>
        <w:t>iplinaire et multidisciplinaire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reconnaître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nécessité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équité entre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sexes dans tous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aspects pertinents de ses </w:t>
      </w:r>
      <w:r w:rsidR="005048C0" w:rsidRPr="003F3120">
        <w:rPr>
          <w:rFonts w:eastAsia="SimSun"/>
          <w:lang w:val="fr-FR" w:eastAsia="zh-CN"/>
        </w:rPr>
        <w:t>travaux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s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intéresser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 aux services fournis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écosystèmes terrestres, marins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eaux intérieures ainsi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à leurs</w:t>
      </w:r>
      <w:r w:rsidR="005048C0" w:rsidRPr="003F3120">
        <w:rPr>
          <w:lang w:val="fr-FR"/>
        </w:rPr>
        <w:t xml:space="preserve"> interactions</w:t>
      </w:r>
      <w:r w:rsidR="00FD5D6A">
        <w:rPr>
          <w:lang w:val="fr-FR"/>
        </w:rPr>
        <w:t> ;</w:t>
      </w:r>
      <w:r w:rsidRPr="003F3120" w:rsidDel="00663C36">
        <w:rPr>
          <w:rFonts w:eastAsia="SimSun"/>
          <w:lang w:val="fr-FR" w:eastAsia="zh-CN"/>
        </w:rPr>
        <w:t xml:space="preserve"> </w:t>
      </w:r>
      <w:r w:rsidRPr="003F3120">
        <w:rPr>
          <w:rFonts w:eastAsia="SimSun"/>
          <w:lang w:val="fr-FR" w:eastAsia="zh-CN"/>
        </w:rPr>
        <w:t>assurer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pleine utilisation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connaissances nationales, sous-régionales et régionales,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il convient,</w:t>
      </w:r>
      <w:r w:rsidR="007031E0">
        <w:rPr>
          <w:rFonts w:eastAsia="SimSun"/>
          <w:lang w:val="fr-FR" w:eastAsia="zh-CN"/>
        </w:rPr>
        <w:t xml:space="preserve"> y </w:t>
      </w:r>
      <w:r w:rsidRPr="003F3120">
        <w:rPr>
          <w:rFonts w:eastAsia="SimSun"/>
          <w:lang w:val="fr-FR" w:eastAsia="zh-CN"/>
        </w:rPr>
        <w:t>compris en partant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base. </w:t>
      </w:r>
    </w:p>
    <w:p w14:paraId="0A7B3B77" w14:textId="4A3A43AC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 xml:space="preserve">Le programme de travail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Pr="003F3120">
        <w:rPr>
          <w:rFonts w:eastAsia="SimSun"/>
          <w:lang w:val="fr-FR" w:eastAsia="zh-CN"/>
        </w:rPr>
        <w:t>jusqu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en 2030 est un programme glissant, dont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calendrier devrait être stratégique et prévisible, afin de permettre aux organismes de recherche et autres entités chargées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programmes, ainsi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aux partenaires stratégiques,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appuyer efficacement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produits définis.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Plénière lancera de nouveaux appels à demandes, contributions et </w:t>
      </w:r>
      <w:r w:rsidRPr="003F3120">
        <w:rPr>
          <w:lang w:val="fr-FR"/>
        </w:rPr>
        <w:t>suggestions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courant du programme de travail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prévue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IPBES-1/3,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demandes, contributions et suggestions devant par conséquent être présentées au plus tard six mois avant une session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34A50319" w14:textId="7CEE931F" w:rsidR="001609F3" w:rsidRPr="003F3120" w:rsidRDefault="001609F3" w:rsidP="001609F3">
      <w:pPr>
        <w:pStyle w:val="CH1"/>
        <w:rPr>
          <w:rFonts w:eastAsia="SimSun"/>
          <w:noProof/>
          <w:lang w:val="fr-FR"/>
        </w:rPr>
      </w:pPr>
      <w:r w:rsidRPr="003F3120">
        <w:rPr>
          <w:rFonts w:eastAsia="SimSun"/>
          <w:lang w:val="fr-FR"/>
        </w:rPr>
        <w:tab/>
        <w:t>II</w:t>
      </w:r>
      <w:r w:rsidRPr="003F3120">
        <w:rPr>
          <w:rFonts w:eastAsia="SimSun"/>
          <w:noProof/>
          <w:lang w:val="fr-FR"/>
        </w:rPr>
        <w:t>.</w:t>
      </w:r>
      <w:r w:rsidRPr="003F3120">
        <w:rPr>
          <w:rFonts w:eastAsia="SimSun"/>
          <w:noProof/>
          <w:lang w:val="fr-FR"/>
        </w:rPr>
        <w:tab/>
        <w:t xml:space="preserve">Éléments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période allant</w:t>
      </w:r>
      <w:r w:rsidR="007C65E5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Pr="003F3120">
        <w:rPr>
          <w:rFonts w:eastAsia="SimSun"/>
          <w:noProof/>
          <w:lang w:val="fr-FR"/>
        </w:rPr>
        <w:t>jusqu</w:t>
      </w:r>
      <w:r w:rsidR="00FA5ADB">
        <w:rPr>
          <w:rFonts w:eastAsia="SimSun"/>
          <w:noProof/>
          <w:lang w:val="fr-FR"/>
        </w:rPr>
        <w:t>’</w:t>
      </w:r>
      <w:r w:rsidRPr="003F3120">
        <w:rPr>
          <w:rFonts w:eastAsia="SimSun"/>
          <w:noProof/>
          <w:lang w:val="fr-FR"/>
        </w:rPr>
        <w:t>en 2030</w:t>
      </w:r>
    </w:p>
    <w:p w14:paraId="397498C5" w14:textId="77777777" w:rsidR="001609F3" w:rsidRPr="003F3120" w:rsidRDefault="001609F3" w:rsidP="001609F3">
      <w:pPr>
        <w:pStyle w:val="CH2"/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ab/>
        <w:t>A.</w:t>
      </w:r>
      <w:r w:rsidRPr="003F3120">
        <w:rPr>
          <w:rFonts w:eastAsia="SimSun"/>
          <w:lang w:val="fr-FR" w:eastAsia="zh-CN"/>
        </w:rPr>
        <w:tab/>
        <w:t xml:space="preserve">Sujets prioritaires </w:t>
      </w:r>
    </w:p>
    <w:p w14:paraId="49158A5E" w14:textId="7579676D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Le programme de travail glissant sera axé, dans un premier temps, sur trois sujets découlant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réponses au premier appel à demandes, contributions et suggestions, jugés prioritaires. Ces</w:t>
      </w:r>
      <w:r w:rsidR="007C65E5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trois</w:t>
      </w:r>
      <w:r w:rsidR="007C65E5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sujets, qui sont tous alignés sur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objectif global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et son cadre politique, sont</w:t>
      </w:r>
      <w:r w:rsidR="007031E0">
        <w:rPr>
          <w:rFonts w:eastAsia="SimSun"/>
          <w:lang w:val="fr-FR" w:eastAsia="zh-CN"/>
        </w:rPr>
        <w:t xml:space="preserve"> les </w:t>
      </w:r>
      <w:r w:rsidR="00E11447" w:rsidRPr="003F3120">
        <w:rPr>
          <w:rFonts w:eastAsia="SimSun"/>
          <w:lang w:val="fr-FR" w:eastAsia="zh-CN"/>
        </w:rPr>
        <w:t>suivants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5A6A18F4" w14:textId="71A26068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/>
        </w:rPr>
      </w:pPr>
      <w:bookmarkStart w:id="15" w:name="_Hlk534727804"/>
      <w:bookmarkStart w:id="16" w:name="_Hlk534540629"/>
      <w:r w:rsidRPr="003F3120">
        <w:rPr>
          <w:rFonts w:eastAsia="SimSun"/>
          <w:i/>
          <w:lang w:val="fr-FR" w:eastAsia="zh-CN"/>
        </w:rPr>
        <w:t>Comprendre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importance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dans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réalisation du Programme de développement durable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horizon 2030</w:t>
      </w:r>
      <w:bookmarkEnd w:id="15"/>
      <w:r w:rsidR="00FD5D6A">
        <w:rPr>
          <w:rFonts w:eastAsia="SimSun"/>
          <w:i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examen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nature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liens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interdépendance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questions connexes reprises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Programme 2030 pourrait aider </w:t>
      </w:r>
      <w:r w:rsidR="00263DE4">
        <w:rPr>
          <w:rFonts w:eastAsia="SimSun"/>
          <w:lang w:val="fr-FR" w:eastAsia="zh-CN"/>
        </w:rPr>
        <w:t>à comprendre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conséquences,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dépendances,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synergies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compromis relatifs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dont traitent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objectifs de développement durable, ainsi que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solutions pour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adoption de démarches intégrées et intersectorielles visant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du Programme 2030</w:t>
      </w:r>
      <w:r w:rsidRPr="003F3120">
        <w:rPr>
          <w:lang w:val="fr-FR"/>
        </w:rPr>
        <w:t>. Pour relever ce défi,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produits </w:t>
      </w:r>
      <w:r w:rsidR="00263DE4">
        <w:rPr>
          <w:lang w:val="fr-FR"/>
        </w:rPr>
        <w:t>correspondants</w:t>
      </w:r>
      <w:r w:rsidRPr="003F3120">
        <w:rPr>
          <w:lang w:val="fr-FR"/>
        </w:rPr>
        <w:t xml:space="preserve"> se pencheront notamment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liens d</w:t>
      </w:r>
      <w:r w:rsidR="00FA5ADB">
        <w:rPr>
          <w:lang w:val="fr-FR"/>
        </w:rPr>
        <w:t>’</w:t>
      </w:r>
      <w:r w:rsidRPr="003F3120">
        <w:rPr>
          <w:lang w:val="fr-FR"/>
        </w:rPr>
        <w:t>interdépendance entre</w:t>
      </w:r>
      <w:r w:rsidR="007031E0">
        <w:rPr>
          <w:lang w:val="fr-FR"/>
        </w:rPr>
        <w:t xml:space="preserve"> la </w:t>
      </w:r>
      <w:r w:rsidRPr="003F3120">
        <w:rPr>
          <w:rFonts w:eastAsia="SimSun"/>
          <w:lang w:val="fr-FR" w:eastAsia="zh-CN"/>
        </w:rPr>
        <w:t>biodiversité,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eau,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alimentation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santé et aussi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changements climatiques, en vue d</w:t>
      </w:r>
      <w:r w:rsidR="00FA5ADB">
        <w:rPr>
          <w:rFonts w:eastAsia="SimSun"/>
          <w:lang w:val="fr-FR" w:eastAsia="zh-CN"/>
        </w:rPr>
        <w:t>’</w:t>
      </w:r>
      <w:r w:rsidR="00263DE4">
        <w:rPr>
          <w:rFonts w:eastAsia="SimSun"/>
          <w:lang w:val="fr-FR" w:eastAsia="zh-CN"/>
        </w:rPr>
        <w:t>orienter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mesures.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aspects étudiés pourront également comprendre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rôle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connectivité pour veiller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intégrité et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résilience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systèmes </w:t>
      </w:r>
      <w:proofErr w:type="spellStart"/>
      <w:r w:rsidRPr="003F3120">
        <w:rPr>
          <w:rFonts w:eastAsia="SimSun"/>
          <w:lang w:val="fr-FR" w:eastAsia="zh-CN"/>
        </w:rPr>
        <w:t>socioécologiques</w:t>
      </w:r>
      <w:proofErr w:type="spellEnd"/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  <w:bookmarkEnd w:id="16"/>
    </w:p>
    <w:p w14:paraId="334C3C8E" w14:textId="5D90ADB1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bookmarkStart w:id="17" w:name="_Hlk534727844"/>
      <w:bookmarkStart w:id="18" w:name="_Hlk534727207"/>
      <w:r w:rsidRPr="003F3120">
        <w:rPr>
          <w:rFonts w:eastAsia="SimSun"/>
          <w:i/>
          <w:lang w:val="fr-FR" w:eastAsia="zh-CN"/>
        </w:rPr>
        <w:t>Comprendre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causes profondes de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érosion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déterminants</w:t>
      </w:r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changements transformateurs</w:t>
      </w:r>
      <w:r w:rsidRPr="003F3120">
        <w:rPr>
          <w:rStyle w:val="FootnoteReference"/>
          <w:rFonts w:eastAsia="SimSun"/>
          <w:i/>
          <w:lang w:val="fr-FR" w:eastAsia="zh-CN"/>
        </w:rPr>
        <w:footnoteReference w:id="20"/>
      </w:r>
      <w:r w:rsidRPr="003F3120">
        <w:rPr>
          <w:rFonts w:eastAsia="SimSun"/>
          <w:i/>
          <w:lang w:val="fr-FR" w:eastAsia="zh-CN"/>
        </w:rPr>
        <w:t xml:space="preserve"> et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solutions pour réaliser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Vision 2050 pour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</w:t>
      </w:r>
      <w:bookmarkEnd w:id="17"/>
      <w:r w:rsidR="00FD5D6A">
        <w:rPr>
          <w:rFonts w:eastAsia="SimSun"/>
          <w:i/>
          <w:lang w:val="fr-FR" w:eastAsia="zh-CN"/>
        </w:rPr>
        <w:t> :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Vision </w:t>
      </w:r>
      <w:r w:rsidRPr="003F3120">
        <w:rPr>
          <w:rFonts w:eastAsia="MS Mincho"/>
          <w:snapToGrid w:val="0"/>
          <w:lang w:val="fr-FR"/>
        </w:rPr>
        <w:t>2050 parallèlement aux objectifs de développement durable peut s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appuyer sur une meilleure compréhension</w:t>
      </w:r>
      <w:r w:rsidR="007031E0">
        <w:rPr>
          <w:rFonts w:eastAsia="MS Mincho"/>
          <w:snapToGrid w:val="0"/>
          <w:lang w:val="fr-FR"/>
        </w:rPr>
        <w:t xml:space="preserve"> des </w:t>
      </w:r>
      <w:r w:rsidRPr="003F3120">
        <w:rPr>
          <w:rFonts w:eastAsia="MS Mincho"/>
          <w:snapToGrid w:val="0"/>
          <w:lang w:val="fr-FR"/>
        </w:rPr>
        <w:t>changements fondamentaux nécessaires à de multiples niveaux,</w:t>
      </w:r>
      <w:r w:rsidR="007031E0">
        <w:rPr>
          <w:rFonts w:eastAsia="MS Mincho"/>
          <w:snapToGrid w:val="0"/>
          <w:lang w:val="fr-FR"/>
        </w:rPr>
        <w:t xml:space="preserve"> des </w:t>
      </w:r>
      <w:r w:rsidRPr="003F3120">
        <w:rPr>
          <w:rFonts w:eastAsia="MS Mincho"/>
          <w:snapToGrid w:val="0"/>
          <w:lang w:val="fr-FR"/>
        </w:rPr>
        <w:t>individus jusqu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à l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ensemble de</w:t>
      </w:r>
      <w:r w:rsidR="007031E0">
        <w:rPr>
          <w:rFonts w:eastAsia="MS Mincho"/>
          <w:snapToGrid w:val="0"/>
          <w:lang w:val="fr-FR"/>
        </w:rPr>
        <w:t xml:space="preserve"> la </w:t>
      </w:r>
      <w:r w:rsidRPr="003F3120">
        <w:rPr>
          <w:rFonts w:eastAsia="MS Mincho"/>
          <w:snapToGrid w:val="0"/>
          <w:lang w:val="fr-FR"/>
        </w:rPr>
        <w:t>société, en passant par</w:t>
      </w:r>
      <w:r w:rsidR="007031E0">
        <w:rPr>
          <w:rFonts w:eastAsia="MS Mincho"/>
          <w:snapToGrid w:val="0"/>
          <w:lang w:val="fr-FR"/>
        </w:rPr>
        <w:t xml:space="preserve"> les </w:t>
      </w:r>
      <w:r w:rsidRPr="003F3120">
        <w:rPr>
          <w:rFonts w:eastAsia="MS Mincho"/>
          <w:snapToGrid w:val="0"/>
          <w:lang w:val="fr-FR"/>
        </w:rPr>
        <w:t>comm</w:t>
      </w:r>
      <w:r w:rsidR="00520B69">
        <w:rPr>
          <w:rFonts w:eastAsia="MS Mincho"/>
          <w:snapToGrid w:val="0"/>
          <w:lang w:val="fr-FR"/>
        </w:rPr>
        <w:t>unautés et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520B69">
        <w:rPr>
          <w:rFonts w:eastAsia="MS Mincho"/>
          <w:snapToGrid w:val="0"/>
          <w:lang w:val="fr-FR"/>
        </w:rPr>
        <w:t>entreprises.</w:t>
      </w:r>
      <w:r w:rsidR="007031E0">
        <w:rPr>
          <w:rFonts w:eastAsia="MS Mincho"/>
          <w:snapToGrid w:val="0"/>
          <w:lang w:val="fr-FR"/>
        </w:rPr>
        <w:t xml:space="preserve"> Les </w:t>
      </w:r>
      <w:r w:rsidRPr="003F3120">
        <w:rPr>
          <w:rFonts w:eastAsia="MS Mincho"/>
          <w:snapToGrid w:val="0"/>
          <w:lang w:val="fr-FR"/>
        </w:rPr>
        <w:t xml:space="preserve">produits </w:t>
      </w:r>
      <w:r w:rsidR="00263DE4">
        <w:rPr>
          <w:rFonts w:eastAsia="MS Mincho"/>
          <w:snapToGrid w:val="0"/>
          <w:lang w:val="fr-FR"/>
        </w:rPr>
        <w:t>correspondants</w:t>
      </w:r>
      <w:r w:rsidRPr="003F3120">
        <w:rPr>
          <w:rFonts w:eastAsia="MS Mincho"/>
          <w:snapToGrid w:val="0"/>
          <w:lang w:val="fr-FR"/>
        </w:rPr>
        <w:t xml:space="preserve"> ont pour but d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identifier et de comprendre</w:t>
      </w:r>
      <w:r w:rsidRPr="003F3120">
        <w:rPr>
          <w:rFonts w:eastAsia="Calibri"/>
          <w:bCs/>
          <w:lang w:val="fr-FR"/>
        </w:rPr>
        <w:t>, chez l</w:t>
      </w:r>
      <w:r w:rsidR="00FA5ADB">
        <w:rPr>
          <w:rFonts w:eastAsia="Calibri"/>
          <w:bCs/>
          <w:lang w:val="fr-FR"/>
        </w:rPr>
        <w:t>’</w:t>
      </w:r>
      <w:r w:rsidRPr="003F3120">
        <w:rPr>
          <w:rFonts w:eastAsia="Calibri"/>
          <w:bCs/>
          <w:lang w:val="fr-FR"/>
        </w:rPr>
        <w:t>individu et dans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collectivité, et dans toutes leurs dimensions – comportementale, sociale, culturelle, économique, institutionnelle, technique et technologique –</w:t>
      </w:r>
      <w:r w:rsidR="007031E0">
        <w:rPr>
          <w:rFonts w:eastAsia="Calibri"/>
          <w:bCs/>
          <w:lang w:val="fr-FR"/>
        </w:rPr>
        <w:t xml:space="preserve"> les </w:t>
      </w:r>
      <w:r w:rsidRPr="003F3120">
        <w:rPr>
          <w:rFonts w:eastAsia="Calibri"/>
          <w:bCs/>
          <w:lang w:val="fr-FR"/>
        </w:rPr>
        <w:t>facteurs qui pourraient être mobilisés pour amener</w:t>
      </w:r>
      <w:r w:rsidR="007031E0">
        <w:rPr>
          <w:rFonts w:eastAsia="Calibri"/>
          <w:bCs/>
          <w:lang w:val="fr-FR"/>
        </w:rPr>
        <w:t xml:space="preserve"> des </w:t>
      </w:r>
      <w:r w:rsidRPr="003F3120">
        <w:rPr>
          <w:rFonts w:eastAsia="Calibri"/>
          <w:bCs/>
          <w:lang w:val="fr-FR"/>
        </w:rPr>
        <w:t>changements transformateurs en vue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conservation,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restauration et de l</w:t>
      </w:r>
      <w:r w:rsidR="00FA5ADB">
        <w:rPr>
          <w:rFonts w:eastAsia="Calibri"/>
          <w:bCs/>
          <w:lang w:val="fr-FR"/>
        </w:rPr>
        <w:t>’</w:t>
      </w:r>
      <w:r w:rsidRPr="003F3120">
        <w:rPr>
          <w:rFonts w:eastAsia="Calibri"/>
          <w:bCs/>
          <w:lang w:val="fr-FR"/>
        </w:rPr>
        <w:t xml:space="preserve">utilisation </w:t>
      </w:r>
      <w:r w:rsidRPr="003F3120">
        <w:rPr>
          <w:rFonts w:eastAsia="Calibri"/>
          <w:bCs/>
          <w:lang w:val="fr-FR"/>
        </w:rPr>
        <w:lastRenderedPageBreak/>
        <w:t>rationnelle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biodiversité, tout en tenant compte</w:t>
      </w:r>
      <w:r w:rsidR="007031E0">
        <w:rPr>
          <w:rFonts w:eastAsia="Calibri"/>
          <w:bCs/>
          <w:lang w:val="fr-FR"/>
        </w:rPr>
        <w:t xml:space="preserve"> des </w:t>
      </w:r>
      <w:r w:rsidRPr="003F3120">
        <w:rPr>
          <w:rFonts w:eastAsia="Calibri"/>
          <w:bCs/>
          <w:lang w:val="fr-FR"/>
        </w:rPr>
        <w:t>objectifs socioéconomiques plus vastes dans</w:t>
      </w:r>
      <w:r w:rsidR="007031E0">
        <w:rPr>
          <w:rFonts w:eastAsia="Calibri"/>
          <w:bCs/>
          <w:lang w:val="fr-FR"/>
        </w:rPr>
        <w:t xml:space="preserve"> le </w:t>
      </w:r>
      <w:r w:rsidRPr="003F3120">
        <w:rPr>
          <w:rFonts w:eastAsia="Calibri"/>
          <w:bCs/>
          <w:lang w:val="fr-FR"/>
        </w:rPr>
        <w:t>contexte du développement durable</w:t>
      </w:r>
      <w:r w:rsidR="00FD5D6A">
        <w:rPr>
          <w:rFonts w:eastAsia="Calibri"/>
          <w:bCs/>
          <w:lang w:val="fr-FR"/>
        </w:rPr>
        <w:t> ;</w:t>
      </w:r>
    </w:p>
    <w:bookmarkEnd w:id="18"/>
    <w:p w14:paraId="0EBBED5A" w14:textId="21F7D91D" w:rsidR="001609F3" w:rsidRPr="003F3120" w:rsidRDefault="001609F3" w:rsidP="00ED6939">
      <w:pPr>
        <w:pStyle w:val="Normalnumber"/>
        <w:keepNext/>
        <w:keepLines/>
        <w:numPr>
          <w:ilvl w:val="1"/>
          <w:numId w:val="6"/>
        </w:numPr>
        <w:rPr>
          <w:rFonts w:eastAsia="Calibri"/>
          <w:bCs/>
          <w:color w:val="000000"/>
          <w:lang w:val="fr-FR"/>
        </w:rPr>
      </w:pPr>
      <w:r w:rsidRPr="003F3120">
        <w:rPr>
          <w:rFonts w:eastAsia="SimSun"/>
          <w:i/>
          <w:lang w:val="fr-FR" w:eastAsia="zh-CN"/>
        </w:rPr>
        <w:t>Mesurer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impact et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dépendance</w:t>
      </w:r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entreprises</w:t>
      </w:r>
      <w:bookmarkStart w:id="19" w:name="_Hlk534727882"/>
      <w:r w:rsidRPr="003F3120">
        <w:rPr>
          <w:rFonts w:eastAsia="SimSun"/>
          <w:i/>
          <w:lang w:val="fr-FR" w:eastAsia="zh-CN"/>
        </w:rPr>
        <w:t xml:space="preserve">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égard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et</w:t>
      </w:r>
      <w:bookmarkEnd w:id="19"/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contributions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nature aux populations</w:t>
      </w:r>
      <w:r w:rsidR="00FD5D6A">
        <w:rPr>
          <w:rFonts w:eastAsia="SimSun"/>
          <w:i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il est indispensable de disposer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outils appropriés pour mesurer, évaluer et surveiller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impact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dépendance </w:t>
      </w:r>
      <w:bookmarkStart w:id="20" w:name="_Hlk534547578"/>
      <w:r w:rsidRPr="003F3120">
        <w:rPr>
          <w:rFonts w:eastAsia="SimSun"/>
          <w:lang w:val="fr-FR" w:eastAsia="zh-CN"/>
        </w:rPr>
        <w:t>du secteur privé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égard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biodiversité </w:t>
      </w:r>
      <w:r w:rsidRPr="003F3120">
        <w:rPr>
          <w:rFonts w:eastAsia="Calibri"/>
          <w:bCs/>
          <w:color w:val="000000"/>
          <w:lang w:val="fr-FR"/>
        </w:rPr>
        <w:t>en vue de réduire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effets néfastes de leurs activités. Ces outils sont également essentiels pour promouvoir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prise de mesures par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appui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conservation,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restauration et de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utilisation rationnelle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biodiversité et pour élaborer un argumentaire en faveur de leur durabilité à long terme. Ils sont également importants pour promouvoir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responsabilité publique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entreprises, informer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autorités réglementaires, guider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investissements financiers et influencer</w:t>
      </w:r>
      <w:r w:rsidR="007031E0">
        <w:rPr>
          <w:rFonts w:eastAsia="Calibri"/>
          <w:bCs/>
          <w:color w:val="000000"/>
          <w:lang w:val="fr-FR"/>
        </w:rPr>
        <w:t xml:space="preserve"> le </w:t>
      </w:r>
      <w:r w:rsidRPr="003F3120">
        <w:rPr>
          <w:rFonts w:eastAsia="Calibri"/>
          <w:bCs/>
          <w:color w:val="000000"/>
          <w:lang w:val="fr-FR"/>
        </w:rPr>
        <w:t>comportement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consommateurs.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 xml:space="preserve">produits </w:t>
      </w:r>
      <w:r w:rsidR="00DE4B69">
        <w:rPr>
          <w:rFonts w:eastAsia="Calibri"/>
          <w:bCs/>
          <w:color w:val="000000"/>
          <w:lang w:val="fr-FR"/>
        </w:rPr>
        <w:t>correspondants</w:t>
      </w:r>
      <w:r w:rsidRPr="003F3120">
        <w:rPr>
          <w:rFonts w:eastAsia="Calibri"/>
          <w:bCs/>
          <w:color w:val="000000"/>
          <w:lang w:val="fr-FR"/>
        </w:rPr>
        <w:t xml:space="preserve"> comprennent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analyse de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impact et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dépendance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égard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biodiversité et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contributions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nature aux populations, ainsi que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travaux relatifs aux critères et indicateurs servant à mesurer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dépendance et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impact, en prenant en considération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moyens d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intégrer ces mesures dans d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autres aspects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durabilité.</w:t>
      </w:r>
      <w:bookmarkEnd w:id="20"/>
    </w:p>
    <w:p w14:paraId="5A8D6066" w14:textId="5FD3C4F9" w:rsidR="001609F3" w:rsidRPr="003F3120" w:rsidRDefault="001609F3" w:rsidP="001609F3">
      <w:pPr>
        <w:pStyle w:val="CH2"/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ab/>
        <w:t>B.</w:t>
      </w:r>
      <w:r w:rsidRPr="003F3120">
        <w:rPr>
          <w:rFonts w:eastAsia="SimSun"/>
          <w:lang w:val="fr-FR" w:eastAsia="zh-CN"/>
        </w:rPr>
        <w:tab/>
        <w:t xml:space="preserve">Objectifs et produits du </w:t>
      </w:r>
      <w:r w:rsidRPr="003F3120">
        <w:rPr>
          <w:rFonts w:eastAsia="SimSun"/>
          <w:lang w:val="fr-FR"/>
        </w:rPr>
        <w:t xml:space="preserve">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période allant</w:t>
      </w:r>
      <w:r w:rsidR="00AD1B7D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Pr="003F3120">
        <w:rPr>
          <w:rFonts w:eastAsia="SimSun"/>
          <w:lang w:val="fr-FR"/>
        </w:rPr>
        <w:t>jusqu</w:t>
      </w:r>
      <w:r w:rsidR="00FA5ADB">
        <w:rPr>
          <w:rFonts w:eastAsia="SimSun"/>
          <w:lang w:val="fr-FR"/>
        </w:rPr>
        <w:t>’</w:t>
      </w:r>
      <w:r w:rsidRPr="003F3120">
        <w:rPr>
          <w:rFonts w:eastAsia="SimSun"/>
          <w:lang w:val="fr-FR"/>
        </w:rPr>
        <w:t>en 2030</w:t>
      </w:r>
    </w:p>
    <w:p w14:paraId="7CB80690" w14:textId="503FDBC0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Le programme d</w:t>
      </w:r>
      <w:r w:rsidR="00E11AE0">
        <w:rPr>
          <w:lang w:val="fr-FR"/>
        </w:rPr>
        <w:t>e travail glissant comprend six </w:t>
      </w:r>
      <w:r w:rsidRPr="003F3120">
        <w:rPr>
          <w:lang w:val="fr-FR"/>
        </w:rPr>
        <w:t xml:space="preserve">objectifs, dont quatre </w:t>
      </w:r>
      <w:r w:rsidR="00DE4B69">
        <w:rPr>
          <w:lang w:val="fr-FR"/>
        </w:rPr>
        <w:t>ont trait aux quatre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un aux communications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participation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prenantes, et un à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de l</w:t>
      </w:r>
      <w:r w:rsidR="00FA5ADB">
        <w:rPr>
          <w:lang w:val="fr-FR"/>
        </w:rPr>
        <w:t>’</w:t>
      </w:r>
      <w:r w:rsidRPr="003F3120">
        <w:rPr>
          <w:lang w:val="fr-FR"/>
        </w:rPr>
        <w:t>efficacité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produits tiendront compte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acquises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enseignements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premier </w:t>
      </w:r>
      <w:r w:rsidRPr="003F3120">
        <w:rPr>
          <w:rFonts w:eastAsia="SimSun"/>
          <w:lang w:val="fr-FR" w:eastAsia="zh-CN"/>
        </w:rPr>
        <w:t>programme de travail.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/>
        </w:rPr>
        <w:t>objectifs sont appuyés par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qui portent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trois sujets initiaux prioritaires exposés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section A, ainsi que sur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="009207E4" w:rsidRPr="003F3120">
        <w:rPr>
          <w:lang w:val="fr-FR"/>
        </w:rPr>
        <w:t>Plateforme (figure A.1</w:t>
      </w:r>
      <w:r w:rsidRPr="003F3120">
        <w:rPr>
          <w:lang w:val="fr-FR"/>
        </w:rPr>
        <w:t xml:space="preserve">). </w:t>
      </w:r>
    </w:p>
    <w:p w14:paraId="59C72864" w14:textId="32C247A0" w:rsidR="001609F3" w:rsidRDefault="00E11AE0" w:rsidP="001609F3">
      <w:pPr>
        <w:pStyle w:val="Titlefigure"/>
        <w:rPr>
          <w:noProof/>
          <w:lang w:val="fr-FR"/>
        </w:rPr>
      </w:pPr>
      <w:r>
        <w:rPr>
          <w:b w:val="0"/>
          <w:noProof/>
          <w:lang w:val="fr-FR"/>
        </w:rPr>
        <w:t>Figure </w:t>
      </w:r>
      <w:r w:rsidR="009207E4" w:rsidRPr="003F3120">
        <w:rPr>
          <w:b w:val="0"/>
          <w:noProof/>
          <w:lang w:val="fr-FR"/>
        </w:rPr>
        <w:t>A.1</w:t>
      </w:r>
      <w:r w:rsidR="001609F3" w:rsidRPr="003F3120">
        <w:rPr>
          <w:b w:val="0"/>
          <w:noProof/>
          <w:lang w:val="fr-FR"/>
        </w:rPr>
        <w:t xml:space="preserve"> </w:t>
      </w:r>
      <w:r w:rsidR="001609F3" w:rsidRPr="003F3120">
        <w:rPr>
          <w:b w:val="0"/>
          <w:noProof/>
          <w:lang w:val="fr-FR"/>
        </w:rPr>
        <w:br/>
      </w:r>
      <w:r w:rsidR="001609F3" w:rsidRPr="003F3120">
        <w:rPr>
          <w:noProof/>
          <w:lang w:val="fr-FR"/>
        </w:rPr>
        <w:t xml:space="preserve">Structure du </w:t>
      </w:r>
      <w:r w:rsidR="00F96E46" w:rsidRPr="003F3120">
        <w:rPr>
          <w:noProof/>
          <w:lang w:val="fr-FR"/>
        </w:rPr>
        <w:t>programme de travail glissant pour</w:t>
      </w:r>
      <w:r w:rsidR="007031E0">
        <w:rPr>
          <w:noProof/>
          <w:lang w:val="fr-FR"/>
        </w:rPr>
        <w:t xml:space="preserve"> la </w:t>
      </w:r>
      <w:r w:rsidR="00F96E46" w:rsidRPr="003F3120">
        <w:rPr>
          <w:noProof/>
          <w:lang w:val="fr-FR"/>
        </w:rPr>
        <w:t>période allant jusqu</w:t>
      </w:r>
      <w:r w:rsidR="00FA5ADB">
        <w:rPr>
          <w:noProof/>
          <w:lang w:val="fr-FR"/>
        </w:rPr>
        <w:t>’</w:t>
      </w:r>
      <w:r w:rsidR="00F96E46" w:rsidRPr="003F3120">
        <w:rPr>
          <w:noProof/>
          <w:lang w:val="fr-FR"/>
        </w:rPr>
        <w:t>en 2030</w:t>
      </w:r>
    </w:p>
    <w:tbl>
      <w:tblPr>
        <w:tblStyle w:val="TableGrid"/>
        <w:tblW w:w="5000" w:type="pct"/>
        <w:jc w:val="righ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6"/>
        <w:gridCol w:w="1811"/>
        <w:gridCol w:w="1546"/>
        <w:gridCol w:w="1576"/>
        <w:gridCol w:w="1608"/>
        <w:gridCol w:w="1354"/>
      </w:tblGrid>
      <w:tr w:rsidR="00444CD5" w:rsidRPr="00C1327B" w14:paraId="71C192B9" w14:textId="77777777" w:rsidTr="00C1327B">
        <w:trPr>
          <w:trHeight w:val="57"/>
          <w:jc w:val="right"/>
        </w:trPr>
        <w:tc>
          <w:tcPr>
            <w:tcW w:w="9481" w:type="dxa"/>
            <w:gridSpan w:val="6"/>
            <w:shd w:val="clear" w:color="auto" w:fill="D9D9D9" w:themeFill="background1" w:themeFillShade="D9"/>
          </w:tcPr>
          <w:p w14:paraId="555EC9CE" w14:textId="5A70A09B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1327B">
              <w:rPr>
                <w:b/>
                <w:sz w:val="18"/>
                <w:szCs w:val="18"/>
              </w:rPr>
              <w:t>Objectif global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C1327B">
              <w:rPr>
                <w:b/>
                <w:sz w:val="18"/>
                <w:szCs w:val="18"/>
              </w:rPr>
              <w:t>Plateforme</w:t>
            </w:r>
          </w:p>
          <w:p w14:paraId="3070C000" w14:textId="5DB1CF24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Renforcer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pacing w:val="-3"/>
                <w:sz w:val="15"/>
                <w:szCs w:val="15"/>
              </w:rPr>
              <w:t>interface science-politiques pour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>biodiversité et</w:t>
            </w:r>
            <w:r w:rsidR="007031E0">
              <w:rPr>
                <w:spacing w:val="-3"/>
                <w:sz w:val="15"/>
                <w:szCs w:val="15"/>
              </w:rPr>
              <w:t xml:space="preserve"> les </w:t>
            </w:r>
            <w:r w:rsidRPr="00C1327B">
              <w:rPr>
                <w:spacing w:val="-3"/>
                <w:sz w:val="15"/>
                <w:szCs w:val="15"/>
              </w:rPr>
              <w:t>services écosystémiques aux fins de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 xml:space="preserve">conservation </w:t>
            </w:r>
            <w:r w:rsidRPr="00C1327B">
              <w:rPr>
                <w:spacing w:val="-3"/>
                <w:sz w:val="15"/>
                <w:szCs w:val="15"/>
              </w:rPr>
              <w:br/>
              <w:t>et de l</w:t>
            </w:r>
            <w:r w:rsidR="00FA5ADB">
              <w:rPr>
                <w:spacing w:val="-3"/>
                <w:sz w:val="15"/>
                <w:szCs w:val="15"/>
              </w:rPr>
              <w:t>’</w:t>
            </w:r>
            <w:r w:rsidRPr="00C1327B">
              <w:rPr>
                <w:spacing w:val="-3"/>
                <w:sz w:val="15"/>
                <w:szCs w:val="15"/>
              </w:rPr>
              <w:t>utilisation durable de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>biodiversité, du bien-être humain à long terme et du développement durable</w:t>
            </w:r>
          </w:p>
          <w:p w14:paraId="70828382" w14:textId="70785340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1327B">
              <w:rPr>
                <w:b/>
                <w:sz w:val="18"/>
                <w:szCs w:val="18"/>
              </w:rPr>
              <w:t>Plan directeur du programme de travail glissant pour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C1327B">
              <w:rPr>
                <w:b/>
                <w:sz w:val="18"/>
                <w:szCs w:val="18"/>
              </w:rPr>
              <w:t>période allant jusqu</w:t>
            </w:r>
            <w:r w:rsidR="00FA5ADB">
              <w:rPr>
                <w:b/>
                <w:sz w:val="18"/>
                <w:szCs w:val="18"/>
              </w:rPr>
              <w:t>’</w:t>
            </w:r>
            <w:r w:rsidRPr="00C1327B">
              <w:rPr>
                <w:b/>
                <w:sz w:val="18"/>
                <w:szCs w:val="18"/>
              </w:rPr>
              <w:t>en 2030</w:t>
            </w:r>
          </w:p>
          <w:p w14:paraId="3A0F2314" w14:textId="5E0453E2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sz w:val="15"/>
                <w:szCs w:val="15"/>
                <w:lang w:val="fr-FR"/>
              </w:rPr>
            </w:pPr>
            <w:r w:rsidRPr="00C1327B">
              <w:rPr>
                <w:sz w:val="15"/>
                <w:szCs w:val="15"/>
              </w:rPr>
              <w:t>Le Programme de développement durable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horizon 2030,</w:t>
            </w:r>
            <w:r w:rsidR="007031E0">
              <w:rPr>
                <w:sz w:val="15"/>
                <w:szCs w:val="15"/>
              </w:rPr>
              <w:t xml:space="preserve"> y </w:t>
            </w:r>
            <w:r w:rsidRPr="00C1327B">
              <w:rPr>
                <w:sz w:val="15"/>
                <w:szCs w:val="15"/>
              </w:rPr>
              <w:t>compris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objectifs de développement durable,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 xml:space="preserve">conventions relatives </w:t>
            </w:r>
            <w:r w:rsidR="00C1327B">
              <w:rPr>
                <w:sz w:val="15"/>
                <w:szCs w:val="15"/>
              </w:rPr>
              <w:br/>
            </w:r>
            <w:r w:rsidRPr="00C1327B">
              <w:rPr>
                <w:sz w:val="15"/>
                <w:szCs w:val="15"/>
              </w:rPr>
              <w:t>à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diversité biologique et autres processus concernant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services écosystémiques</w:t>
            </w:r>
          </w:p>
        </w:tc>
      </w:tr>
      <w:tr w:rsidR="00C1327B" w:rsidRPr="00C1327B" w14:paraId="17CC8BFA" w14:textId="77777777" w:rsidTr="00C1327B">
        <w:trPr>
          <w:trHeight w:val="2410"/>
          <w:jc w:val="right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14:paraId="648CDCE5" w14:textId="4F2D2917" w:rsidR="00C1327B" w:rsidRPr="00C1327B" w:rsidRDefault="00C1327B" w:rsidP="00C1327B">
            <w:pPr>
              <w:pStyle w:val="Normal-pool"/>
              <w:spacing w:before="40" w:after="40"/>
              <w:jc w:val="right"/>
              <w:rPr>
                <w:w w:val="105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SUJETS PRIORITAIRES INITIAUX</w:t>
            </w:r>
            <w:r w:rsidRPr="00C1327B">
              <w:rPr>
                <w:sz w:val="15"/>
                <w:szCs w:val="15"/>
              </w:rPr>
              <w:t xml:space="preserve"> </w:t>
            </w:r>
            <w:r w:rsidRPr="00C1327B">
              <w:rPr>
                <w:w w:val="105"/>
                <w:sz w:val="15"/>
                <w:szCs w:val="15"/>
              </w:rPr>
              <w:t>du programme de travail</w:t>
            </w:r>
          </w:p>
          <w:p w14:paraId="7888587B" w14:textId="405A3179" w:rsidR="00C1327B" w:rsidRPr="00C1327B" w:rsidRDefault="00C1327B" w:rsidP="00C1327B">
            <w:pPr>
              <w:pStyle w:val="Normal-pool"/>
              <w:spacing w:before="1700" w:after="40"/>
              <w:rPr>
                <w:sz w:val="15"/>
                <w:szCs w:val="15"/>
                <w:lang w:val="fr-FR"/>
              </w:rPr>
            </w:pPr>
            <w:r w:rsidRPr="00C1327B">
              <w:rPr>
                <w:b/>
                <w:w w:val="105"/>
                <w:sz w:val="15"/>
                <w:szCs w:val="15"/>
              </w:rPr>
              <w:t>OBJECTIFS</w:t>
            </w:r>
            <w:r w:rsidRPr="00C1327B">
              <w:rPr>
                <w:w w:val="105"/>
                <w:sz w:val="15"/>
                <w:szCs w:val="15"/>
              </w:rPr>
              <w:t xml:space="preserve"> du programme </w:t>
            </w:r>
            <w:r w:rsidRPr="00C1327B">
              <w:rPr>
                <w:rFonts w:ascii="Arial" w:eastAsia="Arial" w:hAnsi="Arial" w:cs="Arial"/>
                <w:b/>
                <w:noProof/>
                <w:sz w:val="15"/>
                <w:szCs w:val="1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8BF0E" wp14:editId="46CB2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992573" cy="1064525"/>
                      <wp:effectExtent l="0" t="0" r="2730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573" cy="1064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A93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156.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C1327B">
              <w:rPr>
                <w:w w:val="105"/>
                <w:sz w:val="15"/>
                <w:szCs w:val="15"/>
              </w:rPr>
              <w:t>de travail</w:t>
            </w:r>
            <w:r w:rsidRPr="00C1327B">
              <w:rPr>
                <w:color w:val="FFFFFF"/>
                <w:w w:val="105"/>
                <w:sz w:val="15"/>
                <w:szCs w:val="15"/>
              </w:rPr>
              <w:t xml:space="preserve"> </w:t>
            </w:r>
          </w:p>
        </w:tc>
        <w:tc>
          <w:tcPr>
            <w:tcW w:w="1546" w:type="dxa"/>
            <w:shd w:val="clear" w:color="auto" w:fill="5E665B"/>
          </w:tcPr>
          <w:p w14:paraId="5FF6F06A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1</w:t>
            </w:r>
          </w:p>
          <w:p w14:paraId="21B75B6D" w14:textId="238F6DBD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Comprendre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importance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pour réaliser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Programme de développement durable à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horizon</w:t>
            </w:r>
            <w:r w:rsidR="00AD1B7D">
              <w:rPr>
                <w:color w:val="FFFFFF"/>
                <w:w w:val="105"/>
                <w:sz w:val="15"/>
                <w:szCs w:val="15"/>
              </w:rPr>
              <w:t>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2030</w:t>
            </w:r>
          </w:p>
        </w:tc>
        <w:tc>
          <w:tcPr>
            <w:tcW w:w="1576" w:type="dxa"/>
            <w:shd w:val="clear" w:color="auto" w:fill="5E665B"/>
          </w:tcPr>
          <w:p w14:paraId="74C0933F" w14:textId="77777777" w:rsidR="00C1327B" w:rsidRPr="00AD1B7D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2</w:t>
            </w:r>
          </w:p>
          <w:p w14:paraId="123B1814" w14:textId="3445EF9F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Comprendre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liens entre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causes profondes de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érosion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déterminants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changements transformateurs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solutions pour réaliser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Vision</w:t>
            </w:r>
            <w:r w:rsidR="00AD1B7D">
              <w:rPr>
                <w:color w:val="FFFFFF"/>
                <w:w w:val="105"/>
                <w:sz w:val="15"/>
                <w:szCs w:val="15"/>
              </w:rPr>
              <w:t>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2050 pour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</w:t>
            </w:r>
          </w:p>
        </w:tc>
        <w:tc>
          <w:tcPr>
            <w:tcW w:w="1608" w:type="dxa"/>
            <w:shd w:val="clear" w:color="auto" w:fill="5E665B"/>
          </w:tcPr>
          <w:p w14:paraId="48C97DEE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3</w:t>
            </w:r>
          </w:p>
          <w:p w14:paraId="00176294" w14:textId="51CC1C1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Mesurer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impact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dépendance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entreprises à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égard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contributions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nature aux populations</w:t>
            </w:r>
          </w:p>
        </w:tc>
        <w:tc>
          <w:tcPr>
            <w:tcW w:w="1354" w:type="dxa"/>
            <w:shd w:val="clear" w:color="auto" w:fill="5E665B"/>
          </w:tcPr>
          <w:p w14:paraId="4077958D" w14:textId="7777777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</w:p>
          <w:p w14:paraId="1C2D7ACB" w14:textId="0205EB3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Soutenir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réalisation de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objectif global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Plateforme</w:t>
            </w:r>
          </w:p>
        </w:tc>
      </w:tr>
      <w:tr w:rsidR="00C1327B" w:rsidRPr="00C1327B" w14:paraId="7C274790" w14:textId="77777777" w:rsidTr="005C2FB4">
        <w:trPr>
          <w:trHeight w:val="57"/>
          <w:jc w:val="right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14:paraId="348B03C4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1</w:t>
            </w:r>
          </w:p>
          <w:p w14:paraId="50A28ACD" w14:textId="2FC69E7B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Évaluer</w:t>
            </w:r>
            <w:r w:rsidR="007031E0">
              <w:rPr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w w:val="105"/>
                <w:sz w:val="15"/>
                <w:szCs w:val="15"/>
              </w:rPr>
              <w:t>connaissances</w:t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532F42CB" w14:textId="4298382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a) : </w:t>
            </w:r>
            <w:r w:rsidRPr="00C1327B">
              <w:rPr>
                <w:sz w:val="15"/>
                <w:szCs w:val="15"/>
              </w:rPr>
              <w:t>Évaluation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liens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interdépendance entre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biodiversité,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eau,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alimentation et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santé (évaluation thématique)</w:t>
            </w:r>
          </w:p>
          <w:p w14:paraId="06B3CC98" w14:textId="036E3E0F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b) : </w:t>
            </w:r>
            <w:r w:rsidRPr="00C1327B">
              <w:rPr>
                <w:spacing w:val="-4"/>
                <w:sz w:val="15"/>
                <w:szCs w:val="15"/>
              </w:rPr>
              <w:t>Évaluation</w:t>
            </w:r>
            <w:r w:rsidR="007031E0">
              <w:rPr>
                <w:spacing w:val="-4"/>
                <w:sz w:val="15"/>
                <w:szCs w:val="15"/>
              </w:rPr>
              <w:t xml:space="preserve"> des </w:t>
            </w:r>
            <w:r w:rsidRPr="00C1327B">
              <w:rPr>
                <w:spacing w:val="-4"/>
                <w:sz w:val="15"/>
                <w:szCs w:val="15"/>
              </w:rPr>
              <w:t>liens d</w:t>
            </w:r>
            <w:r w:rsidR="00FA5ADB">
              <w:rPr>
                <w:spacing w:val="-4"/>
                <w:sz w:val="15"/>
                <w:szCs w:val="15"/>
              </w:rPr>
              <w:t>’</w:t>
            </w:r>
            <w:r w:rsidRPr="00C1327B">
              <w:rPr>
                <w:spacing w:val="-4"/>
                <w:sz w:val="15"/>
                <w:szCs w:val="15"/>
              </w:rPr>
              <w:t>interdépendance entre</w:t>
            </w:r>
            <w:r w:rsidR="007031E0">
              <w:rPr>
                <w:spacing w:val="-4"/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changements climatiques (document technique</w:t>
            </w:r>
            <w:r w:rsidRPr="00C1327B">
              <w:rPr>
                <w:spacing w:val="-4"/>
                <w:sz w:val="15"/>
                <w:szCs w:val="15"/>
              </w:rPr>
              <w:t>)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14:paraId="3ABC88D5" w14:textId="7FD062E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Produit 1 c) :</w:t>
            </w:r>
            <w:r w:rsidRPr="00C1327B">
              <w:rPr>
                <w:sz w:val="15"/>
                <w:szCs w:val="15"/>
              </w:rPr>
              <w:t xml:space="preserve"> Évaluation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causes profondes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érosion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biodiversité,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déterminants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changements transformateurs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solutions pour réaliser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Vision 2050 pour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(évaluation thématique)</w:t>
            </w:r>
          </w:p>
        </w:tc>
        <w:tc>
          <w:tcPr>
            <w:tcW w:w="1608" w:type="dxa"/>
            <w:shd w:val="clear" w:color="auto" w:fill="C5E0B3" w:themeFill="accent6" w:themeFillTint="66"/>
          </w:tcPr>
          <w:p w14:paraId="6DDA3442" w14:textId="7CAA3250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d) : </w:t>
            </w:r>
            <w:r w:rsidRPr="00C1327B">
              <w:rPr>
                <w:sz w:val="15"/>
                <w:szCs w:val="15"/>
              </w:rPr>
              <w:t>Évaluation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impact et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dépendance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entreprises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égard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contributions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nature aux populations (évaluation méthodologique rapide)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14:paraId="6713C2DB" w14:textId="7777777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</w:p>
        </w:tc>
      </w:tr>
      <w:tr w:rsidR="00C1327B" w:rsidRPr="00C1327B" w14:paraId="5C5844B0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FBB98D"/>
          </w:tcPr>
          <w:p w14:paraId="414FF3FF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2</w:t>
            </w:r>
          </w:p>
          <w:p w14:paraId="77B9B840" w14:textId="24ABEE23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</w:t>
            </w:r>
            <w:r w:rsidR="007031E0">
              <w:rPr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w w:val="105"/>
                <w:sz w:val="15"/>
                <w:szCs w:val="15"/>
              </w:rPr>
              <w:t>capacités</w:t>
            </w:r>
          </w:p>
        </w:tc>
        <w:tc>
          <w:tcPr>
            <w:tcW w:w="1811" w:type="dxa"/>
            <w:shd w:val="clear" w:color="auto" w:fill="FBB98D"/>
          </w:tcPr>
          <w:p w14:paraId="2ADE7406" w14:textId="2B6F7E0C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Apprentissage et engagement améliorés</w:t>
            </w:r>
          </w:p>
        </w:tc>
        <w:tc>
          <w:tcPr>
            <w:tcW w:w="1546" w:type="dxa"/>
            <w:shd w:val="clear" w:color="auto" w:fill="FBB98D"/>
          </w:tcPr>
          <w:p w14:paraId="3315DEED" w14:textId="6F43595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6915EE48" w14:textId="05C652CB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0963253D" w14:textId="2462EB9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3B9849E9" w14:textId="01F5FD3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50741A46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FBB98D"/>
          </w:tcPr>
          <w:p w14:paraId="3F578916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FBB98D"/>
          </w:tcPr>
          <w:p w14:paraId="1C32D927" w14:textId="7E889D4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Accès facilité aux compétences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experts et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information</w:t>
            </w:r>
          </w:p>
        </w:tc>
        <w:tc>
          <w:tcPr>
            <w:tcW w:w="1546" w:type="dxa"/>
            <w:shd w:val="clear" w:color="auto" w:fill="FBB98D"/>
          </w:tcPr>
          <w:p w14:paraId="65C15D92" w14:textId="35A1C20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462F90EA" w14:textId="199D5419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29D749E9" w14:textId="43AFF67C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433B2E82" w14:textId="508FBDC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444CD5" w:rsidRPr="00C1327B" w14:paraId="3C301150" w14:textId="77777777" w:rsidTr="00C1327B">
        <w:trPr>
          <w:trHeight w:val="57"/>
          <w:jc w:val="right"/>
        </w:trPr>
        <w:tc>
          <w:tcPr>
            <w:tcW w:w="1586" w:type="dxa"/>
            <w:shd w:val="clear" w:color="auto" w:fill="FBB98D"/>
          </w:tcPr>
          <w:p w14:paraId="6817968F" w14:textId="77777777" w:rsidR="007E0D14" w:rsidRPr="00C1327B" w:rsidRDefault="007E0D14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FBB98D"/>
          </w:tcPr>
          <w:p w14:paraId="6BF7D406" w14:textId="1B14F644" w:rsidR="007E0D14" w:rsidRPr="00C1327B" w:rsidRDefault="007E0D14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Capacités nationales et régionales renforcées</w:t>
            </w:r>
          </w:p>
        </w:tc>
        <w:tc>
          <w:tcPr>
            <w:tcW w:w="1546" w:type="dxa"/>
            <w:shd w:val="clear" w:color="auto" w:fill="FBB98D"/>
          </w:tcPr>
          <w:p w14:paraId="1D8DCF7C" w14:textId="0E385E21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645D91B3" w14:textId="237FE025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74AB6F11" w14:textId="7BC6C234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6FD0E6B8" w14:textId="13155222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97FC426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DCA3A4"/>
          </w:tcPr>
          <w:p w14:paraId="3594EA47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lastRenderedPageBreak/>
              <w:t>OBJECTIF 3</w:t>
            </w:r>
          </w:p>
          <w:p w14:paraId="6209D96D" w14:textId="747EF13D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Consolider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base</w:t>
            </w:r>
            <w:r w:rsidR="007031E0">
              <w:rPr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w w:val="105"/>
                <w:sz w:val="15"/>
                <w:szCs w:val="15"/>
              </w:rPr>
              <w:t>connaissances</w:t>
            </w:r>
          </w:p>
        </w:tc>
        <w:tc>
          <w:tcPr>
            <w:tcW w:w="1811" w:type="dxa"/>
            <w:shd w:val="clear" w:color="auto" w:fill="DCA3A4"/>
          </w:tcPr>
          <w:p w14:paraId="2EE70D81" w14:textId="374594B5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connaissances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données</w:t>
            </w:r>
          </w:p>
        </w:tc>
        <w:tc>
          <w:tcPr>
            <w:tcW w:w="1546" w:type="dxa"/>
            <w:shd w:val="clear" w:color="auto" w:fill="DCA3A4"/>
          </w:tcPr>
          <w:p w14:paraId="70FDDEB5" w14:textId="1D6B2533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DCA3A4"/>
          </w:tcPr>
          <w:p w14:paraId="5655C595" w14:textId="327ED85D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DCA3A4"/>
          </w:tcPr>
          <w:p w14:paraId="3389BA79" w14:textId="473F428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DCA3A4"/>
          </w:tcPr>
          <w:p w14:paraId="45C38986" w14:textId="60E7E73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BBE9535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DCA3A4"/>
          </w:tcPr>
          <w:p w14:paraId="712CCF9F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DCA3A4"/>
          </w:tcPr>
          <w:p w14:paraId="5F25F581" w14:textId="3A0D6ED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Reconnaissance et utilisation améliorées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systèmes de savoirs autochtones et locaux</w:t>
            </w:r>
          </w:p>
        </w:tc>
        <w:tc>
          <w:tcPr>
            <w:tcW w:w="1546" w:type="dxa"/>
            <w:shd w:val="clear" w:color="auto" w:fill="DCA3A4"/>
          </w:tcPr>
          <w:p w14:paraId="4E4841AF" w14:textId="139A160C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DCA3A4"/>
          </w:tcPr>
          <w:p w14:paraId="450CBF06" w14:textId="194C80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DCA3A4"/>
          </w:tcPr>
          <w:p w14:paraId="15092AF7" w14:textId="26E8E7E4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DCA3A4"/>
          </w:tcPr>
          <w:p w14:paraId="1BC1FAC8" w14:textId="5014D212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01F669D3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B1ABD1"/>
          </w:tcPr>
          <w:p w14:paraId="654682E4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4</w:t>
            </w:r>
          </w:p>
          <w:p w14:paraId="48EDCAF5" w14:textId="54151483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Fournir une aide à l</w:t>
            </w:r>
            <w:r w:rsidR="00FA5ADB">
              <w:rPr>
                <w:w w:val="105"/>
                <w:sz w:val="15"/>
                <w:szCs w:val="15"/>
              </w:rPr>
              <w:t>’</w:t>
            </w:r>
            <w:r w:rsidRPr="00C1327B">
              <w:rPr>
                <w:w w:val="105"/>
                <w:sz w:val="15"/>
                <w:szCs w:val="15"/>
              </w:rPr>
              <w:t>élaboration</w:t>
            </w:r>
            <w:r w:rsidR="007031E0">
              <w:rPr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w w:val="105"/>
                <w:sz w:val="15"/>
                <w:szCs w:val="15"/>
              </w:rPr>
              <w:t>politiques</w:t>
            </w:r>
          </w:p>
        </w:tc>
        <w:tc>
          <w:tcPr>
            <w:tcW w:w="1811" w:type="dxa"/>
            <w:shd w:val="clear" w:color="auto" w:fill="B1ABD1"/>
          </w:tcPr>
          <w:p w14:paraId="658FF490" w14:textId="0B26D50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moyens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action,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outils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appui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élaboration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politiques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méthodes</w:t>
            </w:r>
          </w:p>
        </w:tc>
        <w:tc>
          <w:tcPr>
            <w:tcW w:w="1546" w:type="dxa"/>
            <w:shd w:val="clear" w:color="auto" w:fill="B1ABD1"/>
          </w:tcPr>
          <w:p w14:paraId="5EA6372A" w14:textId="2311FF61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299F33F4" w14:textId="047EE902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5B98EE7B" w14:textId="13BDB11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1501D288" w14:textId="6F4098F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89F1DC9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B1ABD1"/>
          </w:tcPr>
          <w:p w14:paraId="387A43FC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B1ABD1"/>
          </w:tcPr>
          <w:p w14:paraId="458EDEA8" w14:textId="59266E8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scénarios et modèles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services écosystémiques</w:t>
            </w:r>
          </w:p>
        </w:tc>
        <w:tc>
          <w:tcPr>
            <w:tcW w:w="1546" w:type="dxa"/>
            <w:shd w:val="clear" w:color="auto" w:fill="B1ABD1"/>
          </w:tcPr>
          <w:p w14:paraId="1500B125" w14:textId="30D2E2E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56989150" w14:textId="25578D3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360B7EBB" w14:textId="2AD0390A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7209AF83" w14:textId="1128FCD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638F465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B1ABD1"/>
          </w:tcPr>
          <w:p w14:paraId="31268603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B1ABD1"/>
          </w:tcPr>
          <w:p w14:paraId="2DEFF3BD" w14:textId="3269FE9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valeurs multiples</w:t>
            </w:r>
          </w:p>
        </w:tc>
        <w:tc>
          <w:tcPr>
            <w:tcW w:w="1546" w:type="dxa"/>
            <w:shd w:val="clear" w:color="auto" w:fill="B1ABD1"/>
          </w:tcPr>
          <w:p w14:paraId="69665A8C" w14:textId="0A74C65B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16AC923D" w14:textId="3CEA47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7572FEC8" w14:textId="02C43F65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57A52994" w14:textId="3DC0BF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16F44AAC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829DBF"/>
          </w:tcPr>
          <w:p w14:paraId="34E17151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5</w:t>
            </w:r>
          </w:p>
          <w:p w14:paraId="502A9CC0" w14:textId="102232B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communication et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participation</w:t>
            </w:r>
          </w:p>
        </w:tc>
        <w:tc>
          <w:tcPr>
            <w:tcW w:w="1811" w:type="dxa"/>
            <w:shd w:val="clear" w:color="auto" w:fill="829DBF"/>
          </w:tcPr>
          <w:p w14:paraId="0DCC56E8" w14:textId="6A9841DC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Communication renforcée</w:t>
            </w:r>
          </w:p>
        </w:tc>
        <w:tc>
          <w:tcPr>
            <w:tcW w:w="1546" w:type="dxa"/>
            <w:shd w:val="clear" w:color="auto" w:fill="829DBF"/>
          </w:tcPr>
          <w:p w14:paraId="732EBDFF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633BD6E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09B0FC2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65C6CEB1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3285941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29DBF"/>
          </w:tcPr>
          <w:p w14:paraId="6C86EF48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29DBF"/>
          </w:tcPr>
          <w:p w14:paraId="0F969B7D" w14:textId="0B84C1AA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</w:t>
            </w:r>
            <w:r w:rsidRPr="00C1327B">
              <w:rPr>
                <w:w w:val="105"/>
                <w:sz w:val="15"/>
                <w:szCs w:val="15"/>
              </w:rPr>
              <w:t>Participation</w:t>
            </w:r>
            <w:r w:rsidRPr="00C1327B">
              <w:rPr>
                <w:sz w:val="15"/>
                <w:szCs w:val="15"/>
              </w:rPr>
              <w:t xml:space="preserve"> renforcée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gouvernements</w:t>
            </w:r>
          </w:p>
        </w:tc>
        <w:tc>
          <w:tcPr>
            <w:tcW w:w="1546" w:type="dxa"/>
            <w:shd w:val="clear" w:color="auto" w:fill="829DBF"/>
          </w:tcPr>
          <w:p w14:paraId="1FD7C77B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340C6E96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5BFB2D1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4DFE62FD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B672968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29DBF"/>
          </w:tcPr>
          <w:p w14:paraId="4B81DE4E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29DBF"/>
          </w:tcPr>
          <w:p w14:paraId="503A2EE7" w14:textId="2F052686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</w:t>
            </w:r>
            <w:r w:rsidR="00B14ABD">
              <w:rPr>
                <w:w w:val="105"/>
                <w:sz w:val="15"/>
                <w:szCs w:val="15"/>
              </w:rPr>
              <w:t>P</w:t>
            </w:r>
            <w:r w:rsidRPr="00C1327B">
              <w:rPr>
                <w:w w:val="105"/>
                <w:sz w:val="15"/>
                <w:szCs w:val="15"/>
              </w:rPr>
              <w:t>articipation</w:t>
            </w:r>
            <w:r w:rsidRPr="00C1327B">
              <w:rPr>
                <w:sz w:val="15"/>
                <w:szCs w:val="15"/>
              </w:rPr>
              <w:t xml:space="preserve"> renforcée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parties prenantes</w:t>
            </w:r>
          </w:p>
        </w:tc>
        <w:tc>
          <w:tcPr>
            <w:tcW w:w="1546" w:type="dxa"/>
            <w:shd w:val="clear" w:color="auto" w:fill="829DBF"/>
          </w:tcPr>
          <w:p w14:paraId="6326223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48FB9110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75F9010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6CA97129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5B24297B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8FB9B9"/>
          </w:tcPr>
          <w:p w14:paraId="15582821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6</w:t>
            </w:r>
          </w:p>
          <w:p w14:paraId="1FAB7056" w14:textId="5899DA4C" w:rsidR="00C1327B" w:rsidRPr="00C1327B" w:rsidRDefault="00C1327B" w:rsidP="00C1327B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 l</w:t>
            </w:r>
            <w:r w:rsidR="00FA5ADB">
              <w:rPr>
                <w:w w:val="105"/>
                <w:sz w:val="15"/>
                <w:szCs w:val="15"/>
              </w:rPr>
              <w:t>’</w:t>
            </w:r>
            <w:r w:rsidRPr="00C1327B">
              <w:rPr>
                <w:w w:val="105"/>
                <w:sz w:val="15"/>
                <w:szCs w:val="15"/>
              </w:rPr>
              <w:t>efficacité de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 xml:space="preserve">Plateforme </w:t>
            </w:r>
          </w:p>
        </w:tc>
        <w:tc>
          <w:tcPr>
            <w:tcW w:w="1811" w:type="dxa"/>
            <w:shd w:val="clear" w:color="auto" w:fill="8FB9B9"/>
          </w:tcPr>
          <w:p w14:paraId="0F0161D8" w14:textId="590E9C9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Évaluation périodique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efficacité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Plateforme</w:t>
            </w:r>
          </w:p>
        </w:tc>
        <w:tc>
          <w:tcPr>
            <w:tcW w:w="1546" w:type="dxa"/>
            <w:shd w:val="clear" w:color="auto" w:fill="8FB9B9"/>
          </w:tcPr>
          <w:p w14:paraId="431363B3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59E4A7C3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3404C699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36439E7E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0E157246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FB9B9"/>
          </w:tcPr>
          <w:p w14:paraId="49B95D08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FB9B9"/>
          </w:tcPr>
          <w:p w14:paraId="6732CD47" w14:textId="05B2E67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Évaluation du cadre conceptuel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Plateforme</w:t>
            </w:r>
          </w:p>
        </w:tc>
        <w:tc>
          <w:tcPr>
            <w:tcW w:w="1546" w:type="dxa"/>
            <w:shd w:val="clear" w:color="auto" w:fill="8FB9B9"/>
          </w:tcPr>
          <w:p w14:paraId="22FA00AD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6BF8A531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3CE6396B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67359802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2DD6DD8E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FB9B9"/>
          </w:tcPr>
          <w:p w14:paraId="4EB74AD9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FB9B9"/>
          </w:tcPr>
          <w:p w14:paraId="68BF593F" w14:textId="1D396DAA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Renforcement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efficacité du processus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évaluation</w:t>
            </w:r>
          </w:p>
        </w:tc>
        <w:tc>
          <w:tcPr>
            <w:tcW w:w="1546" w:type="dxa"/>
            <w:shd w:val="clear" w:color="auto" w:fill="8FB9B9"/>
          </w:tcPr>
          <w:p w14:paraId="0FCFADBE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2D48FC0F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63FAA17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2111402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FD2D916" w14:textId="77777777" w:rsidTr="00C1327B">
        <w:trPr>
          <w:trHeight w:val="57"/>
          <w:jc w:val="right"/>
        </w:trPr>
        <w:tc>
          <w:tcPr>
            <w:tcW w:w="9481" w:type="dxa"/>
            <w:gridSpan w:val="6"/>
            <w:shd w:val="clear" w:color="auto" w:fill="D9D9D9" w:themeFill="background1" w:themeFillShade="D9"/>
          </w:tcPr>
          <w:p w14:paraId="5C839AB4" w14:textId="30BBE8B2" w:rsidR="00C1327B" w:rsidRPr="00C1327B" w:rsidRDefault="00C1327B" w:rsidP="00C1327B">
            <w:pPr>
              <w:pStyle w:val="Normal-pool"/>
              <w:spacing w:before="80" w:after="160"/>
              <w:jc w:val="center"/>
              <w:rPr>
                <w:sz w:val="15"/>
                <w:szCs w:val="15"/>
                <w:lang w:val="fr-FR"/>
              </w:rPr>
            </w:pPr>
            <w:r>
              <w:rPr>
                <w:sz w:val="15"/>
                <w:szCs w:val="15"/>
              </w:rPr>
              <w:t xml:space="preserve">(*) Produits spécifiques </w:t>
            </w:r>
            <w:r>
              <w:rPr>
                <w:sz w:val="15"/>
                <w:szCs w:val="15"/>
                <w:lang w:val="fr-FR"/>
              </w:rPr>
              <w:t>incombant aux équipes spéciales</w:t>
            </w:r>
          </w:p>
        </w:tc>
      </w:tr>
    </w:tbl>
    <w:p w14:paraId="0B64849A" w14:textId="13DC8E38" w:rsidR="000D727B" w:rsidRPr="003F3120" w:rsidRDefault="000D727B" w:rsidP="00ED6939">
      <w:pPr>
        <w:pStyle w:val="Normalnumber"/>
        <w:numPr>
          <w:ilvl w:val="0"/>
          <w:numId w:val="6"/>
        </w:numPr>
        <w:spacing w:before="240"/>
        <w:rPr>
          <w:lang w:val="fr-FR"/>
        </w:rPr>
      </w:pPr>
      <w:r w:rsidRPr="003F3120">
        <w:rPr>
          <w:lang w:val="fr-FR"/>
        </w:rPr>
        <w:t xml:space="preserve">Le programme de travail </w:t>
      </w:r>
      <w:r w:rsidR="00253AAE">
        <w:rPr>
          <w:lang w:val="fr-FR"/>
        </w:rPr>
        <w:t xml:space="preserve">glissant </w:t>
      </w:r>
      <w:r w:rsidRPr="003F3120">
        <w:rPr>
          <w:lang w:val="fr-FR"/>
        </w:rPr>
        <w:t>sera mis en œuvre de façon que ses objectifs se soutiennent mutuellement. C</w:t>
      </w:r>
      <w:r w:rsidR="00FA5ADB">
        <w:rPr>
          <w:lang w:val="fr-FR"/>
        </w:rPr>
        <w:t>’</w:t>
      </w:r>
      <w:r w:rsidRPr="003F3120">
        <w:rPr>
          <w:lang w:val="fr-FR"/>
        </w:rPr>
        <w:t>est ainsi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 sous-tendront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processus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 en améliorant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capacité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scientifiques et autres détenteurs de savoirs à produire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 (notamment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programme de bourses de recherche)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capacité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à revoir et utiliser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conclusions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évaluations. De même,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activités </w:t>
      </w:r>
      <w:r w:rsidR="00253AAE">
        <w:rPr>
          <w:lang w:val="fr-FR"/>
        </w:rPr>
        <w:t>relevant</w:t>
      </w:r>
      <w:r w:rsidR="007031E0">
        <w:rPr>
          <w:lang w:val="fr-FR"/>
        </w:rPr>
        <w:t xml:space="preserve"> des </w:t>
      </w:r>
      <w:r w:rsidR="00253AAE">
        <w:rPr>
          <w:lang w:val="fr-FR"/>
        </w:rPr>
        <w:t>objectifs 2 à </w:t>
      </w:r>
      <w:r w:rsidRPr="003F3120">
        <w:rPr>
          <w:lang w:val="fr-FR"/>
        </w:rPr>
        <w:t>5 relatifs au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constitution d</w:t>
      </w:r>
      <w:r w:rsidR="00FA5ADB">
        <w:rPr>
          <w:lang w:val="fr-FR"/>
        </w:rPr>
        <w:t>’</w:t>
      </w:r>
      <w:r w:rsidRPr="003F3120">
        <w:rPr>
          <w:lang w:val="fr-FR"/>
        </w:rPr>
        <w:t>une base de connaissances, à l</w:t>
      </w:r>
      <w:r w:rsidR="00FA5ADB">
        <w:rPr>
          <w:lang w:val="fr-FR"/>
        </w:rPr>
        <w:t>’</w:t>
      </w:r>
      <w:r w:rsidRPr="003F3120">
        <w:rPr>
          <w:lang w:val="fr-FR"/>
        </w:rPr>
        <w:t>a</w:t>
      </w:r>
      <w:r w:rsidR="00253AAE">
        <w:rPr>
          <w:lang w:val="fr-FR"/>
        </w:rPr>
        <w:t>ide à l</w:t>
      </w:r>
      <w:r w:rsidR="00FA5ADB">
        <w:rPr>
          <w:lang w:val="fr-FR"/>
        </w:rPr>
        <w:t>’</w:t>
      </w:r>
      <w:r w:rsidR="00253A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</w:t>
      </w:r>
      <w:r w:rsidR="00253AAE">
        <w:rPr>
          <w:lang w:val="fr-FR"/>
        </w:rPr>
        <w:t>s</w:t>
      </w:r>
      <w:r w:rsidRPr="003F3120">
        <w:rPr>
          <w:lang w:val="fr-FR"/>
        </w:rPr>
        <w:t>,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communication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participation se</w:t>
      </w:r>
      <w:r w:rsidR="00AD1B7D">
        <w:rPr>
          <w:lang w:val="fr-FR"/>
        </w:rPr>
        <w:t> </w:t>
      </w:r>
      <w:r w:rsidRPr="003F3120">
        <w:rPr>
          <w:lang w:val="fr-FR"/>
        </w:rPr>
        <w:t xml:space="preserve">complèteront. </w:t>
      </w:r>
    </w:p>
    <w:p w14:paraId="7E5FB504" w14:textId="682BA70B" w:rsidR="001609F3" w:rsidRPr="003F3120" w:rsidRDefault="00E11AE0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1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é</w:t>
      </w:r>
      <w:r w:rsidR="001609F3" w:rsidRPr="003F3120">
        <w:rPr>
          <w:b/>
          <w:lang w:val="fr-FR"/>
        </w:rPr>
        <w:t>valuer</w:t>
      </w:r>
      <w:r w:rsidR="007031E0">
        <w:rPr>
          <w:b/>
          <w:lang w:val="fr-FR"/>
        </w:rPr>
        <w:t xml:space="preserve"> les </w:t>
      </w:r>
      <w:r w:rsidR="000D727B" w:rsidRPr="003F3120">
        <w:rPr>
          <w:b/>
          <w:lang w:val="fr-FR"/>
        </w:rPr>
        <w:t>connaissances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Évaluer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état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connaissances sur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>contributions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nature aux populations à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appui du développement durable</w:t>
      </w:r>
      <w:r w:rsidR="001609F3" w:rsidRPr="003F3120">
        <w:rPr>
          <w:vertAlign w:val="superscript"/>
          <w:lang w:val="fr-FR"/>
        </w:rPr>
        <w:footnoteReference w:id="21"/>
      </w:r>
      <w:r w:rsidR="001609F3" w:rsidRPr="003F3120">
        <w:rPr>
          <w:i/>
          <w:lang w:val="fr-FR"/>
        </w:rPr>
        <w:t>.</w:t>
      </w:r>
      <w:r w:rsidR="001609F3" w:rsidRPr="003F3120">
        <w:rPr>
          <w:lang w:val="fr-FR"/>
        </w:rPr>
        <w:t xml:space="preserve"> Cet objectif sera atteint, dans un premier temps, par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biais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produits ci-après, correspondant aux trois sujets prioritaires présentés dans</w:t>
      </w:r>
      <w:r w:rsidR="007031E0">
        <w:rPr>
          <w:lang w:val="fr-FR"/>
        </w:rPr>
        <w:t xml:space="preserve"> la </w:t>
      </w:r>
      <w:r w:rsidR="000D727B" w:rsidRPr="003F3120">
        <w:rPr>
          <w:lang w:val="fr-FR"/>
        </w:rPr>
        <w:t>section </w:t>
      </w:r>
      <w:r w:rsidR="001609F3" w:rsidRPr="003F3120">
        <w:rPr>
          <w:lang w:val="fr-FR"/>
        </w:rPr>
        <w:t>II</w:t>
      </w:r>
      <w:r w:rsidR="00253AAE">
        <w:rPr>
          <w:lang w:val="fr-FR"/>
        </w:rPr>
        <w:t>.</w:t>
      </w:r>
      <w:r w:rsidR="001609F3" w:rsidRPr="003F3120">
        <w:rPr>
          <w:lang w:val="fr-FR"/>
        </w:rPr>
        <w:t>A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38B046CD" w14:textId="3F395F95" w:rsidR="001609F3" w:rsidRPr="003F3120" w:rsidRDefault="00E11AE0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>
        <w:rPr>
          <w:rFonts w:eastAsia="SimSun"/>
          <w:i/>
          <w:lang w:val="fr-FR" w:eastAsia="zh-CN"/>
        </w:rPr>
        <w:t>Produit 1 </w:t>
      </w:r>
      <w:r w:rsidR="000D727B" w:rsidRPr="003F3120">
        <w:rPr>
          <w:rFonts w:eastAsia="SimSun"/>
          <w:i/>
          <w:lang w:val="fr-FR" w:eastAsia="zh-CN"/>
        </w:rPr>
        <w:t>a)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rFonts w:eastAsia="SimSun"/>
          <w:i/>
          <w:lang w:val="fr-FR" w:eastAsia="zh-CN"/>
        </w:rPr>
        <w:t>Évaluation thématique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liens d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interdépendance entre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biodiversité,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eau,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alimentation et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 xml:space="preserve">santé. </w:t>
      </w:r>
      <w:r w:rsidR="001609F3" w:rsidRPr="003F3120">
        <w:rPr>
          <w:rFonts w:eastAsia="SimSun"/>
          <w:lang w:val="fr-FR" w:eastAsia="zh-CN"/>
        </w:rPr>
        <w:t>À l</w:t>
      </w:r>
      <w:r w:rsidR="00FA5ADB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appui du sujet </w:t>
      </w:r>
      <w:r w:rsidR="009207E4" w:rsidRPr="003F3120">
        <w:rPr>
          <w:rFonts w:eastAsia="SimSun"/>
          <w:lang w:val="fr-FR" w:eastAsia="zh-CN"/>
        </w:rPr>
        <w:t>1 (Comprendre l</w:t>
      </w:r>
      <w:r w:rsidR="00FA5ADB">
        <w:rPr>
          <w:rFonts w:eastAsia="SimSun"/>
          <w:lang w:val="fr-FR" w:eastAsia="zh-CN"/>
        </w:rPr>
        <w:t>’</w:t>
      </w:r>
      <w:r w:rsidR="009207E4" w:rsidRPr="003F3120">
        <w:rPr>
          <w:rFonts w:eastAsia="SimSun"/>
          <w:lang w:val="fr-FR" w:eastAsia="zh-CN"/>
        </w:rPr>
        <w:t>importance de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biodiversité pour réaliser</w:t>
      </w:r>
      <w:r w:rsidR="007031E0">
        <w:rPr>
          <w:rFonts w:eastAsia="SimSun"/>
          <w:lang w:val="fr-FR" w:eastAsia="zh-CN"/>
        </w:rPr>
        <w:t xml:space="preserve"> le </w:t>
      </w:r>
      <w:r w:rsidR="001609F3" w:rsidRPr="003F3120">
        <w:rPr>
          <w:rFonts w:eastAsia="SimSun"/>
          <w:lang w:val="fr-FR" w:eastAsia="zh-CN"/>
        </w:rPr>
        <w:t>Programme de développement durable à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horizon 2030</w:t>
      </w:r>
      <w:r w:rsidR="009207E4" w:rsidRPr="003F3120">
        <w:rPr>
          <w:rFonts w:eastAsia="SimSun"/>
          <w:lang w:val="fr-FR" w:eastAsia="zh-CN"/>
        </w:rPr>
        <w:t>)</w:t>
      </w:r>
      <w:r w:rsidR="001609F3" w:rsidRPr="003F3120">
        <w:rPr>
          <w:rFonts w:eastAsia="SimSun"/>
          <w:lang w:val="fr-FR" w:eastAsia="zh-CN"/>
        </w:rPr>
        <w:t xml:space="preserve">, </w:t>
      </w:r>
      <w:bookmarkStart w:id="21" w:name="_Hlk1457829"/>
      <w:r w:rsidR="001609F3" w:rsidRPr="003F3120">
        <w:rPr>
          <w:rFonts w:eastAsia="SimSun"/>
          <w:lang w:val="fr-FR" w:eastAsia="zh-CN"/>
        </w:rPr>
        <w:t>cette évaluation utilisera une approche par lien pour étudier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liens d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interdépendance entre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questions mentionnées ci-dessus telles que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productivité agricole,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nutrition,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lutte contre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ravageurs,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qualité de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eau,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maladies infectieuses,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santé mentale et physique,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atténuation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changements climatiques et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adaptation à ces changements, en vue de fournir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informations utiles sur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politiques aux utilisateurs et aux cadres concernant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politiques et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mesures</w:t>
      </w:r>
      <w:bookmarkEnd w:id="21"/>
      <w:r w:rsidR="001609F3" w:rsidRPr="003F3120">
        <w:rPr>
          <w:rFonts w:eastAsia="SimSun"/>
          <w:lang w:val="fr-FR" w:eastAsia="zh-CN"/>
        </w:rPr>
        <w:t xml:space="preserve"> à prendre dans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 xml:space="preserve">secteurs </w:t>
      </w:r>
      <w:r w:rsidR="00253AAE">
        <w:rPr>
          <w:rFonts w:eastAsia="SimSun"/>
          <w:lang w:val="fr-FR" w:eastAsia="zh-CN"/>
        </w:rPr>
        <w:t>concernés</w:t>
      </w:r>
      <w:r w:rsidR="00FD5D6A">
        <w:rPr>
          <w:rFonts w:eastAsia="SimSun"/>
          <w:lang w:val="fr-FR" w:eastAsia="zh-CN"/>
        </w:rPr>
        <w:t> ;</w:t>
      </w:r>
      <w:r w:rsidR="001609F3" w:rsidRPr="003F3120">
        <w:rPr>
          <w:rFonts w:eastAsia="SimSun"/>
          <w:lang w:val="fr-FR" w:eastAsia="zh-CN"/>
        </w:rPr>
        <w:t xml:space="preserve"> </w:t>
      </w:r>
    </w:p>
    <w:p w14:paraId="5D98F31F" w14:textId="5877A4EC" w:rsidR="001609F3" w:rsidRPr="003F3120" w:rsidRDefault="00E11AE0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>
        <w:rPr>
          <w:rFonts w:eastAsia="SimSun"/>
          <w:i/>
          <w:lang w:val="fr-FR" w:eastAsia="zh-CN"/>
        </w:rPr>
        <w:lastRenderedPageBreak/>
        <w:t>Produit 1 </w:t>
      </w:r>
      <w:r w:rsidR="000D727B" w:rsidRPr="003F3120">
        <w:rPr>
          <w:rFonts w:eastAsia="SimSun"/>
          <w:i/>
          <w:lang w:val="fr-FR" w:eastAsia="zh-CN"/>
        </w:rPr>
        <w:t>b)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rFonts w:eastAsia="SimSun"/>
          <w:i/>
          <w:lang w:val="fr-FR" w:eastAsia="zh-CN"/>
        </w:rPr>
        <w:t>Document technique sur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liens d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interdépendance entre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changements climatiques.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lang w:val="fr-FR"/>
        </w:rPr>
        <w:t>Ce document technique portera sur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synergies possibles, telles que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solutions naturelles, et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compromis entre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efforts visant à conserver et restaurer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biodiversité et à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utiliser de façon rationnelle et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efforts visant à promouvoir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adaptation aux changements climatiques et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atténuation de ces derniers. Il tirera parti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éléments contenus dans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évaluation du Groupe d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évolution du climat (GIEC) et de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FB3E57F" w14:textId="32B2C9D9" w:rsidR="001609F3" w:rsidRPr="003F3120" w:rsidRDefault="00E11AE0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>
        <w:rPr>
          <w:rFonts w:eastAsia="SimSun"/>
          <w:i/>
          <w:lang w:val="fr-FR" w:eastAsia="zh-CN"/>
        </w:rPr>
        <w:t>Produit </w:t>
      </w:r>
      <w:r w:rsidR="000D727B" w:rsidRPr="003F3120">
        <w:rPr>
          <w:rFonts w:eastAsia="SimSun"/>
          <w:i/>
          <w:lang w:val="fr-FR" w:eastAsia="zh-CN"/>
        </w:rPr>
        <w:t>1 c)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i/>
          <w:lang w:val="fr-FR" w:eastAsia="zh-CN"/>
        </w:rPr>
        <w:t xml:space="preserve"> Évaluation thématique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causes profondes de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érosion de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déterminants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changements transformateurs et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solutions pour réalis</w:t>
      </w:r>
      <w:r w:rsidR="00253AAE">
        <w:rPr>
          <w:rFonts w:eastAsia="SimSun"/>
          <w:i/>
          <w:lang w:val="fr-FR" w:eastAsia="zh-CN"/>
        </w:rPr>
        <w:t>er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Vision 2050 pour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</w:t>
      </w:r>
      <w:r w:rsidR="001609F3" w:rsidRPr="003F3120">
        <w:rPr>
          <w:rFonts w:eastAsia="SimSun"/>
          <w:lang w:val="fr-FR" w:eastAsia="zh-CN"/>
        </w:rPr>
        <w:t xml:space="preserve">. </w:t>
      </w:r>
      <w:r w:rsidR="001609F3" w:rsidRPr="003F3120">
        <w:rPr>
          <w:rFonts w:eastAsia="MS Mincho"/>
          <w:snapToGrid w:val="0"/>
          <w:lang w:val="fr-FR"/>
        </w:rPr>
        <w:t xml:space="preserve">Cette évaluation aura pour but </w:t>
      </w:r>
      <w:r w:rsidR="00253AAE">
        <w:rPr>
          <w:rFonts w:eastAsia="MS Mincho"/>
          <w:snapToGrid w:val="0"/>
          <w:lang w:val="fr-FR"/>
        </w:rPr>
        <w:t>de déterminer</w:t>
      </w:r>
      <w:r w:rsidR="001609F3" w:rsidRPr="003F3120">
        <w:rPr>
          <w:rFonts w:eastAsia="MS Mincho"/>
          <w:snapToGrid w:val="0"/>
          <w:lang w:val="fr-FR"/>
        </w:rPr>
        <w:t xml:space="preserve"> et </w:t>
      </w:r>
      <w:r w:rsidR="00253AAE">
        <w:rPr>
          <w:rFonts w:eastAsia="MS Mincho"/>
          <w:snapToGrid w:val="0"/>
          <w:lang w:val="fr-FR"/>
        </w:rPr>
        <w:t xml:space="preserve">de </w:t>
      </w:r>
      <w:r w:rsidR="001609F3" w:rsidRPr="003F3120">
        <w:rPr>
          <w:rFonts w:eastAsia="MS Mincho"/>
          <w:snapToGrid w:val="0"/>
          <w:lang w:val="fr-FR"/>
        </w:rPr>
        <w:t>comprendre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facteurs qui, dans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sociétés humaines, peuvent être mobilisés, chez l</w:t>
      </w:r>
      <w:r w:rsidR="00FA5ADB">
        <w:rPr>
          <w:rFonts w:eastAsia="MS Mincho"/>
          <w:snapToGrid w:val="0"/>
          <w:lang w:val="fr-FR"/>
        </w:rPr>
        <w:t>’</w:t>
      </w:r>
      <w:r w:rsidR="001609F3" w:rsidRPr="003F3120">
        <w:rPr>
          <w:rFonts w:eastAsia="MS Mincho"/>
          <w:snapToGrid w:val="0"/>
          <w:lang w:val="fr-FR"/>
        </w:rPr>
        <w:t>individu et dans</w:t>
      </w:r>
      <w:r w:rsidR="007031E0">
        <w:rPr>
          <w:rFonts w:eastAsia="MS Mincho"/>
          <w:snapToGrid w:val="0"/>
          <w:lang w:val="fr-FR"/>
        </w:rPr>
        <w:t xml:space="preserve"> la </w:t>
      </w:r>
      <w:r w:rsidR="001609F3" w:rsidRPr="003F3120">
        <w:rPr>
          <w:rFonts w:eastAsia="MS Mincho"/>
          <w:snapToGrid w:val="0"/>
          <w:lang w:val="fr-FR"/>
        </w:rPr>
        <w:t>collectivité, et dans toutes leurs dimensions – comportementale, sociale, culturelle, économique, institutionnelle, technique et technologique – pour apporter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changements </w:t>
      </w:r>
      <w:r w:rsidR="001609F3" w:rsidRPr="003F3120">
        <w:rPr>
          <w:rFonts w:eastAsia="Calibri"/>
          <w:bCs/>
          <w:lang w:val="fr-FR"/>
        </w:rPr>
        <w:t>transformateurs visant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conservation,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restauration et l</w:t>
      </w:r>
      <w:r w:rsidR="00FA5ADB">
        <w:rPr>
          <w:rFonts w:eastAsia="Calibri"/>
          <w:bCs/>
          <w:lang w:val="fr-FR"/>
        </w:rPr>
        <w:t>’</w:t>
      </w:r>
      <w:r w:rsidR="001609F3" w:rsidRPr="003F3120">
        <w:rPr>
          <w:rFonts w:eastAsia="Calibri"/>
          <w:bCs/>
          <w:lang w:val="fr-FR"/>
        </w:rPr>
        <w:t>utilisation rationnelle de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biodiversité, tout en tenant compte</w:t>
      </w:r>
      <w:r w:rsidR="007031E0">
        <w:rPr>
          <w:rFonts w:eastAsia="Calibri"/>
          <w:bCs/>
          <w:lang w:val="fr-FR"/>
        </w:rPr>
        <w:t xml:space="preserve"> des </w:t>
      </w:r>
      <w:r w:rsidR="001609F3" w:rsidRPr="003F3120">
        <w:rPr>
          <w:rFonts w:eastAsia="Calibri"/>
          <w:bCs/>
          <w:lang w:val="fr-FR"/>
        </w:rPr>
        <w:t>objectifs socioéconomiques plus vastes dans</w:t>
      </w:r>
      <w:r w:rsidR="007031E0">
        <w:rPr>
          <w:rFonts w:eastAsia="Calibri"/>
          <w:bCs/>
          <w:lang w:val="fr-FR"/>
        </w:rPr>
        <w:t xml:space="preserve"> le </w:t>
      </w:r>
      <w:r w:rsidR="001609F3" w:rsidRPr="003F3120">
        <w:rPr>
          <w:rFonts w:eastAsia="Calibri"/>
          <w:bCs/>
          <w:lang w:val="fr-FR"/>
        </w:rPr>
        <w:t xml:space="preserve">contexte du développement durable. Elle </w:t>
      </w:r>
      <w:r w:rsidR="001609F3" w:rsidRPr="003F3120">
        <w:rPr>
          <w:rFonts w:eastAsia="MS Mincho"/>
          <w:snapToGrid w:val="0"/>
          <w:lang w:val="fr-FR"/>
        </w:rPr>
        <w:t>explorera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moteurs et motifs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grandes évolutions et transitions sociétales en vue </w:t>
      </w:r>
      <w:r w:rsidR="00253AAE">
        <w:rPr>
          <w:rFonts w:eastAsia="MS Mincho"/>
          <w:snapToGrid w:val="0"/>
          <w:lang w:val="fr-FR"/>
        </w:rPr>
        <w:t>d</w:t>
      </w:r>
      <w:r w:rsidR="00FA5ADB">
        <w:rPr>
          <w:rFonts w:eastAsia="MS Mincho"/>
          <w:snapToGrid w:val="0"/>
          <w:lang w:val="fr-FR"/>
        </w:rPr>
        <w:t>’</w:t>
      </w:r>
      <w:r w:rsidR="00253AAE">
        <w:rPr>
          <w:rFonts w:eastAsia="MS Mincho"/>
          <w:snapToGrid w:val="0"/>
          <w:lang w:val="fr-FR"/>
        </w:rPr>
        <w:t>orienter</w:t>
      </w:r>
      <w:r w:rsidR="007031E0">
        <w:rPr>
          <w:rFonts w:eastAsia="MS Mincho"/>
          <w:snapToGrid w:val="0"/>
          <w:lang w:val="fr-FR"/>
        </w:rPr>
        <w:t xml:space="preserve"> la </w:t>
      </w:r>
      <w:r w:rsidR="001609F3" w:rsidRPr="003F3120">
        <w:rPr>
          <w:rFonts w:eastAsia="MS Mincho"/>
          <w:snapToGrid w:val="0"/>
          <w:lang w:val="fr-FR"/>
        </w:rPr>
        <w:t>conception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campagnes et autres </w:t>
      </w:r>
      <w:r w:rsidR="00253AAE">
        <w:rPr>
          <w:rFonts w:eastAsia="MS Mincho"/>
          <w:snapToGrid w:val="0"/>
          <w:lang w:val="fr-FR"/>
        </w:rPr>
        <w:t>activités</w:t>
      </w:r>
      <w:r w:rsidR="001609F3" w:rsidRPr="003F3120">
        <w:rPr>
          <w:rFonts w:eastAsia="MS Mincho"/>
          <w:snapToGrid w:val="0"/>
          <w:lang w:val="fr-FR"/>
        </w:rPr>
        <w:t xml:space="preserve"> en matière de politiques, de communication et </w:t>
      </w:r>
      <w:r w:rsidR="00253AAE">
        <w:rPr>
          <w:rFonts w:eastAsia="MS Mincho"/>
          <w:snapToGrid w:val="0"/>
          <w:lang w:val="fr-FR"/>
        </w:rPr>
        <w:t xml:space="preserve">de </w:t>
      </w:r>
      <w:r w:rsidR="000C25F6">
        <w:rPr>
          <w:rFonts w:eastAsia="MS Mincho"/>
          <w:snapToGrid w:val="0"/>
          <w:lang w:val="fr-FR"/>
        </w:rPr>
        <w:t>participation</w:t>
      </w:r>
      <w:r w:rsidR="00FD5D6A">
        <w:rPr>
          <w:rFonts w:eastAsia="MS Mincho"/>
          <w:snapToGrid w:val="0"/>
          <w:lang w:val="fr-FR"/>
        </w:rPr>
        <w:t> ;</w:t>
      </w:r>
      <w:r w:rsidR="001609F3" w:rsidRPr="003F3120">
        <w:rPr>
          <w:rFonts w:eastAsia="MS Mincho"/>
          <w:snapToGrid w:val="0"/>
          <w:lang w:val="fr-FR"/>
        </w:rPr>
        <w:t xml:space="preserve"> </w:t>
      </w:r>
    </w:p>
    <w:p w14:paraId="43780EEE" w14:textId="4783E3C6" w:rsidR="001609F3" w:rsidRPr="003F3120" w:rsidRDefault="00E11AE0" w:rsidP="00ED6939">
      <w:pPr>
        <w:pStyle w:val="Normalnumber"/>
        <w:numPr>
          <w:ilvl w:val="1"/>
          <w:numId w:val="6"/>
        </w:numPr>
        <w:rPr>
          <w:rFonts w:eastAsia="Calibri"/>
          <w:bCs/>
          <w:color w:val="000000"/>
          <w:lang w:val="fr-FR"/>
        </w:rPr>
      </w:pPr>
      <w:r>
        <w:rPr>
          <w:rFonts w:eastAsia="SimSun"/>
          <w:i/>
          <w:lang w:val="fr-FR" w:eastAsia="zh-CN"/>
        </w:rPr>
        <w:t>Produit 1 </w:t>
      </w:r>
      <w:r w:rsidR="000D727B" w:rsidRPr="003F3120">
        <w:rPr>
          <w:rFonts w:eastAsia="SimSun"/>
          <w:i/>
          <w:lang w:val="fr-FR" w:eastAsia="zh-CN"/>
        </w:rPr>
        <w:t>d)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i/>
          <w:lang w:val="fr-FR" w:eastAsia="zh-CN"/>
        </w:rPr>
        <w:t xml:space="preserve"> Évaluation méthodologique de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Theme="majorEastAsia"/>
          <w:i/>
          <w:lang w:val="fr-FR"/>
        </w:rPr>
        <w:t>impact et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dépendance</w:t>
      </w:r>
      <w:r w:rsidR="007031E0">
        <w:rPr>
          <w:rFonts w:eastAsiaTheme="majorEastAsia"/>
          <w:i/>
          <w:lang w:val="fr-FR"/>
        </w:rPr>
        <w:t xml:space="preserve"> des </w:t>
      </w:r>
      <w:r w:rsidR="001609F3" w:rsidRPr="003F3120">
        <w:rPr>
          <w:rFonts w:eastAsiaTheme="majorEastAsia"/>
          <w:i/>
          <w:lang w:val="fr-FR"/>
        </w:rPr>
        <w:t>entreprises à l</w:t>
      </w:r>
      <w:r w:rsidR="00FA5ADB">
        <w:rPr>
          <w:rFonts w:eastAsiaTheme="majorEastAsia"/>
          <w:i/>
          <w:lang w:val="fr-FR"/>
        </w:rPr>
        <w:t>’</w:t>
      </w:r>
      <w:r w:rsidR="001609F3" w:rsidRPr="003F3120">
        <w:rPr>
          <w:rFonts w:eastAsiaTheme="majorEastAsia"/>
          <w:i/>
          <w:lang w:val="fr-FR"/>
        </w:rPr>
        <w:t>égard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biodiversité et</w:t>
      </w:r>
      <w:r w:rsidR="007031E0">
        <w:rPr>
          <w:rFonts w:eastAsiaTheme="majorEastAsia"/>
          <w:i/>
          <w:lang w:val="fr-FR"/>
        </w:rPr>
        <w:t xml:space="preserve"> des </w:t>
      </w:r>
      <w:r w:rsidR="001609F3" w:rsidRPr="003F3120">
        <w:rPr>
          <w:rFonts w:eastAsiaTheme="majorEastAsia"/>
          <w:i/>
          <w:lang w:val="fr-FR"/>
        </w:rPr>
        <w:t>contributions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nature aux populations</w:t>
      </w:r>
      <w:r w:rsidR="001609F3" w:rsidRPr="003F3120">
        <w:rPr>
          <w:rFonts w:eastAsiaTheme="majorEastAsia"/>
          <w:lang w:val="fr-FR"/>
        </w:rPr>
        <w:t xml:space="preserve">. </w:t>
      </w:r>
      <w:r w:rsidR="00075E1F">
        <w:rPr>
          <w:rFonts w:eastAsia="Calibri"/>
          <w:bCs/>
          <w:color w:val="000000"/>
          <w:lang w:val="fr-FR"/>
        </w:rPr>
        <w:t>Cette </w:t>
      </w:r>
      <w:r w:rsidR="001609F3" w:rsidRPr="003F3120">
        <w:rPr>
          <w:rFonts w:eastAsia="Calibri"/>
          <w:bCs/>
          <w:color w:val="000000"/>
          <w:lang w:val="fr-FR"/>
        </w:rPr>
        <w:t>évaluation méthodologique aura pour buts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analyser l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impact et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dépendance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égard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biodiversité et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contributions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nature aux populations et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établir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critères et indicateurs pour mesurer cette dépendance et cet impact, en prenant en considération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="001609F3" w:rsidRPr="003F3120">
        <w:rPr>
          <w:rFonts w:eastAsia="Calibri"/>
          <w:bCs/>
          <w:color w:val="000000"/>
          <w:lang w:val="fr-FR"/>
        </w:rPr>
        <w:t>moyens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intégrer ces mesures dans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autres aspects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durabilité.</w:t>
      </w:r>
    </w:p>
    <w:p w14:paraId="6FE19979" w14:textId="0A60151C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2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les </w:t>
      </w:r>
      <w:r w:rsidR="001609F3" w:rsidRPr="003F3120">
        <w:rPr>
          <w:b/>
          <w:lang w:val="fr-FR"/>
        </w:rPr>
        <w:t>capacités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253AAE">
        <w:rPr>
          <w:i/>
          <w:lang w:val="fr-FR"/>
        </w:rPr>
        <w:t>Renforcer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 xml:space="preserve">capacités individuelles et institutionnelles en vue de </w:t>
      </w:r>
      <w:r w:rsidR="00253AAE">
        <w:rPr>
          <w:i/>
          <w:lang w:val="fr-FR"/>
        </w:rPr>
        <w:t>consolide</w:t>
      </w:r>
      <w:r w:rsidR="001609F3" w:rsidRPr="003F3120">
        <w:rPr>
          <w:i/>
          <w:lang w:val="fr-FR"/>
        </w:rPr>
        <w:t>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interface science-politique</w:t>
      </w:r>
      <w:r w:rsidR="000C25F6">
        <w:rPr>
          <w:i/>
          <w:lang w:val="fr-FR"/>
        </w:rPr>
        <w:t>s</w:t>
      </w:r>
      <w:r w:rsidR="001609F3" w:rsidRPr="003F3120">
        <w:rPr>
          <w:i/>
          <w:lang w:val="fr-FR"/>
        </w:rPr>
        <w:t xml:space="preserve"> aux fins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services écosystémiques</w:t>
      </w:r>
      <w:r w:rsidR="001609F3" w:rsidRPr="003F3120">
        <w:rPr>
          <w:lang w:val="fr-FR"/>
        </w:rPr>
        <w:t>.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réalisation de cet objectif sera appuyée par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trois composantes du plan glissant de renforcement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capacités,</w:t>
      </w:r>
      <w:r w:rsidR="001609F3" w:rsidRPr="003F3120">
        <w:rPr>
          <w:rFonts w:eastAsia="SimSun"/>
          <w:lang w:val="fr-FR" w:eastAsia="zh-CN"/>
        </w:rPr>
        <w:t xml:space="preserve"> lequel s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applique aux activités en cours et futures énoncées dans</w:t>
      </w:r>
      <w:r w:rsidR="007031E0">
        <w:rPr>
          <w:rFonts w:eastAsia="SimSun"/>
          <w:lang w:val="fr-FR" w:eastAsia="zh-CN"/>
        </w:rPr>
        <w:t xml:space="preserve"> le </w:t>
      </w:r>
      <w:r w:rsidR="001609F3" w:rsidRPr="003F3120">
        <w:rPr>
          <w:rFonts w:eastAsia="SimSun"/>
          <w:lang w:val="fr-FR" w:eastAsia="zh-CN"/>
        </w:rPr>
        <w:t>programme de travail</w:t>
      </w:r>
      <w:r w:rsidR="001609F3" w:rsidRPr="003F3120">
        <w:rPr>
          <w:rFonts w:eastAsia="SimSun"/>
          <w:vertAlign w:val="superscript"/>
          <w:lang w:val="fr-FR" w:eastAsia="zh-CN"/>
        </w:rPr>
        <w:footnoteReference w:id="22"/>
      </w:r>
      <w:r w:rsidR="00FD5D6A">
        <w:rPr>
          <w:rFonts w:eastAsia="SimSun"/>
          <w:lang w:val="fr-FR" w:eastAsia="zh-CN"/>
        </w:rPr>
        <w:t> :</w:t>
      </w:r>
    </w:p>
    <w:p w14:paraId="3CC9AF11" w14:textId="3DC2D322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bookmarkStart w:id="22" w:name="_Hlk284106"/>
      <w:r w:rsidRPr="003F3120">
        <w:rPr>
          <w:i/>
          <w:lang w:val="fr-FR" w:eastAsia="en-GB"/>
        </w:rPr>
        <w:t>Apprentissage et engagement améliorés</w:t>
      </w:r>
      <w:r w:rsidRPr="003F3120">
        <w:rPr>
          <w:lang w:val="fr-FR" w:eastAsia="en-GB"/>
        </w:rPr>
        <w:t>. Cet objectif comprend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poursuite du </w:t>
      </w:r>
      <w:r w:rsidRPr="003F3120">
        <w:rPr>
          <w:rFonts w:eastAsia="SimSun"/>
          <w:lang w:val="fr-FR" w:eastAsia="zh-CN"/>
        </w:rPr>
        <w:t>programme de bourses et du programme de formation et de familiarisation, notamment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biais de </w:t>
      </w:r>
      <w:r w:rsidR="003F3120" w:rsidRPr="003F3120">
        <w:rPr>
          <w:rFonts w:eastAsia="SimSun"/>
          <w:lang w:val="fr-FR" w:eastAsia="zh-CN"/>
        </w:rPr>
        <w:t>webinaires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ressources en ligne, guides, modules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apprentissage, ateliers, formation et dialogues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intention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acteurs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="00075E1F">
        <w:rPr>
          <w:rFonts w:eastAsia="SimSun"/>
          <w:lang w:val="fr-FR" w:eastAsia="zh-CN"/>
        </w:rPr>
        <w:t xml:space="preserve"> animés par</w:t>
      </w:r>
      <w:r w:rsidR="007031E0">
        <w:rPr>
          <w:rFonts w:eastAsia="SimSun"/>
          <w:lang w:val="fr-FR" w:eastAsia="zh-CN"/>
        </w:rPr>
        <w:t xml:space="preserve"> la </w:t>
      </w:r>
      <w:r w:rsidR="00075E1F">
        <w:rPr>
          <w:rFonts w:eastAsia="SimSun"/>
          <w:lang w:val="fr-FR" w:eastAsia="zh-CN"/>
        </w:rPr>
        <w:t>Plateforme. Cet </w:t>
      </w:r>
      <w:r w:rsidRPr="003F3120">
        <w:rPr>
          <w:rFonts w:eastAsia="SimSun"/>
          <w:lang w:val="fr-FR" w:eastAsia="zh-CN"/>
        </w:rPr>
        <w:t>objectif sera réalisé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Plateforme, en collaboration avec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acteurs, selon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besoins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204DFF9C" w14:textId="4DC21E75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rFonts w:eastAsia="SimSun"/>
          <w:i/>
          <w:lang w:val="fr-FR" w:eastAsia="zh-CN"/>
        </w:rPr>
        <w:t>Accès facilité aux compétences d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experts et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information</w:t>
      </w:r>
      <w:r w:rsidRPr="003F3120">
        <w:rPr>
          <w:rFonts w:eastAsia="SimSun"/>
          <w:lang w:val="fr-FR" w:eastAsia="zh-CN"/>
        </w:rPr>
        <w:t xml:space="preserve">. </w:t>
      </w:r>
      <w:r w:rsidRPr="003F3120">
        <w:rPr>
          <w:lang w:val="fr-FR" w:eastAsia="en-GB"/>
        </w:rPr>
        <w:t xml:space="preserve">Cet objectif </w:t>
      </w:r>
      <w:r w:rsidRPr="003F3120">
        <w:rPr>
          <w:rFonts w:eastAsia="SimSun"/>
          <w:lang w:val="fr-FR" w:eastAsia="zh-CN"/>
        </w:rPr>
        <w:t>aura pour but de continuer de promouvoir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adoption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objectifs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produits du programme de travail et de</w:t>
      </w:r>
      <w:r w:rsidR="00C1327B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développer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communautés de praticiens tout autour.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efforts porteront sur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évaluations,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objectifs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approuvés concernant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outils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méthodologies, </w:t>
      </w:r>
      <w:r w:rsidR="0011669B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appui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connaissances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données,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savoirs locaux et autochtones. </w:t>
      </w:r>
      <w:r w:rsidRPr="003F3120">
        <w:rPr>
          <w:lang w:val="fr-FR" w:eastAsia="en-GB"/>
        </w:rPr>
        <w:t>Cet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 xml:space="preserve">objectif </w:t>
      </w:r>
      <w:r w:rsidRPr="003F3120">
        <w:rPr>
          <w:rFonts w:eastAsia="SimSun"/>
          <w:lang w:val="fr-FR" w:eastAsia="zh-CN"/>
        </w:rPr>
        <w:t>sera largement réalisé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partenaires stratégiques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partenaires </w:t>
      </w:r>
      <w:r w:rsidR="0011669B">
        <w:rPr>
          <w:rFonts w:eastAsia="SimSun"/>
          <w:lang w:val="fr-FR" w:eastAsia="zh-CN"/>
        </w:rPr>
        <w:t>appuyant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initiative</w:t>
      </w:r>
      <w:r w:rsidR="00FD5D6A">
        <w:rPr>
          <w:rFonts w:eastAsia="SimSun"/>
          <w:lang w:val="fr-FR" w:eastAsia="zh-CN"/>
        </w:rPr>
        <w:t> ;</w:t>
      </w:r>
    </w:p>
    <w:p w14:paraId="6B53D4BE" w14:textId="235781A4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Capacités nationales et régionales renforcées</w:t>
      </w:r>
      <w:r w:rsidRPr="003F3120">
        <w:rPr>
          <w:rFonts w:eastAsia="SimSun"/>
          <w:i/>
          <w:lang w:val="fr-FR" w:eastAsia="zh-CN"/>
        </w:rPr>
        <w:t>.</w:t>
      </w:r>
      <w:r w:rsidRPr="003F3120">
        <w:rPr>
          <w:i/>
          <w:lang w:val="fr-FR"/>
        </w:rPr>
        <w:t xml:space="preserve"> </w:t>
      </w:r>
      <w:r w:rsidRPr="003F3120">
        <w:rPr>
          <w:lang w:val="fr-FR" w:eastAsia="en-GB"/>
        </w:rPr>
        <w:t xml:space="preserve">Cet objectif </w:t>
      </w:r>
      <w:r w:rsidRPr="003F3120">
        <w:rPr>
          <w:rFonts w:eastAsia="SimSun"/>
          <w:lang w:val="fr-FR" w:eastAsia="zh-CN"/>
        </w:rPr>
        <w:t>prévoit</w:t>
      </w:r>
      <w:r w:rsidR="007031E0">
        <w:rPr>
          <w:rFonts w:eastAsia="SimSun"/>
          <w:lang w:val="fr-FR" w:eastAsia="zh-CN"/>
        </w:rPr>
        <w:t xml:space="preserve"> des </w:t>
      </w:r>
      <w:r w:rsidR="0011669B">
        <w:rPr>
          <w:rFonts w:eastAsia="SimSun"/>
          <w:lang w:val="fr-FR" w:eastAsia="zh-CN"/>
        </w:rPr>
        <w:t>activités</w:t>
      </w:r>
      <w:r w:rsidRPr="003F3120">
        <w:rPr>
          <w:rFonts w:eastAsia="SimSun"/>
          <w:lang w:val="fr-FR" w:eastAsia="zh-CN"/>
        </w:rPr>
        <w:t xml:space="preserve"> </w:t>
      </w:r>
      <w:r w:rsidR="0011669B">
        <w:rPr>
          <w:rFonts w:eastAsia="SimSun"/>
          <w:lang w:val="fr-FR" w:eastAsia="zh-CN"/>
        </w:rPr>
        <w:t xml:space="preserve">tendant à </w:t>
      </w:r>
      <w:r w:rsidRPr="003F3120">
        <w:rPr>
          <w:rFonts w:eastAsia="SimSun"/>
          <w:lang w:val="fr-FR" w:eastAsia="zh-CN"/>
        </w:rPr>
        <w:t>encourager</w:t>
      </w:r>
      <w:r w:rsidR="007031E0">
        <w:rPr>
          <w:rFonts w:eastAsia="SimSun"/>
          <w:lang w:val="fr-FR" w:eastAsia="zh-CN"/>
        </w:rPr>
        <w:t xml:space="preserve"> la </w:t>
      </w:r>
      <w:r w:rsidR="0011669B">
        <w:rPr>
          <w:rFonts w:eastAsia="SimSun"/>
          <w:lang w:val="fr-FR" w:eastAsia="zh-CN"/>
        </w:rPr>
        <w:t>création</w:t>
      </w:r>
      <w:r w:rsidRPr="003F3120">
        <w:rPr>
          <w:rFonts w:eastAsia="SimSun"/>
          <w:lang w:val="fr-FR" w:eastAsia="zh-CN"/>
        </w:rPr>
        <w:t xml:space="preserve"> de plateformes, de réseaux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évaluations science-politique aux fins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services écosystémiques aux niveaux national et régional et, s</w:t>
      </w:r>
      <w:r w:rsidR="00FA5ADB">
        <w:rPr>
          <w:rFonts w:eastAsia="SimSun"/>
          <w:lang w:val="fr-FR" w:eastAsia="zh-CN"/>
        </w:rPr>
        <w:t>’</w:t>
      </w:r>
      <w:r w:rsidR="00D30115" w:rsidRPr="003F3120">
        <w:rPr>
          <w:rFonts w:eastAsia="SimSun"/>
          <w:lang w:val="fr-FR" w:eastAsia="zh-CN"/>
        </w:rPr>
        <w:t>il</w:t>
      </w:r>
      <w:r w:rsidR="007031E0">
        <w:rPr>
          <w:rFonts w:eastAsia="SimSun"/>
          <w:lang w:val="fr-FR" w:eastAsia="zh-CN"/>
        </w:rPr>
        <w:t xml:space="preserve"> y </w:t>
      </w:r>
      <w:r w:rsidR="00D30115" w:rsidRPr="003F3120">
        <w:rPr>
          <w:rFonts w:eastAsia="SimSun"/>
          <w:lang w:val="fr-FR" w:eastAsia="zh-CN"/>
        </w:rPr>
        <w:t>lieu, sous</w:t>
      </w:r>
      <w:r w:rsidR="00D30115" w:rsidRPr="003F3120">
        <w:rPr>
          <w:rFonts w:eastAsia="SimSun"/>
          <w:lang w:val="fr-FR" w:eastAsia="zh-CN"/>
        </w:rPr>
        <w:noBreakHyphen/>
      </w:r>
      <w:r w:rsidRPr="003F3120">
        <w:rPr>
          <w:rFonts w:eastAsia="SimSun"/>
          <w:lang w:val="fr-FR" w:eastAsia="zh-CN"/>
        </w:rPr>
        <w:t>régional, notamment pour faciliter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orientations en f</w:t>
      </w:r>
      <w:r w:rsidR="00047AAD">
        <w:rPr>
          <w:rFonts w:eastAsia="SimSun"/>
          <w:lang w:val="fr-FR" w:eastAsia="zh-CN"/>
        </w:rPr>
        <w:t>aveur de telles initiatives. Il </w:t>
      </w:r>
      <w:r w:rsidRPr="003F3120">
        <w:rPr>
          <w:rFonts w:eastAsia="SimSun"/>
          <w:lang w:val="fr-FR" w:eastAsia="zh-CN"/>
        </w:rPr>
        <w:t>est également essentiel de renforcer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rôle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correspondants nationaux pour renforcer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capacités nationales relatives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>. Pour réaliser c</w:t>
      </w:r>
      <w:r w:rsidRPr="003F3120">
        <w:rPr>
          <w:lang w:val="fr-FR" w:eastAsia="en-GB"/>
        </w:rPr>
        <w:t>et objectif</w:t>
      </w:r>
      <w:r w:rsidRPr="003F3120">
        <w:rPr>
          <w:rFonts w:eastAsia="SimSun"/>
          <w:lang w:val="fr-FR" w:eastAsia="zh-CN"/>
        </w:rPr>
        <w:t>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s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inspirera fortement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expérience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partenaires stratégiques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partenaires </w:t>
      </w:r>
      <w:r w:rsidR="008D559F">
        <w:rPr>
          <w:rFonts w:eastAsia="SimSun"/>
          <w:lang w:val="fr-FR" w:eastAsia="zh-CN"/>
        </w:rPr>
        <w:t>appuyant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initiative. Un appui technique et financier direct au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nationales et régionales sera demandé aux partenaires stratégiques et intéressés autres que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Plateforme. </w:t>
      </w:r>
    </w:p>
    <w:bookmarkEnd w:id="22"/>
    <w:p w14:paraId="0A156B65" w14:textId="73FCFB89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3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la </w:t>
      </w:r>
      <w:r w:rsidR="001609F3" w:rsidRPr="003F3120">
        <w:rPr>
          <w:b/>
          <w:lang w:val="fr-FR"/>
        </w:rPr>
        <w:t>base</w:t>
      </w:r>
      <w:r w:rsidR="007031E0">
        <w:rPr>
          <w:b/>
          <w:lang w:val="fr-FR"/>
        </w:rPr>
        <w:t xml:space="preserve"> des </w:t>
      </w:r>
      <w:r w:rsidR="000D727B" w:rsidRPr="003F3120">
        <w:rPr>
          <w:b/>
          <w:lang w:val="fr-FR"/>
        </w:rPr>
        <w:t>connaissances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Promouvoir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production de connaissances et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gestion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données sur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 xml:space="preserve">services écosystémiques </w:t>
      </w:r>
      <w:r w:rsidR="00047AAD">
        <w:rPr>
          <w:i/>
          <w:lang w:val="fr-FR"/>
        </w:rPr>
        <w:t xml:space="preserve">pour </w:t>
      </w:r>
      <w:r w:rsidR="00047AAD">
        <w:rPr>
          <w:i/>
          <w:lang w:val="fr-FR"/>
        </w:rPr>
        <w:br/>
        <w:t>sous-tendre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>travaux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Plateforme.</w:t>
      </w:r>
      <w:r w:rsidR="001609F3" w:rsidRPr="003F3120">
        <w:rPr>
          <w:lang w:val="fr-FR"/>
        </w:rPr>
        <w:t xml:space="preserve"> Cet objectif sera atteint au moyen de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activités en cours et futures énoncées dans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programme de travail, comme suit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72C5CA98" w14:textId="2ADD905E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lastRenderedPageBreak/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connaissances et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données.</w:t>
      </w:r>
      <w:r w:rsidRPr="003F3120">
        <w:rPr>
          <w:lang w:val="fr-FR" w:eastAsia="en-GB"/>
        </w:rPr>
        <w:t xml:space="preserve"> Cet objectif </w:t>
      </w:r>
      <w:r w:rsidR="000D727B" w:rsidRPr="003F3120">
        <w:rPr>
          <w:lang w:val="fr-FR" w:eastAsia="en-GB"/>
        </w:rPr>
        <w:t>vise à</w:t>
      </w:r>
      <w:r w:rsidR="00FD5D6A">
        <w:rPr>
          <w:lang w:val="fr-FR" w:eastAsia="en-GB"/>
        </w:rPr>
        <w:t> :</w:t>
      </w:r>
      <w:r w:rsidR="00047AAD">
        <w:rPr>
          <w:lang w:val="fr-FR" w:eastAsia="en-GB"/>
        </w:rPr>
        <w:t xml:space="preserve"> identifier, hiérarchiser et</w:t>
      </w:r>
      <w:r w:rsidRPr="003F3120">
        <w:rPr>
          <w:lang w:val="fr-FR" w:eastAsia="en-GB"/>
        </w:rPr>
        <w:t xml:space="preserve"> mobiliser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connaissances, </w:t>
      </w:r>
      <w:r w:rsidRPr="003F3120">
        <w:rPr>
          <w:lang w:val="fr-FR"/>
        </w:rPr>
        <w:t>informations et données,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indicateurs et mesures à utiliser dans</w:t>
      </w:r>
      <w:r w:rsidR="007031E0">
        <w:rPr>
          <w:lang w:val="fr-FR"/>
        </w:rPr>
        <w:t xml:space="preserve"> les </w:t>
      </w:r>
      <w:r w:rsidR="000D727B" w:rsidRPr="003F3120">
        <w:rPr>
          <w:lang w:val="fr-FR"/>
        </w:rPr>
        <w:t>évaluations</w:t>
      </w:r>
      <w:r w:rsidR="00047AAD">
        <w:rPr>
          <w:lang w:val="fr-FR"/>
        </w:rPr>
        <w:t xml:space="preserve"> et faciliter l</w:t>
      </w:r>
      <w:r w:rsidR="00FA5ADB">
        <w:rPr>
          <w:lang w:val="fr-FR"/>
        </w:rPr>
        <w:t>’</w:t>
      </w:r>
      <w:r w:rsidR="00047AAD">
        <w:rPr>
          <w:lang w:val="fr-FR"/>
        </w:rPr>
        <w:t>accès à ces informations et données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continuer </w:t>
      </w:r>
      <w:r w:rsidR="00AC3B80">
        <w:rPr>
          <w:lang w:val="fr-FR"/>
        </w:rPr>
        <w:t>d</w:t>
      </w:r>
      <w:r w:rsidR="00FA5ADB">
        <w:rPr>
          <w:lang w:val="fr-FR"/>
        </w:rPr>
        <w:t>’</w:t>
      </w:r>
      <w:r w:rsidR="00AC3B80">
        <w:rPr>
          <w:lang w:val="fr-FR"/>
        </w:rPr>
        <w:t>amplifier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infrastructure </w:t>
      </w:r>
      <w:r w:rsidR="00AC3B80">
        <w:rPr>
          <w:lang w:val="fr-FR"/>
        </w:rPr>
        <w:t>Web pour</w:t>
      </w:r>
      <w:r w:rsidRPr="003F3120">
        <w:rPr>
          <w:lang w:val="fr-FR"/>
        </w:rPr>
        <w:t xml:space="preserve"> faciliter l</w:t>
      </w:r>
      <w:r w:rsidR="00FA5ADB">
        <w:rPr>
          <w:lang w:val="fr-FR"/>
        </w:rPr>
        <w:t>’</w:t>
      </w:r>
      <w:r w:rsidRPr="003F3120">
        <w:rPr>
          <w:lang w:val="fr-FR"/>
        </w:rPr>
        <w:t>échange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et</w:t>
      </w:r>
      <w:r w:rsidR="007031E0">
        <w:rPr>
          <w:lang w:val="fr-FR"/>
        </w:rPr>
        <w:t xml:space="preserve"> la </w:t>
      </w:r>
      <w:r w:rsidR="00AC3B80">
        <w:rPr>
          <w:lang w:val="fr-FR"/>
        </w:rPr>
        <w:t>gestion</w:t>
      </w:r>
      <w:r w:rsidR="007031E0">
        <w:rPr>
          <w:lang w:val="fr-FR"/>
        </w:rPr>
        <w:t xml:space="preserve"> des </w:t>
      </w:r>
      <w:r w:rsidR="000D727B" w:rsidRPr="003F3120">
        <w:rPr>
          <w:lang w:val="fr-FR"/>
        </w:rPr>
        <w:t>informations</w:t>
      </w:r>
      <w:r w:rsidR="00FD5D6A">
        <w:rPr>
          <w:lang w:val="fr-FR"/>
        </w:rPr>
        <w:t> ;</w:t>
      </w:r>
      <w:r w:rsidR="00AC3B80">
        <w:rPr>
          <w:lang w:val="fr-FR"/>
        </w:rPr>
        <w:t xml:space="preserve"> identifier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lacunes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mises en évidence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produits réalisés dans</w:t>
      </w:r>
      <w:r w:rsidR="007031E0">
        <w:rPr>
          <w:lang w:val="fr-FR"/>
        </w:rPr>
        <w:t xml:space="preserve"> le </w:t>
      </w:r>
      <w:r w:rsidR="00AC3B8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programmes de travail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faire un</w:t>
      </w:r>
      <w:r w:rsidR="00AC3B80">
        <w:rPr>
          <w:lang w:val="fr-FR"/>
        </w:rPr>
        <w:t xml:space="preserve"> </w:t>
      </w:r>
      <w:r w:rsidRPr="003F3120">
        <w:rPr>
          <w:lang w:val="fr-FR"/>
        </w:rPr>
        <w:t>inventaire systématique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lacunes </w:t>
      </w:r>
      <w:r w:rsidR="00AC3B80">
        <w:rPr>
          <w:lang w:val="fr-FR"/>
        </w:rPr>
        <w:t>en matière</w:t>
      </w:r>
      <w:r w:rsidRPr="003F3120">
        <w:rPr>
          <w:lang w:val="fr-FR"/>
        </w:rPr>
        <w:t xml:space="preserve"> </w:t>
      </w:r>
      <w:r w:rsidR="00AC3B80">
        <w:rPr>
          <w:lang w:val="fr-FR"/>
        </w:rPr>
        <w:t>d</w:t>
      </w:r>
      <w:r w:rsidRPr="003F3120">
        <w:rPr>
          <w:lang w:val="fr-FR"/>
        </w:rPr>
        <w:t>e</w:t>
      </w:r>
      <w:r w:rsidR="00AC3B80">
        <w:rPr>
          <w:lang w:val="fr-FR"/>
        </w:rPr>
        <w:t xml:space="preserve"> connaissances et de </w:t>
      </w:r>
      <w:r w:rsidRPr="003F3120">
        <w:rPr>
          <w:lang w:val="fr-FR"/>
        </w:rPr>
        <w:t>données recensées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activer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production de nouvelles connaissances en pointant ces lacunes, notamment aux organismes qui financent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recherche, aux concepteurs de programmes de recherche et aux institutions chargées de définir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priorités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financements en matière de mobilisation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données, et en en tenant compte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hiérarchisation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définis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8FA1F4F" w14:textId="5F105A06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Reconnaissance et utilisation améliorées</w:t>
      </w:r>
      <w:r w:rsidR="007031E0">
        <w:rPr>
          <w:i/>
          <w:lang w:val="fr-FR" w:eastAsia="en-GB"/>
        </w:rPr>
        <w:t xml:space="preserve"> des </w:t>
      </w:r>
      <w:r w:rsidRPr="003F3120">
        <w:rPr>
          <w:i/>
          <w:lang w:val="fr-FR" w:eastAsia="en-GB"/>
        </w:rPr>
        <w:t xml:space="preserve">systèmes de savoirs autochtones et locaux. </w:t>
      </w:r>
      <w:r w:rsidRPr="003F3120">
        <w:rPr>
          <w:lang w:val="fr-FR" w:eastAsia="en-GB"/>
        </w:rPr>
        <w:t xml:space="preserve">Cet </w:t>
      </w:r>
      <w:r w:rsidRPr="003F3120">
        <w:rPr>
          <w:lang w:val="fr-FR"/>
        </w:rPr>
        <w:t>objectif</w:t>
      </w:r>
      <w:r w:rsidRPr="003F3120">
        <w:rPr>
          <w:lang w:val="fr-FR" w:eastAsia="en-GB"/>
        </w:rPr>
        <w:t xml:space="preserve"> </w:t>
      </w:r>
      <w:r w:rsidRPr="003F3120">
        <w:rPr>
          <w:rFonts w:eastAsia="SimSun"/>
          <w:lang w:val="fr-FR" w:eastAsia="zh-CN"/>
        </w:rPr>
        <w:t>vise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application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</w:t>
      </w:r>
      <w:r w:rsidR="00682A64">
        <w:rPr>
          <w:szCs w:val="18"/>
          <w:lang w:val="fr-FR"/>
        </w:rPr>
        <w:t>pproche concernant</w:t>
      </w:r>
      <w:r w:rsidR="007031E0">
        <w:rPr>
          <w:szCs w:val="18"/>
          <w:lang w:val="fr-FR"/>
        </w:rPr>
        <w:t xml:space="preserve"> la </w:t>
      </w:r>
      <w:r w:rsidRPr="003F3120">
        <w:rPr>
          <w:szCs w:val="18"/>
          <w:lang w:val="fr-FR"/>
        </w:rPr>
        <w:t>reconnaissance et l</w:t>
      </w:r>
      <w:r w:rsidR="00FA5ADB">
        <w:rPr>
          <w:szCs w:val="18"/>
          <w:lang w:val="fr-FR"/>
        </w:rPr>
        <w:t>’</w:t>
      </w:r>
      <w:r w:rsidRPr="003F3120">
        <w:rPr>
          <w:szCs w:val="18"/>
          <w:lang w:val="fr-FR"/>
        </w:rPr>
        <w:t>utilisation</w:t>
      </w:r>
      <w:r w:rsidR="007031E0">
        <w:rPr>
          <w:szCs w:val="18"/>
          <w:lang w:val="fr-FR"/>
        </w:rPr>
        <w:t xml:space="preserve"> des </w:t>
      </w:r>
      <w:r w:rsidRPr="003F3120">
        <w:rPr>
          <w:szCs w:val="18"/>
          <w:lang w:val="fr-FR"/>
        </w:rPr>
        <w:t>savoirs autochtones et locaux dans</w:t>
      </w:r>
      <w:r w:rsidR="007031E0">
        <w:rPr>
          <w:szCs w:val="18"/>
          <w:lang w:val="fr-FR"/>
        </w:rPr>
        <w:t xml:space="preserve"> les </w:t>
      </w:r>
      <w:r w:rsidRPr="003F3120">
        <w:rPr>
          <w:szCs w:val="18"/>
          <w:lang w:val="fr-FR"/>
        </w:rPr>
        <w:t>travaux de</w:t>
      </w:r>
      <w:r w:rsidR="007031E0">
        <w:rPr>
          <w:szCs w:val="18"/>
          <w:lang w:val="fr-FR"/>
        </w:rPr>
        <w:t xml:space="preserve"> la </w:t>
      </w:r>
      <w:r w:rsidRPr="003F3120">
        <w:rPr>
          <w:szCs w:val="18"/>
          <w:lang w:val="fr-FR"/>
        </w:rPr>
        <w:t>Plateforme</w:t>
      </w:r>
      <w:r w:rsidRPr="003F3120">
        <w:rPr>
          <w:vertAlign w:val="superscript"/>
          <w:lang w:val="fr-FR"/>
        </w:rPr>
        <w:footnoteReference w:id="23"/>
      </w:r>
      <w:r w:rsidRPr="003F3120">
        <w:rPr>
          <w:szCs w:val="18"/>
          <w:lang w:val="fr-FR"/>
        </w:rPr>
        <w:t>,</w:t>
      </w:r>
      <w:r w:rsidRPr="003F3120">
        <w:rPr>
          <w:lang w:val="fr-FR"/>
        </w:rPr>
        <w:t xml:space="preserve"> compte </w:t>
      </w:r>
      <w:r w:rsidR="00682A64">
        <w:rPr>
          <w:lang w:val="fr-FR"/>
        </w:rPr>
        <w:t>tenu</w:t>
      </w:r>
      <w:r w:rsidR="007031E0">
        <w:rPr>
          <w:lang w:val="fr-FR"/>
        </w:rPr>
        <w:t xml:space="preserve"> des </w:t>
      </w:r>
      <w:r w:rsidR="00682A64">
        <w:rPr>
          <w:lang w:val="fr-FR"/>
        </w:rPr>
        <w:t>besoins propres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détenteurs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savoirs autochtones et locaux</w:t>
      </w:r>
      <w:r w:rsidR="00662D9F">
        <w:rPr>
          <w:lang w:val="fr-FR"/>
        </w:rPr>
        <w:t>,</w:t>
      </w:r>
      <w:r w:rsidRPr="003F3120">
        <w:rPr>
          <w:lang w:val="fr-FR"/>
        </w:rPr>
        <w:t xml:space="preserve"> en mettant en œuvre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mécanisme participatif </w:t>
      </w:r>
      <w:r w:rsidR="00662D9F">
        <w:rPr>
          <w:lang w:val="fr-FR"/>
        </w:rPr>
        <w:t xml:space="preserve">créé </w:t>
      </w:r>
      <w:r w:rsidRPr="003F3120">
        <w:rPr>
          <w:lang w:val="fr-FR"/>
        </w:rPr>
        <w:t>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l</w:t>
      </w:r>
      <w:r w:rsidR="00FA5ADB">
        <w:rPr>
          <w:lang w:val="fr-FR"/>
        </w:rPr>
        <w:t>’</w:t>
      </w:r>
      <w:r w:rsidRPr="003F3120">
        <w:rPr>
          <w:lang w:val="fr-FR"/>
        </w:rPr>
        <w:t>approche, ainsi qu</w:t>
      </w:r>
      <w:r w:rsidR="00FA5ADB">
        <w:rPr>
          <w:lang w:val="fr-FR"/>
        </w:rPr>
        <w:t>’</w:t>
      </w:r>
      <w:r w:rsidRPr="003F3120">
        <w:rPr>
          <w:lang w:val="fr-FR"/>
        </w:rPr>
        <w:t>en tenant compte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recommandations et conclusions qui</w:t>
      </w:r>
      <w:r w:rsidR="00C1327B">
        <w:rPr>
          <w:lang w:val="fr-FR"/>
        </w:rPr>
        <w:t> </w:t>
      </w:r>
      <w:r w:rsidRPr="003F3120">
        <w:rPr>
          <w:lang w:val="fr-FR"/>
        </w:rPr>
        <w:t>figurent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document IPBES/7/INF/8 et de celles qui résulteront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futurs processus conduits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Plateforme. </w:t>
      </w:r>
    </w:p>
    <w:p w14:paraId="1E8FD75E" w14:textId="2CB90481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1609F3" w:rsidRPr="003F3120">
        <w:rPr>
          <w:b/>
          <w:lang w:val="fr-FR"/>
        </w:rPr>
        <w:t>4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f</w:t>
      </w:r>
      <w:r w:rsidR="001609F3" w:rsidRPr="003F3120">
        <w:rPr>
          <w:b/>
          <w:lang w:val="fr-FR"/>
        </w:rPr>
        <w:t>ournir une aide à l</w:t>
      </w:r>
      <w:r w:rsidR="00FA5ADB">
        <w:rPr>
          <w:b/>
          <w:lang w:val="fr-FR"/>
        </w:rPr>
        <w:t>’</w:t>
      </w:r>
      <w:r w:rsidR="001609F3" w:rsidRPr="003F3120">
        <w:rPr>
          <w:b/>
          <w:lang w:val="fr-FR"/>
        </w:rPr>
        <w:t>élaboration</w:t>
      </w:r>
      <w:r w:rsidR="007031E0">
        <w:rPr>
          <w:b/>
          <w:lang w:val="fr-FR"/>
        </w:rPr>
        <w:t xml:space="preserve"> des </w:t>
      </w:r>
      <w:r w:rsidR="000D727B" w:rsidRPr="003F3120">
        <w:rPr>
          <w:b/>
          <w:lang w:val="fr-FR"/>
        </w:rPr>
        <w:t>politiques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Identifier et promouvoir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élaboration et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utilisation</w:t>
      </w:r>
      <w:r w:rsidR="00662D9F">
        <w:rPr>
          <w:i/>
          <w:lang w:val="fr-FR"/>
        </w:rPr>
        <w:t xml:space="preserve"> de moyens d</w:t>
      </w:r>
      <w:r w:rsidR="00FA5ADB">
        <w:rPr>
          <w:i/>
          <w:lang w:val="fr-FR"/>
        </w:rPr>
        <w:t>’</w:t>
      </w:r>
      <w:r w:rsidR="00662D9F">
        <w:rPr>
          <w:i/>
          <w:lang w:val="fr-FR"/>
        </w:rPr>
        <w:t>action</w:t>
      </w:r>
      <w:r w:rsidR="001609F3" w:rsidRPr="003F3120">
        <w:rPr>
          <w:i/>
          <w:lang w:val="fr-FR"/>
        </w:rPr>
        <w:t>, d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outils d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 xml:space="preserve">appui </w:t>
      </w:r>
      <w:r w:rsidR="00662D9F">
        <w:rPr>
          <w:i/>
          <w:lang w:val="fr-FR"/>
        </w:rPr>
        <w:t>à l</w:t>
      </w:r>
      <w:r w:rsidR="00FA5ADB">
        <w:rPr>
          <w:i/>
          <w:lang w:val="fr-FR"/>
        </w:rPr>
        <w:t>’</w:t>
      </w:r>
      <w:r w:rsidR="00662D9F">
        <w:rPr>
          <w:i/>
          <w:lang w:val="fr-FR"/>
        </w:rPr>
        <w:t>élaboration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politiques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 xml:space="preserve">méthodes </w:t>
      </w:r>
      <w:r w:rsidR="00662D9F">
        <w:rPr>
          <w:i/>
          <w:lang w:val="fr-FR"/>
        </w:rPr>
        <w:t>dans</w:t>
      </w:r>
      <w:r w:rsidR="007031E0">
        <w:rPr>
          <w:i/>
          <w:lang w:val="fr-FR"/>
        </w:rPr>
        <w:t xml:space="preserve"> les </w:t>
      </w:r>
      <w:r w:rsidR="00662D9F">
        <w:rPr>
          <w:i/>
          <w:lang w:val="fr-FR"/>
        </w:rPr>
        <w:t>domaines</w:t>
      </w:r>
      <w:r w:rsidR="001609F3" w:rsidRPr="003F3120">
        <w:rPr>
          <w:i/>
          <w:lang w:val="fr-FR"/>
        </w:rPr>
        <w:t xml:space="preserve">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fonctions et services écosystémiques.</w:t>
      </w:r>
      <w:r w:rsidR="001609F3" w:rsidRPr="003F3120">
        <w:rPr>
          <w:lang w:val="fr-FR"/>
        </w:rPr>
        <w:t xml:space="preserve"> Cet</w:t>
      </w:r>
      <w:r w:rsidR="00C1327B">
        <w:rPr>
          <w:lang w:val="fr-FR"/>
        </w:rPr>
        <w:t> </w:t>
      </w:r>
      <w:r w:rsidR="001609F3" w:rsidRPr="003F3120">
        <w:rPr>
          <w:lang w:val="fr-FR"/>
        </w:rPr>
        <w:t>objectif sera atteint au moyen de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activités en cours et futures énoncées dans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programme de travail, comme suit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0F45F76F" w14:textId="41080DDC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 xml:space="preserve">outils </w:t>
      </w:r>
      <w:r w:rsidRPr="003F3120">
        <w:rPr>
          <w:i/>
          <w:lang w:val="fr-FR"/>
        </w:rPr>
        <w:t>d</w:t>
      </w:r>
      <w:r w:rsidR="00FA5ADB">
        <w:rPr>
          <w:i/>
          <w:lang w:val="fr-FR"/>
        </w:rPr>
        <w:t>’</w:t>
      </w:r>
      <w:r w:rsidRPr="003F3120">
        <w:rPr>
          <w:i/>
          <w:lang w:val="fr-FR"/>
        </w:rPr>
        <w:t xml:space="preserve">appui </w:t>
      </w:r>
      <w:r w:rsidR="007249A3">
        <w:rPr>
          <w:i/>
          <w:lang w:val="fr-FR"/>
        </w:rPr>
        <w:t>à l</w:t>
      </w:r>
      <w:r w:rsidR="00FA5ADB">
        <w:rPr>
          <w:i/>
          <w:lang w:val="fr-FR"/>
        </w:rPr>
        <w:t>’</w:t>
      </w:r>
      <w:r w:rsidR="007249A3">
        <w:rPr>
          <w:i/>
          <w:lang w:val="fr-FR"/>
        </w:rPr>
        <w:t>élaboration</w:t>
      </w:r>
      <w:r w:rsidR="007031E0">
        <w:rPr>
          <w:i/>
          <w:lang w:val="fr-FR"/>
        </w:rPr>
        <w:t xml:space="preserve"> des </w:t>
      </w:r>
      <w:r w:rsidRPr="003F3120">
        <w:rPr>
          <w:i/>
          <w:lang w:val="fr-FR"/>
        </w:rPr>
        <w:t>politiques</w:t>
      </w:r>
      <w:r w:rsidRPr="003F3120">
        <w:rPr>
          <w:i/>
          <w:lang w:val="fr-FR" w:eastAsia="en-GB"/>
        </w:rPr>
        <w:t xml:space="preserve"> et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méthodes</w:t>
      </w:r>
      <w:r w:rsidRPr="003F3120">
        <w:rPr>
          <w:lang w:val="fr-FR" w:eastAsia="en-GB"/>
        </w:rPr>
        <w:t>. Cet objectif vise à promouvoir l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utilisation </w:t>
      </w:r>
      <w:r w:rsidR="007249A3">
        <w:rPr>
          <w:lang w:val="fr-FR" w:eastAsia="en-GB"/>
        </w:rPr>
        <w:t>de moyens d</w:t>
      </w:r>
      <w:r w:rsidR="00FA5ADB">
        <w:rPr>
          <w:lang w:val="fr-FR" w:eastAsia="en-GB"/>
        </w:rPr>
        <w:t>’</w:t>
      </w:r>
      <w:r w:rsidR="007249A3">
        <w:rPr>
          <w:lang w:val="fr-FR" w:eastAsia="en-GB"/>
        </w:rPr>
        <w:t>action</w:t>
      </w:r>
      <w:r w:rsidRPr="003F3120">
        <w:rPr>
          <w:lang w:val="fr-FR" w:eastAsia="en-GB"/>
        </w:rPr>
        <w:t>,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outils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appui </w:t>
      </w:r>
      <w:r w:rsidR="007249A3">
        <w:rPr>
          <w:lang w:val="fr-FR" w:eastAsia="en-GB"/>
        </w:rPr>
        <w:t>à l</w:t>
      </w:r>
      <w:r w:rsidR="00FA5ADB">
        <w:rPr>
          <w:lang w:val="fr-FR" w:eastAsia="en-GB"/>
        </w:rPr>
        <w:t>’</w:t>
      </w:r>
      <w:r w:rsidR="007249A3">
        <w:rPr>
          <w:lang w:val="fr-FR" w:eastAsia="en-GB"/>
        </w:rPr>
        <w:t>élaboration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politiques et de méthodes aux fins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mise en œuvre du programme de travail pour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questions de conservation, de restauration et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utilisation rationnelle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biodiversité et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fourniture de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>fonctions et de services écosystémiques dans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cadre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réalisation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évaluations, ainsi qu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à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>permettre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prise en compte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résultats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 dans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proce</w:t>
      </w:r>
      <w:r w:rsidR="008D559F">
        <w:rPr>
          <w:lang w:val="fr-FR" w:eastAsia="en-GB"/>
        </w:rPr>
        <w:t>ssus de prise de</w:t>
      </w:r>
      <w:r w:rsidR="00C1327B">
        <w:rPr>
          <w:lang w:val="fr-FR" w:eastAsia="en-GB"/>
        </w:rPr>
        <w:t> </w:t>
      </w:r>
      <w:r w:rsidR="008D559F">
        <w:rPr>
          <w:lang w:val="fr-FR" w:eastAsia="en-GB"/>
        </w:rPr>
        <w:t>décisions. Cet </w:t>
      </w:r>
      <w:r w:rsidRPr="003F3120">
        <w:rPr>
          <w:lang w:val="fr-FR" w:eastAsia="en-GB"/>
        </w:rPr>
        <w:t xml:space="preserve">objectif vise en outre à </w:t>
      </w:r>
      <w:r w:rsidRPr="003F3120">
        <w:rPr>
          <w:kern w:val="14"/>
          <w:lang w:val="fr-FR" w:eastAsia="ja-JP"/>
        </w:rPr>
        <w:t>développer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portail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Plateforme consacré à </w:t>
      </w:r>
      <w:r w:rsidR="007249A3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7249A3">
        <w:rPr>
          <w:kern w:val="14"/>
          <w:lang w:val="fr-FR" w:eastAsia="ja-JP"/>
        </w:rPr>
        <w:t>appui à</w:t>
      </w:r>
      <w:r w:rsidR="00C1327B">
        <w:rPr>
          <w:kern w:val="14"/>
          <w:lang w:val="fr-FR" w:eastAsia="ja-JP"/>
        </w:rPr>
        <w:t> </w:t>
      </w:r>
      <w:r w:rsidR="007249A3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7249A3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 et à promouvoir et accélérer</w:t>
      </w:r>
      <w:r w:rsidR="007031E0">
        <w:rPr>
          <w:kern w:val="14"/>
          <w:lang w:val="fr-FR" w:eastAsia="ja-JP"/>
        </w:rPr>
        <w:t xml:space="preserve"> la </w:t>
      </w:r>
      <w:r w:rsidR="00CA0E1D" w:rsidRPr="003F3120">
        <w:rPr>
          <w:kern w:val="14"/>
          <w:lang w:val="fr-FR" w:eastAsia="ja-JP"/>
        </w:rPr>
        <w:t>définition de moyens d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 xml:space="preserve">action et </w:t>
      </w:r>
      <w:r w:rsidRPr="003F3120">
        <w:rPr>
          <w:kern w:val="14"/>
          <w:lang w:val="fr-FR" w:eastAsia="ja-JP"/>
        </w:rPr>
        <w:t>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instruments </w:t>
      </w:r>
      <w:r w:rsidR="00CA0E1D" w:rsidRPr="003F3120">
        <w:rPr>
          <w:kern w:val="14"/>
          <w:lang w:val="fr-FR" w:eastAsia="ja-JP"/>
        </w:rPr>
        <w:t>d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>aide à l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</w:t>
      </w:r>
      <w:r w:rsidR="00CA0E1D" w:rsidRPr="003F3120">
        <w:rPr>
          <w:kern w:val="14"/>
          <w:lang w:val="fr-FR" w:eastAsia="ja-JP"/>
        </w:rPr>
        <w:t>s</w:t>
      </w:r>
      <w:r w:rsidRPr="003F3120">
        <w:rPr>
          <w:kern w:val="14"/>
          <w:lang w:val="fr-FR" w:eastAsia="ja-JP"/>
        </w:rPr>
        <w:t xml:space="preserve"> pour combler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lacunes mises au jour par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évaluations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activités de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 connexes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0A321F57" w14:textId="57751795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scénarios et modèles de</w:t>
      </w:r>
      <w:r w:rsidR="007031E0">
        <w:rPr>
          <w:i/>
          <w:lang w:val="fr-FR" w:eastAsia="en-GB"/>
        </w:rPr>
        <w:t xml:space="preserve"> la </w:t>
      </w:r>
      <w:r w:rsidRPr="003F3120">
        <w:rPr>
          <w:i/>
          <w:lang w:val="fr-FR" w:eastAsia="en-GB"/>
        </w:rPr>
        <w:t>biodiversité et</w:t>
      </w:r>
      <w:r w:rsidR="007031E0">
        <w:rPr>
          <w:i/>
          <w:lang w:val="fr-FR" w:eastAsia="en-GB"/>
        </w:rPr>
        <w:t xml:space="preserve"> des </w:t>
      </w:r>
      <w:r w:rsidRPr="003F3120">
        <w:rPr>
          <w:i/>
          <w:lang w:val="fr-FR" w:eastAsia="en-GB"/>
        </w:rPr>
        <w:t>fonctions et services écosystémiques</w:t>
      </w:r>
      <w:r w:rsidRPr="003F3120">
        <w:rPr>
          <w:lang w:val="fr-FR" w:eastAsia="en-GB"/>
        </w:rPr>
        <w:t>. Cet objectif a pour but de donner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conseils aux groupes d</w:t>
      </w:r>
      <w:r w:rsidR="00FA5ADB">
        <w:rPr>
          <w:lang w:val="fr-FR" w:eastAsia="en-GB"/>
        </w:rPr>
        <w:t>’</w:t>
      </w:r>
      <w:r w:rsidRPr="003F3120">
        <w:rPr>
          <w:lang w:val="fr-FR"/>
        </w:rPr>
        <w:t>experts chargés d</w:t>
      </w:r>
      <w:r w:rsidR="00FA5ADB">
        <w:rPr>
          <w:lang w:val="fr-FR"/>
        </w:rPr>
        <w:t>’</w:t>
      </w:r>
      <w:r w:rsidRPr="003F3120">
        <w:rPr>
          <w:lang w:val="fr-FR"/>
        </w:rPr>
        <w:t>évaluer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et scénarios existants, et de promouvoir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nouveaux scénarios et modèles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futurs 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leur application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tout en favorisant également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cohérence avec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similaires menés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GIEC et d</w:t>
      </w:r>
      <w:r w:rsidR="00FA5ADB">
        <w:rPr>
          <w:lang w:val="fr-FR"/>
        </w:rPr>
        <w:t>’</w:t>
      </w:r>
      <w:r w:rsidRPr="003F3120">
        <w:rPr>
          <w:lang w:val="fr-FR"/>
        </w:rPr>
        <w:t>autres organes, selon qu</w:t>
      </w:r>
      <w:r w:rsidR="00FA5ADB">
        <w:rPr>
          <w:lang w:val="fr-FR"/>
        </w:rPr>
        <w:t>’</w:t>
      </w:r>
      <w:r w:rsidRPr="003F3120">
        <w:rPr>
          <w:lang w:val="fr-FR"/>
        </w:rPr>
        <w:t>il convient</w:t>
      </w:r>
      <w:r w:rsidR="00FD5D6A">
        <w:rPr>
          <w:lang w:val="fr-FR"/>
        </w:rPr>
        <w:t> ;</w:t>
      </w:r>
    </w:p>
    <w:p w14:paraId="3FE9010E" w14:textId="4E40832A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valeurs multiples</w:t>
      </w:r>
      <w:r w:rsidRPr="003F3120">
        <w:rPr>
          <w:lang w:val="fr-FR" w:eastAsia="en-GB"/>
        </w:rPr>
        <w:t>. Cet objectif consiste à donner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 xml:space="preserve">conseils </w:t>
      </w:r>
      <w:r w:rsidRPr="003F3120">
        <w:rPr>
          <w:lang w:val="fr-FR"/>
        </w:rPr>
        <w:t>en vue d</w:t>
      </w:r>
      <w:r w:rsidR="00FA5ADB">
        <w:rPr>
          <w:lang w:val="fr-FR"/>
        </w:rPr>
        <w:t>’</w:t>
      </w:r>
      <w:r w:rsidRPr="003F3120">
        <w:rPr>
          <w:lang w:val="fr-FR"/>
        </w:rPr>
        <w:t>intégrer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multiples conceptualisations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valeurs dans d</w:t>
      </w:r>
      <w:r w:rsidR="00FA5ADB">
        <w:rPr>
          <w:lang w:val="fr-FR"/>
        </w:rPr>
        <w:t>’</w:t>
      </w:r>
      <w:r w:rsidRPr="003F3120">
        <w:rPr>
          <w:lang w:val="fr-FR"/>
        </w:rPr>
        <w:t>autres produits du programme de travail, en particulier ceux relevant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et</w:t>
      </w:r>
      <w:r w:rsidR="007031E0">
        <w:rPr>
          <w:lang w:val="fr-FR"/>
        </w:rPr>
        <w:t xml:space="preserve"> les </w:t>
      </w:r>
      <w:r w:rsidR="00CA0E1D" w:rsidRPr="003F3120">
        <w:rPr>
          <w:lang w:val="fr-FR"/>
        </w:rPr>
        <w:t>moyens d</w:t>
      </w:r>
      <w:r w:rsidR="00FA5ADB">
        <w:rPr>
          <w:lang w:val="fr-FR"/>
        </w:rPr>
        <w:t>’</w:t>
      </w:r>
      <w:r w:rsidR="00CA0E1D" w:rsidRPr="003F3120">
        <w:rPr>
          <w:lang w:val="fr-FR"/>
        </w:rPr>
        <w:t>action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instruments </w:t>
      </w:r>
      <w:r w:rsidR="00CA0E1D" w:rsidRPr="003F3120">
        <w:rPr>
          <w:lang w:val="fr-FR"/>
        </w:rPr>
        <w:t xml:space="preserve">et méthodes </w:t>
      </w:r>
      <w:r w:rsidR="007249A3">
        <w:rPr>
          <w:lang w:val="fr-FR"/>
        </w:rPr>
        <w:t>d</w:t>
      </w:r>
      <w:r w:rsidR="00FA5ADB">
        <w:rPr>
          <w:lang w:val="fr-FR"/>
        </w:rPr>
        <w:t>’</w:t>
      </w:r>
      <w:r w:rsidR="007249A3">
        <w:rPr>
          <w:lang w:val="fr-FR"/>
        </w:rPr>
        <w:t>appui</w:t>
      </w:r>
      <w:r w:rsidR="00CA0E1D" w:rsidRPr="003F3120">
        <w:rPr>
          <w:lang w:val="fr-FR"/>
        </w:rPr>
        <w:t xml:space="preserve"> à l</w:t>
      </w:r>
      <w:r w:rsidR="00FA5ADB">
        <w:rPr>
          <w:lang w:val="fr-FR"/>
        </w:rPr>
        <w:t>’</w:t>
      </w:r>
      <w:r w:rsidR="00CA0E1D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en poursuivant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méthodologique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divers modes de conceptualisation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 contributions, dont font partie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fonctions et services assurés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écosystèmes. </w:t>
      </w:r>
    </w:p>
    <w:p w14:paraId="68DA559E" w14:textId="16CCBDA9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5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ED6939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la </w:t>
      </w:r>
      <w:r w:rsidR="001609F3" w:rsidRPr="003F3120">
        <w:rPr>
          <w:b/>
          <w:lang w:val="fr-FR"/>
        </w:rPr>
        <w:t>communication et</w:t>
      </w:r>
      <w:r w:rsidR="007031E0">
        <w:rPr>
          <w:b/>
          <w:lang w:val="fr-FR"/>
        </w:rPr>
        <w:t xml:space="preserve"> la </w:t>
      </w:r>
      <w:r w:rsidR="000C25F6">
        <w:rPr>
          <w:b/>
          <w:lang w:val="fr-FR"/>
        </w:rPr>
        <w:t>participation</w:t>
      </w:r>
      <w:r w:rsidR="00FD5D6A">
        <w:rPr>
          <w:b/>
          <w:lang w:val="fr-FR"/>
        </w:rPr>
        <w:t> :</w:t>
      </w:r>
      <w:r w:rsidR="001609F3" w:rsidRPr="003F3120">
        <w:rPr>
          <w:i/>
          <w:lang w:val="fr-FR"/>
        </w:rPr>
        <w:t xml:space="preserve"> Renforcer</w:t>
      </w:r>
      <w:r w:rsidR="007031E0">
        <w:rPr>
          <w:i/>
          <w:lang w:val="fr-FR"/>
        </w:rPr>
        <w:t xml:space="preserve"> la </w:t>
      </w:r>
      <w:r w:rsidR="000C25F6">
        <w:rPr>
          <w:i/>
          <w:lang w:val="fr-FR"/>
        </w:rPr>
        <w:t>participation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membres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parties prenantes et accroître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visibilité et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utilisation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produits</w:t>
      </w:r>
      <w:r w:rsidR="00B13B88">
        <w:rPr>
          <w:i/>
          <w:lang w:val="fr-FR"/>
        </w:rPr>
        <w:t xml:space="preserve"> de</w:t>
      </w:r>
      <w:r w:rsidR="007031E0">
        <w:rPr>
          <w:i/>
          <w:lang w:val="fr-FR"/>
        </w:rPr>
        <w:t xml:space="preserve"> la </w:t>
      </w:r>
      <w:r w:rsidR="00B13B88">
        <w:rPr>
          <w:i/>
          <w:lang w:val="fr-FR"/>
        </w:rPr>
        <w:t>Plateforme</w:t>
      </w:r>
      <w:r w:rsidR="001609F3" w:rsidRPr="003F3120">
        <w:rPr>
          <w:lang w:val="fr-FR"/>
        </w:rPr>
        <w:t>. Cet objectif sera réalisé au moyen</w:t>
      </w:r>
      <w:r w:rsidR="007031E0">
        <w:rPr>
          <w:lang w:val="fr-FR"/>
        </w:rPr>
        <w:t xml:space="preserve"> des </w:t>
      </w:r>
      <w:r w:rsidR="00B13B88">
        <w:rPr>
          <w:lang w:val="fr-FR"/>
        </w:rPr>
        <w:t>éléments</w:t>
      </w:r>
      <w:r w:rsidR="001609F3" w:rsidRPr="003F3120">
        <w:rPr>
          <w:lang w:val="fr-FR"/>
        </w:rPr>
        <w:t xml:space="preserve"> suivants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1B137EF1" w14:textId="2B2197FF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/>
        </w:rPr>
      </w:pPr>
      <w:r w:rsidRPr="003F3120">
        <w:rPr>
          <w:i/>
          <w:lang w:val="fr-FR" w:eastAsia="en-GB"/>
        </w:rPr>
        <w:t xml:space="preserve">Communication renforcée. </w:t>
      </w:r>
      <w:r w:rsidRPr="003F3120">
        <w:rPr>
          <w:lang w:val="fr-FR" w:eastAsia="en-GB"/>
        </w:rPr>
        <w:t>Cet objectif s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 et</w:t>
      </w:r>
      <w:r w:rsidR="007031E0">
        <w:rPr>
          <w:lang w:val="fr-FR" w:eastAsia="en-GB"/>
        </w:rPr>
        <w:t xml:space="preserve"> les </w:t>
      </w:r>
      <w:r w:rsidR="00B13B88">
        <w:rPr>
          <w:lang w:val="fr-FR" w:eastAsia="en-GB"/>
        </w:rPr>
        <w:t>enseignements</w:t>
      </w:r>
      <w:r w:rsidRPr="003F3120">
        <w:rPr>
          <w:lang w:val="fr-FR" w:eastAsia="en-GB"/>
        </w:rPr>
        <w:t xml:space="preserve"> </w:t>
      </w:r>
      <w:r w:rsidR="00B13B88">
        <w:rPr>
          <w:lang w:val="fr-FR" w:eastAsia="en-GB"/>
        </w:rPr>
        <w:t>tirés</w:t>
      </w:r>
      <w:r w:rsidRPr="003F3120">
        <w:rPr>
          <w:lang w:val="fr-FR" w:eastAsia="en-GB"/>
        </w:rPr>
        <w:t xml:space="preserve"> au cours du premier </w:t>
      </w:r>
      <w:r w:rsidRPr="003F3120">
        <w:rPr>
          <w:rFonts w:eastAsia="SimSun"/>
          <w:lang w:val="fr-FR" w:eastAsia="zh-CN"/>
        </w:rPr>
        <w:t>programme de travail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et il inclut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poursuite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mise en œuvre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stratégie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en matière de</w:t>
      </w:r>
      <w:r w:rsidRPr="003F3120">
        <w:rPr>
          <w:kern w:val="14"/>
          <w:lang w:val="fr-FR" w:eastAsia="ja-JP"/>
        </w:rPr>
        <w:t xml:space="preserve"> communication et de sensibilisation</w:t>
      </w:r>
      <w:r w:rsidRPr="003F3120">
        <w:rPr>
          <w:rStyle w:val="FootnoteReference"/>
          <w:kern w:val="14"/>
          <w:lang w:val="fr-FR" w:eastAsia="ja-JP"/>
        </w:rPr>
        <w:footnoteReference w:id="24"/>
      </w:r>
      <w:r w:rsidRPr="003F3120">
        <w:rPr>
          <w:kern w:val="14"/>
          <w:lang w:val="fr-FR" w:eastAsia="ja-JP"/>
        </w:rPr>
        <w:t xml:space="preserve"> dans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but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accroître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visibilité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et de ses produits et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utilisation de ces derniers par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</w:t>
      </w:r>
      <w:r w:rsidR="00FD5D6A">
        <w:rPr>
          <w:kern w:val="14"/>
          <w:lang w:val="fr-FR" w:eastAsia="ja-JP"/>
        </w:rPr>
        <w:t> ;</w:t>
      </w:r>
    </w:p>
    <w:p w14:paraId="55F9B6A5" w14:textId="1D6154BF" w:rsidR="001609F3" w:rsidRPr="003F3120" w:rsidRDefault="000C25F6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7B76B9">
        <w:rPr>
          <w:i/>
          <w:lang w:val="fr-FR"/>
        </w:rPr>
        <w:lastRenderedPageBreak/>
        <w:t>Participation</w:t>
      </w:r>
      <w:r w:rsidR="00CA0E1D" w:rsidRPr="007B76B9">
        <w:rPr>
          <w:i/>
          <w:lang w:val="fr-FR"/>
        </w:rPr>
        <w:t xml:space="preserve"> renforcée</w:t>
      </w:r>
      <w:r w:rsidR="007031E0">
        <w:rPr>
          <w:i/>
          <w:lang w:val="fr-FR"/>
        </w:rPr>
        <w:t xml:space="preserve"> des </w:t>
      </w:r>
      <w:r w:rsidR="001609F3" w:rsidRPr="007B76B9">
        <w:rPr>
          <w:i/>
          <w:lang w:val="fr-FR"/>
        </w:rPr>
        <w:t>gouvernements.</w:t>
      </w:r>
      <w:r w:rsidR="001609F3" w:rsidRPr="003F3120">
        <w:rPr>
          <w:i/>
          <w:lang w:val="fr-FR" w:eastAsia="en-GB"/>
        </w:rPr>
        <w:t xml:space="preserve"> </w:t>
      </w:r>
      <w:r w:rsidR="001609F3" w:rsidRPr="003F3120">
        <w:rPr>
          <w:lang w:val="fr-FR" w:eastAsia="en-GB"/>
        </w:rPr>
        <w:t>Cet objectif s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</w:t>
      </w:r>
      <w:r w:rsidR="001609F3" w:rsidRPr="003F3120">
        <w:rPr>
          <w:lang w:val="fr-FR" w:eastAsia="en-GB"/>
        </w:rPr>
        <w:t xml:space="preserve">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enseignements tirés au cours du dernier programme de travail.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 xml:space="preserve">Plateforme continuera </w:t>
      </w:r>
      <w:r w:rsidR="00CA0E1D" w:rsidRPr="003F3120">
        <w:rPr>
          <w:lang w:val="fr-FR" w:eastAsia="en-GB"/>
        </w:rPr>
        <w:t>d</w:t>
      </w:r>
      <w:r w:rsidR="00FA5ADB">
        <w:rPr>
          <w:lang w:val="fr-FR" w:eastAsia="en-GB"/>
        </w:rPr>
        <w:t>’</w:t>
      </w:r>
      <w:r w:rsidR="00CA0E1D" w:rsidRPr="003F3120">
        <w:rPr>
          <w:lang w:val="fr-FR" w:eastAsia="en-GB"/>
        </w:rPr>
        <w:t>associer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gouvernements, notamment en aidant ses</w:t>
      </w:r>
      <w:r w:rsidR="00B13B88">
        <w:rPr>
          <w:lang w:val="fr-FR" w:eastAsia="en-GB"/>
        </w:rPr>
        <w:t xml:space="preserve"> </w:t>
      </w:r>
      <w:r w:rsidR="001609F3" w:rsidRPr="003F3120">
        <w:rPr>
          <w:lang w:val="fr-FR" w:eastAsia="en-GB"/>
        </w:rPr>
        <w:t>correspondants nationaux à adopter ses produits et à mettre en œuvre son programme de travail.</w:t>
      </w:r>
    </w:p>
    <w:p w14:paraId="67E0C2A3" w14:textId="7601BDA3" w:rsidR="001609F3" w:rsidRPr="003F3120" w:rsidRDefault="000C25F6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>
        <w:rPr>
          <w:i/>
          <w:lang w:val="fr-FR" w:eastAsia="en-GB"/>
        </w:rPr>
        <w:t>Participation</w:t>
      </w:r>
      <w:r w:rsidRPr="003F3120">
        <w:rPr>
          <w:i/>
          <w:lang w:val="fr-FR" w:eastAsia="en-GB"/>
        </w:rPr>
        <w:t xml:space="preserve"> </w:t>
      </w:r>
      <w:r w:rsidR="001609F3" w:rsidRPr="003F3120">
        <w:rPr>
          <w:i/>
          <w:lang w:val="fr-FR" w:eastAsia="en-GB"/>
        </w:rPr>
        <w:t>renforcé</w:t>
      </w:r>
      <w:r w:rsidR="00CA0E1D" w:rsidRPr="003F3120">
        <w:rPr>
          <w:i/>
          <w:lang w:val="fr-FR" w:eastAsia="en-GB"/>
        </w:rPr>
        <w:t>e</w:t>
      </w:r>
      <w:r w:rsidR="007031E0">
        <w:rPr>
          <w:i/>
          <w:lang w:val="fr-FR" w:eastAsia="en-GB"/>
        </w:rPr>
        <w:t xml:space="preserve"> des </w:t>
      </w:r>
      <w:r w:rsidR="001609F3" w:rsidRPr="003F3120">
        <w:rPr>
          <w:i/>
          <w:lang w:val="fr-FR" w:eastAsia="en-GB"/>
        </w:rPr>
        <w:t>parties prenantes.</w:t>
      </w:r>
      <w:r w:rsidR="001609F3" w:rsidRPr="003F3120">
        <w:rPr>
          <w:lang w:val="fr-FR" w:eastAsia="en-GB"/>
        </w:rPr>
        <w:t xml:space="preserve"> Cet objectif s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</w:t>
      </w:r>
      <w:r w:rsidR="001609F3" w:rsidRPr="003F3120">
        <w:rPr>
          <w:lang w:val="fr-FR" w:eastAsia="en-GB"/>
        </w:rPr>
        <w:t xml:space="preserve">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enseignements tirés au cours du premier programme de travail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et il</w:t>
      </w:r>
      <w:r w:rsidR="007B76B9">
        <w:rPr>
          <w:lang w:val="fr-FR" w:eastAsia="en-GB"/>
        </w:rPr>
        <w:t> </w:t>
      </w:r>
      <w:r w:rsidR="001609F3" w:rsidRPr="003F3120">
        <w:rPr>
          <w:lang w:val="fr-FR" w:eastAsia="en-GB"/>
        </w:rPr>
        <w:t>inclut</w:t>
      </w:r>
      <w:r w:rsidR="007031E0">
        <w:rPr>
          <w:lang w:val="fr-FR" w:eastAsia="en-GB"/>
        </w:rPr>
        <w:t xml:space="preserve"> le </w:t>
      </w:r>
      <w:r w:rsidR="001609F3" w:rsidRPr="003F3120">
        <w:rPr>
          <w:lang w:val="fr-FR" w:eastAsia="en-GB"/>
        </w:rPr>
        <w:t>développement et</w:t>
      </w:r>
      <w:r w:rsidR="007031E0">
        <w:rPr>
          <w:lang w:val="fr-FR" w:eastAsia="en-GB"/>
        </w:rPr>
        <w:t xml:space="preserve"> le </w:t>
      </w:r>
      <w:r w:rsidR="001609F3" w:rsidRPr="003F3120">
        <w:rPr>
          <w:lang w:val="fr-FR" w:eastAsia="en-GB"/>
        </w:rPr>
        <w:t>renforcement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mise en œuvre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stratégie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concernant l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association</w:t>
      </w:r>
      <w:r w:rsidR="007031E0">
        <w:rPr>
          <w:lang w:val="fr-FR" w:eastAsia="en-GB"/>
        </w:rPr>
        <w:t xml:space="preserve"> des </w:t>
      </w:r>
      <w:r w:rsidR="001609F3" w:rsidRPr="003F3120">
        <w:rPr>
          <w:lang w:val="fr-FR" w:eastAsia="en-GB"/>
        </w:rPr>
        <w:t>parties prenantes.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continuera de dialoguer avec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partenaires stratégiques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autres parties prenantes, dont</w:t>
      </w:r>
      <w:r w:rsidR="00FD5D6A">
        <w:rPr>
          <w:lang w:val="fr-FR" w:eastAsia="en-GB"/>
        </w:rPr>
        <w:t> :</w:t>
      </w:r>
      <w:r w:rsidR="001609F3" w:rsidRPr="003F3120">
        <w:rPr>
          <w:lang w:val="fr-FR" w:eastAsia="en-GB"/>
        </w:rPr>
        <w:t xml:space="preserve"> </w:t>
      </w:r>
    </w:p>
    <w:p w14:paraId="3497DA3B" w14:textId="1A12C4D6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Le Programme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développement,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éducation,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science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culture, et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alimentation et l</w:t>
      </w:r>
      <w:r w:rsidR="00FA5ADB">
        <w:rPr>
          <w:lang w:val="fr-FR"/>
        </w:rPr>
        <w:t>’</w:t>
      </w:r>
      <w:r w:rsidRPr="003F3120">
        <w:rPr>
          <w:lang w:val="fr-FR"/>
        </w:rPr>
        <w:t>agriculture,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contexte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 de partenariat de collaboration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ces entités</w:t>
      </w:r>
      <w:r w:rsidRPr="003F3120">
        <w:rPr>
          <w:vertAlign w:val="superscript"/>
          <w:lang w:val="fr-FR"/>
        </w:rPr>
        <w:footnoteReference w:id="25"/>
      </w:r>
      <w:r w:rsidR="00FD5D6A">
        <w:rPr>
          <w:lang w:val="fr-FR"/>
        </w:rPr>
        <w:t> ;</w:t>
      </w:r>
    </w:p>
    <w:p w14:paraId="409BDC4E" w14:textId="1F69B847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La 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conservation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migratrices appartenant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faune sauvage,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relative aux zones humides d</w:t>
      </w:r>
      <w:r w:rsidR="00FA5ADB">
        <w:rPr>
          <w:lang w:val="fr-FR"/>
        </w:rPr>
        <w:t>’</w:t>
      </w:r>
      <w:r w:rsidRPr="003F3120">
        <w:rPr>
          <w:lang w:val="fr-FR"/>
        </w:rPr>
        <w:t>importance internationale, particulièrement comme habitats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oiseaux d</w:t>
      </w:r>
      <w:r w:rsidR="00FA5ADB">
        <w:rPr>
          <w:lang w:val="fr-FR"/>
        </w:rPr>
        <w:t>’</w:t>
      </w:r>
      <w:r w:rsidRPr="003F3120">
        <w:rPr>
          <w:lang w:val="fr-FR"/>
        </w:rPr>
        <w:t>eau,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commerce international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de</w:t>
      </w:r>
      <w:r w:rsidR="007B76B9">
        <w:rPr>
          <w:lang w:val="fr-FR"/>
        </w:rPr>
        <w:t> </w:t>
      </w:r>
      <w:r w:rsidRPr="003F3120">
        <w:rPr>
          <w:lang w:val="fr-FR"/>
        </w:rPr>
        <w:t>faune et de flore sauvages menacées d</w:t>
      </w:r>
      <w:r w:rsidR="00FA5ADB">
        <w:rPr>
          <w:lang w:val="fr-FR"/>
        </w:rPr>
        <w:t>’</w:t>
      </w:r>
      <w:r w:rsidRPr="003F3120">
        <w:rPr>
          <w:lang w:val="fr-FR"/>
        </w:rPr>
        <w:t>extinction 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7B76B9">
        <w:rPr>
          <w:lang w:val="fr-FR"/>
        </w:rPr>
        <w:t> </w:t>
      </w:r>
      <w:r w:rsidRPr="003F3120">
        <w:rPr>
          <w:lang w:val="fr-FR"/>
        </w:rPr>
        <w:t>Unies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lutte contre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désertification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pays gravement touchés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sécheresse et/ou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désertification</w:t>
      </w:r>
      <w:r w:rsidRPr="003F3120">
        <w:rPr>
          <w:bCs/>
          <w:lang w:val="fr-FR" w:bidi="en-US"/>
        </w:rPr>
        <w:t>, en particulier en Afrique, dans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contexte</w:t>
      </w:r>
      <w:r w:rsidR="007031E0">
        <w:rPr>
          <w:bCs/>
          <w:lang w:val="fr-FR" w:bidi="en-US"/>
        </w:rPr>
        <w:t xml:space="preserve"> des </w:t>
      </w:r>
      <w:r w:rsidRPr="003F3120">
        <w:rPr>
          <w:bCs/>
          <w:lang w:val="fr-FR" w:bidi="en-US"/>
        </w:rPr>
        <w:t>mémorandums d</w:t>
      </w:r>
      <w:r w:rsidR="00FA5ADB">
        <w:rPr>
          <w:bCs/>
          <w:lang w:val="fr-FR" w:bidi="en-US"/>
        </w:rPr>
        <w:t>’</w:t>
      </w:r>
      <w:r w:rsidRPr="003F3120">
        <w:rPr>
          <w:bCs/>
          <w:lang w:val="fr-FR" w:bidi="en-US"/>
        </w:rPr>
        <w:t>accord entre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secrétariat de</w:t>
      </w:r>
      <w:r w:rsidR="007031E0">
        <w:rPr>
          <w:bCs/>
          <w:lang w:val="fr-FR" w:bidi="en-US"/>
        </w:rPr>
        <w:t xml:space="preserve"> la </w:t>
      </w:r>
      <w:r w:rsidRPr="003F3120">
        <w:rPr>
          <w:bCs/>
          <w:lang w:val="fr-FR" w:bidi="en-US"/>
        </w:rPr>
        <w:t>Plateforme et</w:t>
      </w:r>
      <w:r w:rsidR="007031E0">
        <w:rPr>
          <w:bCs/>
          <w:lang w:val="fr-FR" w:bidi="en-US"/>
        </w:rPr>
        <w:t xml:space="preserve"> les </w:t>
      </w:r>
      <w:r w:rsidRPr="003F3120">
        <w:rPr>
          <w:bCs/>
          <w:lang w:val="fr-FR" w:bidi="en-US"/>
        </w:rPr>
        <w:t>secrétariats de ces accords, et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GIEC</w:t>
      </w:r>
      <w:r w:rsidR="00FD5D6A">
        <w:rPr>
          <w:bCs/>
          <w:lang w:val="fr-FR" w:bidi="en-US"/>
        </w:rPr>
        <w:t> ;</w:t>
      </w:r>
    </w:p>
    <w:p w14:paraId="365F7221" w14:textId="2450A14E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Les réseaux autonomes de parties prenantes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Pr="003F3120">
        <w:rPr>
          <w:rStyle w:val="FootnoteReference"/>
          <w:lang w:val="fr-FR"/>
        </w:rPr>
        <w:footnoteReference w:id="26"/>
      </w:r>
      <w:r w:rsidR="00FD5D6A">
        <w:rPr>
          <w:lang w:val="fr-FR"/>
        </w:rPr>
        <w:t> ;</w:t>
      </w:r>
    </w:p>
    <w:p w14:paraId="06AA3502" w14:textId="3084CB23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Un petit nombre de partenaires stratégiques, conformément aux orientations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établissement de partenariats stratégiques et autres accords de collaboration qui sont reproduites d</w:t>
      </w:r>
      <w:r w:rsidR="00C3764A" w:rsidRPr="003F3120">
        <w:rPr>
          <w:lang w:val="fr-FR"/>
        </w:rPr>
        <w:t>ans l</w:t>
      </w:r>
      <w:r w:rsidR="00FA5ADB">
        <w:rPr>
          <w:lang w:val="fr-FR"/>
        </w:rPr>
        <w:t>’</w:t>
      </w:r>
      <w:r w:rsidR="00C3764A" w:rsidRPr="003F3120">
        <w:rPr>
          <w:lang w:val="fr-FR"/>
        </w:rPr>
        <w:t>annexe III de</w:t>
      </w:r>
      <w:r w:rsidR="007031E0">
        <w:rPr>
          <w:lang w:val="fr-FR"/>
        </w:rPr>
        <w:t xml:space="preserve"> la </w:t>
      </w:r>
      <w:r w:rsidR="00C3764A" w:rsidRPr="003F3120">
        <w:rPr>
          <w:lang w:val="fr-FR"/>
        </w:rPr>
        <w:t>décision </w:t>
      </w:r>
      <w:r w:rsidRPr="003F3120">
        <w:rPr>
          <w:lang w:val="fr-FR"/>
        </w:rPr>
        <w:t>IPBES-3/4, reconnus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site Web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AC0391C" w14:textId="5713198E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Un plus grand nombre de collaborateurs soutenant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initiatives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choisis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 reconnus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site Web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en raison de leurs propres travaux, qui </w:t>
      </w:r>
      <w:r w:rsidR="00CA0E1D" w:rsidRPr="003F3120">
        <w:rPr>
          <w:lang w:val="fr-FR"/>
        </w:rPr>
        <w:t>concourent</w:t>
      </w:r>
      <w:r w:rsidRPr="003F3120">
        <w:rPr>
          <w:lang w:val="fr-FR"/>
        </w:rPr>
        <w:t xml:space="preserve"> à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. </w:t>
      </w:r>
    </w:p>
    <w:p w14:paraId="4B5BC787" w14:textId="3F8E516D" w:rsidR="001609F3" w:rsidRPr="003F3120" w:rsidRDefault="00B04344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1609F3" w:rsidRPr="003F3120">
        <w:rPr>
          <w:b/>
          <w:lang w:val="fr-FR"/>
        </w:rPr>
        <w:t>6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b/>
          <w:lang w:val="fr-FR" w:eastAsia="en-GB"/>
        </w:rPr>
        <w:t>enforcer l</w:t>
      </w:r>
      <w:r w:rsidR="00FA5ADB">
        <w:rPr>
          <w:b/>
          <w:lang w:val="fr-FR" w:eastAsia="en-GB"/>
        </w:rPr>
        <w:t>’</w:t>
      </w:r>
      <w:r w:rsidR="001609F3" w:rsidRPr="003F3120">
        <w:rPr>
          <w:b/>
          <w:lang w:val="fr-FR" w:eastAsia="en-GB"/>
        </w:rPr>
        <w:t>efficacité de</w:t>
      </w:r>
      <w:r w:rsidR="007031E0">
        <w:rPr>
          <w:b/>
          <w:lang w:val="fr-FR" w:eastAsia="en-GB"/>
        </w:rPr>
        <w:t xml:space="preserve"> la </w:t>
      </w:r>
      <w:r w:rsidR="001609F3" w:rsidRPr="003F3120">
        <w:rPr>
          <w:b/>
          <w:lang w:val="fr-FR" w:eastAsia="en-GB"/>
        </w:rPr>
        <w:t>Plateforme</w:t>
      </w:r>
      <w:r w:rsidR="00FD5D6A">
        <w:rPr>
          <w:b/>
          <w:lang w:val="fr-FR" w:eastAsia="en-GB"/>
        </w:rPr>
        <w:t> :</w:t>
      </w:r>
      <w:r w:rsidR="001609F3" w:rsidRPr="003F3120">
        <w:rPr>
          <w:i/>
          <w:lang w:val="fr-FR" w:eastAsia="en-GB"/>
        </w:rPr>
        <w:t xml:space="preserve"> Assurer l</w:t>
      </w:r>
      <w:r w:rsidR="00FA5ADB">
        <w:rPr>
          <w:i/>
          <w:lang w:val="fr-FR" w:eastAsia="en-GB"/>
        </w:rPr>
        <w:t>’</w:t>
      </w:r>
      <w:r w:rsidR="001609F3" w:rsidRPr="003F3120">
        <w:rPr>
          <w:i/>
          <w:lang w:val="fr-FR" w:eastAsia="en-GB"/>
        </w:rPr>
        <w:t>évaluation périodique, interne et externe, de l</w:t>
      </w:r>
      <w:r w:rsidR="00FA5ADB">
        <w:rPr>
          <w:i/>
          <w:lang w:val="fr-FR" w:eastAsia="en-GB"/>
        </w:rPr>
        <w:t>’</w:t>
      </w:r>
      <w:r w:rsidR="001609F3" w:rsidRPr="003F3120">
        <w:rPr>
          <w:i/>
          <w:lang w:val="fr-FR" w:eastAsia="en-GB"/>
        </w:rPr>
        <w:t>efficacité de</w:t>
      </w:r>
      <w:r w:rsidR="007031E0">
        <w:rPr>
          <w:i/>
          <w:lang w:val="fr-FR" w:eastAsia="en-GB"/>
        </w:rPr>
        <w:t xml:space="preserve"> la </w:t>
      </w:r>
      <w:r w:rsidR="001609F3" w:rsidRPr="003F3120">
        <w:rPr>
          <w:i/>
          <w:lang w:val="fr-FR" w:eastAsia="en-GB"/>
        </w:rPr>
        <w:t>Plateforme.</w:t>
      </w:r>
      <w:r w:rsidR="001609F3" w:rsidRPr="003F3120">
        <w:rPr>
          <w:lang w:val="fr-FR" w:eastAsia="en-GB"/>
        </w:rPr>
        <w:t xml:space="preserve"> Cet objectif sera atteint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manière suivante</w:t>
      </w:r>
      <w:r w:rsidR="00FD5D6A">
        <w:rPr>
          <w:lang w:val="fr-FR" w:eastAsia="en-GB"/>
        </w:rPr>
        <w:t> :</w:t>
      </w:r>
    </w:p>
    <w:p w14:paraId="1B027683" w14:textId="4D33DE96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lang w:val="fr-FR"/>
        </w:rPr>
        <w:t>Évaluation périodique de</w:t>
      </w:r>
      <w:r w:rsidR="007031E0">
        <w:rPr>
          <w:i/>
          <w:lang w:val="fr-FR"/>
        </w:rPr>
        <w:t xml:space="preserve"> la </w:t>
      </w:r>
      <w:r w:rsidRPr="003F3120">
        <w:rPr>
          <w:i/>
          <w:lang w:val="fr-FR"/>
        </w:rPr>
        <w:t>Plateforme</w:t>
      </w:r>
      <w:r w:rsidRPr="003F3120">
        <w:rPr>
          <w:lang w:val="fr-FR"/>
        </w:rPr>
        <w:t>. Cet objectif a pour but de veiller à ce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résultats de l</w:t>
      </w:r>
      <w:r w:rsidR="00FA5ADB">
        <w:rPr>
          <w:lang w:val="fr-FR"/>
        </w:rPr>
        <w:t>’</w:t>
      </w:r>
      <w:r w:rsidRPr="003F3120">
        <w:rPr>
          <w:lang w:val="fr-FR"/>
        </w:rPr>
        <w:t>examen du premier programme de travail informe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et à ce qu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une procédure soit mise en place pour </w:t>
      </w:r>
      <w:r w:rsidR="00B13B88">
        <w:rPr>
          <w:lang w:val="fr-FR"/>
        </w:rPr>
        <w:t>qu</w:t>
      </w:r>
      <w:r w:rsidR="00FA5ADB">
        <w:rPr>
          <w:lang w:val="fr-FR"/>
        </w:rPr>
        <w:t>’</w:t>
      </w:r>
      <w:r w:rsidR="00B13B88">
        <w:rPr>
          <w:lang w:val="fr-FR"/>
        </w:rPr>
        <w:t xml:space="preserve">il soit procédé à </w:t>
      </w:r>
      <w:r w:rsidRPr="003F3120">
        <w:rPr>
          <w:lang w:val="fr-FR"/>
        </w:rPr>
        <w:t>un</w:t>
      </w:r>
      <w:r w:rsidR="00B13B88">
        <w:rPr>
          <w:lang w:val="fr-FR"/>
        </w:rPr>
        <w:t xml:space="preserve"> </w:t>
      </w:r>
      <w:r w:rsidRPr="003F3120">
        <w:rPr>
          <w:lang w:val="fr-FR"/>
        </w:rPr>
        <w:t xml:space="preserve">examen à mi-parcours et </w:t>
      </w:r>
      <w:r w:rsidR="00B13B88">
        <w:rPr>
          <w:lang w:val="fr-FR"/>
        </w:rPr>
        <w:t xml:space="preserve">à </w:t>
      </w:r>
      <w:r w:rsidRPr="003F3120">
        <w:rPr>
          <w:lang w:val="fr-FR"/>
        </w:rPr>
        <w:t>un</w:t>
      </w:r>
      <w:r w:rsidR="00B13B88">
        <w:rPr>
          <w:lang w:val="fr-FR"/>
        </w:rPr>
        <w:t xml:space="preserve"> </w:t>
      </w:r>
      <w:r w:rsidRPr="003F3120">
        <w:rPr>
          <w:lang w:val="fr-FR"/>
        </w:rPr>
        <w:t xml:space="preserve">examen final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.</w:t>
      </w:r>
    </w:p>
    <w:p w14:paraId="48894BB7" w14:textId="1FB81DA1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kern w:val="14"/>
          <w:lang w:val="fr-FR" w:eastAsia="ja-JP"/>
        </w:rPr>
        <w:t>Évaluation du cadre conceptuel de</w:t>
      </w:r>
      <w:r w:rsidR="007031E0">
        <w:rPr>
          <w:i/>
          <w:kern w:val="14"/>
          <w:lang w:val="fr-FR" w:eastAsia="ja-JP"/>
        </w:rPr>
        <w:t xml:space="preserve"> la </w:t>
      </w:r>
      <w:r w:rsidRPr="003F3120">
        <w:rPr>
          <w:i/>
          <w:kern w:val="14"/>
          <w:lang w:val="fr-FR" w:eastAsia="ja-JP"/>
        </w:rPr>
        <w:t>Plateforme</w:t>
      </w:r>
      <w:r w:rsidRPr="003F3120">
        <w:rPr>
          <w:kern w:val="14"/>
          <w:lang w:val="fr-FR" w:eastAsia="ja-JP"/>
        </w:rPr>
        <w:t>. Cet objectif a pour but de veiller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évaluation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utilisation et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effet du cadre conceptuel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Plateforme, afin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informer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évolution du programme de travail glissant.</w:t>
      </w:r>
    </w:p>
    <w:p w14:paraId="562A9A4C" w14:textId="2FF0F6EF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kern w:val="14"/>
          <w:lang w:val="fr-FR" w:eastAsia="ja-JP"/>
        </w:rPr>
        <w:t>Amélioration de l</w:t>
      </w:r>
      <w:r w:rsidR="00FA5ADB">
        <w:rPr>
          <w:i/>
          <w:kern w:val="14"/>
          <w:lang w:val="fr-FR" w:eastAsia="ja-JP"/>
        </w:rPr>
        <w:t>’</w:t>
      </w:r>
      <w:r w:rsidRPr="003F3120">
        <w:rPr>
          <w:i/>
          <w:kern w:val="14"/>
          <w:lang w:val="fr-FR" w:eastAsia="ja-JP"/>
        </w:rPr>
        <w:t>efficacité du processus d</w:t>
      </w:r>
      <w:r w:rsidR="00FA5ADB">
        <w:rPr>
          <w:i/>
          <w:kern w:val="14"/>
          <w:lang w:val="fr-FR" w:eastAsia="ja-JP"/>
        </w:rPr>
        <w:t>’</w:t>
      </w:r>
      <w:r w:rsidRPr="003F3120">
        <w:rPr>
          <w:i/>
          <w:kern w:val="14"/>
          <w:lang w:val="fr-FR" w:eastAsia="ja-JP"/>
        </w:rPr>
        <w:t>évaluation</w:t>
      </w:r>
      <w:r w:rsidRPr="003F3120">
        <w:rPr>
          <w:kern w:val="14"/>
          <w:lang w:val="fr-FR" w:eastAsia="ja-JP"/>
        </w:rPr>
        <w:t>. Cet objectif a pour but de transmettre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enseignements tirés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conseils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auteurs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évaluations achevées et de leurs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autres contributeurs aux personnes qui seront chargées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futures évaluations.</w:t>
      </w:r>
    </w:p>
    <w:p w14:paraId="3B6E4840" w14:textId="77777777" w:rsidR="001609F3" w:rsidRPr="003F3120" w:rsidRDefault="001609F3" w:rsidP="001609F3">
      <w:pPr>
        <w:pStyle w:val="CH2"/>
        <w:rPr>
          <w:lang w:val="fr-FR"/>
        </w:rPr>
      </w:pPr>
      <w:r w:rsidRPr="003F3120">
        <w:rPr>
          <w:lang w:val="fr-FR"/>
        </w:rPr>
        <w:tab/>
        <w:t>C.</w:t>
      </w:r>
      <w:r w:rsidRPr="003F3120">
        <w:rPr>
          <w:lang w:val="fr-FR"/>
        </w:rPr>
        <w:tab/>
        <w:t>Produits issus du premier programme de travail (2014–2018)</w:t>
      </w:r>
    </w:p>
    <w:p w14:paraId="10D695A5" w14:textId="1B592C77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Des rapports sur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thématique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espèces sauvages et de </w:t>
      </w: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</w:t>
      </w:r>
      <w:r w:rsidRPr="003F3120">
        <w:rPr>
          <w:lang w:val="fr-FR"/>
        </w:rPr>
        <w:t xml:space="preserve"> méthodologique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divers modes de conceptualisation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 bienfaits,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fonctions et services assurés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écosystèmes, qui intègrent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relevant de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Plénière </w:t>
      </w:r>
      <w:r w:rsidRPr="003F3120">
        <w:rPr>
          <w:lang w:val="fr-FR"/>
        </w:rPr>
        <w:lastRenderedPageBreak/>
        <w:t>a</w:t>
      </w:r>
      <w:r w:rsidR="006E0890">
        <w:rPr>
          <w:lang w:val="fr-FR"/>
        </w:rPr>
        <w:t> </w:t>
      </w:r>
      <w:r w:rsidRPr="003F3120">
        <w:rPr>
          <w:lang w:val="fr-FR"/>
        </w:rPr>
        <w:t>lancés dans sa décision IPBES-6/1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cadre du premier programme de travail, </w:t>
      </w:r>
      <w:r w:rsidRPr="003F3120">
        <w:rPr>
          <w:rFonts w:eastAsia="SimSun"/>
          <w:lang w:val="fr-FR" w:eastAsia="zh-CN"/>
        </w:rPr>
        <w:t>seront</w:t>
      </w:r>
      <w:r w:rsidRPr="003F3120">
        <w:rPr>
          <w:lang w:val="fr-FR"/>
        </w:rPr>
        <w:t xml:space="preserve"> établis en</w:t>
      </w:r>
      <w:r w:rsidR="007B76B9">
        <w:rPr>
          <w:lang w:val="fr-FR"/>
        </w:rPr>
        <w:t> </w:t>
      </w:r>
      <w:r w:rsidRPr="003F3120">
        <w:rPr>
          <w:lang w:val="fr-FR"/>
        </w:rPr>
        <w:t>vue d</w:t>
      </w:r>
      <w:r w:rsidR="00FA5ADB">
        <w:rPr>
          <w:lang w:val="fr-FR"/>
        </w:rPr>
        <w:t>’</w:t>
      </w:r>
      <w:r w:rsidRPr="003F3120">
        <w:rPr>
          <w:lang w:val="fr-FR"/>
        </w:rPr>
        <w:t>être examinés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à sa neuvième session.</w:t>
      </w:r>
    </w:p>
    <w:p w14:paraId="13379EFB" w14:textId="0C05C7A2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rFonts w:eastAsia="SimSun"/>
          <w:lang w:val="fr-FR" w:eastAsia="zh-CN"/>
        </w:rPr>
        <w:t>Le rapport sur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 thématique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espèces exotiques envahissantes,</w:t>
      </w:r>
      <w:r w:rsidRPr="003F3120">
        <w:rPr>
          <w:lang w:val="fr-FR"/>
        </w:rPr>
        <w:t xml:space="preserve"> qui intègre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relevant de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</w:t>
      </w:r>
      <w:r w:rsidRPr="003F3120">
        <w:rPr>
          <w:rFonts w:eastAsia="SimSun"/>
          <w:lang w:val="fr-FR" w:eastAsia="zh-CN"/>
        </w:rPr>
        <w:t xml:space="preserve"> </w:t>
      </w:r>
      <w:r w:rsidRPr="003F3120">
        <w:rPr>
          <w:lang w:val="fr-FR"/>
        </w:rPr>
        <w:t>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également lancé dans sa décision IPBES-6/1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premier programme de travail, sera établi en vue d</w:t>
      </w:r>
      <w:r w:rsidR="00FA5ADB">
        <w:rPr>
          <w:lang w:val="fr-FR"/>
        </w:rPr>
        <w:t>’</w:t>
      </w:r>
      <w:r w:rsidRPr="003F3120">
        <w:rPr>
          <w:lang w:val="fr-FR"/>
        </w:rPr>
        <w:t>être examiné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à sa neuvième session.</w:t>
      </w:r>
    </w:p>
    <w:p w14:paraId="57DAB3F6" w14:textId="1535A88C" w:rsidR="001609F3" w:rsidRPr="003F3120" w:rsidRDefault="001609F3" w:rsidP="001609F3">
      <w:pPr>
        <w:pStyle w:val="CH2"/>
        <w:rPr>
          <w:b w:val="0"/>
          <w:lang w:val="fr-FR"/>
        </w:rPr>
      </w:pPr>
      <w:r w:rsidRPr="003F3120">
        <w:rPr>
          <w:lang w:val="fr-FR"/>
        </w:rPr>
        <w:tab/>
        <w:t>D.</w:t>
      </w:r>
      <w:r w:rsidRPr="003F3120">
        <w:rPr>
          <w:lang w:val="fr-FR"/>
        </w:rPr>
        <w:tab/>
        <w:t>Calendrier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et futurs appels à demandes, contributions et suggestions</w:t>
      </w:r>
    </w:p>
    <w:p w14:paraId="7C36C7B8" w14:textId="2C305000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 w:eastAsia="en-GB"/>
        </w:rPr>
        <w:t>De nouvelles évaluations seront menées au titre de l</w:t>
      </w:r>
      <w:r w:rsidR="00FA5ADB">
        <w:rPr>
          <w:lang w:val="fr-FR" w:eastAsia="en-GB"/>
        </w:rPr>
        <w:t>’</w:t>
      </w:r>
      <w:r w:rsidR="00121BDC">
        <w:rPr>
          <w:lang w:val="fr-FR" w:eastAsia="en-GB"/>
        </w:rPr>
        <w:t>objectif </w:t>
      </w:r>
      <w:r w:rsidRPr="003F3120">
        <w:rPr>
          <w:lang w:val="fr-FR" w:eastAsia="en-GB"/>
        </w:rPr>
        <w:t>1, conformément aux décisions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Plénière et en tenant </w:t>
      </w:r>
      <w:r w:rsidRPr="003F3120">
        <w:rPr>
          <w:rFonts w:eastAsia="SimSun"/>
          <w:lang w:val="fr-FR" w:eastAsia="zh-CN"/>
        </w:rPr>
        <w:t>compte</w:t>
      </w:r>
      <w:r w:rsidRPr="003F3120">
        <w:rPr>
          <w:lang w:val="fr-FR" w:eastAsia="en-GB"/>
        </w:rPr>
        <w:t xml:space="preserve"> du calendrier in</w:t>
      </w:r>
      <w:r w:rsidR="00CA0E1D" w:rsidRPr="003F3120">
        <w:rPr>
          <w:lang w:val="fr-FR" w:eastAsia="en-GB"/>
        </w:rPr>
        <w:t>dicatif présenté dans</w:t>
      </w:r>
      <w:r w:rsidR="007031E0">
        <w:rPr>
          <w:lang w:val="fr-FR" w:eastAsia="en-GB"/>
        </w:rPr>
        <w:t xml:space="preserve"> la </w:t>
      </w:r>
      <w:r w:rsidR="00CA0E1D" w:rsidRPr="003F3120">
        <w:rPr>
          <w:lang w:val="fr-FR" w:eastAsia="en-GB"/>
        </w:rPr>
        <w:t>figure A.2</w:t>
      </w:r>
      <w:r w:rsidRPr="003F3120">
        <w:rPr>
          <w:lang w:val="fr-FR" w:eastAsia="en-GB"/>
        </w:rPr>
        <w:t>.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Plénière examinera </w:t>
      </w:r>
      <w:r w:rsidRPr="003F3120">
        <w:rPr>
          <w:lang w:val="fr-FR"/>
        </w:rPr>
        <w:t>périodiquement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programme de travail et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demandes, contributions et </w:t>
      </w:r>
      <w:r w:rsidR="00B04344">
        <w:rPr>
          <w:lang w:val="fr-FR" w:eastAsia="en-GB"/>
        </w:rPr>
        <w:t>suggestions, qui </w:t>
      </w:r>
      <w:r w:rsidRPr="003F3120">
        <w:rPr>
          <w:lang w:val="fr-FR" w:eastAsia="en-GB"/>
        </w:rPr>
        <w:t>sont hiérarchi</w:t>
      </w:r>
      <w:r w:rsidR="00C3764A" w:rsidRPr="003F3120">
        <w:rPr>
          <w:lang w:val="fr-FR" w:eastAsia="en-GB"/>
        </w:rPr>
        <w:t>sées conformément à</w:t>
      </w:r>
      <w:r w:rsidR="007031E0">
        <w:rPr>
          <w:lang w:val="fr-FR" w:eastAsia="en-GB"/>
        </w:rPr>
        <w:t xml:space="preserve"> la </w:t>
      </w:r>
      <w:r w:rsidR="00C3764A" w:rsidRPr="003F3120">
        <w:rPr>
          <w:lang w:val="fr-FR" w:eastAsia="en-GB"/>
        </w:rPr>
        <w:t>décision </w:t>
      </w:r>
      <w:r w:rsidRPr="003F3120">
        <w:rPr>
          <w:lang w:val="fr-FR" w:eastAsia="en-GB"/>
        </w:rPr>
        <w:t>IPBES-1/3</w:t>
      </w:r>
      <w:r w:rsidRPr="003F3120">
        <w:rPr>
          <w:lang w:val="fr-FR"/>
        </w:rPr>
        <w:t>.</w:t>
      </w:r>
    </w:p>
    <w:p w14:paraId="6373D4B6" w14:textId="3290D84F" w:rsidR="000B15DB" w:rsidRPr="003F3120" w:rsidRDefault="00777C93" w:rsidP="001609F3">
      <w:pPr>
        <w:pStyle w:val="Titlefigure"/>
        <w:rPr>
          <w:rFonts w:eastAsia="SimSun"/>
          <w:lang w:val="fr-FR" w:eastAsia="zh-CN"/>
        </w:rPr>
      </w:pPr>
      <w:r w:rsidRPr="007B76B9">
        <w:rPr>
          <w:b w:val="0"/>
          <w:lang w:val="fr-FR"/>
        </w:rPr>
        <w:t>Figure </w:t>
      </w:r>
      <w:r w:rsidR="000B15DB" w:rsidRPr="007B76B9">
        <w:rPr>
          <w:b w:val="0"/>
          <w:lang w:val="fr-FR"/>
        </w:rPr>
        <w:t>A.2</w:t>
      </w:r>
      <w:r w:rsidR="007B76B9" w:rsidRPr="007B76B9">
        <w:rPr>
          <w:b w:val="0"/>
          <w:lang w:val="fr-FR"/>
        </w:rPr>
        <w:br/>
      </w:r>
      <w:r w:rsidR="001609F3" w:rsidRPr="003F3120">
        <w:rPr>
          <w:rFonts w:eastAsia="SimSun"/>
          <w:lang w:val="fr-FR" w:eastAsia="zh-CN"/>
        </w:rPr>
        <w:t>Calendrier indicatif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évaluations initiales jusqu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en 2030</w:t>
      </w:r>
    </w:p>
    <w:p w14:paraId="6173582D" w14:textId="77777777" w:rsidR="007B76B9" w:rsidRDefault="007B76B9" w:rsidP="007B76B9">
      <w:pPr>
        <w:pStyle w:val="Titlefigure"/>
        <w:ind w:left="0"/>
        <w:rPr>
          <w:rFonts w:eastAsia="SimSun"/>
          <w:b w:val="0"/>
          <w:i/>
          <w:lang w:val="fr-FR" w:eastAsia="zh-CN"/>
        </w:rPr>
      </w:pPr>
      <w:r w:rsidRPr="003F3120">
        <w:rPr>
          <w:noProof/>
          <w:lang w:val="fr-FR" w:eastAsia="fr-FR"/>
        </w:rPr>
        <w:drawing>
          <wp:inline distT="0" distB="0" distL="0" distR="0" wp14:anchorId="4975FA50" wp14:editId="4E10A168">
            <wp:extent cx="6027725" cy="3229661"/>
            <wp:effectExtent l="0" t="0" r="0" b="889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Untitled-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25" cy="32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D880" w14:textId="63E1BC0D" w:rsidR="001609F3" w:rsidRPr="007B76B9" w:rsidRDefault="000B15DB" w:rsidP="007B76B9">
      <w:pPr>
        <w:pStyle w:val="Titlefigure"/>
        <w:keepNext w:val="0"/>
        <w:keepLines w:val="0"/>
        <w:rPr>
          <w:b w:val="0"/>
          <w:sz w:val="18"/>
          <w:szCs w:val="18"/>
          <w:lang w:val="fr-FR" w:eastAsia="en-GB"/>
        </w:rPr>
      </w:pPr>
      <w:r w:rsidRPr="007B76B9">
        <w:rPr>
          <w:rFonts w:eastAsia="SimSun"/>
          <w:b w:val="0"/>
          <w:i/>
          <w:sz w:val="18"/>
          <w:szCs w:val="18"/>
          <w:lang w:val="fr-FR" w:eastAsia="zh-CN"/>
        </w:rPr>
        <w:t>Note</w:t>
      </w:r>
      <w:r w:rsidR="00FD5D6A" w:rsidRPr="007B76B9">
        <w:rPr>
          <w:rFonts w:eastAsia="SimSun"/>
          <w:b w:val="0"/>
          <w:i/>
          <w:sz w:val="18"/>
          <w:szCs w:val="18"/>
          <w:lang w:val="fr-FR" w:eastAsia="zh-CN"/>
        </w:rPr>
        <w:t> :</w:t>
      </w:r>
      <w:r w:rsidR="007031E0" w:rsidRPr="006E0890">
        <w:rPr>
          <w:rFonts w:eastAsia="SimSun"/>
          <w:b w:val="0"/>
          <w:sz w:val="18"/>
          <w:szCs w:val="18"/>
          <w:lang w:val="fr-FR" w:eastAsia="zh-CN"/>
        </w:rPr>
        <w:t xml:space="preserve"> le</w:t>
      </w:r>
      <w:r w:rsidR="007031E0">
        <w:rPr>
          <w:rFonts w:eastAsia="SimSun"/>
          <w:sz w:val="18"/>
          <w:szCs w:val="18"/>
          <w:lang w:val="fr-FR" w:eastAsia="zh-CN"/>
        </w:rPr>
        <w:t>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>calendrier</w:t>
      </w:r>
      <w:r w:rsidR="007031E0">
        <w:rPr>
          <w:rFonts w:eastAsia="SimSun"/>
          <w:b w:val="0"/>
          <w:sz w:val="18"/>
          <w:szCs w:val="18"/>
          <w:lang w:val="fr-FR" w:eastAsia="zh-CN"/>
        </w:rPr>
        <w:t xml:space="preserve"> des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>trois évaluations lancées dans</w:t>
      </w:r>
      <w:r w:rsidR="007031E0">
        <w:rPr>
          <w:rFonts w:eastAsia="SimSun"/>
          <w:b w:val="0"/>
          <w:sz w:val="18"/>
          <w:szCs w:val="18"/>
          <w:lang w:val="fr-FR" w:eastAsia="zh-CN"/>
        </w:rPr>
        <w:t xml:space="preserve"> le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 xml:space="preserve">cadre du premier </w:t>
      </w:r>
      <w:r w:rsidR="001609F3" w:rsidRPr="007B76B9">
        <w:rPr>
          <w:b w:val="0"/>
          <w:sz w:val="18"/>
          <w:szCs w:val="18"/>
          <w:lang w:val="fr-FR" w:eastAsia="en-GB"/>
        </w:rPr>
        <w:t>programme de travail apparaît en vert</w:t>
      </w:r>
      <w:r w:rsidR="00FD5D6A" w:rsidRPr="007B76B9">
        <w:rPr>
          <w:b w:val="0"/>
          <w:sz w:val="18"/>
          <w:szCs w:val="18"/>
          <w:lang w:val="fr-FR" w:eastAsia="en-GB"/>
        </w:rPr>
        <w:t> ;</w:t>
      </w:r>
      <w:r w:rsidR="007031E0">
        <w:rPr>
          <w:b w:val="0"/>
          <w:sz w:val="18"/>
          <w:szCs w:val="18"/>
          <w:lang w:val="fr-FR" w:eastAsia="en-GB"/>
        </w:rPr>
        <w:t xml:space="preserve"> le </w:t>
      </w:r>
      <w:r w:rsidR="001609F3" w:rsidRPr="007B76B9">
        <w:rPr>
          <w:b w:val="0"/>
          <w:sz w:val="18"/>
          <w:szCs w:val="18"/>
          <w:lang w:val="fr-FR" w:eastAsia="en-GB"/>
        </w:rPr>
        <w:t>calendrier indicatif</w:t>
      </w:r>
      <w:r w:rsidR="007031E0">
        <w:rPr>
          <w:b w:val="0"/>
          <w:sz w:val="18"/>
          <w:szCs w:val="18"/>
          <w:lang w:val="fr-FR" w:eastAsia="en-GB"/>
        </w:rPr>
        <w:t xml:space="preserve"> des </w:t>
      </w:r>
      <w:r w:rsidR="001609F3" w:rsidRPr="007B76B9">
        <w:rPr>
          <w:b w:val="0"/>
          <w:sz w:val="18"/>
          <w:szCs w:val="18"/>
          <w:lang w:val="fr-FR" w:eastAsia="en-GB"/>
        </w:rPr>
        <w:t xml:space="preserve">produits 1 a) à d) du </w:t>
      </w:r>
      <w:r w:rsidR="00F96E46" w:rsidRPr="007B76B9">
        <w:rPr>
          <w:b w:val="0"/>
          <w:sz w:val="18"/>
          <w:szCs w:val="18"/>
          <w:lang w:val="fr-FR" w:eastAsia="en-GB"/>
        </w:rPr>
        <w:t>programme de travail glissant pour</w:t>
      </w:r>
      <w:r w:rsidR="007031E0">
        <w:rPr>
          <w:b w:val="0"/>
          <w:sz w:val="18"/>
          <w:szCs w:val="18"/>
          <w:lang w:val="fr-FR" w:eastAsia="en-GB"/>
        </w:rPr>
        <w:t xml:space="preserve"> la </w:t>
      </w:r>
      <w:r w:rsidR="00F96E46" w:rsidRPr="007B76B9">
        <w:rPr>
          <w:b w:val="0"/>
          <w:sz w:val="18"/>
          <w:szCs w:val="18"/>
          <w:lang w:val="fr-FR" w:eastAsia="en-GB"/>
        </w:rPr>
        <w:t>période allant jusqu</w:t>
      </w:r>
      <w:r w:rsidR="00FA5ADB">
        <w:rPr>
          <w:b w:val="0"/>
          <w:sz w:val="18"/>
          <w:szCs w:val="18"/>
          <w:lang w:val="fr-FR" w:eastAsia="en-GB"/>
        </w:rPr>
        <w:t>’</w:t>
      </w:r>
      <w:r w:rsidR="00F96E46" w:rsidRPr="007B76B9">
        <w:rPr>
          <w:b w:val="0"/>
          <w:sz w:val="18"/>
          <w:szCs w:val="18"/>
          <w:lang w:val="fr-FR" w:eastAsia="en-GB"/>
        </w:rPr>
        <w:t>en 2030</w:t>
      </w:r>
      <w:r w:rsidR="001609F3" w:rsidRPr="007B76B9">
        <w:rPr>
          <w:b w:val="0"/>
          <w:sz w:val="18"/>
          <w:szCs w:val="18"/>
          <w:lang w:val="fr-FR" w:eastAsia="en-GB"/>
        </w:rPr>
        <w:t xml:space="preserve"> apparaît en orang</w:t>
      </w:r>
      <w:r w:rsidR="00CA0E1D" w:rsidRPr="007B76B9">
        <w:rPr>
          <w:b w:val="0"/>
          <w:sz w:val="18"/>
          <w:szCs w:val="18"/>
          <w:lang w:val="fr-FR" w:eastAsia="en-GB"/>
        </w:rPr>
        <w:t>é</w:t>
      </w:r>
      <w:r w:rsidR="001609F3" w:rsidRPr="007B76B9">
        <w:rPr>
          <w:b w:val="0"/>
          <w:sz w:val="18"/>
          <w:szCs w:val="18"/>
          <w:lang w:val="fr-FR" w:eastAsia="en-GB"/>
        </w:rPr>
        <w:t>.</w:t>
      </w:r>
    </w:p>
    <w:p w14:paraId="6C660441" w14:textId="4068901A" w:rsidR="001609F3" w:rsidRPr="003F3120" w:rsidRDefault="001609F3" w:rsidP="00E11AE0">
      <w:pPr>
        <w:pStyle w:val="CH1"/>
        <w:rPr>
          <w:lang w:val="fr-FR"/>
        </w:rPr>
      </w:pPr>
      <w:r w:rsidRPr="003F3120">
        <w:rPr>
          <w:rFonts w:eastAsia="SimSun"/>
          <w:lang w:val="fr-FR"/>
        </w:rPr>
        <w:tab/>
        <w:t>III.</w:t>
      </w:r>
      <w:r w:rsidRPr="003F3120">
        <w:rPr>
          <w:rFonts w:eastAsia="SimSun"/>
          <w:lang w:val="fr-FR"/>
        </w:rPr>
        <w:tab/>
        <w:t>Dispositions institutionnelles pour</w:t>
      </w:r>
      <w:r w:rsidR="007031E0">
        <w:rPr>
          <w:rFonts w:eastAsia="SimSun"/>
          <w:lang w:val="fr-FR"/>
        </w:rPr>
        <w:t xml:space="preserve"> la </w:t>
      </w:r>
      <w:r w:rsidRPr="003F3120">
        <w:rPr>
          <w:rFonts w:eastAsia="SimSun"/>
          <w:lang w:val="fr-FR"/>
        </w:rPr>
        <w:t>mise en œuvre du programme de travail de</w:t>
      </w:r>
      <w:r w:rsidR="007031E0">
        <w:rPr>
          <w:rFonts w:eastAsia="SimSun"/>
          <w:lang w:val="fr-FR"/>
        </w:rPr>
        <w:t xml:space="preserve"> la </w:t>
      </w:r>
      <w:r w:rsidRPr="003F3120">
        <w:rPr>
          <w:rFonts w:eastAsia="SimSun"/>
          <w:lang w:val="fr-FR"/>
        </w:rPr>
        <w:t>Plateforme</w:t>
      </w:r>
    </w:p>
    <w:p w14:paraId="20BE2CB9" w14:textId="51A4420A" w:rsidR="001609F3" w:rsidRPr="003F3120" w:rsidRDefault="001609F3" w:rsidP="00E11AE0">
      <w:pPr>
        <w:pStyle w:val="CH2"/>
        <w:rPr>
          <w:lang w:val="fr-FR"/>
        </w:rPr>
      </w:pPr>
      <w:r w:rsidRPr="003F3120">
        <w:rPr>
          <w:lang w:val="fr-FR"/>
        </w:rPr>
        <w:tab/>
        <w:t>A.</w:t>
      </w:r>
      <w:r w:rsidRPr="003F3120">
        <w:rPr>
          <w:lang w:val="fr-FR"/>
        </w:rPr>
        <w:tab/>
        <w:t xml:space="preserve">Organes </w:t>
      </w:r>
    </w:p>
    <w:p w14:paraId="3AC67978" w14:textId="4FD45239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La Plénière,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Bureau,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Groupe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multidisciplinaire et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secrétariat joueront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rôles essentiels dans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rFonts w:eastAsia="SimSun"/>
          <w:lang w:val="fr-FR" w:eastAsia="zh-CN"/>
        </w:rPr>
        <w:t>mise</w:t>
      </w:r>
      <w:r w:rsidRPr="003F3120">
        <w:rPr>
          <w:kern w:val="14"/>
          <w:lang w:val="fr-FR" w:eastAsia="ja-JP"/>
        </w:rPr>
        <w:t xml:space="preserve"> en œuvre du 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</w:t>
      </w:r>
      <w:r w:rsidR="007B76B9">
        <w:rPr>
          <w:kern w:val="14"/>
          <w:lang w:val="fr-FR" w:eastAsia="ja-JP"/>
        </w:rPr>
        <w:t> </w:t>
      </w:r>
      <w:r w:rsidR="00F96E46" w:rsidRPr="003F3120">
        <w:rPr>
          <w:kern w:val="14"/>
          <w:lang w:val="fr-FR" w:eastAsia="ja-JP"/>
        </w:rPr>
        <w:t>2030</w:t>
      </w:r>
      <w:r w:rsidRPr="003F3120">
        <w:rPr>
          <w:kern w:val="14"/>
          <w:lang w:val="fr-FR" w:eastAsia="ja-JP"/>
        </w:rPr>
        <w:t>. Leurs rôles respectifs sont définis dans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résolution </w:t>
      </w:r>
      <w:r w:rsidR="00DA5AB7">
        <w:rPr>
          <w:kern w:val="14"/>
          <w:lang w:val="fr-FR" w:eastAsia="ja-JP"/>
        </w:rPr>
        <w:t>portant création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Pr="003F3120">
        <w:rPr>
          <w:rStyle w:val="FootnoteReference"/>
          <w:kern w:val="14"/>
          <w:lang w:val="fr-FR" w:eastAsia="ja-JP"/>
        </w:rPr>
        <w:footnoteReference w:id="27"/>
      </w:r>
      <w:r w:rsidR="00B04344">
        <w:rPr>
          <w:kern w:val="14"/>
          <w:lang w:val="fr-FR" w:eastAsia="ja-JP"/>
        </w:rPr>
        <w:t>,</w:t>
      </w:r>
      <w:r w:rsidR="007031E0">
        <w:rPr>
          <w:kern w:val="14"/>
          <w:lang w:val="fr-FR" w:eastAsia="ja-JP"/>
        </w:rPr>
        <w:t xml:space="preserve"> le </w:t>
      </w:r>
      <w:r w:rsidR="00DA5AB7">
        <w:rPr>
          <w:kern w:val="14"/>
          <w:lang w:val="fr-FR" w:eastAsia="ja-JP"/>
        </w:rPr>
        <w:t>R</w:t>
      </w:r>
      <w:r w:rsidRPr="003F3120">
        <w:rPr>
          <w:kern w:val="14"/>
          <w:lang w:val="fr-FR" w:eastAsia="ja-JP"/>
        </w:rPr>
        <w:t>èglement intérieur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sessions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Plénière</w:t>
      </w:r>
      <w:r w:rsidRPr="003F3120">
        <w:rPr>
          <w:rStyle w:val="FootnoteReference"/>
          <w:kern w:val="14"/>
          <w:lang w:val="fr-FR" w:eastAsia="ja-JP"/>
        </w:rPr>
        <w:footnoteReference w:id="28"/>
      </w:r>
      <w:r w:rsidRPr="003F3120">
        <w:rPr>
          <w:kern w:val="14"/>
          <w:lang w:val="fr-FR" w:eastAsia="ja-JP"/>
        </w:rPr>
        <w:t xml:space="preserve">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procédures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établissement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produits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Pr="003F3120">
        <w:rPr>
          <w:rStyle w:val="FootnoteReference"/>
          <w:kern w:val="14"/>
          <w:lang w:val="fr-FR" w:eastAsia="ja-JP"/>
        </w:rPr>
        <w:footnoteReference w:id="29"/>
      </w:r>
      <w:r w:rsidRPr="003F3120">
        <w:rPr>
          <w:kern w:val="14"/>
          <w:lang w:val="fr-FR" w:eastAsia="ja-JP"/>
        </w:rPr>
        <w:t>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sessions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Plénière continueront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être organisées à</w:t>
      </w:r>
      <w:r w:rsidR="00E11AE0">
        <w:rPr>
          <w:kern w:val="14"/>
          <w:lang w:val="fr-FR" w:eastAsia="ja-JP"/>
        </w:rPr>
        <w:t xml:space="preserve"> </w:t>
      </w:r>
      <w:proofErr w:type="gramStart"/>
      <w:r w:rsidR="00E11AE0">
        <w:rPr>
          <w:kern w:val="14"/>
          <w:lang w:val="fr-FR" w:eastAsia="ja-JP"/>
        </w:rPr>
        <w:t>une fréquence variant</w:t>
      </w:r>
      <w:proofErr w:type="gramEnd"/>
      <w:r w:rsidR="00E11AE0">
        <w:rPr>
          <w:kern w:val="14"/>
          <w:lang w:val="fr-FR" w:eastAsia="ja-JP"/>
        </w:rPr>
        <w:t xml:space="preserve"> entre 12 </w:t>
      </w:r>
      <w:r w:rsidRPr="003F3120">
        <w:rPr>
          <w:kern w:val="14"/>
          <w:lang w:val="fr-FR" w:eastAsia="ja-JP"/>
        </w:rPr>
        <w:t>et 24 mois, en fonction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ordre du jour de chaque session (</w:t>
      </w:r>
      <w:r w:rsidR="00DA5AB7">
        <w:rPr>
          <w:kern w:val="14"/>
          <w:lang w:val="fr-FR" w:eastAsia="ja-JP"/>
        </w:rPr>
        <w:t>compte tenu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besoins du programme de travail) et</w:t>
      </w:r>
      <w:r w:rsidR="007031E0">
        <w:rPr>
          <w:kern w:val="14"/>
          <w:lang w:val="fr-FR" w:eastAsia="ja-JP"/>
        </w:rPr>
        <w:t xml:space="preserve"> des </w:t>
      </w:r>
      <w:r w:rsidR="00DA5AB7">
        <w:rPr>
          <w:kern w:val="14"/>
          <w:lang w:val="fr-FR" w:eastAsia="ja-JP"/>
        </w:rPr>
        <w:t>fonds</w:t>
      </w:r>
      <w:r w:rsidRPr="003F3120">
        <w:rPr>
          <w:kern w:val="14"/>
          <w:lang w:val="fr-FR" w:eastAsia="ja-JP"/>
        </w:rPr>
        <w:t xml:space="preserve"> disponible</w:t>
      </w:r>
      <w:r w:rsidR="00DA5AB7">
        <w:rPr>
          <w:kern w:val="14"/>
          <w:lang w:val="fr-FR" w:eastAsia="ja-JP"/>
        </w:rPr>
        <w:t>s</w:t>
      </w:r>
      <w:r w:rsidRPr="003F3120">
        <w:rPr>
          <w:kern w:val="14"/>
          <w:lang w:val="fr-FR" w:eastAsia="ja-JP"/>
        </w:rPr>
        <w:t xml:space="preserve">. </w:t>
      </w:r>
    </w:p>
    <w:p w14:paraId="6B2EB646" w14:textId="0F6C6E88" w:rsidR="001609F3" w:rsidRPr="003F3120" w:rsidRDefault="001609F3" w:rsidP="001609F3">
      <w:pPr>
        <w:pStyle w:val="CH2"/>
        <w:rPr>
          <w:lang w:val="fr-FR"/>
        </w:rPr>
      </w:pPr>
      <w:r w:rsidRPr="003F3120">
        <w:rPr>
          <w:lang w:val="fr-FR"/>
        </w:rPr>
        <w:lastRenderedPageBreak/>
        <w:tab/>
        <w:t>B.</w:t>
      </w:r>
      <w:r w:rsidRPr="003F3120">
        <w:rPr>
          <w:lang w:val="fr-FR"/>
        </w:rPr>
        <w:tab/>
        <w:t>Forums,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experts, 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</w:t>
      </w:r>
    </w:p>
    <w:p w14:paraId="7A1398C8" w14:textId="17E55170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Tout </w:t>
      </w:r>
      <w:r w:rsidRPr="003F3120">
        <w:rPr>
          <w:rFonts w:eastAsia="SimSun"/>
          <w:lang w:val="fr-FR" w:eastAsia="zh-CN"/>
        </w:rPr>
        <w:t>comme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premier programme de travail,</w:t>
      </w:r>
      <w:r w:rsidR="007031E0">
        <w:rPr>
          <w:kern w:val="14"/>
          <w:lang w:val="fr-FR" w:eastAsia="ja-JP"/>
        </w:rPr>
        <w:t xml:space="preserve"> le 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 2030</w:t>
      </w:r>
      <w:r w:rsidRPr="003F3120">
        <w:rPr>
          <w:kern w:val="14"/>
          <w:lang w:val="fr-FR" w:eastAsia="ja-JP"/>
        </w:rPr>
        <w:t xml:space="preserve"> sera mis en œuvre avec </w:t>
      </w:r>
      <w:r w:rsidR="00DA5AB7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DA5AB7">
        <w:rPr>
          <w:kern w:val="14"/>
          <w:lang w:val="fr-FR" w:eastAsia="ja-JP"/>
        </w:rPr>
        <w:t>appui</w:t>
      </w:r>
      <w:r w:rsidRPr="003F3120">
        <w:rPr>
          <w:kern w:val="14"/>
          <w:lang w:val="fr-FR" w:eastAsia="ja-JP"/>
        </w:rPr>
        <w:t xml:space="preserve"> du forum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capacités, de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de tâches spécifiques créés pour une durée déterminée,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équipes </w:t>
      </w:r>
      <w:r w:rsidRPr="007B76B9">
        <w:rPr>
          <w:lang w:val="fr-FR"/>
        </w:rPr>
        <w:t>spéciales</w:t>
      </w:r>
      <w:r w:rsidRPr="003F3120">
        <w:rPr>
          <w:kern w:val="14"/>
          <w:lang w:val="fr-FR" w:eastAsia="ja-JP"/>
        </w:rPr>
        <w:t>,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un soutien technique du secrétariat et de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appui technique. </w:t>
      </w:r>
    </w:p>
    <w:p w14:paraId="5CD92C83" w14:textId="2A3F81F5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 forum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 est un moyen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accroître</w:t>
      </w:r>
      <w:r w:rsidR="007031E0">
        <w:rPr>
          <w:kern w:val="14"/>
          <w:lang w:val="fr-FR" w:eastAsia="ja-JP"/>
        </w:rPr>
        <w:t xml:space="preserve"> la </w:t>
      </w:r>
      <w:r w:rsidR="000C25F6">
        <w:rPr>
          <w:kern w:val="14"/>
          <w:lang w:val="fr-FR" w:eastAsia="ja-JP"/>
        </w:rPr>
        <w:t>participation</w:t>
      </w:r>
      <w:r w:rsidRPr="003F3120">
        <w:rPr>
          <w:kern w:val="14"/>
          <w:lang w:val="fr-FR" w:eastAsia="ja-JP"/>
        </w:rPr>
        <w:t xml:space="preserve"> et de faciliter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coopération entre partenaires au service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mise en œuvre et du développement </w:t>
      </w:r>
      <w:r w:rsidRPr="007B76B9">
        <w:rPr>
          <w:lang w:val="fr-FR"/>
        </w:rPr>
        <w:t>futur</w:t>
      </w:r>
      <w:r w:rsidRPr="003F3120">
        <w:rPr>
          <w:kern w:val="14"/>
          <w:lang w:val="fr-FR" w:eastAsia="ja-JP"/>
        </w:rPr>
        <w:t xml:space="preserve"> du plan glissant en matière de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 xml:space="preserve">travaux </w:t>
      </w:r>
      <w:r w:rsidR="00DA5AB7">
        <w:rPr>
          <w:lang w:val="fr-FR" w:eastAsia="en-GB"/>
        </w:rPr>
        <w:t>menés</w:t>
      </w:r>
      <w:r w:rsidR="00DA5AB7" w:rsidRPr="003F3120">
        <w:rPr>
          <w:kern w:val="14"/>
          <w:lang w:val="fr-FR" w:eastAsia="ja-JP"/>
        </w:rPr>
        <w:t xml:space="preserve"> </w:t>
      </w:r>
      <w:r w:rsidRPr="003F3120">
        <w:rPr>
          <w:kern w:val="14"/>
          <w:lang w:val="fr-FR" w:eastAsia="ja-JP"/>
        </w:rPr>
        <w:t>dans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cadre du forum ont pour but de faire avancer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programmes communs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partenaires et de faciliter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alignement stratégique à long terme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programmes et activités en cours parmi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partenaires.</w:t>
      </w:r>
    </w:p>
    <w:p w14:paraId="128D812C" w14:textId="405FC3B5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experts chargés de tâches spécifiques créés pour une durée déterminée seront établis </w:t>
      </w:r>
      <w:r w:rsidRPr="003F3120">
        <w:rPr>
          <w:rFonts w:eastAsia="SimSun"/>
          <w:lang w:val="fr-FR" w:eastAsia="zh-CN"/>
        </w:rPr>
        <w:t>pour</w:t>
      </w:r>
      <w:r w:rsidRPr="003F3120">
        <w:rPr>
          <w:kern w:val="14"/>
          <w:lang w:val="fr-FR" w:eastAsia="ja-JP"/>
        </w:rPr>
        <w:t xml:space="preserve"> préparer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 xml:space="preserve">évaluations ou documents techniques, conformément aux procédures </w:t>
      </w:r>
      <w:r w:rsidR="00DA5AB7" w:rsidRPr="007B76B9">
        <w:rPr>
          <w:lang w:val="fr-FR"/>
        </w:rPr>
        <w:t>d</w:t>
      </w:r>
      <w:r w:rsidR="00FA5ADB">
        <w:rPr>
          <w:lang w:val="fr-FR"/>
        </w:rPr>
        <w:t>’</w:t>
      </w:r>
      <w:r w:rsidRPr="007B76B9">
        <w:rPr>
          <w:lang w:val="fr-FR"/>
        </w:rPr>
        <w:t>établissement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produits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énoncées dans l</w:t>
      </w:r>
      <w:r w:rsidR="00FA5ADB">
        <w:rPr>
          <w:kern w:val="14"/>
          <w:lang w:val="fr-FR" w:eastAsia="ja-JP"/>
        </w:rPr>
        <w:t>’</w:t>
      </w:r>
      <w:r w:rsidR="00DA5AB7">
        <w:rPr>
          <w:kern w:val="14"/>
          <w:lang w:val="fr-FR" w:eastAsia="ja-JP"/>
        </w:rPr>
        <w:t>annexe </w:t>
      </w:r>
      <w:r w:rsidRPr="003F3120">
        <w:rPr>
          <w:kern w:val="14"/>
          <w:lang w:val="fr-FR" w:eastAsia="ja-JP"/>
        </w:rPr>
        <w:t xml:space="preserve">I </w:t>
      </w:r>
      <w:r w:rsidR="00DA5AB7">
        <w:rPr>
          <w:kern w:val="14"/>
          <w:lang w:val="fr-FR" w:eastAsia="ja-JP"/>
        </w:rPr>
        <w:t>de</w:t>
      </w:r>
      <w:r w:rsidR="007031E0">
        <w:rPr>
          <w:kern w:val="14"/>
          <w:lang w:val="fr-FR" w:eastAsia="ja-JP"/>
        </w:rPr>
        <w:t xml:space="preserve"> la </w:t>
      </w:r>
      <w:r w:rsidR="00DA5AB7">
        <w:rPr>
          <w:kern w:val="14"/>
          <w:lang w:val="fr-FR" w:eastAsia="ja-JP"/>
        </w:rPr>
        <w:t>décision </w:t>
      </w:r>
      <w:r w:rsidR="00B04344">
        <w:rPr>
          <w:kern w:val="14"/>
          <w:lang w:val="fr-FR" w:eastAsia="ja-JP"/>
        </w:rPr>
        <w:t>IPBES-3/3, et </w:t>
      </w:r>
      <w:r w:rsidRPr="003F3120">
        <w:rPr>
          <w:kern w:val="14"/>
          <w:lang w:val="fr-FR" w:eastAsia="ja-JP"/>
        </w:rPr>
        <w:t>comprendront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</w:t>
      </w:r>
    </w:p>
    <w:p w14:paraId="59A137D2" w14:textId="17FD7422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 un rapport de cadrage. Ces groupes seront composés de scientifiques de toutes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disciplines pertinentes,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savoirs autochtones et locaux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en savoirs autochtones et locaux</w:t>
      </w:r>
      <w:r w:rsidRPr="003F3120">
        <w:rPr>
          <w:rStyle w:val="FootnoteReference"/>
          <w:kern w:val="14"/>
          <w:lang w:val="fr-FR" w:eastAsia="ja-JP"/>
        </w:rPr>
        <w:footnoteReference w:id="30"/>
      </w:r>
      <w:r w:rsidRPr="003F3120">
        <w:rPr>
          <w:kern w:val="14"/>
          <w:lang w:val="fr-FR" w:eastAsia="ja-JP"/>
        </w:rPr>
        <w:t>, de praticiens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politiques </w:t>
      </w:r>
      <w:r w:rsidR="00C83C0F">
        <w:rPr>
          <w:kern w:val="14"/>
          <w:lang w:val="fr-FR" w:eastAsia="ja-JP"/>
        </w:rPr>
        <w:t>tendant à rehausser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pertinence et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crédibilité,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de tous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groupes de parties prenantes concernés (par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ex</w:t>
      </w:r>
      <w:r w:rsidR="00CA0E1D" w:rsidRPr="003F3120">
        <w:rPr>
          <w:kern w:val="14"/>
          <w:lang w:val="fr-FR" w:eastAsia="ja-JP"/>
        </w:rPr>
        <w:t>.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secteur privé et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société civile).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processus de cadrage pourra se faire en partie par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vidéoconférence de manière à optimiser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nombre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types de contributions au processus.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 concernées seront de nouveau invités à nommer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possédant une expérience pratique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politiques,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programmation de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recherches et du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capacités </w:t>
      </w:r>
      <w:proofErr w:type="gramStart"/>
      <w:r w:rsidRPr="003F3120">
        <w:rPr>
          <w:kern w:val="14"/>
          <w:lang w:val="fr-FR" w:eastAsia="ja-JP"/>
        </w:rPr>
        <w:t xml:space="preserve">de manière à </w:t>
      </w:r>
      <w:r w:rsidR="00044BE7">
        <w:rPr>
          <w:kern w:val="14"/>
          <w:lang w:val="fr-FR" w:eastAsia="ja-JP"/>
        </w:rPr>
        <w:t>ce</w:t>
      </w:r>
      <w:proofErr w:type="gramEnd"/>
      <w:r w:rsidR="00044BE7">
        <w:rPr>
          <w:kern w:val="14"/>
          <w:lang w:val="fr-FR" w:eastAsia="ja-JP"/>
        </w:rPr>
        <w:t xml:space="preserve"> que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 xml:space="preserve">rapport de cadrage </w:t>
      </w:r>
      <w:r w:rsidR="00044BE7">
        <w:rPr>
          <w:kern w:val="14"/>
          <w:lang w:val="fr-FR" w:eastAsia="ja-JP"/>
        </w:rPr>
        <w:t>soit plus utile à</w:t>
      </w:r>
      <w:r w:rsidRPr="003F3120">
        <w:rPr>
          <w:kern w:val="14"/>
          <w:lang w:val="fr-FR" w:eastAsia="ja-JP"/>
        </w:rPr>
        <w:t xml:space="preserve">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18E74E08" w14:textId="0522C32D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 un rapport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évaluation.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 concernées seront de nouveau invités à nommer un nombre suffisant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de toutes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régions,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deux sexes et de disciplines pertinentes, en particulier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sociologues et autres spécialistes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sciences humaines,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responsables politiques et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cadres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terrain, ainsi que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savoirs autochtones et locaux et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en savoirs autochtones et locaux</w:t>
      </w:r>
      <w:r w:rsidR="00FD5D6A">
        <w:rPr>
          <w:kern w:val="14"/>
          <w:lang w:val="fr-FR" w:eastAsia="ja-JP"/>
        </w:rPr>
        <w:t> ;</w:t>
      </w:r>
    </w:p>
    <w:p w14:paraId="7CA93B1B" w14:textId="5411D0AE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documents techniques.</w:t>
      </w:r>
    </w:p>
    <w:p w14:paraId="034D6F7A" w14:textId="0CBDD9A1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La Plénière </w:t>
      </w:r>
      <w:r w:rsidR="00A133A5">
        <w:rPr>
          <w:kern w:val="14"/>
          <w:lang w:val="fr-FR" w:eastAsia="ja-JP"/>
        </w:rPr>
        <w:t>constituera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équipes spéciales chargées de tâches spécifiques, créées pour une durée </w:t>
      </w:r>
      <w:r w:rsidRPr="007B76B9">
        <w:rPr>
          <w:lang w:val="fr-FR"/>
        </w:rPr>
        <w:t>déterminée</w:t>
      </w:r>
      <w:r w:rsidRPr="003F3120">
        <w:rPr>
          <w:kern w:val="14"/>
          <w:lang w:val="fr-FR" w:eastAsia="ja-JP"/>
        </w:rPr>
        <w:t>,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objectifs et produits autres que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évaluations, selon qu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il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 xml:space="preserve">convient, et arrêtera leur mandat. </w:t>
      </w:r>
    </w:p>
    <w:p w14:paraId="4CBA47C1" w14:textId="60A21428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 sera fourni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secrétariat, qui, pour certains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objectifs, sera secondé par un groupe d</w:t>
      </w:r>
      <w:r w:rsidR="00FA5ADB">
        <w:rPr>
          <w:lang w:val="fr-FR"/>
        </w:rPr>
        <w:t>’</w:t>
      </w:r>
      <w:r w:rsidRPr="003F3120">
        <w:rPr>
          <w:lang w:val="fr-FR"/>
        </w:rPr>
        <w:t>a</w:t>
      </w:r>
      <w:r w:rsidR="00B04344">
        <w:rPr>
          <w:lang w:val="fr-FR"/>
        </w:rPr>
        <w:t>ppui technique, au besoin. Pour </w:t>
      </w:r>
      <w:r w:rsidRPr="003F3120">
        <w:rPr>
          <w:lang w:val="fr-FR"/>
        </w:rPr>
        <w:t>constituer ces groupes,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lancera un appel à contributions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forme de volontaires ou d</w:t>
      </w:r>
      <w:r w:rsidR="00FA5ADB">
        <w:rPr>
          <w:lang w:val="fr-FR"/>
        </w:rPr>
        <w:t>’</w:t>
      </w:r>
      <w:r w:rsidRPr="003F3120">
        <w:rPr>
          <w:lang w:val="fr-FR"/>
        </w:rPr>
        <w:t>un appui en nature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et autres parties prenantes.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sélectionnera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institutions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plus compétentes, qui travailleront sous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autorité du Secrétaire exécutif. </w:t>
      </w:r>
    </w:p>
    <w:p w14:paraId="215F85F1" w14:textId="77777777" w:rsidR="001609F3" w:rsidRPr="003F3120" w:rsidRDefault="001609F3" w:rsidP="001609F3">
      <w:pPr>
        <w:pStyle w:val="CH1"/>
        <w:rPr>
          <w:rFonts w:eastAsia="SimSun"/>
          <w:lang w:val="fr-FR"/>
        </w:rPr>
      </w:pPr>
      <w:bookmarkStart w:id="23" w:name="_Hlk531688685"/>
      <w:r w:rsidRPr="003F3120">
        <w:rPr>
          <w:rFonts w:eastAsia="SimSun"/>
          <w:lang w:val="fr-FR"/>
        </w:rPr>
        <w:tab/>
        <w:t>IV.</w:t>
      </w:r>
      <w:r w:rsidRPr="003F3120">
        <w:rPr>
          <w:rFonts w:eastAsia="SimSun"/>
          <w:lang w:val="fr-FR"/>
        </w:rPr>
        <w:tab/>
        <w:t>Budget du programme de travail</w:t>
      </w:r>
      <w:bookmarkEnd w:id="23"/>
    </w:p>
    <w:p w14:paraId="68A23C53" w14:textId="136C6A08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Le 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 2030</w:t>
      </w:r>
      <w:r w:rsidRPr="003F3120">
        <w:rPr>
          <w:kern w:val="14"/>
          <w:lang w:val="fr-FR" w:eastAsia="ja-JP"/>
        </w:rPr>
        <w:t xml:space="preserve"> s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appuiera sur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poursuite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stratégie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en matière de mobilisation</w:t>
      </w:r>
      <w:r w:rsidR="0036675E">
        <w:rPr>
          <w:kern w:val="14"/>
          <w:lang w:val="fr-FR" w:eastAsia="ja-JP"/>
        </w:rPr>
        <w:t xml:space="preserve"> de fonds, qui compte sur</w:t>
      </w:r>
      <w:r w:rsidR="007B76B9">
        <w:rPr>
          <w:kern w:val="14"/>
          <w:lang w:val="fr-FR" w:eastAsia="ja-JP"/>
        </w:rPr>
        <w:t> </w:t>
      </w:r>
      <w:r w:rsidR="0036675E">
        <w:rPr>
          <w:kern w:val="14"/>
          <w:lang w:val="fr-FR" w:eastAsia="ja-JP"/>
        </w:rPr>
        <w:t>trois </w:t>
      </w:r>
      <w:r w:rsidRPr="003F3120">
        <w:rPr>
          <w:kern w:val="14"/>
          <w:lang w:val="fr-FR" w:eastAsia="ja-JP"/>
        </w:rPr>
        <w:t>types de ressources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</w:t>
      </w:r>
    </w:p>
    <w:p w14:paraId="32F12AD3" w14:textId="5FCFC7B8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Les contributions en espèces au Fonds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affectation spéciale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69049EFE" w14:textId="4E8CD643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Les contributions en nature portant sur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éléments qui seraient autrement imputés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Fonds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affectation spéciale, ainsi que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autres activités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 du programme de travail,</w:t>
      </w:r>
      <w:r w:rsidR="007031E0">
        <w:rPr>
          <w:kern w:val="14"/>
          <w:lang w:val="fr-FR" w:eastAsia="ja-JP"/>
        </w:rPr>
        <w:t xml:space="preserve"> y </w:t>
      </w:r>
      <w:r w:rsidRPr="003F3120">
        <w:rPr>
          <w:kern w:val="14"/>
          <w:lang w:val="fr-FR" w:eastAsia="ja-JP"/>
        </w:rPr>
        <w:t>compris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temps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compétences mis à disposition par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à titre bénévole</w:t>
      </w:r>
      <w:r w:rsidR="00FD5D6A">
        <w:rPr>
          <w:kern w:val="14"/>
          <w:lang w:val="fr-FR" w:eastAsia="ja-JP"/>
        </w:rPr>
        <w:t> ;</w:t>
      </w:r>
    </w:p>
    <w:p w14:paraId="715454E8" w14:textId="2B63B2A4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Les activités </w:t>
      </w:r>
      <w:r w:rsidR="00E67850">
        <w:rPr>
          <w:kern w:val="14"/>
          <w:lang w:val="fr-FR" w:eastAsia="ja-JP"/>
        </w:rPr>
        <w:t>en découlant</w:t>
      </w:r>
      <w:r w:rsidRPr="003F3120">
        <w:rPr>
          <w:kern w:val="14"/>
          <w:lang w:val="fr-FR" w:eastAsia="ja-JP"/>
        </w:rPr>
        <w:t xml:space="preserve"> qui contribuent à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réalisation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objectif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Plateforme. </w:t>
      </w:r>
    </w:p>
    <w:p w14:paraId="4B4A31EE" w14:textId="7B726522" w:rsidR="001609F3" w:rsidRPr="003F3120" w:rsidRDefault="001609F3" w:rsidP="006E0890">
      <w:pPr>
        <w:pStyle w:val="Normalnumber"/>
        <w:keepLines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kern w:val="14"/>
          <w:lang w:val="fr-FR" w:eastAsia="ja-JP"/>
        </w:rPr>
        <w:lastRenderedPageBreak/>
        <w:t>Le budget continuera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être structuré en fonction de trois grandes rubriques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a)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réunions</w:t>
      </w:r>
      <w:r w:rsidR="007031E0">
        <w:rPr>
          <w:kern w:val="14"/>
          <w:lang w:val="fr-FR" w:eastAsia="ja-JP"/>
        </w:rPr>
        <w:t xml:space="preserve"> des </w:t>
      </w:r>
      <w:r w:rsidRPr="007B76B9">
        <w:rPr>
          <w:lang w:val="fr-FR"/>
        </w:rPr>
        <w:t>organes</w:t>
      </w:r>
      <w:r w:rsidRPr="003F3120">
        <w:rPr>
          <w:kern w:val="14"/>
          <w:lang w:val="fr-FR" w:eastAsia="ja-JP"/>
        </w:rPr>
        <w:t xml:space="preserve">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="00FD5D6A">
        <w:rPr>
          <w:kern w:val="14"/>
          <w:lang w:val="fr-FR" w:eastAsia="ja-JP"/>
        </w:rPr>
        <w:t> ;</w:t>
      </w:r>
      <w:r w:rsidRPr="003F3120">
        <w:rPr>
          <w:rFonts w:eastAsia="SimSun"/>
          <w:lang w:val="fr-FR" w:eastAsia="zh-CN"/>
        </w:rPr>
        <w:t xml:space="preserve"> b)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programme de travail</w:t>
      </w:r>
      <w:r w:rsidR="00DB29C8" w:rsidRPr="003F3120">
        <w:rPr>
          <w:rFonts w:eastAsia="SimSun"/>
          <w:lang w:val="fr-FR" w:eastAsia="zh-CN"/>
        </w:rPr>
        <w:t>, conformément à</w:t>
      </w:r>
      <w:r w:rsidR="007031E0">
        <w:rPr>
          <w:rFonts w:eastAsia="SimSun"/>
          <w:lang w:val="fr-FR" w:eastAsia="zh-CN"/>
        </w:rPr>
        <w:t xml:space="preserve"> la </w:t>
      </w:r>
      <w:r w:rsidR="00DB29C8" w:rsidRPr="003F3120">
        <w:rPr>
          <w:rFonts w:eastAsia="SimSun"/>
          <w:lang w:val="fr-FR" w:eastAsia="zh-CN"/>
        </w:rPr>
        <w:t>figure A.1 ci</w:t>
      </w:r>
      <w:r w:rsidR="00DB29C8" w:rsidRPr="003F3120">
        <w:rPr>
          <w:rFonts w:eastAsia="SimSun"/>
          <w:lang w:val="fr-FR" w:eastAsia="zh-CN"/>
        </w:rPr>
        <w:noBreakHyphen/>
        <w:t>dessus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c)</w:t>
      </w:r>
      <w:r w:rsidR="006E0890">
        <w:rPr>
          <w:rFonts w:eastAsia="SimSun"/>
          <w:lang w:val="fr-FR" w:eastAsia="zh-CN"/>
        </w:rPr>
        <w:t> </w:t>
      </w:r>
      <w:r w:rsidR="007031E0">
        <w:rPr>
          <w:rFonts w:eastAsia="SimSun"/>
          <w:lang w:val="fr-FR" w:eastAsia="zh-CN"/>
        </w:rPr>
        <w:t>le </w:t>
      </w:r>
      <w:r w:rsidRPr="003F3120">
        <w:rPr>
          <w:rFonts w:eastAsia="SimSun"/>
          <w:lang w:val="fr-FR" w:eastAsia="zh-CN"/>
        </w:rPr>
        <w:t>secrétariat.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coût annuel moyen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au cours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cinq prochaines années du </w:t>
      </w:r>
      <w:r w:rsidRPr="003F3120">
        <w:rPr>
          <w:lang w:val="fr-FR"/>
        </w:rPr>
        <w:t>programme</w:t>
      </w:r>
      <w:r w:rsidRPr="003F3120">
        <w:rPr>
          <w:rFonts w:eastAsia="SimSun"/>
          <w:lang w:val="fr-FR" w:eastAsia="zh-CN"/>
        </w:rPr>
        <w:t xml:space="preserve"> de travail est estimé à 8,7 millions de dollars, correspondant approximativement à celui de</w:t>
      </w:r>
      <w:r w:rsidR="006E0890">
        <w:rPr>
          <w:rFonts w:eastAsia="SimSun"/>
          <w:lang w:val="fr-FR" w:eastAsia="zh-CN"/>
        </w:rPr>
        <w:t> </w:t>
      </w:r>
      <w:r w:rsidR="007031E0">
        <w:rPr>
          <w:rFonts w:eastAsia="SimSun"/>
          <w:lang w:val="fr-FR" w:eastAsia="zh-CN"/>
        </w:rPr>
        <w:t>la </w:t>
      </w:r>
      <w:r w:rsidRPr="003F3120">
        <w:rPr>
          <w:rFonts w:eastAsia="SimSun"/>
          <w:lang w:val="fr-FR" w:eastAsia="zh-CN"/>
        </w:rPr>
        <w:t>période 2014</w:t>
      </w:r>
      <w:r w:rsidRPr="003F3120">
        <w:rPr>
          <w:lang w:val="fr-FR"/>
        </w:rPr>
        <w:t>–</w:t>
      </w:r>
      <w:r w:rsidRPr="003F3120">
        <w:rPr>
          <w:rFonts w:eastAsia="SimSun"/>
          <w:lang w:val="fr-FR" w:eastAsia="zh-CN"/>
        </w:rPr>
        <w:t>2018.</w:t>
      </w:r>
    </w:p>
    <w:p w14:paraId="34196EDF" w14:textId="6E8B38FD" w:rsidR="000C5097" w:rsidRPr="003F3120" w:rsidRDefault="000C5097" w:rsidP="004843BC">
      <w:pPr>
        <w:tabs>
          <w:tab w:val="left" w:pos="4082"/>
        </w:tabs>
      </w:pPr>
    </w:p>
    <w:p w14:paraId="753061E9" w14:textId="77777777" w:rsidR="00EB66BF" w:rsidRPr="003F3120" w:rsidRDefault="00EB66BF" w:rsidP="004843BC">
      <w:pPr>
        <w:tabs>
          <w:tab w:val="left" w:pos="4082"/>
        </w:tabs>
        <w:sectPr w:rsidR="00EB66BF" w:rsidRPr="003F3120" w:rsidSect="000C5097">
          <w:headerReference w:type="even" r:id="rId13"/>
          <w:head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</w:p>
    <w:p w14:paraId="2D48254B" w14:textId="74FFDED1" w:rsidR="004843BC" w:rsidRPr="003F3120" w:rsidRDefault="005C2FB4" w:rsidP="005C2FB4">
      <w:pPr>
        <w:pStyle w:val="ZZAnxheader"/>
      </w:pPr>
      <w:r>
        <w:lastRenderedPageBreak/>
        <w:tab/>
      </w:r>
      <w:r w:rsidR="004843BC" w:rsidRPr="003F3120">
        <w:t>Annex</w:t>
      </w:r>
      <w:r w:rsidR="00BD00A6" w:rsidRPr="003F3120">
        <w:t>e</w:t>
      </w:r>
      <w:r w:rsidR="0036675E">
        <w:t> </w:t>
      </w:r>
      <w:r w:rsidR="004843BC" w:rsidRPr="003F3120">
        <w:t>II</w:t>
      </w:r>
      <w:r w:rsidR="0096430E" w:rsidRPr="003F3120">
        <w:t xml:space="preserve"> </w:t>
      </w:r>
      <w:r w:rsidR="00DB29C8" w:rsidRPr="003F3120">
        <w:t>de</w:t>
      </w:r>
      <w:r w:rsidR="007031E0">
        <w:t xml:space="preserve"> la </w:t>
      </w:r>
      <w:r w:rsidR="00C067BE" w:rsidRPr="003F3120">
        <w:t>d</w:t>
      </w:r>
      <w:r w:rsidR="00DB29C8" w:rsidRPr="003F3120">
        <w:t>é</w:t>
      </w:r>
      <w:r w:rsidR="00C067BE" w:rsidRPr="003F3120">
        <w:t>cision </w:t>
      </w:r>
      <w:r w:rsidR="0096430E" w:rsidRPr="003F3120">
        <w:t>IPBES-7/1</w:t>
      </w:r>
      <w:r w:rsidR="00B91B80" w:rsidRPr="003F3120">
        <w:t xml:space="preserve"> </w:t>
      </w:r>
    </w:p>
    <w:p w14:paraId="78802B87" w14:textId="59E3FE25" w:rsidR="00A53F09" w:rsidRPr="003F3120" w:rsidRDefault="005C2FB4" w:rsidP="005C2FB4">
      <w:pPr>
        <w:pStyle w:val="CH1"/>
      </w:pPr>
      <w:r>
        <w:tab/>
      </w:r>
      <w:r>
        <w:tab/>
      </w:r>
      <w:r w:rsidR="00A53F09" w:rsidRPr="003F3120">
        <w:t>Mandat</w:t>
      </w:r>
      <w:r w:rsidR="007031E0">
        <w:t xml:space="preserve"> des </w:t>
      </w:r>
      <w:r w:rsidR="00A53F09" w:rsidRPr="003F3120">
        <w:t xml:space="preserve">équipes spéciales </w:t>
      </w:r>
      <w:r w:rsidR="00DB29C8" w:rsidRPr="003F3120">
        <w:t>dans</w:t>
      </w:r>
      <w:r w:rsidR="007031E0">
        <w:t xml:space="preserve"> le </w:t>
      </w:r>
      <w:r w:rsidR="00DB29C8" w:rsidRPr="003F3120">
        <w:t>cadre du</w:t>
      </w:r>
      <w:r w:rsidR="00A53F09" w:rsidRPr="003F3120">
        <w:t> </w:t>
      </w:r>
      <w:r w:rsidR="00F96E46" w:rsidRPr="003F3120">
        <w:t>programme de</w:t>
      </w:r>
      <w:r>
        <w:t> </w:t>
      </w:r>
      <w:r w:rsidR="00F96E46" w:rsidRPr="003F3120">
        <w:t>travail glissant pour</w:t>
      </w:r>
      <w:r w:rsidR="007031E0">
        <w:t xml:space="preserve"> la </w:t>
      </w:r>
      <w:r w:rsidR="00F96E46" w:rsidRPr="003F3120">
        <w:t>période allant jusqu</w:t>
      </w:r>
      <w:r w:rsidR="00FA5ADB">
        <w:t>’</w:t>
      </w:r>
      <w:r w:rsidR="00F96E46" w:rsidRPr="003F3120">
        <w:t>en 2030</w:t>
      </w:r>
    </w:p>
    <w:p w14:paraId="6812C4AA" w14:textId="77777777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I.</w:t>
      </w:r>
      <w:r w:rsidRPr="003F3120">
        <w:rPr>
          <w:lang w:val="fr-FR"/>
        </w:rPr>
        <w:tab/>
        <w:t>Mandat général</w:t>
      </w:r>
    </w:p>
    <w:p w14:paraId="330F99E1" w14:textId="17BC534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Dans l</w:t>
      </w:r>
      <w:r w:rsidR="00FA5ADB">
        <w:rPr>
          <w:lang w:val="fr-FR"/>
        </w:rPr>
        <w:t>’</w:t>
      </w:r>
      <w:r w:rsidRPr="003F3120">
        <w:rPr>
          <w:lang w:val="fr-FR"/>
        </w:rPr>
        <w:t>exercice de ses travaux, chaque équipe doit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</w:t>
      </w:r>
    </w:p>
    <w:p w14:paraId="788F2AB2" w14:textId="14946009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Veiller à ce que toutes ses activités s</w:t>
      </w:r>
      <w:r w:rsidR="00FA5ADB">
        <w:rPr>
          <w:lang w:val="fr-FR"/>
        </w:rPr>
        <w:t>’</w:t>
      </w:r>
      <w:r w:rsidRPr="003F3120">
        <w:rPr>
          <w:lang w:val="fr-FR"/>
        </w:rPr>
        <w:t>inspirent de l</w:t>
      </w:r>
      <w:r w:rsidR="00FA5ADB">
        <w:rPr>
          <w:lang w:val="fr-FR"/>
        </w:rPr>
        <w:t>’</w:t>
      </w:r>
      <w:r w:rsidRPr="003F3120">
        <w:rPr>
          <w:lang w:val="fr-FR"/>
        </w:rPr>
        <w:t>expérience acquise,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développent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complètent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765E654" w14:textId="6D9A1FD7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Mener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qui traitent spécifiquement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sujets et objectifs énoncés dans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, à l</w:t>
      </w:r>
      <w:r w:rsidR="00FA5ADB">
        <w:rPr>
          <w:lang w:val="fr-FR"/>
        </w:rPr>
        <w:t>’</w:t>
      </w:r>
      <w:r w:rsidRPr="003F3120">
        <w:rPr>
          <w:lang w:val="fr-FR"/>
        </w:rPr>
        <w:t>appui de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quatre 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0B41DB24" w14:textId="37C9100D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Faire régulièrement rapport sur l</w:t>
      </w:r>
      <w:r w:rsidR="00FA5ADB">
        <w:rPr>
          <w:lang w:val="fr-FR"/>
        </w:rPr>
        <w:t>’</w:t>
      </w:r>
      <w:r w:rsidRPr="003F3120">
        <w:rPr>
          <w:lang w:val="fr-FR"/>
        </w:rPr>
        <w:t>état d</w:t>
      </w:r>
      <w:r w:rsidR="00FA5ADB">
        <w:rPr>
          <w:lang w:val="fr-FR"/>
        </w:rPr>
        <w:t>’</w:t>
      </w:r>
      <w:r w:rsidRPr="003F3120">
        <w:rPr>
          <w:lang w:val="fr-FR"/>
        </w:rPr>
        <w:t>avancement de ses activités et, en consultation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élaborer et mettre à jour un plan de travail qui définit clairement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échéances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au regard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sujets et objectifs pertinents énoncés dans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, de sorte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puisse régulièrement l</w:t>
      </w:r>
      <w:r w:rsidR="00FA5ADB">
        <w:rPr>
          <w:lang w:val="fr-FR"/>
        </w:rPr>
        <w:t>’</w:t>
      </w:r>
      <w:r w:rsidRPr="003F3120">
        <w:rPr>
          <w:lang w:val="fr-FR"/>
        </w:rPr>
        <w:t>examiner</w:t>
      </w:r>
      <w:r w:rsidR="00FD5D6A">
        <w:rPr>
          <w:lang w:val="fr-FR"/>
        </w:rPr>
        <w:t> ;</w:t>
      </w:r>
    </w:p>
    <w:p w14:paraId="7880B783" w14:textId="0E79285A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Conseiller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de son mandat, dans tout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="00FD5D6A">
        <w:rPr>
          <w:lang w:val="fr-FR"/>
        </w:rPr>
        <w:t> ;</w:t>
      </w:r>
    </w:p>
    <w:p w14:paraId="7D0D08B5" w14:textId="03F0FA37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Conseiller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sur l</w:t>
      </w:r>
      <w:r w:rsidR="00FA5ADB">
        <w:rPr>
          <w:lang w:val="fr-FR"/>
        </w:rPr>
        <w:t>’</w:t>
      </w:r>
      <w:r w:rsidRPr="003F3120">
        <w:rPr>
          <w:lang w:val="fr-FR"/>
        </w:rPr>
        <w:t>identification de nouveaux partenaires stratégiques et de</w:t>
      </w:r>
      <w:r w:rsidR="005C2FB4">
        <w:rPr>
          <w:lang w:val="fr-FR"/>
        </w:rPr>
        <w:t> </w:t>
      </w:r>
      <w:r w:rsidRPr="003F3120">
        <w:rPr>
          <w:lang w:val="fr-FR"/>
        </w:rPr>
        <w:t xml:space="preserve">collaborateurs </w:t>
      </w:r>
      <w:r w:rsidR="00B56E8C">
        <w:rPr>
          <w:lang w:val="fr-FR"/>
        </w:rPr>
        <w:t>appuyant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initiative</w:t>
      </w:r>
      <w:r w:rsidRPr="003F3120">
        <w:rPr>
          <w:vertAlign w:val="superscript"/>
          <w:lang w:val="fr-FR"/>
        </w:rPr>
        <w:footnoteReference w:id="31"/>
      </w:r>
      <w:r w:rsidR="00FD5D6A">
        <w:rPr>
          <w:lang w:val="fr-FR"/>
        </w:rPr>
        <w:t> ;</w:t>
      </w:r>
    </w:p>
    <w:p w14:paraId="78140C26" w14:textId="5ECFC064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Encourager ses membres à participer directement aux activités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selon qu</w:t>
      </w:r>
      <w:r w:rsidR="00FA5ADB">
        <w:rPr>
          <w:lang w:val="fr-FR"/>
        </w:rPr>
        <w:t>’</w:t>
      </w:r>
      <w:r w:rsidRPr="003F3120">
        <w:rPr>
          <w:lang w:val="fr-FR"/>
        </w:rPr>
        <w:t>il convient, afin de favoriser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cohérente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quatre 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Plateforme. </w:t>
      </w:r>
    </w:p>
    <w:p w14:paraId="34230C82" w14:textId="28F4143C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</w:t>
      </w:r>
    </w:p>
    <w:p w14:paraId="3FA3B70F" w14:textId="77777777" w:rsidR="00A53F09" w:rsidRPr="003F3120" w:rsidRDefault="00A53F09" w:rsidP="00A53F09">
      <w:pPr>
        <w:pStyle w:val="CH2"/>
        <w:rPr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>Responsabilités</w:t>
      </w:r>
    </w:p>
    <w:p w14:paraId="06B2A081" w14:textId="433565FE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sur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sup</w:t>
      </w:r>
      <w:r w:rsidR="00A00F81">
        <w:rPr>
          <w:lang w:val="fr-FR" w:eastAsia="nb-NO"/>
        </w:rPr>
        <w:t>ervise</w:t>
      </w:r>
      <w:r w:rsidR="007031E0">
        <w:rPr>
          <w:lang w:val="fr-FR" w:eastAsia="nb-NO"/>
        </w:rPr>
        <w:t xml:space="preserve"> la </w:t>
      </w:r>
      <w:r w:rsidR="00A00F81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="00A00F81">
        <w:rPr>
          <w:lang w:val="fr-FR" w:eastAsia="nb-NO"/>
        </w:rPr>
        <w:t>trois </w:t>
      </w:r>
      <w:r w:rsidRPr="003F3120">
        <w:rPr>
          <w:lang w:val="fr-FR" w:eastAsia="nb-NO"/>
        </w:rPr>
        <w:t>produits de</w:t>
      </w:r>
      <w:r w:rsidR="005C2FB4">
        <w:rPr>
          <w:lang w:val="fr-FR" w:eastAsia="nb-NO"/>
        </w:rPr>
        <w:t> 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="00A00F81">
        <w:rPr>
          <w:lang w:val="fr-FR" w:eastAsia="nb-NO"/>
        </w:rPr>
        <w:t>objectif </w:t>
      </w:r>
      <w:r w:rsidRPr="003F3120">
        <w:rPr>
          <w:rFonts w:eastAsia="MS Mincho"/>
          <w:lang w:val="fr-FR" w:eastAsia="nb-NO"/>
        </w:rPr>
        <w:t xml:space="preserve">2 du </w:t>
      </w:r>
      <w:r w:rsidR="00F96E46" w:rsidRPr="003F3120">
        <w:rPr>
          <w:rFonts w:eastAsia="MS Mincho"/>
          <w:lang w:val="fr-FR" w:eastAsia="nb-NO"/>
        </w:rPr>
        <w:t>programme de travail glissant pour</w:t>
      </w:r>
      <w:r w:rsidR="007031E0">
        <w:rPr>
          <w:rFonts w:eastAsia="MS Mincho"/>
          <w:lang w:val="fr-FR" w:eastAsia="nb-NO"/>
        </w:rPr>
        <w:t xml:space="preserve"> la </w:t>
      </w:r>
      <w:r w:rsidR="00F96E46" w:rsidRPr="003F3120">
        <w:rPr>
          <w:rFonts w:eastAsia="MS Mincho"/>
          <w:lang w:val="fr-FR" w:eastAsia="nb-NO"/>
        </w:rPr>
        <w:t>période allant jusqu</w:t>
      </w:r>
      <w:r w:rsidR="00FA5ADB">
        <w:rPr>
          <w:rFonts w:eastAsia="MS Mincho"/>
          <w:lang w:val="fr-FR" w:eastAsia="nb-NO"/>
        </w:rPr>
        <w:t>’</w:t>
      </w:r>
      <w:r w:rsidR="00F96E46" w:rsidRPr="003F3120">
        <w:rPr>
          <w:rFonts w:eastAsia="MS Mincho"/>
          <w:lang w:val="fr-FR" w:eastAsia="nb-NO"/>
        </w:rPr>
        <w:t>en 2030</w:t>
      </w:r>
      <w:r w:rsidRPr="003F3120">
        <w:rPr>
          <w:rFonts w:eastAsia="MS Mincho"/>
          <w:lang w:val="fr-FR" w:eastAsia="nb-NO"/>
        </w:rPr>
        <w:t xml:space="preserve"> et</w:t>
      </w:r>
      <w:r w:rsidR="007031E0">
        <w:rPr>
          <w:rFonts w:eastAsia="MS Mincho"/>
          <w:lang w:val="fr-FR" w:eastAsia="nb-NO"/>
        </w:rPr>
        <w:t xml:space="preserve"> y </w:t>
      </w:r>
      <w:r w:rsidRPr="003F3120">
        <w:rPr>
          <w:rFonts w:eastAsia="MS Mincho"/>
          <w:lang w:val="fr-FR" w:eastAsia="nb-NO"/>
        </w:rPr>
        <w:t xml:space="preserve">prend part, conformément aux décisions </w:t>
      </w:r>
      <w:r w:rsidR="00B56E8C">
        <w:rPr>
          <w:rFonts w:eastAsia="MS Mincho"/>
          <w:lang w:val="fr-FR" w:eastAsia="nb-NO"/>
        </w:rPr>
        <w:t>de</w:t>
      </w:r>
      <w:r w:rsidR="007031E0">
        <w:rPr>
          <w:rFonts w:eastAsia="MS Mincho"/>
          <w:lang w:val="fr-FR" w:eastAsia="nb-NO"/>
        </w:rPr>
        <w:t xml:space="preserve"> la </w:t>
      </w:r>
      <w:r w:rsidRPr="003F3120">
        <w:rPr>
          <w:rFonts w:eastAsia="MS Mincho"/>
          <w:lang w:val="fr-FR" w:eastAsia="nb-NO"/>
        </w:rPr>
        <w:t>Plénière et de ses organes subsidiaires</w:t>
      </w:r>
      <w:r w:rsidR="00B56E8C">
        <w:rPr>
          <w:rFonts w:eastAsia="MS Mincho"/>
          <w:lang w:val="fr-FR" w:eastAsia="nb-NO"/>
        </w:rPr>
        <w:t xml:space="preserve"> sur</w:t>
      </w:r>
      <w:r w:rsidR="007031E0">
        <w:rPr>
          <w:rFonts w:eastAsia="MS Mincho"/>
          <w:lang w:val="fr-FR" w:eastAsia="nb-NO"/>
        </w:rPr>
        <w:t xml:space="preserve"> la </w:t>
      </w:r>
      <w:r w:rsidR="00B56E8C">
        <w:rPr>
          <w:rFonts w:eastAsia="MS Mincho"/>
          <w:lang w:val="fr-FR" w:eastAsia="nb-NO"/>
        </w:rPr>
        <w:t>question</w:t>
      </w:r>
      <w:r w:rsidRPr="003F3120">
        <w:rPr>
          <w:rFonts w:eastAsia="SimSun"/>
          <w:lang w:val="fr-FR" w:eastAsia="zh-CN"/>
        </w:rPr>
        <w:t>,</w:t>
      </w:r>
      <w:r w:rsidRPr="003F3120">
        <w:rPr>
          <w:lang w:val="fr-FR" w:eastAsia="nb-NO"/>
        </w:rPr>
        <w:t xml:space="preserve"> notamment</w:t>
      </w:r>
      <w:r w:rsidR="00FD5D6A">
        <w:rPr>
          <w:lang w:val="fr-FR" w:eastAsia="nb-NO"/>
        </w:rPr>
        <w:t> :</w:t>
      </w:r>
      <w:r w:rsidRPr="003F3120">
        <w:rPr>
          <w:lang w:val="fr-FR" w:eastAsia="nb-NO"/>
        </w:rPr>
        <w:t xml:space="preserve"> en s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appuyant sur</w:t>
      </w:r>
      <w:r w:rsidR="007031E0">
        <w:rPr>
          <w:lang w:val="fr-FR" w:eastAsia="nb-NO"/>
        </w:rPr>
        <w:t xml:space="preserve"> les </w:t>
      </w:r>
      <w:r w:rsidR="00B56E8C">
        <w:rPr>
          <w:lang w:val="fr-FR" w:eastAsia="nb-NO"/>
        </w:rPr>
        <w:t>enseignements</w:t>
      </w:r>
      <w:r w:rsidRPr="003F3120">
        <w:rPr>
          <w:lang w:val="fr-FR" w:eastAsia="nb-NO"/>
        </w:rPr>
        <w:t xml:space="preserve"> tirés </w:t>
      </w:r>
      <w:r w:rsidRPr="003F3120">
        <w:rPr>
          <w:lang w:val="fr-FR"/>
        </w:rPr>
        <w:t>de</w:t>
      </w:r>
      <w:r w:rsidR="007031E0">
        <w:rPr>
          <w:lang w:val="fr-FR" w:eastAsia="nb-NO"/>
        </w:rPr>
        <w:t xml:space="preserve"> la </w:t>
      </w:r>
      <w:r w:rsidR="00A00F81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="00A00F81">
        <w:rPr>
          <w:lang w:val="fr-FR" w:eastAsia="nb-NO"/>
        </w:rPr>
        <w:t>produits </w:t>
      </w:r>
      <w:r w:rsidR="00A00F81">
        <w:rPr>
          <w:rFonts w:eastAsia="SimSun"/>
          <w:lang w:val="fr-FR" w:eastAsia="zh-CN"/>
        </w:rPr>
        <w:t>1 a) et 1 </w:t>
      </w:r>
      <w:r w:rsidRPr="003F3120">
        <w:rPr>
          <w:rFonts w:eastAsia="SimSun"/>
          <w:lang w:val="fr-FR" w:eastAsia="zh-CN"/>
        </w:rPr>
        <w:t>b) du premier programme de travail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en donnant au </w:t>
      </w:r>
      <w:r w:rsidRPr="003F3120">
        <w:rPr>
          <w:lang w:val="fr-FR" w:eastAsia="nb-NO"/>
        </w:rPr>
        <w:t>secrétariat,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 à son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 dédié,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orientations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mise en œuvre du plan glissant en matière de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</w:t>
      </w:r>
      <w:r w:rsidRPr="003F3120">
        <w:rPr>
          <w:rFonts w:eastAsia="SimSun"/>
          <w:vertAlign w:val="superscript"/>
          <w:lang w:val="fr-FR" w:eastAsia="zh-CN"/>
        </w:rPr>
        <w:footnoteReference w:id="32"/>
      </w:r>
      <w:r w:rsidRPr="003F3120">
        <w:rPr>
          <w:lang w:val="fr-FR" w:eastAsia="nb-NO"/>
        </w:rPr>
        <w:t xml:space="preserve"> qui encadre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travaux au titre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objectif 2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en faisant rapport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 xml:space="preserve">progrès accomplis. </w:t>
      </w:r>
    </w:p>
    <w:p w14:paraId="0DC4377A" w14:textId="77777777" w:rsidR="00A53F09" w:rsidRPr="003F3120" w:rsidRDefault="00A53F09" w:rsidP="00A53F09">
      <w:pPr>
        <w:pStyle w:val="CH2"/>
        <w:tabs>
          <w:tab w:val="clear" w:pos="851"/>
        </w:tabs>
        <w:ind w:hanging="631"/>
        <w:rPr>
          <w:b w:val="0"/>
          <w:lang w:val="fr-FR"/>
        </w:rPr>
      </w:pPr>
      <w:r w:rsidRPr="003F3120">
        <w:rPr>
          <w:lang w:val="fr-FR" w:eastAsia="en-GB"/>
        </w:rPr>
        <w:t>B.</w:t>
      </w:r>
      <w:r w:rsidRPr="003F3120">
        <w:rPr>
          <w:lang w:val="fr-FR" w:eastAsia="en-GB"/>
        </w:rPr>
        <w:tab/>
        <w:t>Composition</w:t>
      </w:r>
    </w:p>
    <w:p w14:paraId="3B910927" w14:textId="0BE3DEB1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comprend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14 </w:t>
      </w:r>
      <w:r w:rsidRPr="003F3120">
        <w:rPr>
          <w:lang w:val="fr-FR" w:eastAsia="nb-NO"/>
        </w:rPr>
        <w:t>membres issus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cinq régions</w:t>
      </w:r>
      <w:r w:rsidR="007031E0">
        <w:rPr>
          <w:lang w:val="fr-FR" w:eastAsia="nb-NO"/>
        </w:rPr>
        <w:t xml:space="preserve"> des </w:t>
      </w:r>
      <w:r w:rsidR="00C067BE" w:rsidRPr="003F3120">
        <w:rPr>
          <w:lang w:val="fr-FR" w:eastAsia="nb-NO"/>
        </w:rPr>
        <w:t>Nations Unies, dont</w:t>
      </w:r>
      <w:r w:rsidR="00FD5D6A">
        <w:rPr>
          <w:lang w:val="fr-FR" w:eastAsia="nb-NO"/>
        </w:rPr>
        <w:t> :</w:t>
      </w:r>
      <w:r w:rsidRPr="003F3120">
        <w:rPr>
          <w:lang w:val="fr-FR" w:eastAsia="nb-NO"/>
        </w:rPr>
        <w:t xml:space="preserve"> a)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4 </w:t>
      </w:r>
      <w:r w:rsidRPr="003F3120">
        <w:rPr>
          <w:lang w:val="fr-FR" w:eastAsia="nb-NO"/>
        </w:rPr>
        <w:t>membres du Bureau et du Groupe d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experts multidisciplinaire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b)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représentants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organisations scientifiques nationales, régionales et internationales qualifiées, de centres d</w:t>
      </w:r>
      <w:r w:rsidR="00FA5ADB">
        <w:rPr>
          <w:lang w:val="fr-FR" w:eastAsia="nb-NO"/>
        </w:rPr>
        <w:t>’</w:t>
      </w:r>
      <w:r w:rsidR="00B56E8C">
        <w:rPr>
          <w:lang w:val="fr-FR" w:eastAsia="nb-NO"/>
        </w:rPr>
        <w:t>excellence</w:t>
      </w:r>
      <w:r w:rsidRPr="003F3120">
        <w:rPr>
          <w:lang w:val="fr-FR" w:eastAsia="nb-NO"/>
        </w:rPr>
        <w:t xml:space="preserve">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institutions comprenant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en savoirs autochtones et locaux qui sont connues pour leurs travaux et leurs compétences concernant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liées au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et qui sont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existants ou possibles,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collaborateurs </w:t>
      </w:r>
      <w:r w:rsidR="00B56E8C">
        <w:rPr>
          <w:rFonts w:eastAsia="SimSun"/>
          <w:lang w:val="fr-FR" w:eastAsia="zh-CN"/>
        </w:rPr>
        <w:t>appuyant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 w:eastAsia="nb-NO"/>
        </w:rPr>
        <w:t>activités de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c)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de renom,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</w:t>
      </w:r>
      <w:r w:rsidR="007031E0">
        <w:rPr>
          <w:lang w:val="fr-FR" w:eastAsia="nb-NO"/>
        </w:rPr>
        <w:lastRenderedPageBreak/>
        <w:t>des </w:t>
      </w:r>
      <w:r w:rsidRPr="003F3120">
        <w:rPr>
          <w:lang w:val="fr-FR" w:eastAsia="nb-NO"/>
        </w:rPr>
        <w:t xml:space="preserve">savoirs autochtones et locaux, </w:t>
      </w:r>
      <w:r w:rsidR="00D36189">
        <w:rPr>
          <w:lang w:val="fr-FR" w:eastAsia="nb-NO"/>
        </w:rPr>
        <w:t>spécialisés</w:t>
      </w:r>
      <w:r w:rsidRPr="003F3120">
        <w:rPr>
          <w:lang w:val="fr-FR" w:eastAsia="nb-NO"/>
        </w:rPr>
        <w:t xml:space="preserve"> </w:t>
      </w:r>
      <w:r w:rsidR="00D36189">
        <w:rPr>
          <w:lang w:val="fr-FR" w:eastAsia="nb-NO"/>
        </w:rPr>
        <w:t>dans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relevant du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6190219" w14:textId="34E6FF98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D3618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bookmarkStart w:id="24" w:name="_Ref1910799"/>
      <w:r w:rsidRPr="003F3120">
        <w:rPr>
          <w:rStyle w:val="FootnoteReference"/>
          <w:rFonts w:eastAsia="MS Mincho"/>
          <w:lang w:val="fr-FR" w:eastAsia="nb-NO"/>
        </w:rPr>
        <w:footnoteReference w:id="33"/>
      </w:r>
      <w:bookmarkEnd w:id="24"/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troisième session suivant leur nomination, </w:t>
      </w:r>
      <w:r w:rsidR="00D36189">
        <w:rPr>
          <w:lang w:val="fr-FR" w:eastAsia="nb-NO"/>
        </w:rPr>
        <w:t>et peut-être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D36189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équipe spéciale. </w:t>
      </w:r>
    </w:p>
    <w:p w14:paraId="48724642" w14:textId="7098105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discrétion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coprésidents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et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 consultations avec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Bureau, un petit nombre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supplémentaires spécialistes du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pourraient aussi être invités à participer aux 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</w:t>
      </w:r>
      <w:r w:rsidR="007C4E48">
        <w:rPr>
          <w:lang w:val="fr-FR" w:eastAsia="nb-NO"/>
        </w:rPr>
        <w:t>péciale en qualité de personnes </w:t>
      </w:r>
      <w:r w:rsidRPr="003F3120">
        <w:rPr>
          <w:lang w:val="fr-FR" w:eastAsia="nb-NO"/>
        </w:rPr>
        <w:t>ressources.</w:t>
      </w:r>
    </w:p>
    <w:p w14:paraId="62FE2F43" w14:textId="77777777" w:rsidR="00A53F09" w:rsidRPr="003F3120" w:rsidRDefault="00A53F09" w:rsidP="00A53F09">
      <w:pPr>
        <w:pStyle w:val="CH2"/>
        <w:rPr>
          <w:lang w:val="fr-FR" w:eastAsia="en-GB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4C67FCA6" w14:textId="5FCC2D4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coprésidée par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du Bureau ou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deux. Elle travaille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 xml:space="preserve">cadre de réunions </w:t>
      </w:r>
      <w:r w:rsidR="007C4E48">
        <w:rPr>
          <w:lang w:val="fr-FR" w:eastAsia="nb-NO"/>
        </w:rPr>
        <w:t>en présentiel</w:t>
      </w:r>
      <w:r w:rsidRPr="003F3120">
        <w:rPr>
          <w:lang w:val="fr-FR" w:eastAsia="nb-NO"/>
        </w:rPr>
        <w:t xml:space="preserve">, de réunions </w:t>
      </w:r>
      <w:r w:rsidR="007C4E48">
        <w:rPr>
          <w:lang w:val="fr-FR" w:eastAsia="nb-NO"/>
        </w:rPr>
        <w:t>en ligne</w:t>
      </w:r>
      <w:r w:rsidRPr="003F3120">
        <w:rPr>
          <w:lang w:val="fr-FR" w:eastAsia="nb-NO"/>
        </w:rPr>
        <w:t xml:space="preserve">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interactions par voie électronique.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produits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sont revus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/>
        </w:rPr>
        <w:t>Bureau</w:t>
      </w:r>
      <w:r w:rsidRPr="003F3120">
        <w:rPr>
          <w:lang w:val="fr-FR" w:eastAsia="nb-NO"/>
        </w:rPr>
        <w:t xml:space="preserve"> et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et transmis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pour information et examen, selon qu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il convient.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7C4E48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4C5447F1" w14:textId="773AAF7E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</w:t>
      </w:r>
      <w:r w:rsidRPr="003F3120">
        <w:rPr>
          <w:lang w:val="fr-FR" w:eastAsia="nb-NO"/>
        </w:rPr>
        <w:t xml:space="preserve">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 xml:space="preserve">dédié. </w:t>
      </w:r>
    </w:p>
    <w:p w14:paraId="5858C802" w14:textId="316AF877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III.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données</w:t>
      </w:r>
    </w:p>
    <w:p w14:paraId="60FDDE4D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06460731" w14:textId="370E8FB7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 supervise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réalisation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objectif</w:t>
      </w:r>
      <w:r w:rsidR="005C2FB4">
        <w:rPr>
          <w:lang w:val="fr-FR" w:eastAsia="nb-NO"/>
        </w:rPr>
        <w:t> </w:t>
      </w:r>
      <w:r w:rsidRPr="003F3120">
        <w:rPr>
          <w:rFonts w:eastAsia="MS Mincho"/>
          <w:lang w:val="fr-FR" w:eastAsia="nb-NO"/>
        </w:rPr>
        <w:t>3</w:t>
      </w:r>
      <w:r w:rsidR="005C2FB4">
        <w:rPr>
          <w:rFonts w:eastAsia="MS Mincho"/>
          <w:lang w:val="fr-FR" w:eastAsia="nb-NO"/>
        </w:rPr>
        <w:t> </w:t>
      </w:r>
      <w:r w:rsidRPr="003F3120">
        <w:rPr>
          <w:rFonts w:eastAsia="MS Mincho"/>
          <w:lang w:val="fr-FR" w:eastAsia="nb-NO"/>
        </w:rPr>
        <w:t xml:space="preserve">a) du </w:t>
      </w:r>
      <w:r w:rsidR="00F96E46" w:rsidRPr="003F3120">
        <w:rPr>
          <w:rFonts w:eastAsia="MS Mincho"/>
          <w:lang w:val="fr-FR" w:eastAsia="nb-NO"/>
        </w:rPr>
        <w:t>programme de travail glissant pour</w:t>
      </w:r>
      <w:r w:rsidR="007031E0">
        <w:rPr>
          <w:rFonts w:eastAsia="MS Mincho"/>
          <w:lang w:val="fr-FR" w:eastAsia="nb-NO"/>
        </w:rPr>
        <w:t xml:space="preserve"> la </w:t>
      </w:r>
      <w:r w:rsidR="00F96E46" w:rsidRPr="003F3120">
        <w:rPr>
          <w:rFonts w:eastAsia="MS Mincho"/>
          <w:lang w:val="fr-FR" w:eastAsia="nb-NO"/>
        </w:rPr>
        <w:t>période allant jusqu</w:t>
      </w:r>
      <w:r w:rsidR="00FA5ADB">
        <w:rPr>
          <w:rFonts w:eastAsia="MS Mincho"/>
          <w:lang w:val="fr-FR" w:eastAsia="nb-NO"/>
        </w:rPr>
        <w:t>’</w:t>
      </w:r>
      <w:r w:rsidR="00F96E46" w:rsidRPr="003F3120">
        <w:rPr>
          <w:rFonts w:eastAsia="MS Mincho"/>
          <w:lang w:val="fr-FR" w:eastAsia="nb-NO"/>
        </w:rPr>
        <w:t>en 2030</w:t>
      </w:r>
      <w:r w:rsidRPr="003F3120">
        <w:rPr>
          <w:lang w:val="fr-FR" w:eastAsia="nb-NO"/>
        </w:rPr>
        <w:t xml:space="preserve"> (Travaux avancés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données) et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participe, conformément aux décisions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et de ses organes subsidiaires</w:t>
      </w:r>
      <w:r w:rsidR="00BD22C6">
        <w:rPr>
          <w:lang w:val="fr-FR" w:eastAsia="nb-NO"/>
        </w:rPr>
        <w:t xml:space="preserve"> sur</w:t>
      </w:r>
      <w:r w:rsidR="007031E0">
        <w:rPr>
          <w:lang w:val="fr-FR" w:eastAsia="nb-NO"/>
        </w:rPr>
        <w:t xml:space="preserve"> la </w:t>
      </w:r>
      <w:r w:rsidR="00BD22C6">
        <w:rPr>
          <w:lang w:val="fr-FR" w:eastAsia="nb-NO"/>
        </w:rPr>
        <w:t>question</w:t>
      </w:r>
      <w:r w:rsidRPr="003F3120">
        <w:rPr>
          <w:lang w:val="fr-FR" w:eastAsia="nb-NO"/>
        </w:rPr>
        <w:t>, notamment en s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appuyant sur</w:t>
      </w:r>
      <w:r w:rsidR="007031E0">
        <w:rPr>
          <w:lang w:val="fr-FR" w:eastAsia="nb-NO"/>
        </w:rPr>
        <w:t xml:space="preserve"> les </w:t>
      </w:r>
      <w:r w:rsidR="00BD22C6">
        <w:rPr>
          <w:lang w:val="fr-FR" w:eastAsia="nb-NO"/>
        </w:rPr>
        <w:t xml:space="preserve">enseignements </w:t>
      </w:r>
      <w:r w:rsidRPr="003F3120">
        <w:rPr>
          <w:lang w:val="fr-FR" w:eastAsia="nb-NO"/>
        </w:rPr>
        <w:t>tirés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réalisation du produit </w:t>
      </w:r>
      <w:r w:rsidRPr="003F3120">
        <w:rPr>
          <w:rFonts w:eastAsia="SimSun"/>
          <w:lang w:val="fr-FR" w:eastAsia="zh-CN"/>
        </w:rPr>
        <w:t>1 d) du premier programme de travail et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478EA6C3" w14:textId="0BF56077" w:rsidR="00A53F09" w:rsidRPr="003F3120" w:rsidRDefault="00A53F09" w:rsidP="00ED6939">
      <w:pPr>
        <w:pStyle w:val="Normalnumber"/>
        <w:numPr>
          <w:ilvl w:val="1"/>
          <w:numId w:val="5"/>
        </w:numPr>
        <w:tabs>
          <w:tab w:val="clear" w:pos="1134"/>
        </w:tabs>
        <w:rPr>
          <w:lang w:val="fr-FR" w:eastAsia="nb-NO"/>
        </w:rPr>
      </w:pPr>
      <w:r w:rsidRPr="003F3120">
        <w:rPr>
          <w:lang w:val="fr-FR" w:eastAsia="nb-NO"/>
        </w:rPr>
        <w:t>En aidant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experts chargés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évaluations à recenser, hiérarchiser et mobiliser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 nécessaires aux évaluations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="00FD5D6A">
        <w:rPr>
          <w:lang w:val="fr-FR" w:eastAsia="nb-NO"/>
        </w:rPr>
        <w:t> ;</w:t>
      </w:r>
    </w:p>
    <w:p w14:paraId="46A05703" w14:textId="1DFCED3E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En donnant au secrétariat,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 à son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 dédié,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orientations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gestion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données,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informations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connaissances utilisées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Plateforme, notamment en mettant en place une infrastructure </w:t>
      </w:r>
      <w:r w:rsidR="00BD22C6">
        <w:rPr>
          <w:lang w:val="fr-FR" w:eastAsia="nb-NO"/>
        </w:rPr>
        <w:t>Web</w:t>
      </w:r>
      <w:r w:rsidRPr="003F3120">
        <w:rPr>
          <w:lang w:val="fr-FR" w:eastAsia="nb-NO"/>
        </w:rPr>
        <w:t>, afin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en 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disponibilité à long terme et de veiller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interopérabilité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données</w:t>
      </w:r>
      <w:r w:rsidR="00FD5D6A">
        <w:rPr>
          <w:lang w:val="fr-FR" w:eastAsia="nb-NO"/>
        </w:rPr>
        <w:t> ;</w:t>
      </w:r>
    </w:p>
    <w:p w14:paraId="1036F592" w14:textId="4E28674D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En aidant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 et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 à revoir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besoins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 xml:space="preserve">lacunes en matière de connaissances </w:t>
      </w:r>
      <w:r w:rsidR="0095529C">
        <w:rPr>
          <w:lang w:val="fr-FR" w:eastAsia="nb-NO"/>
        </w:rPr>
        <w:t>recensés</w:t>
      </w:r>
      <w:r w:rsidRPr="003F3120">
        <w:rPr>
          <w:lang w:val="fr-FR" w:eastAsia="nb-NO"/>
        </w:rPr>
        <w:t xml:space="preserve">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cadre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évaluations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 et à activer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production de nouvelles connaissances et données. </w:t>
      </w:r>
    </w:p>
    <w:p w14:paraId="27778F99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30CCA4D8" w14:textId="5BB53B9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14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Nations Unies, dont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a) jusqu</w:t>
      </w:r>
      <w:r w:rsidR="00FA5ADB">
        <w:rPr>
          <w:lang w:val="fr-FR"/>
        </w:rPr>
        <w:t>’</w:t>
      </w:r>
      <w:r w:rsidRPr="003F3120">
        <w:rPr>
          <w:lang w:val="fr-FR"/>
        </w:rPr>
        <w:t>à 4 membres du Bureau et du Groupe d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experts multidisciplinaire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b)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affectés aux évaluations en cours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concernées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scientifiques nationales, régionales et internationales qualifiées, de centres d</w:t>
      </w:r>
      <w:r w:rsidR="00FA5ADB">
        <w:rPr>
          <w:lang w:val="fr-FR"/>
        </w:rPr>
        <w:t>’</w:t>
      </w:r>
      <w:r w:rsidR="0095529C">
        <w:rPr>
          <w:lang w:val="fr-FR"/>
        </w:rPr>
        <w:t>excellence</w:t>
      </w:r>
      <w:r w:rsidRPr="003F3120">
        <w:rPr>
          <w:lang w:val="fr-FR"/>
        </w:rPr>
        <w:t xml:space="preserve"> et d</w:t>
      </w:r>
      <w:r w:rsidR="00FA5ADB">
        <w:rPr>
          <w:lang w:val="fr-FR"/>
        </w:rPr>
        <w:t>’</w:t>
      </w:r>
      <w:r w:rsidRPr="003F3120">
        <w:rPr>
          <w:lang w:val="fr-FR"/>
        </w:rPr>
        <w:t>institutions comprenant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en savoirs autochtones et locaux qui sont connues pour leurs travaux et leurs compétences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liées au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qui sont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partenaires existants ou possibles, ou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partenaires </w:t>
      </w:r>
      <w:r w:rsidR="0095529C">
        <w:rPr>
          <w:lang w:val="fr-FR"/>
        </w:rPr>
        <w:t>appuyant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 de</w:t>
      </w:r>
      <w:r w:rsidR="007031E0">
        <w:rPr>
          <w:lang w:val="fr-FR"/>
        </w:rPr>
        <w:t xml:space="preserve"> la </w:t>
      </w:r>
      <w:r w:rsidR="00C067BE"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d)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experts de renom </w:t>
      </w:r>
      <w:r w:rsidR="0095529C">
        <w:rPr>
          <w:lang w:val="fr-FR"/>
        </w:rPr>
        <w:t>spécialisés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domaines</w:t>
      </w:r>
      <w:r w:rsidR="007031E0">
        <w:rPr>
          <w:lang w:val="fr-FR"/>
        </w:rPr>
        <w:t xml:space="preserve"> des </w:t>
      </w:r>
      <w:r w:rsidRPr="003F3120">
        <w:rPr>
          <w:lang w:val="fr-FR" w:eastAsia="nb-NO"/>
        </w:rPr>
        <w:t>sciences naturelles,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sciences sociales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sciences humaines, ainsi que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savoirs autochtones et locaux. </w:t>
      </w:r>
    </w:p>
    <w:p w14:paraId="35DCB827" w14:textId="128CF69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AA04C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AA04C9">
        <w:rPr>
          <w:lang w:val="fr-FR" w:eastAsia="nb-NO"/>
        </w:rPr>
        <w:t xml:space="preserve"> et peut être prorogé.</w:t>
      </w:r>
      <w:r w:rsidR="007031E0">
        <w:rPr>
          <w:lang w:val="fr-FR" w:eastAsia="nb-NO"/>
        </w:rPr>
        <w:t xml:space="preserve"> </w:t>
      </w:r>
      <w:r w:rsidR="007031E0">
        <w:rPr>
          <w:lang w:val="fr-FR" w:eastAsia="nb-NO"/>
        </w:rPr>
        <w:lastRenderedPageBreak/>
        <w:t>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AA04C9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équipe spéciale. </w:t>
      </w:r>
    </w:p>
    <w:p w14:paraId="6F918728" w14:textId="5733DF5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spécialistes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gestion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3CFB0550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0507AA9A" w14:textId="062F0A2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coprésidée par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du Bureau ou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deux. Elle travaille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 xml:space="preserve">cadre de réunions </w:t>
      </w:r>
      <w:r w:rsidR="00AA04C9">
        <w:rPr>
          <w:lang w:val="fr-FR" w:eastAsia="nb-NO"/>
        </w:rPr>
        <w:t>en présentiel</w:t>
      </w:r>
      <w:r w:rsidRPr="003F3120">
        <w:rPr>
          <w:lang w:val="fr-FR" w:eastAsia="nb-NO"/>
        </w:rPr>
        <w:t xml:space="preserve">, de réunions </w:t>
      </w:r>
      <w:r w:rsidR="00AA04C9">
        <w:rPr>
          <w:lang w:val="fr-FR" w:eastAsia="nb-NO"/>
        </w:rPr>
        <w:t>en ligne</w:t>
      </w:r>
      <w:r w:rsidRPr="003F3120">
        <w:rPr>
          <w:lang w:val="fr-FR" w:eastAsia="nb-NO"/>
        </w:rPr>
        <w:t xml:space="preserve"> et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autres</w:t>
      </w:r>
      <w:r w:rsidRPr="003F3120">
        <w:rPr>
          <w:lang w:val="fr-FR" w:eastAsia="nb-NO"/>
        </w:rPr>
        <w:t xml:space="preserve"> interactions par voie électronique.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produits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sont revus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 et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et transmis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pour information et examen, selon qu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il convient.</w:t>
      </w:r>
      <w:r w:rsidRPr="003F3120">
        <w:rPr>
          <w:lang w:val="fr-FR"/>
        </w:rPr>
        <w:t xml:space="preserve">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AA04C9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122895F0" w14:textId="15A9C1F3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 xml:space="preserve">dédié. </w:t>
      </w:r>
    </w:p>
    <w:p w14:paraId="3A0CD04F" w14:textId="1C8D5ED9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IV.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</w:t>
      </w:r>
    </w:p>
    <w:p w14:paraId="18A0426A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57209C92" w14:textId="4E96885A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en-GB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objectif 3 b)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(Reconnaissance et utilisation améliorées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systèmes de savoirs autochtones et locaux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AA04C9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AA04C9">
        <w:rPr>
          <w:lang w:val="fr-FR"/>
        </w:rPr>
        <w:t>question</w:t>
      </w:r>
      <w:r w:rsidRPr="003F3120">
        <w:rPr>
          <w:lang w:val="fr-FR"/>
        </w:rPr>
        <w:t>, notamment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AA04C9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="00C067BE" w:rsidRPr="003F3120">
        <w:rPr>
          <w:lang w:val="fr-FR"/>
        </w:rPr>
        <w:t>réalisation du produit </w:t>
      </w:r>
      <w:r w:rsidR="00A00F81">
        <w:rPr>
          <w:lang w:val="fr-FR"/>
        </w:rPr>
        <w:t>1 </w:t>
      </w:r>
      <w:r w:rsidRPr="003F3120">
        <w:rPr>
          <w:lang w:val="fr-FR"/>
        </w:rPr>
        <w:t>c) du premier 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aidant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à mettre en œuvre l</w:t>
      </w:r>
      <w:r w:rsidR="00FA5ADB">
        <w:rPr>
          <w:lang w:val="fr-FR"/>
        </w:rPr>
        <w:t>’</w:t>
      </w:r>
      <w:r w:rsidRPr="003F3120">
        <w:rPr>
          <w:lang w:val="fr-FR"/>
        </w:rPr>
        <w:t>Approche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reconnaissance et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savoirs autochtones et locaux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Pr="003F3120">
        <w:rPr>
          <w:rStyle w:val="FootnoteReference"/>
          <w:rFonts w:eastAsia="MS Mincho"/>
          <w:lang w:val="fr-FR"/>
        </w:rPr>
        <w:footnoteReference w:id="34"/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donnant au secrétariat,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à son 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dédié,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orientations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 l</w:t>
      </w:r>
      <w:r w:rsidR="00FA5ADB">
        <w:rPr>
          <w:lang w:val="fr-FR"/>
        </w:rPr>
        <w:t>’</w:t>
      </w:r>
      <w:r w:rsidRPr="003F3120">
        <w:rPr>
          <w:lang w:val="fr-FR"/>
        </w:rPr>
        <w:t>Approche.</w:t>
      </w:r>
    </w:p>
    <w:p w14:paraId="1923727F" w14:textId="77777777" w:rsidR="00A53F09" w:rsidRPr="003F3120" w:rsidRDefault="00A53F09" w:rsidP="00A53F09">
      <w:pPr>
        <w:pStyle w:val="CH2"/>
        <w:rPr>
          <w:lang w:val="fr-FR" w:eastAsia="en-GB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7FEC235C" w14:textId="37AE9B2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14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Nations Unies, dont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a) jusqu</w:t>
      </w:r>
      <w:r w:rsidR="00FA5ADB">
        <w:rPr>
          <w:lang w:val="fr-FR"/>
        </w:rPr>
        <w:t>’</w:t>
      </w:r>
      <w:r w:rsidRPr="003F3120">
        <w:rPr>
          <w:lang w:val="fr-FR"/>
        </w:rPr>
        <w:t>à 4 membres du Bureau et du Groupe d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experts multidisciplinaire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b)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affectés aux évaluations en cours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concernées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peuples autochtones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communautés locales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d)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scientifiques nationales, régionales et internationales qualifiées, de centres d</w:t>
      </w:r>
      <w:r w:rsidR="00FA5ADB">
        <w:rPr>
          <w:lang w:val="fr-FR"/>
        </w:rPr>
        <w:t>’</w:t>
      </w:r>
      <w:r w:rsidRPr="003F3120">
        <w:rPr>
          <w:lang w:val="fr-FR"/>
        </w:rPr>
        <w:t>excellence et d</w:t>
      </w:r>
      <w:r w:rsidR="00FA5ADB">
        <w:rPr>
          <w:lang w:val="fr-FR"/>
        </w:rPr>
        <w:t>’</w:t>
      </w:r>
      <w:r w:rsidRPr="003F3120">
        <w:rPr>
          <w:lang w:val="fr-FR"/>
        </w:rPr>
        <w:t>institutions comprenant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en savoirs autochtones et locaux qui sont connues pour leurs travaux et leurs compétences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liées au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experts de renom </w:t>
      </w:r>
      <w:r w:rsidR="00AA04C9">
        <w:rPr>
          <w:lang w:val="fr-FR"/>
        </w:rPr>
        <w:t>spécialisés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</w:t>
      </w:r>
      <w:r w:rsidRPr="003F3120">
        <w:rPr>
          <w:lang w:val="fr-FR" w:eastAsia="nb-NO"/>
        </w:rPr>
        <w:t>.</w:t>
      </w:r>
    </w:p>
    <w:p w14:paraId="21158D97" w14:textId="71FFADA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 xml:space="preserve">Les </w:t>
      </w:r>
      <w:r w:rsidRPr="003F3120">
        <w:rPr>
          <w:lang w:val="fr-FR"/>
        </w:rPr>
        <w:t>membres</w:t>
      </w:r>
      <w:r w:rsidRPr="003F3120">
        <w:rPr>
          <w:lang w:val="fr-FR" w:eastAsia="nb-NO"/>
        </w:rPr>
        <w:t xml:space="preserve">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AA04C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AA04C9">
        <w:rPr>
          <w:lang w:val="fr-FR" w:eastAsia="nb-NO"/>
        </w:rPr>
        <w:t xml:space="preserve"> et peut 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25125E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52E5956C" w14:textId="35913BD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supplémentaires en savoirs autochtones et locaux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4CA23995" w14:textId="77777777" w:rsidR="00A53F09" w:rsidRPr="003F3120" w:rsidRDefault="00A53F09" w:rsidP="0036675E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0687F1CF" w14:textId="3942932C" w:rsidR="00A53F09" w:rsidRPr="003F3120" w:rsidRDefault="00A53F09" w:rsidP="00ED6939">
      <w:pPr>
        <w:pStyle w:val="Normalnumber"/>
        <w:keepNext/>
        <w:numPr>
          <w:ilvl w:val="0"/>
          <w:numId w:val="5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membres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experts multidisciplinaire, ou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deux.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25125E">
        <w:rPr>
          <w:rFonts w:eastAsia="SimSun"/>
          <w:lang w:val="fr-FR" w:eastAsia="zh-CN"/>
        </w:rPr>
        <w:t>en présentiel</w:t>
      </w:r>
      <w:r w:rsidRPr="003F3120">
        <w:rPr>
          <w:rFonts w:eastAsia="SimSun"/>
          <w:lang w:val="fr-FR" w:eastAsia="zh-CN"/>
        </w:rPr>
        <w:t xml:space="preserve">, de réunions </w:t>
      </w:r>
      <w:r w:rsidR="0025125E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il convient. </w:t>
      </w:r>
      <w:r w:rsidRPr="003F3120">
        <w:rPr>
          <w:lang w:val="fr-FR" w:eastAsia="nb-NO"/>
        </w:rPr>
        <w:lastRenderedPageBreak/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/>
        </w:rPr>
        <w:t>collaboration</w:t>
      </w:r>
      <w:r w:rsidRPr="003F3120">
        <w:rPr>
          <w:lang w:val="fr-FR" w:eastAsia="nb-NO"/>
        </w:rPr>
        <w:t xml:space="preserve">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25125E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28543C29" w14:textId="047AC5F5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appui technique </w:t>
      </w:r>
      <w:r w:rsidRPr="003F3120">
        <w:rPr>
          <w:lang w:val="fr-FR"/>
        </w:rPr>
        <w:t>dédié</w:t>
      </w:r>
      <w:r w:rsidRPr="003F3120">
        <w:rPr>
          <w:lang w:val="fr-FR" w:eastAsia="nb-NO"/>
        </w:rPr>
        <w:t>.</w:t>
      </w:r>
    </w:p>
    <w:p w14:paraId="4294BFF2" w14:textId="7203CD9D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V.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</w:t>
      </w:r>
    </w:p>
    <w:p w14:paraId="5F947297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5CFCF63A" w14:textId="627ECE89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objectif 4 b)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(Travaux avancés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DB29C8" w:rsidRPr="003F3120">
        <w:rPr>
          <w:lang w:val="fr-FR"/>
        </w:rPr>
        <w:t>fonctions et</w:t>
      </w:r>
      <w:r w:rsidRPr="003F3120">
        <w:rPr>
          <w:lang w:val="fr-FR"/>
        </w:rPr>
        <w:t> services écosystémiques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pertinentes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25125E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25125E">
        <w:rPr>
          <w:lang w:val="fr-FR"/>
        </w:rPr>
        <w:t>question</w:t>
      </w:r>
      <w:r w:rsidRPr="003F3120">
        <w:rPr>
          <w:lang w:val="fr-FR"/>
        </w:rPr>
        <w:t>, notamment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25125E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produit 3 c) du premier programme de travail. Pour mener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écosystémiques,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</w:t>
      </w:r>
      <w:r w:rsidR="00FA5ADB">
        <w:rPr>
          <w:lang w:val="fr-FR"/>
        </w:rPr>
        <w:t>’</w:t>
      </w:r>
      <w:r w:rsidRPr="003F3120">
        <w:rPr>
          <w:lang w:val="fr-FR"/>
        </w:rPr>
        <w:t>appuiera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référence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poursuite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outils et méthodes relatifs aux scénarios et aux modèles</w:t>
      </w:r>
      <w:r w:rsidRPr="003F3120">
        <w:rPr>
          <w:rStyle w:val="FootnoteReference"/>
          <w:lang w:val="fr-FR"/>
        </w:rPr>
        <w:footnoteReference w:id="35"/>
      </w:r>
      <w:r w:rsidRPr="003F3120">
        <w:rPr>
          <w:lang w:val="fr-FR"/>
        </w:rPr>
        <w:t xml:space="preserve"> en vue de faciliter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fourniture de conseils à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équipes d</w:t>
      </w:r>
      <w:r w:rsidR="00FA5ADB">
        <w:rPr>
          <w:lang w:val="fr-FR"/>
        </w:rPr>
        <w:t>’</w:t>
      </w:r>
      <w:r w:rsidR="0036675E">
        <w:rPr>
          <w:lang w:val="fr-FR"/>
        </w:rPr>
        <w:t>experts, en </w:t>
      </w:r>
      <w:r w:rsidRPr="003F3120">
        <w:rPr>
          <w:lang w:val="fr-FR"/>
        </w:rPr>
        <w:t>particulier celles qui travaillent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scénarios, et d</w:t>
      </w:r>
      <w:r w:rsidR="00FA5ADB">
        <w:rPr>
          <w:lang w:val="fr-FR"/>
        </w:rPr>
        <w:t>’</w:t>
      </w:r>
      <w:r w:rsidRPr="003F3120">
        <w:rPr>
          <w:lang w:val="fr-FR"/>
        </w:rPr>
        <w:t>accélérer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poursuite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scénarios et de modèles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futures 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donnant au secrétariat,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à son 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dédié,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orientations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fourniture d</w:t>
      </w:r>
      <w:r w:rsidR="00FA5ADB">
        <w:rPr>
          <w:lang w:val="fr-FR"/>
        </w:rPr>
        <w:t>’</w:t>
      </w:r>
      <w:r w:rsidRPr="003F3120">
        <w:rPr>
          <w:lang w:val="fr-FR"/>
        </w:rPr>
        <w:t>un appui.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échange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informations et collabore avec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organes chargés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élaborer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scénarios et modèles connexes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6F7EF412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7466510B" w14:textId="5FA0C27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24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6E0890">
        <w:rPr>
          <w:lang w:val="fr-FR"/>
        </w:rPr>
        <w:t> </w:t>
      </w:r>
      <w:r w:rsidRPr="003F3120">
        <w:rPr>
          <w:lang w:val="fr-FR"/>
        </w:rPr>
        <w:t>Unies, dont jusqu</w:t>
      </w:r>
      <w:r w:rsidR="00FA5ADB">
        <w:rPr>
          <w:lang w:val="fr-FR"/>
        </w:rPr>
        <w:t>’</w:t>
      </w:r>
      <w:r w:rsidRPr="003F3120">
        <w:rPr>
          <w:lang w:val="fr-FR"/>
        </w:rPr>
        <w:t>à 4 membres du Bureau et du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multidisciplinaire,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spécialistes</w:t>
      </w:r>
      <w:r w:rsidR="007031E0">
        <w:rPr>
          <w:lang w:val="fr-FR"/>
        </w:rPr>
        <w:t xml:space="preserve"> des </w:t>
      </w:r>
      <w:r w:rsidRPr="003F3120">
        <w:rPr>
          <w:lang w:val="fr-FR" w:eastAsia="nb-NO"/>
        </w:rPr>
        <w:t>scénarios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modèles issus du domaine</w:t>
      </w:r>
      <w:r w:rsidR="007031E0">
        <w:rPr>
          <w:lang w:val="fr-FR" w:eastAsia="nb-NO"/>
        </w:rPr>
        <w:t xml:space="preserve"> des </w:t>
      </w:r>
      <w:r w:rsidRPr="003F3120">
        <w:rPr>
          <w:color w:val="000000"/>
          <w:lang w:val="fr-FR"/>
        </w:rPr>
        <w:t>sciences naturelles,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>sciences sociales ou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>sciences humaines et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 xml:space="preserve">experts </w:t>
      </w:r>
      <w:r w:rsidR="0025125E">
        <w:rPr>
          <w:color w:val="000000"/>
          <w:lang w:val="fr-FR"/>
        </w:rPr>
        <w:t xml:space="preserve">en </w:t>
      </w:r>
      <w:r w:rsidRPr="003F3120">
        <w:rPr>
          <w:color w:val="000000"/>
          <w:lang w:val="fr-FR"/>
        </w:rPr>
        <w:t xml:space="preserve">systèmes de savoirs autochtones et locaux. </w:t>
      </w:r>
    </w:p>
    <w:p w14:paraId="1440129A" w14:textId="75B662D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25125E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troisième session suivant leur nomination, </w:t>
      </w:r>
      <w:r w:rsidR="0025125E">
        <w:rPr>
          <w:lang w:val="fr-FR" w:eastAsia="nb-NO"/>
        </w:rPr>
        <w:t>et peut 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25125E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79165E4E" w14:textId="765CE32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supplémentaires spécialistes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</w:t>
      </w:r>
      <w:r w:rsidR="006E0890">
        <w:rPr>
          <w:lang w:val="fr-FR"/>
        </w:rPr>
        <w:t> </w:t>
      </w:r>
      <w:r w:rsidRPr="003F3120">
        <w:rPr>
          <w:lang w:val="fr-FR"/>
        </w:rPr>
        <w:t>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6A2CD7A9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555A5C03" w14:textId="6924B1CF" w:rsidR="00A53F09" w:rsidRPr="003F3120" w:rsidRDefault="00A53F09" w:rsidP="00ED6939">
      <w:pPr>
        <w:pStyle w:val="Normalnumber"/>
        <w:numPr>
          <w:ilvl w:val="0"/>
          <w:numId w:val="5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 un membre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experts </w:t>
      </w:r>
      <w:r w:rsidRPr="003F3120">
        <w:rPr>
          <w:lang w:val="fr-FR"/>
        </w:rPr>
        <w:t>multidisciplinaire</w:t>
      </w:r>
      <w:r w:rsidRPr="003F3120">
        <w:rPr>
          <w:rFonts w:eastAsia="SimSun"/>
          <w:lang w:val="fr-FR" w:eastAsia="zh-CN"/>
        </w:rPr>
        <w:t xml:space="preserve"> et un membre expert.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25125E">
        <w:rPr>
          <w:rFonts w:eastAsia="SimSun"/>
          <w:lang w:val="fr-FR" w:eastAsia="zh-CN"/>
        </w:rPr>
        <w:t>en présentiel</w:t>
      </w:r>
      <w:r w:rsidR="0036675E">
        <w:rPr>
          <w:rFonts w:eastAsia="SimSun"/>
          <w:lang w:val="fr-FR" w:eastAsia="zh-CN"/>
        </w:rPr>
        <w:t>, de </w:t>
      </w:r>
      <w:r w:rsidRPr="003F3120">
        <w:rPr>
          <w:rFonts w:eastAsia="SimSun"/>
          <w:lang w:val="fr-FR" w:eastAsia="zh-CN"/>
        </w:rPr>
        <w:t xml:space="preserve">réunions </w:t>
      </w:r>
      <w:r w:rsidR="0025125E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seront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il convient.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/>
        </w:rPr>
        <w:t>partenaires</w:t>
      </w:r>
      <w:r w:rsidRPr="003F3120">
        <w:rPr>
          <w:lang w:val="fr-FR" w:eastAsia="nb-NO"/>
        </w:rPr>
        <w:t xml:space="preserve"> </w:t>
      </w:r>
      <w:r w:rsidR="0025125E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0688D555" w14:textId="1E2A35A9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>dédié.</w:t>
      </w:r>
    </w:p>
    <w:p w14:paraId="4A6CC31E" w14:textId="734C42B3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lastRenderedPageBreak/>
        <w:tab/>
        <w:t>VI.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équipe spéciale </w:t>
      </w:r>
      <w:r w:rsidR="0036675E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="0036675E">
        <w:rPr>
          <w:lang w:val="fr-FR"/>
        </w:rPr>
        <w:t>outils et méthodes pour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</w:t>
      </w:r>
    </w:p>
    <w:p w14:paraId="49863A4D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3D778519" w14:textId="25C457DE" w:rsidR="00A53F09" w:rsidRPr="003F3120" w:rsidRDefault="00A53F09" w:rsidP="006E0890">
      <w:pPr>
        <w:pStyle w:val="Normalnumber"/>
        <w:keepLines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objectif 4 </w:t>
      </w:r>
      <w:r w:rsidRPr="003F3120">
        <w:rPr>
          <w:lang w:val="fr-FR"/>
        </w:rPr>
        <w:t xml:space="preserve">a)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(Travaux </w:t>
      </w:r>
      <w:r w:rsidRPr="003F3120">
        <w:rPr>
          <w:rFonts w:eastAsia="SimSun"/>
          <w:lang w:val="fr-FR" w:eastAsia="zh-CN"/>
        </w:rPr>
        <w:t>avancés</w:t>
      </w:r>
      <w:r w:rsidRPr="003F3120">
        <w:rPr>
          <w:lang w:val="fr-FR"/>
        </w:rPr>
        <w:t xml:space="preserve">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0727AE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0727AE">
        <w:rPr>
          <w:lang w:val="fr-FR"/>
        </w:rPr>
        <w:t>question</w:t>
      </w:r>
      <w:r w:rsidRPr="003F3120">
        <w:rPr>
          <w:lang w:val="fr-FR"/>
        </w:rPr>
        <w:t>, notamment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prod</w:t>
      </w:r>
      <w:r w:rsidR="00C067BE" w:rsidRPr="003F3120">
        <w:rPr>
          <w:lang w:val="fr-FR"/>
        </w:rPr>
        <w:t>uit 4 </w:t>
      </w:r>
      <w:r w:rsidRPr="003F3120">
        <w:rPr>
          <w:lang w:val="fr-FR"/>
        </w:rPr>
        <w:t>c) du premier programme de travail et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</w:t>
      </w:r>
    </w:p>
    <w:p w14:paraId="2D39E3DA" w14:textId="5F213E52" w:rsidR="00A53F09" w:rsidRPr="003F3120" w:rsidRDefault="00A53F09" w:rsidP="00ED6939">
      <w:pPr>
        <w:pStyle w:val="Normalnumber"/>
        <w:numPr>
          <w:ilvl w:val="1"/>
          <w:numId w:val="5"/>
        </w:numPr>
        <w:tabs>
          <w:tab w:val="clear" w:pos="1134"/>
        </w:tabs>
        <w:rPr>
          <w:lang w:val="fr-FR"/>
        </w:rPr>
      </w:pPr>
      <w:r w:rsidRPr="003F3120">
        <w:rPr>
          <w:lang w:val="fr-FR"/>
        </w:rPr>
        <w:t>En supervisant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élaboration du contenu du portail </w:t>
      </w:r>
      <w:r w:rsidR="008E5719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8E5719" w:rsidRPr="003F3120">
        <w:rPr>
          <w:lang w:val="fr-FR"/>
        </w:rPr>
        <w:t>aide à l</w:t>
      </w:r>
      <w:r w:rsidR="00FA5ADB">
        <w:rPr>
          <w:lang w:val="fr-FR"/>
        </w:rPr>
        <w:t>’</w:t>
      </w:r>
      <w:r w:rsidR="008E5719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8E5719" w:rsidRPr="003F3120">
        <w:rPr>
          <w:lang w:val="fr-FR"/>
        </w:rPr>
        <w:t xml:space="preserve">politiques </w:t>
      </w:r>
      <w:r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en aidant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gouvernements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parties prenantes à se servir du portail et en veillant à ce que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 identifiés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soient affichés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portail et accessibles aux décideurs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0E6FEE2" w14:textId="4AF29398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 activant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élaboration </w:t>
      </w:r>
      <w:r w:rsidR="0036139D">
        <w:rPr>
          <w:lang w:val="fr-FR"/>
        </w:rPr>
        <w:t>de moyens d</w:t>
      </w:r>
      <w:r w:rsidR="00FA5ADB">
        <w:rPr>
          <w:lang w:val="fr-FR"/>
        </w:rPr>
        <w:t>’</w:t>
      </w:r>
      <w:r w:rsidR="0036139D">
        <w:rPr>
          <w:lang w:val="fr-FR"/>
        </w:rPr>
        <w:t>action</w:t>
      </w:r>
      <w:r w:rsidRPr="003F3120">
        <w:rPr>
          <w:lang w:val="fr-FR"/>
        </w:rPr>
        <w:t>, d</w:t>
      </w:r>
      <w:r w:rsidR="00FA5ADB">
        <w:rPr>
          <w:lang w:val="fr-FR"/>
        </w:rPr>
        <w:t>’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36139D">
        <w:rPr>
          <w:lang w:val="fr-FR"/>
        </w:rPr>
        <w:t>à l</w:t>
      </w:r>
      <w:r w:rsidR="00FA5ADB">
        <w:rPr>
          <w:lang w:val="fr-FR"/>
        </w:rPr>
        <w:t>’</w:t>
      </w:r>
      <w:r w:rsidR="0036139D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 de bonnes pratiques pour combler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lacunes mises au jour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réalisées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58CCF207" w14:textId="66B7146B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 promouvant</w:t>
      </w:r>
      <w:r w:rsidRPr="003F3120">
        <w:rPr>
          <w:lang w:val="fr-FR" w:eastAsia="en-GB"/>
        </w:rPr>
        <w:t xml:space="preserve"> l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utilisation </w:t>
      </w:r>
      <w:r w:rsidR="0036139D">
        <w:rPr>
          <w:lang w:val="fr-FR" w:eastAsia="en-GB"/>
        </w:rPr>
        <w:t>de moyens d</w:t>
      </w:r>
      <w:r w:rsidR="00FA5ADB">
        <w:rPr>
          <w:lang w:val="fr-FR" w:eastAsia="en-GB"/>
        </w:rPr>
        <w:t>’</w:t>
      </w:r>
      <w:r w:rsidR="0036139D">
        <w:rPr>
          <w:lang w:val="fr-FR" w:eastAsia="en-GB"/>
        </w:rPr>
        <w:t>action</w:t>
      </w:r>
      <w:r w:rsidRPr="003F3120">
        <w:rPr>
          <w:lang w:val="fr-FR" w:eastAsia="en-GB"/>
        </w:rPr>
        <w:t>,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outils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appui </w:t>
      </w:r>
      <w:r w:rsidR="0036139D">
        <w:rPr>
          <w:lang w:val="fr-FR"/>
        </w:rPr>
        <w:t>à l</w:t>
      </w:r>
      <w:r w:rsidR="00FA5ADB">
        <w:rPr>
          <w:lang w:val="fr-FR"/>
        </w:rPr>
        <w:t>’</w:t>
      </w:r>
      <w:r w:rsidR="0036139D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 w:eastAsia="en-GB"/>
        </w:rPr>
        <w:t>politiques et de méthodes aux fins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mise en œuvre du programme de travail pour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questions de conservation, de restauration et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utilisation rationnelle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biodiversité et de fourniture de fonctions et de services écosystémiques dans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cadre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réalisation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évaluations, ainsi qu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en permettant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prise en compte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résultats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 dans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processus de prise de décisions.</w:t>
      </w:r>
    </w:p>
    <w:p w14:paraId="496DCCC9" w14:textId="77777777" w:rsidR="00A53F09" w:rsidRPr="003F3120" w:rsidRDefault="00A53F09" w:rsidP="00A53F09">
      <w:pPr>
        <w:pStyle w:val="CH2"/>
        <w:rPr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>Composition</w:t>
      </w:r>
    </w:p>
    <w:p w14:paraId="1456177C" w14:textId="57D3C708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comprend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14 </w:t>
      </w:r>
      <w:r w:rsidRPr="003F3120">
        <w:rPr>
          <w:lang w:val="fr-FR" w:eastAsia="nb-NO"/>
        </w:rPr>
        <w:t>membres issus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cinq régions</w:t>
      </w:r>
      <w:r w:rsidR="007031E0">
        <w:rPr>
          <w:lang w:val="fr-FR" w:eastAsia="nb-NO"/>
        </w:rPr>
        <w:t xml:space="preserve"> des </w:t>
      </w:r>
      <w:r w:rsidR="00C067BE" w:rsidRPr="003F3120">
        <w:rPr>
          <w:lang w:val="fr-FR" w:eastAsia="nb-NO"/>
        </w:rPr>
        <w:t>Nations Unies, dont</w:t>
      </w:r>
      <w:r w:rsidR="00FD5D6A">
        <w:rPr>
          <w:lang w:val="fr-FR" w:eastAsia="nb-NO"/>
        </w:rPr>
        <w:t> :</w:t>
      </w:r>
      <w:r w:rsidR="00C067BE" w:rsidRPr="003F3120">
        <w:rPr>
          <w:lang w:val="fr-FR" w:eastAsia="nb-NO"/>
        </w:rPr>
        <w:t xml:space="preserve"> a) </w:t>
      </w:r>
      <w:r w:rsidRPr="003F3120">
        <w:rPr>
          <w:lang w:val="fr-FR" w:eastAsia="nb-NO"/>
        </w:rPr>
        <w:t>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4 </w:t>
      </w:r>
      <w:r w:rsidRPr="003F3120">
        <w:rPr>
          <w:lang w:val="fr-FR" w:eastAsia="nb-NO"/>
        </w:rPr>
        <w:t>membres du Bureau et du Groupe d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experts multidisciplinaire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b)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groupes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affectés aux évaluations en cours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</w:t>
      </w:r>
      <w:r w:rsidR="00C067BE" w:rsidRPr="003F3120">
        <w:rPr>
          <w:lang w:val="fr-FR" w:eastAsia="nb-NO"/>
        </w:rPr>
        <w:t>es équipes spéciales concernées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c)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représentants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organisations scientifiques nationales, régionales et internationales qualifiées, de centres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excellence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institutions scientifiques et politiques comprenant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savoirs autochtones et locaux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en savoirs autochtones et locaux connues pour leurs travaux et leurs compétences concernant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liées au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d)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possédant une expérience pratique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/>
        </w:rPr>
        <w:t>formulation et de l</w:t>
      </w:r>
      <w:r w:rsidR="00FA5ADB">
        <w:rPr>
          <w:lang w:val="fr-FR"/>
        </w:rPr>
        <w:t>’</w:t>
      </w:r>
      <w:r w:rsidRPr="003F3120">
        <w:rPr>
          <w:lang w:val="fr-FR"/>
        </w:rPr>
        <w:t>application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politiques</w:t>
      </w:r>
      <w:r w:rsidR="00FD5D6A">
        <w:rPr>
          <w:lang w:val="fr-FR"/>
        </w:rPr>
        <w:t> ;</w:t>
      </w:r>
      <w:r w:rsidRPr="003F3120">
        <w:rPr>
          <w:lang w:val="fr-FR" w:eastAsia="nb-NO"/>
        </w:rPr>
        <w:t xml:space="preserve"> e)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experts de renom </w:t>
      </w:r>
      <w:r w:rsidR="0036139D">
        <w:rPr>
          <w:lang w:val="fr-FR" w:eastAsia="nb-NO"/>
        </w:rPr>
        <w:t>spécialisés dans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relevant du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5CFA911" w14:textId="3B08DFC5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36139D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36139D">
        <w:rPr>
          <w:lang w:val="fr-FR" w:eastAsia="nb-NO"/>
        </w:rPr>
        <w:t xml:space="preserve"> et peut être prorogé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36139D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A95D3C8" w14:textId="2FF1BC2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experts supplémentaires spécialistes </w:t>
      </w:r>
      <w:r w:rsidR="00945229">
        <w:rPr>
          <w:lang w:val="fr-FR"/>
        </w:rPr>
        <w:t>de moyens d</w:t>
      </w:r>
      <w:r w:rsidR="00FA5ADB">
        <w:rPr>
          <w:lang w:val="fr-FR"/>
        </w:rPr>
        <w:t>’</w:t>
      </w:r>
      <w:r w:rsidR="00945229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945229">
        <w:rPr>
          <w:lang w:val="fr-FR"/>
        </w:rPr>
        <w:t>à l</w:t>
      </w:r>
      <w:r w:rsidR="00FA5ADB">
        <w:rPr>
          <w:lang w:val="fr-FR"/>
        </w:rPr>
        <w:t>’</w:t>
      </w:r>
      <w:r w:rsidR="00945229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méthodes,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70EA7AFE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6E7D4C38" w14:textId="7CC13C2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membres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experts multidisciplinaire, ou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deux.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945229">
        <w:rPr>
          <w:rFonts w:eastAsia="SimSun"/>
          <w:lang w:val="fr-FR" w:eastAsia="zh-CN"/>
        </w:rPr>
        <w:t>en présentiel</w:t>
      </w:r>
      <w:r w:rsidRPr="003F3120">
        <w:rPr>
          <w:rFonts w:eastAsia="SimSun"/>
          <w:lang w:val="fr-FR" w:eastAsia="zh-CN"/>
        </w:rPr>
        <w:t xml:space="preserve">, de réunions </w:t>
      </w:r>
      <w:r w:rsidR="00945229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il convient.</w:t>
      </w:r>
      <w:r w:rsidRPr="003F3120">
        <w:rPr>
          <w:lang w:val="fr-FR"/>
        </w:rPr>
        <w:t xml:space="preserve">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945229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28E4CE83" w14:textId="50B68DD0" w:rsidR="004843BC" w:rsidRPr="003F3120" w:rsidRDefault="00A53F09" w:rsidP="00ED6939">
      <w:pPr>
        <w:widowControl w:val="0"/>
        <w:numPr>
          <w:ilvl w:val="0"/>
          <w:numId w:val="5"/>
        </w:numPr>
        <w:autoSpaceDE w:val="0"/>
        <w:autoSpaceDN w:val="0"/>
        <w:spacing w:after="120"/>
      </w:pPr>
      <w:r w:rsidRPr="003F3120">
        <w:rPr>
          <w:rFonts w:eastAsia="SimSun"/>
          <w:lang w:eastAsia="zh-CN"/>
        </w:rPr>
        <w:t>L</w:t>
      </w:r>
      <w:r w:rsidR="00FA5ADB">
        <w:rPr>
          <w:rFonts w:eastAsia="SimSun"/>
          <w:lang w:eastAsia="zh-CN"/>
        </w:rPr>
        <w:t>’</w:t>
      </w:r>
      <w:r w:rsidRPr="003F3120">
        <w:rPr>
          <w:rFonts w:eastAsia="SimSun"/>
          <w:lang w:eastAsia="zh-CN"/>
        </w:rPr>
        <w:t>équipe</w:t>
      </w:r>
      <w:r w:rsidRPr="003F3120">
        <w:rPr>
          <w:lang w:eastAsia="nb-NO"/>
        </w:rPr>
        <w:t xml:space="preserve"> spéciale est secondée par</w:t>
      </w:r>
      <w:r w:rsidR="007031E0">
        <w:rPr>
          <w:lang w:eastAsia="nb-NO"/>
        </w:rPr>
        <w:t xml:space="preserve"> le </w:t>
      </w:r>
      <w:r w:rsidRPr="003F3120">
        <w:rPr>
          <w:lang w:eastAsia="nb-NO"/>
        </w:rPr>
        <w:t>secrétariat, qui comprend un groupe d</w:t>
      </w:r>
      <w:r w:rsidR="00FA5ADB">
        <w:rPr>
          <w:lang w:eastAsia="nb-NO"/>
        </w:rPr>
        <w:t>’</w:t>
      </w:r>
      <w:r w:rsidRPr="003F3120">
        <w:rPr>
          <w:lang w:eastAsia="nb-NO"/>
        </w:rPr>
        <w:t>appui technique</w:t>
      </w:r>
      <w:r w:rsidR="006E0890">
        <w:rPr>
          <w:lang w:eastAsia="nb-NO"/>
        </w:rPr>
        <w:t> </w:t>
      </w:r>
      <w:r w:rsidRPr="003F3120">
        <w:rPr>
          <w:lang w:eastAsia="nb-NO"/>
        </w:rPr>
        <w:t>dédié.</w:t>
      </w:r>
    </w:p>
    <w:p w14:paraId="2347FEAD" w14:textId="77777777" w:rsidR="00396929" w:rsidRPr="003F3120" w:rsidRDefault="00396929" w:rsidP="005F06C5">
      <w:pPr>
        <w:pStyle w:val="Normal-pool"/>
        <w:rPr>
          <w:lang w:val="fr-FR"/>
        </w:rPr>
      </w:pPr>
      <w:bookmarkStart w:id="25" w:name="_GoBack"/>
      <w:bookmarkEnd w:id="25"/>
    </w:p>
    <w:sectPr w:rsidR="00396929" w:rsidRPr="003F3120" w:rsidSect="0047105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106B" w14:textId="77777777" w:rsidR="002479C0" w:rsidRDefault="002479C0">
      <w:r>
        <w:separator/>
      </w:r>
    </w:p>
  </w:endnote>
  <w:endnote w:type="continuationSeparator" w:id="0">
    <w:p w14:paraId="5CAA3C19" w14:textId="77777777" w:rsidR="002479C0" w:rsidRDefault="0024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FEEC" w14:textId="4984F257" w:rsidR="00D026C5" w:rsidRPr="00953349" w:rsidRDefault="00D026C5" w:rsidP="00953349">
    <w:pPr>
      <w:pStyle w:val="Footer"/>
      <w:rPr>
        <w:b/>
      </w:rPr>
    </w:pPr>
    <w:r w:rsidRPr="00953349">
      <w:rPr>
        <w:b/>
      </w:rPr>
      <w:fldChar w:fldCharType="begin"/>
    </w:r>
    <w:r w:rsidRPr="00953349">
      <w:rPr>
        <w:b/>
      </w:rPr>
      <w:instrText xml:space="preserve"> PAGE   \* MERGEFORMAT </w:instrText>
    </w:r>
    <w:r w:rsidRPr="00953349">
      <w:rPr>
        <w:b/>
      </w:rPr>
      <w:fldChar w:fldCharType="separate"/>
    </w:r>
    <w:r>
      <w:rPr>
        <w:b/>
        <w:noProof/>
      </w:rPr>
      <w:t>14</w:t>
    </w:r>
    <w:r w:rsidRPr="00953349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3F63" w14:textId="29DA8761" w:rsidR="00D026C5" w:rsidRPr="00487D02" w:rsidRDefault="00D026C5" w:rsidP="00BD399A">
    <w:pPr>
      <w:pStyle w:val="Footer"/>
      <w:tabs>
        <w:tab w:val="clear" w:pos="4320"/>
        <w:tab w:val="clear" w:pos="8640"/>
        <w:tab w:val="left" w:pos="624"/>
      </w:tabs>
      <w:jc w:val="right"/>
      <w:rPr>
        <w:b/>
      </w:rPr>
    </w:pPr>
    <w:r w:rsidRPr="00BD399A">
      <w:rPr>
        <w:b/>
      </w:rPr>
      <w:fldChar w:fldCharType="begin"/>
    </w:r>
    <w:r w:rsidRPr="00BD399A">
      <w:rPr>
        <w:b/>
      </w:rPr>
      <w:instrText xml:space="preserve"> PAGE   \* MERGEFORMAT </w:instrText>
    </w:r>
    <w:r w:rsidRPr="00BD399A">
      <w:rPr>
        <w:b/>
      </w:rPr>
      <w:fldChar w:fldCharType="separate"/>
    </w:r>
    <w:r w:rsidR="00BD44C1">
      <w:rPr>
        <w:b/>
        <w:noProof/>
      </w:rPr>
      <w:t>19</w:t>
    </w:r>
    <w:r w:rsidRPr="00BD399A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26D0FCF5" w:rsidR="00D026C5" w:rsidRPr="008D2C44" w:rsidRDefault="00D026C5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950900">
      <w:rPr>
        <w:rStyle w:val="PageNumber"/>
        <w:noProof/>
        <w:szCs w:val="18"/>
      </w:rPr>
      <w:t>52</w:t>
    </w:r>
    <w:r w:rsidRPr="008D2C44">
      <w:rPr>
        <w:rStyle w:val="PageNumber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1A9476FD" w:rsidR="00D026C5" w:rsidRPr="008D2C44" w:rsidRDefault="00D026C5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950900">
      <w:rPr>
        <w:rStyle w:val="PageNumber"/>
        <w:noProof/>
        <w:szCs w:val="18"/>
      </w:rPr>
      <w:t>53</w:t>
    </w:r>
    <w:r w:rsidRPr="008D2C44">
      <w:rPr>
        <w:rStyle w:val="PageNumber"/>
        <w:noProof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7247E458" w:rsidR="00D026C5" w:rsidRPr="002539D7" w:rsidRDefault="00D026C5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4809" w14:textId="77777777" w:rsidR="002479C0" w:rsidRPr="00543F5D" w:rsidRDefault="002479C0" w:rsidP="00543F5D">
      <w:pPr>
        <w:spacing w:before="6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1EE3479C" w14:textId="77777777" w:rsidR="002479C0" w:rsidRDefault="002479C0">
      <w:r>
        <w:continuationSeparator/>
      </w:r>
    </w:p>
  </w:footnote>
  <w:footnote w:id="1">
    <w:p w14:paraId="294BA8A2" w14:textId="77777777" w:rsidR="00D026C5" w:rsidRPr="00D20031" w:rsidRDefault="00D026C5" w:rsidP="000F3FD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IPBES/7/6/Add.1.</w:t>
      </w:r>
    </w:p>
  </w:footnote>
  <w:footnote w:id="2">
    <w:p w14:paraId="0D9CF380" w14:textId="53296291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</w:t>
      </w:r>
      <w:r w:rsidR="0063261A">
        <w:rPr>
          <w:szCs w:val="18"/>
        </w:rPr>
        <w:t>IPBES/7/10</w:t>
      </w:r>
      <w:r w:rsidRPr="00D20031">
        <w:rPr>
          <w:szCs w:val="18"/>
        </w:rPr>
        <w:t>/Add.1.</w:t>
      </w:r>
    </w:p>
  </w:footnote>
  <w:footnote w:id="3">
    <w:p w14:paraId="59361AF7" w14:textId="77777777" w:rsidR="00D026C5" w:rsidRPr="00D20031" w:rsidRDefault="00D026C5" w:rsidP="004C0022">
      <w:pPr>
        <w:pStyle w:val="FootnoteText"/>
        <w:tabs>
          <w:tab w:val="left" w:pos="624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IPBES/7/INF/1/Rev.1.</w:t>
      </w:r>
    </w:p>
  </w:footnote>
  <w:footnote w:id="4">
    <w:p w14:paraId="0BB548AE" w14:textId="77777777" w:rsidR="00D026C5" w:rsidRPr="00D20031" w:rsidRDefault="00D026C5" w:rsidP="004C0022">
      <w:pPr>
        <w:pStyle w:val="FootnoteText"/>
        <w:rPr>
          <w:szCs w:val="18"/>
          <w:lang w:val="en-GB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Voir décision IPBES-3/3, annexe I, sect. </w:t>
      </w:r>
      <w:r w:rsidRPr="00D20031">
        <w:rPr>
          <w:szCs w:val="18"/>
          <w:lang w:val="en-GB"/>
        </w:rPr>
        <w:t>3.4.</w:t>
      </w:r>
    </w:p>
  </w:footnote>
  <w:footnote w:id="5">
    <w:p w14:paraId="44B1F19C" w14:textId="77777777" w:rsidR="00D026C5" w:rsidRPr="00D20031" w:rsidRDefault="00D026C5" w:rsidP="004C0022">
      <w:pPr>
        <w:pStyle w:val="FootnoteText"/>
        <w:rPr>
          <w:szCs w:val="18"/>
          <w:lang w:val="en-GB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  <w:lang w:val="en-GB"/>
        </w:rPr>
        <w:t xml:space="preserve"> IPBES/7/6, </w:t>
      </w:r>
      <w:proofErr w:type="spellStart"/>
      <w:r w:rsidRPr="00D20031">
        <w:rPr>
          <w:szCs w:val="18"/>
          <w:lang w:val="en-GB"/>
        </w:rPr>
        <w:t>appendice</w:t>
      </w:r>
      <w:proofErr w:type="spellEnd"/>
      <w:r w:rsidRPr="00D20031">
        <w:rPr>
          <w:szCs w:val="18"/>
          <w:lang w:val="en-GB"/>
        </w:rPr>
        <w:t> II, sect. I.</w:t>
      </w:r>
    </w:p>
  </w:footnote>
  <w:footnote w:id="6">
    <w:p w14:paraId="164DC5F4" w14:textId="44399B29" w:rsidR="00D026C5" w:rsidRPr="0063261A" w:rsidRDefault="00D026C5">
      <w:pPr>
        <w:pStyle w:val="FootnoteText"/>
        <w:rPr>
          <w:lang w:val="en-US"/>
        </w:rPr>
      </w:pPr>
      <w:bookmarkStart w:id="2" w:name="_DV_C124"/>
      <w:r>
        <w:rPr>
          <w:rStyle w:val="FootnoteReference"/>
        </w:rPr>
        <w:footnoteRef/>
      </w:r>
      <w:r w:rsidRPr="0063261A">
        <w:rPr>
          <w:lang w:val="en-US"/>
        </w:rPr>
        <w:t xml:space="preserve"> </w:t>
      </w:r>
      <w:r w:rsidRPr="00F84840">
        <w:rPr>
          <w:rStyle w:val="DeltaViewInsertion"/>
          <w:color w:val="auto"/>
          <w:szCs w:val="18"/>
          <w:u w:val="none"/>
          <w:lang w:val="en-US"/>
        </w:rPr>
        <w:t>Ibid., sect. III.</w:t>
      </w:r>
    </w:p>
    <w:bookmarkEnd w:id="2"/>
  </w:footnote>
  <w:footnote w:id="7">
    <w:p w14:paraId="74CB06CB" w14:textId="77777777" w:rsidR="00D026C5" w:rsidRPr="00DA39DB" w:rsidRDefault="00D026C5" w:rsidP="004C0022">
      <w:pPr>
        <w:pStyle w:val="FootnoteText"/>
        <w:rPr>
          <w:szCs w:val="18"/>
          <w:lang w:val="fr-FR"/>
        </w:rPr>
      </w:pPr>
      <w:r w:rsidRPr="00D20031">
        <w:rPr>
          <w:rStyle w:val="FootnoteReference"/>
          <w:sz w:val="18"/>
        </w:rPr>
        <w:footnoteRef/>
      </w:r>
      <w:r w:rsidRPr="00F84840">
        <w:rPr>
          <w:szCs w:val="18"/>
          <w:lang w:val="en-US"/>
        </w:rPr>
        <w:t xml:space="preserve"> Ibid., sect. </w:t>
      </w:r>
      <w:r w:rsidRPr="00DA39DB">
        <w:rPr>
          <w:szCs w:val="18"/>
          <w:lang w:val="fr-FR"/>
        </w:rPr>
        <w:t>IV.</w:t>
      </w:r>
    </w:p>
  </w:footnote>
  <w:footnote w:id="8">
    <w:p w14:paraId="2BD09CF2" w14:textId="77777777" w:rsidR="00D026C5" w:rsidRPr="00C1072D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Voir décision IPBES-3/3, annexe I, sect. </w:t>
      </w:r>
      <w:r w:rsidRPr="00C1072D">
        <w:rPr>
          <w:szCs w:val="18"/>
          <w:lang w:val="en-US"/>
        </w:rPr>
        <w:t>3.2.</w:t>
      </w:r>
    </w:p>
  </w:footnote>
  <w:footnote w:id="9">
    <w:p w14:paraId="7D21CBD9" w14:textId="77777777" w:rsidR="00D026C5" w:rsidRPr="00C1072D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C1072D">
        <w:rPr>
          <w:szCs w:val="18"/>
          <w:lang w:val="en-US"/>
        </w:rPr>
        <w:t xml:space="preserve"> Ibid., sect. 4.</w:t>
      </w:r>
    </w:p>
  </w:footnote>
  <w:footnote w:id="10">
    <w:p w14:paraId="14963F2B" w14:textId="77777777" w:rsidR="00D026C5" w:rsidRPr="000C25F6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C1072D">
        <w:rPr>
          <w:szCs w:val="18"/>
          <w:lang w:val="en-US"/>
        </w:rPr>
        <w:t xml:space="preserve"> IPBES/7/6, </w:t>
      </w:r>
      <w:proofErr w:type="spellStart"/>
      <w:r w:rsidRPr="00C1072D">
        <w:rPr>
          <w:szCs w:val="18"/>
          <w:lang w:val="en-US"/>
        </w:rPr>
        <w:t>appendice</w:t>
      </w:r>
      <w:proofErr w:type="spellEnd"/>
      <w:r w:rsidRPr="00C1072D">
        <w:rPr>
          <w:szCs w:val="18"/>
          <w:lang w:val="en-US"/>
        </w:rPr>
        <w:t> II, sect. </w:t>
      </w:r>
      <w:r w:rsidRPr="000C25F6">
        <w:rPr>
          <w:szCs w:val="18"/>
        </w:rPr>
        <w:t>II.</w:t>
      </w:r>
    </w:p>
  </w:footnote>
  <w:footnote w:id="11">
    <w:p w14:paraId="6302077F" w14:textId="1C0D91D2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Disponible à l</w:t>
      </w:r>
      <w:r>
        <w:rPr>
          <w:szCs w:val="18"/>
        </w:rPr>
        <w:t>’</w:t>
      </w:r>
      <w:r w:rsidRPr="00D20031">
        <w:rPr>
          <w:szCs w:val="18"/>
        </w:rPr>
        <w:t>adresse suivante</w:t>
      </w:r>
      <w:r>
        <w:rPr>
          <w:szCs w:val="18"/>
        </w:rPr>
        <w:t> :</w:t>
      </w:r>
      <w:r w:rsidRPr="00D20031">
        <w:rPr>
          <w:szCs w:val="18"/>
        </w:rPr>
        <w:t xml:space="preserve"> </w:t>
      </w:r>
      <w:hyperlink r:id="rId1" w:history="1">
        <w:r w:rsidRPr="00D20031">
          <w:rPr>
            <w:rStyle w:val="Hyperlink"/>
            <w:sz w:val="18"/>
            <w:szCs w:val="18"/>
            <w:lang w:val="fr-CA"/>
          </w:rPr>
          <w:t>https://www.ipbes.net/guide-production-assessments</w:t>
        </w:r>
      </w:hyperlink>
      <w:r w:rsidRPr="00D20031">
        <w:rPr>
          <w:szCs w:val="18"/>
        </w:rPr>
        <w:t>.</w:t>
      </w:r>
    </w:p>
  </w:footnote>
  <w:footnote w:id="12">
    <w:p w14:paraId="5FE679C9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IPBES/7/INF/7, annexe, sect. IV.</w:t>
      </w:r>
    </w:p>
  </w:footnote>
  <w:footnote w:id="13">
    <w:p w14:paraId="27DB0E61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IPBES/7/INF/9, annexe, sect. VI.</w:t>
      </w:r>
    </w:p>
  </w:footnote>
  <w:footnote w:id="14">
    <w:p w14:paraId="19C36A78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IPBES/7/INF/8, annexe, sect. IV.</w:t>
      </w:r>
    </w:p>
  </w:footnote>
  <w:footnote w:id="15">
    <w:p w14:paraId="78D83F27" w14:textId="77777777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IPBES/7/INF/13, annexe, sect. V.</w:t>
      </w:r>
    </w:p>
  </w:footnote>
  <w:footnote w:id="16">
    <w:p w14:paraId="1AFBB8E6" w14:textId="77777777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>IPBES/7/INF/11, annexe, sect. IV.</w:t>
      </w:r>
    </w:p>
  </w:footnote>
  <w:footnote w:id="17">
    <w:p w14:paraId="45F1219A" w14:textId="77777777" w:rsidR="00D026C5" w:rsidRPr="00F84840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F84840">
        <w:rPr>
          <w:szCs w:val="18"/>
          <w:lang w:val="en-US"/>
        </w:rPr>
        <w:t xml:space="preserve"> </w:t>
      </w:r>
      <w:proofErr w:type="spellStart"/>
      <w:r w:rsidRPr="00F84840">
        <w:rPr>
          <w:szCs w:val="18"/>
          <w:lang w:val="en-US"/>
        </w:rPr>
        <w:t>Voir</w:t>
      </w:r>
      <w:proofErr w:type="spellEnd"/>
      <w:r w:rsidRPr="00F84840">
        <w:rPr>
          <w:szCs w:val="18"/>
          <w:lang w:val="en-US"/>
        </w:rPr>
        <w:t xml:space="preserve"> UNEP/IPBES.MI/2/9, </w:t>
      </w:r>
      <w:proofErr w:type="spellStart"/>
      <w:r w:rsidRPr="00F84840">
        <w:rPr>
          <w:szCs w:val="18"/>
          <w:lang w:val="en-US"/>
        </w:rPr>
        <w:t>annexe</w:t>
      </w:r>
      <w:proofErr w:type="spellEnd"/>
      <w:r w:rsidRPr="00F84840">
        <w:rPr>
          <w:szCs w:val="18"/>
          <w:lang w:val="en-US"/>
        </w:rPr>
        <w:t xml:space="preserve"> I, </w:t>
      </w:r>
      <w:proofErr w:type="spellStart"/>
      <w:r w:rsidRPr="00F84840">
        <w:rPr>
          <w:szCs w:val="18"/>
          <w:lang w:val="en-US"/>
        </w:rPr>
        <w:t>appendice</w:t>
      </w:r>
      <w:proofErr w:type="spellEnd"/>
      <w:r w:rsidRPr="00F84840">
        <w:rPr>
          <w:szCs w:val="18"/>
          <w:lang w:val="en-US"/>
        </w:rPr>
        <w:t> I, sect. II.</w:t>
      </w:r>
    </w:p>
  </w:footnote>
  <w:footnote w:id="18">
    <w:p w14:paraId="24248603" w14:textId="77777777" w:rsidR="00D026C5" w:rsidRPr="000C25F6" w:rsidRDefault="00D026C5" w:rsidP="001609F3">
      <w:pPr>
        <w:pStyle w:val="FootnoteText"/>
        <w:tabs>
          <w:tab w:val="left" w:pos="624"/>
          <w:tab w:val="left" w:pos="6390"/>
        </w:tabs>
        <w:rPr>
          <w:szCs w:val="18"/>
        </w:rPr>
      </w:pPr>
      <w:r w:rsidRPr="003E7B8B">
        <w:rPr>
          <w:rStyle w:val="FootnoteReference"/>
        </w:rPr>
        <w:footnoteRef/>
      </w:r>
      <w:r w:rsidRPr="001D4262">
        <w:rPr>
          <w:szCs w:val="18"/>
          <w:lang w:val="en-US"/>
        </w:rPr>
        <w:t xml:space="preserve"> </w:t>
      </w:r>
      <w:r>
        <w:rPr>
          <w:szCs w:val="18"/>
          <w:lang w:val="en-GB"/>
        </w:rPr>
        <w:t>UNEP/IPBES.MI/2/9, annexe </w:t>
      </w:r>
      <w:r w:rsidRPr="00B47C69">
        <w:rPr>
          <w:szCs w:val="18"/>
          <w:lang w:val="en-GB"/>
        </w:rPr>
        <w:t xml:space="preserve">I, </w:t>
      </w:r>
      <w:proofErr w:type="spellStart"/>
      <w:r w:rsidRPr="00B47C69">
        <w:rPr>
          <w:szCs w:val="18"/>
          <w:lang w:val="en-GB"/>
        </w:rPr>
        <w:t>appendice</w:t>
      </w:r>
      <w:proofErr w:type="spellEnd"/>
      <w:r>
        <w:rPr>
          <w:szCs w:val="18"/>
          <w:lang w:val="en-GB"/>
        </w:rPr>
        <w:t> I, sect. </w:t>
      </w:r>
      <w:r w:rsidRPr="000C25F6">
        <w:rPr>
          <w:szCs w:val="18"/>
        </w:rPr>
        <w:t>I.</w:t>
      </w:r>
    </w:p>
  </w:footnote>
  <w:footnote w:id="19">
    <w:p w14:paraId="39641415" w14:textId="77777777" w:rsidR="00D026C5" w:rsidRPr="000C25F6" w:rsidRDefault="00D026C5" w:rsidP="001609F3">
      <w:pPr>
        <w:pStyle w:val="FootnoteText"/>
        <w:tabs>
          <w:tab w:val="left" w:pos="624"/>
        </w:tabs>
        <w:rPr>
          <w:rStyle w:val="FootnoteReference"/>
        </w:rPr>
      </w:pPr>
      <w:r w:rsidRPr="00582A6F">
        <w:rPr>
          <w:rStyle w:val="FootnoteReference"/>
        </w:rPr>
        <w:footnoteRef/>
      </w:r>
      <w:r w:rsidRPr="000C25F6">
        <w:rPr>
          <w:rStyle w:val="FootnoteReference"/>
        </w:rPr>
        <w:t xml:space="preserve"> </w:t>
      </w:r>
      <w:r w:rsidRPr="000C25F6">
        <w:rPr>
          <w:szCs w:val="18"/>
        </w:rPr>
        <w:t>Ibid., sect. II.</w:t>
      </w:r>
    </w:p>
  </w:footnote>
  <w:footnote w:id="20">
    <w:p w14:paraId="2DB8A8EC" w14:textId="27AADF8F" w:rsidR="00D026C5" w:rsidRPr="00DD0533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lang w:val="en-GB"/>
        </w:rPr>
        <w:footnoteRef/>
      </w:r>
      <w:r w:rsidRPr="00DD0533">
        <w:rPr>
          <w:szCs w:val="18"/>
        </w:rPr>
        <w:t xml:space="preserve"> Par </w:t>
      </w:r>
      <w:r>
        <w:rPr>
          <w:szCs w:val="18"/>
        </w:rPr>
        <w:t>« </w:t>
      </w:r>
      <w:r w:rsidRPr="00DD0533">
        <w:rPr>
          <w:szCs w:val="18"/>
        </w:rPr>
        <w:t xml:space="preserve">changement </w:t>
      </w:r>
      <w:r>
        <w:rPr>
          <w:szCs w:val="18"/>
        </w:rPr>
        <w:t>transformateur »</w:t>
      </w:r>
      <w:r w:rsidRPr="00DD0533">
        <w:rPr>
          <w:szCs w:val="18"/>
        </w:rPr>
        <w:t xml:space="preserve"> on entend</w:t>
      </w:r>
      <w:r>
        <w:rPr>
          <w:szCs w:val="18"/>
        </w:rPr>
        <w:t xml:space="preserve"> un </w:t>
      </w:r>
      <w:r w:rsidRPr="00DD0533">
        <w:rPr>
          <w:szCs w:val="18"/>
        </w:rPr>
        <w:t xml:space="preserve">changement </w:t>
      </w:r>
      <w:r>
        <w:rPr>
          <w:szCs w:val="18"/>
        </w:rPr>
        <w:t>fondamental à l’échelle d’un </w:t>
      </w:r>
      <w:r w:rsidRPr="00DD0533">
        <w:rPr>
          <w:szCs w:val="18"/>
        </w:rPr>
        <w:t>système</w:t>
      </w:r>
      <w:r>
        <w:rPr>
          <w:szCs w:val="18"/>
        </w:rPr>
        <w:t>,</w:t>
      </w:r>
      <w:r w:rsidRPr="00DD0533">
        <w:rPr>
          <w:szCs w:val="18"/>
        </w:rPr>
        <w:t xml:space="preserve"> qui </w:t>
      </w:r>
      <w:r>
        <w:rPr>
          <w:szCs w:val="18"/>
        </w:rPr>
        <w:t>prend</w:t>
      </w:r>
      <w:r w:rsidRPr="00DD0533">
        <w:rPr>
          <w:szCs w:val="18"/>
        </w:rPr>
        <w:t xml:space="preserve"> en </w:t>
      </w:r>
      <w:r>
        <w:rPr>
          <w:rFonts w:eastAsia="Calibri"/>
          <w:bCs/>
          <w:szCs w:val="18"/>
        </w:rPr>
        <w:t>considé</w:t>
      </w:r>
      <w:r w:rsidRPr="00DD0533">
        <w:rPr>
          <w:rFonts w:eastAsia="Calibri"/>
          <w:bCs/>
          <w:szCs w:val="18"/>
        </w:rPr>
        <w:t>ration</w:t>
      </w:r>
      <w:r>
        <w:rPr>
          <w:rFonts w:eastAsia="Calibri"/>
          <w:bCs/>
          <w:szCs w:val="18"/>
        </w:rPr>
        <w:t xml:space="preserve"> les facteurs technologiques, économiques et sociaux, y compris en termes de </w:t>
      </w:r>
      <w:r w:rsidRPr="00DD0533">
        <w:rPr>
          <w:szCs w:val="18"/>
        </w:rPr>
        <w:t>paradigm</w:t>
      </w:r>
      <w:r>
        <w:rPr>
          <w:szCs w:val="18"/>
        </w:rPr>
        <w:t>e</w:t>
      </w:r>
      <w:r w:rsidRPr="00DD0533">
        <w:rPr>
          <w:szCs w:val="18"/>
        </w:rPr>
        <w:t>s,</w:t>
      </w:r>
      <w:r>
        <w:rPr>
          <w:szCs w:val="18"/>
        </w:rPr>
        <w:t xml:space="preserve"> buts et valeurs</w:t>
      </w:r>
      <w:r w:rsidRPr="00DD0533">
        <w:rPr>
          <w:szCs w:val="18"/>
        </w:rPr>
        <w:t>.</w:t>
      </w:r>
    </w:p>
  </w:footnote>
  <w:footnote w:id="21">
    <w:p w14:paraId="20353A08" w14:textId="2A7798F4" w:rsidR="00D026C5" w:rsidRPr="00DA19F5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Les </w:t>
      </w:r>
      <w:r w:rsidRPr="00DA19F5">
        <w:rPr>
          <w:szCs w:val="18"/>
        </w:rPr>
        <w:t xml:space="preserve">travaux </w:t>
      </w:r>
      <w:r>
        <w:rPr>
          <w:szCs w:val="18"/>
        </w:rPr>
        <w:t>relevant</w:t>
      </w:r>
      <w:r w:rsidRPr="00DA19F5">
        <w:rPr>
          <w:szCs w:val="18"/>
        </w:rPr>
        <w:t xml:space="preserve"> de l</w:t>
      </w:r>
      <w:r>
        <w:rPr>
          <w:szCs w:val="18"/>
        </w:rPr>
        <w:t>’objectif </w:t>
      </w:r>
      <w:r w:rsidRPr="00DA19F5">
        <w:rPr>
          <w:szCs w:val="18"/>
        </w:rPr>
        <w:t xml:space="preserve">1 seront menés conformément aux procédures </w:t>
      </w:r>
      <w:r>
        <w:rPr>
          <w:szCs w:val="18"/>
        </w:rPr>
        <w:t>à suivre pour la réalisation des évaluations thématiques ou méthodologiques et des évaluations régionales, sous-régionales ou mondiales et en respectant la procédure d’approbation pour les documents techniques, énoncée dans l’annexe </w:t>
      </w:r>
      <w:r w:rsidRPr="00DA19F5">
        <w:rPr>
          <w:szCs w:val="18"/>
        </w:rPr>
        <w:t xml:space="preserve">I </w:t>
      </w:r>
      <w:r>
        <w:rPr>
          <w:szCs w:val="18"/>
        </w:rPr>
        <w:t>de la décision </w:t>
      </w:r>
      <w:r w:rsidRPr="00DA19F5">
        <w:rPr>
          <w:szCs w:val="18"/>
        </w:rPr>
        <w:t xml:space="preserve">IPBES-3/3. </w:t>
      </w:r>
    </w:p>
  </w:footnote>
  <w:footnote w:id="22">
    <w:p w14:paraId="350005A5" w14:textId="72EFB742" w:rsidR="00D026C5" w:rsidRPr="003F2734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Les </w:t>
      </w:r>
      <w:r w:rsidRPr="0007460D">
        <w:rPr>
          <w:szCs w:val="18"/>
        </w:rPr>
        <w:t xml:space="preserve">activités </w:t>
      </w:r>
      <w:r>
        <w:rPr>
          <w:szCs w:val="18"/>
        </w:rPr>
        <w:t>correspondant à</w:t>
      </w:r>
      <w:r w:rsidRPr="0007460D">
        <w:rPr>
          <w:szCs w:val="18"/>
        </w:rPr>
        <w:t xml:space="preserve"> cet objectif seront menées conformément aux besoins prioritaires en matière de</w:t>
      </w:r>
      <w:r>
        <w:rPr>
          <w:szCs w:val="18"/>
        </w:rPr>
        <w:t> </w:t>
      </w:r>
      <w:r w:rsidRPr="0007460D">
        <w:rPr>
          <w:szCs w:val="18"/>
        </w:rPr>
        <w:t>renforcement</w:t>
      </w:r>
      <w:r>
        <w:rPr>
          <w:szCs w:val="18"/>
        </w:rPr>
        <w:t xml:space="preserve"> des </w:t>
      </w:r>
      <w:r w:rsidRPr="0007460D">
        <w:rPr>
          <w:szCs w:val="18"/>
        </w:rPr>
        <w:t xml:space="preserve">capacités </w:t>
      </w:r>
      <w:r>
        <w:rPr>
          <w:szCs w:val="18"/>
        </w:rPr>
        <w:t>tels qu’</w:t>
      </w:r>
      <w:r w:rsidRPr="0007460D">
        <w:rPr>
          <w:szCs w:val="18"/>
        </w:rPr>
        <w:t>approuvés par</w:t>
      </w:r>
      <w:r>
        <w:rPr>
          <w:szCs w:val="18"/>
        </w:rPr>
        <w:t xml:space="preserve"> la </w:t>
      </w:r>
      <w:r w:rsidRPr="0007460D">
        <w:rPr>
          <w:szCs w:val="18"/>
        </w:rPr>
        <w:t xml:space="preserve">Plénière dans sa </w:t>
      </w:r>
      <w:r>
        <w:rPr>
          <w:szCs w:val="18"/>
        </w:rPr>
        <w:t>dé</w:t>
      </w:r>
      <w:r w:rsidRPr="0007460D">
        <w:rPr>
          <w:szCs w:val="18"/>
        </w:rPr>
        <w:t xml:space="preserve">cision IPBES-3/1 </w:t>
      </w:r>
      <w:r>
        <w:rPr>
          <w:szCs w:val="18"/>
        </w:rPr>
        <w:t xml:space="preserve">et </w:t>
      </w:r>
      <w:proofErr w:type="gramStart"/>
      <w:r>
        <w:rPr>
          <w:szCs w:val="18"/>
        </w:rPr>
        <w:t>au</w:t>
      </w:r>
      <w:proofErr w:type="gramEnd"/>
      <w:r>
        <w:rPr>
          <w:szCs w:val="18"/>
        </w:rPr>
        <w:t xml:space="preserve"> plan glissant de la Plateforme en matière de renforcement des capacités accueilli avec satisfaction par la Plénière dans sa dé</w:t>
      </w:r>
      <w:r w:rsidRPr="0007460D">
        <w:rPr>
          <w:kern w:val="14"/>
          <w:szCs w:val="18"/>
          <w:lang w:eastAsia="ja-JP"/>
        </w:rPr>
        <w:t>cision</w:t>
      </w:r>
      <w:r>
        <w:rPr>
          <w:kern w:val="14"/>
          <w:szCs w:val="18"/>
          <w:lang w:eastAsia="ja-JP"/>
        </w:rPr>
        <w:t> </w:t>
      </w:r>
      <w:r w:rsidRPr="0007460D">
        <w:rPr>
          <w:kern w:val="14"/>
          <w:szCs w:val="18"/>
          <w:lang w:eastAsia="ja-JP"/>
        </w:rPr>
        <w:t xml:space="preserve">IPBES-5/1. </w:t>
      </w:r>
      <w:r w:rsidRPr="003F2734">
        <w:rPr>
          <w:kern w:val="14"/>
          <w:szCs w:val="18"/>
          <w:lang w:eastAsia="ja-JP"/>
        </w:rPr>
        <w:t>Ce plan</w:t>
      </w:r>
      <w:r w:rsidRPr="003F2734">
        <w:rPr>
          <w:szCs w:val="18"/>
        </w:rPr>
        <w:t xml:space="preserve"> comprend trois stratégies</w:t>
      </w:r>
      <w:r>
        <w:rPr>
          <w:szCs w:val="18"/>
        </w:rPr>
        <w:t> :</w:t>
      </w:r>
      <w:r w:rsidRPr="003F2734">
        <w:rPr>
          <w:szCs w:val="18"/>
        </w:rPr>
        <w:t xml:space="preserve"> </w:t>
      </w:r>
      <w:r>
        <w:rPr>
          <w:szCs w:val="18"/>
        </w:rPr>
        <w:t>apprentissage et engagement</w:t>
      </w:r>
      <w:r w:rsidRPr="003F2734">
        <w:rPr>
          <w:szCs w:val="18"/>
        </w:rPr>
        <w:t>, facilitation de l</w:t>
      </w:r>
      <w:r>
        <w:rPr>
          <w:szCs w:val="18"/>
        </w:rPr>
        <w:t>’accès à des compé</w:t>
      </w:r>
      <w:r w:rsidRPr="003F2734">
        <w:rPr>
          <w:szCs w:val="18"/>
        </w:rPr>
        <w:t xml:space="preserve">tences </w:t>
      </w:r>
      <w:r>
        <w:rPr>
          <w:szCs w:val="18"/>
        </w:rPr>
        <w:t>d’experts</w:t>
      </w:r>
      <w:r w:rsidRPr="003F2734">
        <w:rPr>
          <w:szCs w:val="18"/>
        </w:rPr>
        <w:t xml:space="preserve"> et à l</w:t>
      </w:r>
      <w:r>
        <w:rPr>
          <w:szCs w:val="18"/>
        </w:rPr>
        <w:t>’</w:t>
      </w:r>
      <w:r w:rsidRPr="003F2734">
        <w:rPr>
          <w:szCs w:val="18"/>
        </w:rPr>
        <w:t>information</w:t>
      </w:r>
      <w:r>
        <w:rPr>
          <w:szCs w:val="18"/>
        </w:rPr>
        <w:t xml:space="preserve">, et renforcement des capacités nationales et régionales. </w:t>
      </w:r>
    </w:p>
  </w:footnote>
  <w:footnote w:id="23">
    <w:p w14:paraId="5CE56262" w14:textId="77777777" w:rsidR="00D026C5" w:rsidRPr="00DA7EEB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Dé</w:t>
      </w:r>
      <w:r w:rsidRPr="00DA7EEB">
        <w:rPr>
          <w:szCs w:val="18"/>
        </w:rPr>
        <w:t>cision</w:t>
      </w:r>
      <w:r>
        <w:rPr>
          <w:szCs w:val="18"/>
        </w:rPr>
        <w:t> </w:t>
      </w:r>
      <w:r w:rsidRPr="00DA7EEB">
        <w:rPr>
          <w:szCs w:val="18"/>
        </w:rPr>
        <w:t>IPBES-5/1, annexe</w:t>
      </w:r>
      <w:r>
        <w:rPr>
          <w:szCs w:val="18"/>
        </w:rPr>
        <w:t> </w:t>
      </w:r>
      <w:r w:rsidRPr="00DA7EEB">
        <w:rPr>
          <w:szCs w:val="18"/>
        </w:rPr>
        <w:t xml:space="preserve">II. </w:t>
      </w:r>
    </w:p>
  </w:footnote>
  <w:footnote w:id="24">
    <w:p w14:paraId="66FC2277" w14:textId="77777777" w:rsidR="00D026C5" w:rsidRPr="00B10275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Décision </w:t>
      </w:r>
      <w:r w:rsidRPr="00B10275">
        <w:rPr>
          <w:szCs w:val="18"/>
        </w:rPr>
        <w:t>IPBES-3/4, annexe</w:t>
      </w:r>
      <w:r>
        <w:rPr>
          <w:szCs w:val="18"/>
        </w:rPr>
        <w:t> </w:t>
      </w:r>
      <w:r w:rsidRPr="00B10275">
        <w:rPr>
          <w:szCs w:val="18"/>
        </w:rPr>
        <w:t xml:space="preserve">I. </w:t>
      </w:r>
    </w:p>
  </w:footnote>
  <w:footnote w:id="25">
    <w:p w14:paraId="71C31967" w14:textId="77777777" w:rsidR="00D026C5" w:rsidRPr="00425C6C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B10275">
        <w:rPr>
          <w:rStyle w:val="FootnoteReference"/>
        </w:rPr>
        <w:footnoteRef/>
      </w:r>
      <w:r>
        <w:rPr>
          <w:szCs w:val="18"/>
        </w:rPr>
        <w:t xml:space="preserve"> Décision </w:t>
      </w:r>
      <w:r w:rsidRPr="00B10275">
        <w:rPr>
          <w:szCs w:val="18"/>
        </w:rPr>
        <w:t>IPBES-2/8.</w:t>
      </w:r>
    </w:p>
  </w:footnote>
  <w:footnote w:id="26">
    <w:p w14:paraId="64B26D04" w14:textId="55C40A58" w:rsidR="00D026C5" w:rsidRDefault="00D026C5" w:rsidP="001609F3">
      <w:pPr>
        <w:pStyle w:val="FootnoteText"/>
      </w:pPr>
      <w:r>
        <w:rPr>
          <w:rStyle w:val="FootnoteReference"/>
        </w:rPr>
        <w:footnoteRef/>
      </w:r>
      <w:r>
        <w:t xml:space="preserve"> Conformément à la section II de la décision IPBES-4/4. Les réseaux autonomes sont, à ce jour, le </w:t>
      </w:r>
      <w:r w:rsidRPr="00424537">
        <w:t>Forum international</w:t>
      </w:r>
      <w:r>
        <w:t xml:space="preserve"> des </w:t>
      </w:r>
      <w:r w:rsidRPr="00424537">
        <w:t>peuples autochtones sur</w:t>
      </w:r>
      <w:r>
        <w:t xml:space="preserve"> la </w:t>
      </w:r>
      <w:r w:rsidRPr="00424537">
        <w:t>biodiversité</w:t>
      </w:r>
      <w:r>
        <w:t xml:space="preserve"> et les services écosystémiques et le réseau à composition non limitée des partenaires de la Plateforme. </w:t>
      </w:r>
    </w:p>
  </w:footnote>
  <w:footnote w:id="27">
    <w:p w14:paraId="2C0D222C" w14:textId="77777777" w:rsidR="00D026C5" w:rsidRPr="00B47C69" w:rsidRDefault="00D026C5" w:rsidP="001609F3">
      <w:pPr>
        <w:pStyle w:val="FootnoteText"/>
        <w:tabs>
          <w:tab w:val="left" w:pos="624"/>
        </w:tabs>
        <w:rPr>
          <w:szCs w:val="18"/>
          <w:lang w:val="en-GB"/>
        </w:rPr>
      </w:pPr>
      <w:r w:rsidRPr="00392C46">
        <w:rPr>
          <w:rStyle w:val="FootnoteReference"/>
        </w:rPr>
        <w:footnoteRef/>
      </w:r>
      <w:r w:rsidRPr="00425C6C">
        <w:rPr>
          <w:szCs w:val="18"/>
          <w:lang w:val="en-US"/>
        </w:rPr>
        <w:t xml:space="preserve"> </w:t>
      </w:r>
      <w:r w:rsidRPr="00B47C69">
        <w:rPr>
          <w:szCs w:val="18"/>
          <w:lang w:val="en-GB"/>
        </w:rPr>
        <w:t>UNEP/IPBES.MI/2/9, annexe</w:t>
      </w:r>
      <w:r>
        <w:rPr>
          <w:szCs w:val="18"/>
          <w:lang w:val="en-GB"/>
        </w:rPr>
        <w:t xml:space="preserve"> I, </w:t>
      </w:r>
      <w:proofErr w:type="spellStart"/>
      <w:r>
        <w:rPr>
          <w:szCs w:val="18"/>
          <w:lang w:val="en-GB"/>
        </w:rPr>
        <w:t>appendice</w:t>
      </w:r>
      <w:proofErr w:type="spellEnd"/>
      <w:r>
        <w:rPr>
          <w:szCs w:val="18"/>
          <w:lang w:val="en-GB"/>
        </w:rPr>
        <w:t> </w:t>
      </w:r>
      <w:r w:rsidRPr="00B47C69">
        <w:rPr>
          <w:szCs w:val="18"/>
          <w:lang w:val="en-GB"/>
        </w:rPr>
        <w:t>I.</w:t>
      </w:r>
    </w:p>
  </w:footnote>
  <w:footnote w:id="28">
    <w:p w14:paraId="0EE4C528" w14:textId="4F197660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 w:rsidRPr="00572638">
        <w:rPr>
          <w:szCs w:val="18"/>
        </w:rPr>
        <w:t xml:space="preserve"> Adopté par</w:t>
      </w:r>
      <w:r>
        <w:rPr>
          <w:szCs w:val="18"/>
        </w:rPr>
        <w:t xml:space="preserve"> la </w:t>
      </w:r>
      <w:r w:rsidRPr="00572638">
        <w:rPr>
          <w:szCs w:val="18"/>
        </w:rPr>
        <w:t xml:space="preserve">décision IPBES-1/1 et </w:t>
      </w:r>
      <w:r>
        <w:rPr>
          <w:szCs w:val="18"/>
        </w:rPr>
        <w:t>modifié</w:t>
      </w:r>
      <w:r w:rsidRPr="00572638">
        <w:rPr>
          <w:szCs w:val="18"/>
        </w:rPr>
        <w:t xml:space="preserve"> par</w:t>
      </w:r>
      <w:r>
        <w:rPr>
          <w:szCs w:val="18"/>
        </w:rPr>
        <w:t xml:space="preserve"> la </w:t>
      </w:r>
      <w:r w:rsidRPr="00572638">
        <w:rPr>
          <w:szCs w:val="18"/>
        </w:rPr>
        <w:t>décision IPBES-2/1.</w:t>
      </w:r>
    </w:p>
  </w:footnote>
  <w:footnote w:id="29">
    <w:p w14:paraId="796C5AD5" w14:textId="1688FC53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>
        <w:rPr>
          <w:szCs w:val="18"/>
        </w:rPr>
        <w:t xml:space="preserve"> Énoncées dans l’annexe I de la décision </w:t>
      </w:r>
      <w:r w:rsidRPr="00572638">
        <w:rPr>
          <w:szCs w:val="18"/>
        </w:rPr>
        <w:t>IPBES-3/3.</w:t>
      </w:r>
    </w:p>
  </w:footnote>
  <w:footnote w:id="30">
    <w:p w14:paraId="4CE58C46" w14:textId="217C3D15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 w:rsidRPr="00572638">
        <w:rPr>
          <w:szCs w:val="18"/>
        </w:rPr>
        <w:t xml:space="preserve"> Comme indiqué dans l</w:t>
      </w:r>
      <w:r>
        <w:rPr>
          <w:szCs w:val="18"/>
        </w:rPr>
        <w:t>’</w:t>
      </w:r>
      <w:r w:rsidRPr="00572638">
        <w:rPr>
          <w:szCs w:val="18"/>
        </w:rPr>
        <w:t>Approche concernant</w:t>
      </w:r>
      <w:r>
        <w:rPr>
          <w:szCs w:val="18"/>
        </w:rPr>
        <w:t xml:space="preserve"> la </w:t>
      </w:r>
      <w:r w:rsidRPr="00572638">
        <w:rPr>
          <w:szCs w:val="18"/>
        </w:rPr>
        <w:t>reconnaissance et l</w:t>
      </w:r>
      <w:r>
        <w:rPr>
          <w:szCs w:val="18"/>
        </w:rPr>
        <w:t>’</w:t>
      </w:r>
      <w:r w:rsidRPr="00572638">
        <w:rPr>
          <w:szCs w:val="18"/>
        </w:rPr>
        <w:t>utilisation</w:t>
      </w:r>
      <w:r>
        <w:rPr>
          <w:szCs w:val="18"/>
        </w:rPr>
        <w:t xml:space="preserve"> des </w:t>
      </w:r>
      <w:r w:rsidRPr="00572638">
        <w:rPr>
          <w:szCs w:val="18"/>
        </w:rPr>
        <w:t>savoirs autochtones et locaux dans</w:t>
      </w:r>
      <w:r>
        <w:rPr>
          <w:szCs w:val="18"/>
        </w:rPr>
        <w:t xml:space="preserve"> les </w:t>
      </w:r>
      <w:r w:rsidRPr="00572638">
        <w:rPr>
          <w:szCs w:val="18"/>
        </w:rPr>
        <w:t>travaux de</w:t>
      </w:r>
      <w:r>
        <w:rPr>
          <w:szCs w:val="18"/>
        </w:rPr>
        <w:t xml:space="preserve"> la </w:t>
      </w:r>
      <w:r w:rsidRPr="00572638">
        <w:rPr>
          <w:szCs w:val="18"/>
        </w:rPr>
        <w:t>Plateforme intergouvernementale scientifique et politique sur</w:t>
      </w:r>
      <w:r>
        <w:rPr>
          <w:szCs w:val="18"/>
        </w:rPr>
        <w:t xml:space="preserve"> la </w:t>
      </w:r>
      <w:r w:rsidRPr="00572638">
        <w:rPr>
          <w:szCs w:val="18"/>
        </w:rPr>
        <w:t>biodiversité et</w:t>
      </w:r>
      <w:r>
        <w:rPr>
          <w:szCs w:val="18"/>
        </w:rPr>
        <w:t xml:space="preserve"> les </w:t>
      </w:r>
      <w:r w:rsidRPr="00572638">
        <w:rPr>
          <w:szCs w:val="18"/>
        </w:rPr>
        <w:t>services écosystémiques, exposée</w:t>
      </w:r>
      <w:r>
        <w:rPr>
          <w:szCs w:val="18"/>
        </w:rPr>
        <w:t xml:space="preserve"> dans l’annexe II de la décision </w:t>
      </w:r>
      <w:r w:rsidRPr="00572638">
        <w:rPr>
          <w:szCs w:val="18"/>
        </w:rPr>
        <w:t xml:space="preserve">IPBES-5/1. </w:t>
      </w:r>
    </w:p>
  </w:footnote>
  <w:footnote w:id="31">
    <w:p w14:paraId="1355D6F5" w14:textId="4380EB24" w:rsidR="00D026C5" w:rsidRPr="008E126F" w:rsidRDefault="00D026C5" w:rsidP="00A53F09">
      <w:pPr>
        <w:pStyle w:val="CommentText"/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582A6F">
        <w:rPr>
          <w:rStyle w:val="FootnoteReference"/>
          <w:sz w:val="18"/>
        </w:rPr>
        <w:footnoteRef/>
      </w:r>
      <w:r w:rsidRPr="00F84840">
        <w:rPr>
          <w:sz w:val="18"/>
          <w:szCs w:val="18"/>
        </w:rPr>
        <w:t xml:space="preserve"> </w:t>
      </w:r>
      <w:r w:rsidRPr="008E126F">
        <w:rPr>
          <w:sz w:val="18"/>
          <w:szCs w:val="18"/>
        </w:rPr>
        <w:t>À sa douzième réunion,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a approuvé l</w:t>
      </w:r>
      <w:r>
        <w:rPr>
          <w:sz w:val="18"/>
          <w:szCs w:val="18"/>
        </w:rPr>
        <w:t>’</w:t>
      </w:r>
      <w:r w:rsidRPr="008E126F">
        <w:rPr>
          <w:sz w:val="18"/>
          <w:szCs w:val="18"/>
        </w:rPr>
        <w:t>Approche concernant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reconnaissance et l</w:t>
      </w:r>
      <w:r>
        <w:rPr>
          <w:sz w:val="18"/>
          <w:szCs w:val="18"/>
        </w:rPr>
        <w:t>’</w:t>
      </w:r>
      <w:r w:rsidRPr="008E126F">
        <w:rPr>
          <w:sz w:val="18"/>
          <w:szCs w:val="18"/>
        </w:rPr>
        <w:t>utilisation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>savoirs autochtones et locaux dans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travaux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intergouvernementale scientifique et politique sur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biodiversité et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services écosystémiques. À intervalles réguliers,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examine, en vue de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approuver,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recommandations formulées par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équipes spéciales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visant à mentionner, sur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 xml:space="preserve">site </w:t>
      </w:r>
      <w:r>
        <w:rPr>
          <w:sz w:val="18"/>
          <w:szCs w:val="18"/>
        </w:rPr>
        <w:t xml:space="preserve">Web </w:t>
      </w:r>
      <w:r w:rsidRPr="008E126F">
        <w:rPr>
          <w:sz w:val="18"/>
          <w:szCs w:val="18"/>
        </w:rPr>
        <w:t>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Plateforme,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organisations menant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 xml:space="preserve">activités qui appuient </w:t>
      </w:r>
      <w:r>
        <w:rPr>
          <w:sz w:val="18"/>
          <w:szCs w:val="18"/>
        </w:rPr>
        <w:t>sensiblement la </w:t>
      </w:r>
      <w:r w:rsidRPr="008E126F">
        <w:rPr>
          <w:sz w:val="18"/>
          <w:szCs w:val="18"/>
        </w:rPr>
        <w:t>mise en œuvre de</w:t>
      </w:r>
      <w:r>
        <w:rPr>
          <w:sz w:val="18"/>
          <w:szCs w:val="18"/>
        </w:rPr>
        <w:t> </w:t>
      </w:r>
      <w:r w:rsidRPr="008E126F">
        <w:rPr>
          <w:sz w:val="18"/>
          <w:szCs w:val="18"/>
        </w:rPr>
        <w:t>son programme de travail.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organisations dont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liste a été approuvée par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so</w:t>
      </w:r>
      <w:r>
        <w:rPr>
          <w:sz w:val="18"/>
          <w:szCs w:val="18"/>
        </w:rPr>
        <w:t>nt mentionnées sur le </w:t>
      </w:r>
      <w:r w:rsidRPr="008E126F">
        <w:rPr>
          <w:sz w:val="18"/>
          <w:szCs w:val="18"/>
        </w:rPr>
        <w:t xml:space="preserve">site </w:t>
      </w:r>
      <w:r>
        <w:rPr>
          <w:sz w:val="18"/>
          <w:szCs w:val="18"/>
        </w:rPr>
        <w:t xml:space="preserve">Web </w:t>
      </w:r>
      <w:r w:rsidRPr="008E126F">
        <w:rPr>
          <w:sz w:val="18"/>
          <w:szCs w:val="18"/>
        </w:rPr>
        <w:t>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comme collaborateurs soutenant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initiatives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</w:t>
      </w:r>
      <w:r>
        <w:rPr>
          <w:sz w:val="18"/>
          <w:szCs w:val="18"/>
        </w:rPr>
        <w:t> ; le </w:t>
      </w:r>
      <w:r w:rsidRPr="008E126F">
        <w:rPr>
          <w:sz w:val="18"/>
          <w:szCs w:val="18"/>
        </w:rPr>
        <w:t>Bureau revoit cette liste à intervalles réguliers, avec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concours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 xml:space="preserve">équipes spéciales </w:t>
      </w:r>
      <w:r>
        <w:rPr>
          <w:sz w:val="18"/>
          <w:szCs w:val="18"/>
        </w:rPr>
        <w:t>concernées</w:t>
      </w:r>
      <w:r w:rsidRPr="008E126F">
        <w:rPr>
          <w:sz w:val="18"/>
          <w:szCs w:val="18"/>
        </w:rPr>
        <w:t xml:space="preserve">. </w:t>
      </w:r>
    </w:p>
  </w:footnote>
  <w:footnote w:id="32">
    <w:p w14:paraId="5F241F69" w14:textId="2A31C13B" w:rsidR="00D026C5" w:rsidRPr="008E126F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8E126F">
        <w:rPr>
          <w:rStyle w:val="FootnoteReference"/>
          <w:rFonts w:eastAsia="MS Mincho"/>
        </w:rPr>
        <w:footnoteRef/>
      </w:r>
      <w:r w:rsidRPr="008E126F">
        <w:rPr>
          <w:szCs w:val="18"/>
        </w:rPr>
        <w:t xml:space="preserve"> Présenté dans l</w:t>
      </w:r>
      <w:r>
        <w:rPr>
          <w:szCs w:val="18"/>
        </w:rPr>
        <w:t>’</w:t>
      </w:r>
      <w:r w:rsidRPr="008E126F">
        <w:rPr>
          <w:szCs w:val="18"/>
        </w:rPr>
        <w:t xml:space="preserve">annexe I </w:t>
      </w:r>
      <w:r>
        <w:rPr>
          <w:szCs w:val="18"/>
        </w:rPr>
        <w:t>de la </w:t>
      </w:r>
      <w:r w:rsidRPr="008E126F">
        <w:rPr>
          <w:kern w:val="14"/>
          <w:szCs w:val="18"/>
          <w:lang w:eastAsia="ja-JP"/>
        </w:rPr>
        <w:t>décision IPBES-5/1.</w:t>
      </w:r>
    </w:p>
  </w:footnote>
  <w:footnote w:id="33">
    <w:p w14:paraId="07D5F802" w14:textId="05EEA38E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rFonts w:eastAsia="MS Mincho"/>
        </w:rPr>
        <w:footnoteRef/>
      </w:r>
      <w:r w:rsidRPr="00B971A1">
        <w:rPr>
          <w:szCs w:val="18"/>
        </w:rPr>
        <w:t xml:space="preserve"> Énoncé</w:t>
      </w:r>
      <w:r>
        <w:rPr>
          <w:szCs w:val="18"/>
        </w:rPr>
        <w:t>es</w:t>
      </w:r>
      <w:r w:rsidRPr="00B971A1">
        <w:rPr>
          <w:szCs w:val="18"/>
        </w:rPr>
        <w:t xml:space="preserve"> dans l</w:t>
      </w:r>
      <w:r>
        <w:rPr>
          <w:szCs w:val="18"/>
        </w:rPr>
        <w:t>’</w:t>
      </w:r>
      <w:r w:rsidRPr="00B971A1">
        <w:rPr>
          <w:szCs w:val="18"/>
        </w:rPr>
        <w:t>annexe</w:t>
      </w:r>
      <w:r>
        <w:rPr>
          <w:szCs w:val="18"/>
        </w:rPr>
        <w:t> I de la décision IPBES-3/3, sect. </w:t>
      </w:r>
      <w:r w:rsidRPr="00B971A1">
        <w:rPr>
          <w:szCs w:val="18"/>
        </w:rPr>
        <w:t xml:space="preserve">7. </w:t>
      </w:r>
    </w:p>
  </w:footnote>
  <w:footnote w:id="34">
    <w:p w14:paraId="369817AE" w14:textId="77777777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rFonts w:eastAsia="MS Mincho"/>
          <w:lang w:val="en-GB"/>
        </w:rPr>
        <w:footnoteRef/>
      </w:r>
      <w:r>
        <w:rPr>
          <w:szCs w:val="18"/>
        </w:rPr>
        <w:t xml:space="preserve"> Décision </w:t>
      </w:r>
      <w:r w:rsidRPr="00B971A1">
        <w:rPr>
          <w:szCs w:val="18"/>
        </w:rPr>
        <w:t>IPBES-5/1, annex</w:t>
      </w:r>
      <w:r>
        <w:rPr>
          <w:szCs w:val="18"/>
        </w:rPr>
        <w:t>e </w:t>
      </w:r>
      <w:r w:rsidRPr="00B971A1">
        <w:rPr>
          <w:szCs w:val="18"/>
        </w:rPr>
        <w:t xml:space="preserve">II. </w:t>
      </w:r>
    </w:p>
  </w:footnote>
  <w:footnote w:id="35">
    <w:p w14:paraId="03D13579" w14:textId="77777777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lang w:val="en-GB"/>
        </w:rPr>
        <w:footnoteRef/>
      </w:r>
      <w:r>
        <w:rPr>
          <w:szCs w:val="18"/>
        </w:rPr>
        <w:t xml:space="preserve"> Décision </w:t>
      </w:r>
      <w:r w:rsidRPr="00B971A1">
        <w:rPr>
          <w:szCs w:val="18"/>
        </w:rPr>
        <w:t>IPBES-4/1, annex</w:t>
      </w:r>
      <w:r>
        <w:rPr>
          <w:szCs w:val="18"/>
        </w:rPr>
        <w:t>e </w:t>
      </w:r>
      <w:r w:rsidRPr="00B971A1">
        <w:rPr>
          <w:szCs w:val="18"/>
        </w:rPr>
        <w:t>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31C3" w14:textId="2F575A98" w:rsidR="00D026C5" w:rsidRPr="00543F5D" w:rsidRDefault="0063261A" w:rsidP="00543F5D">
    <w:pPr>
      <w:pStyle w:val="Header"/>
      <w:rPr>
        <w:b w:val="0"/>
        <w:szCs w:val="18"/>
      </w:rPr>
    </w:pPr>
    <w:r>
      <w:rPr>
        <w:szCs w:val="18"/>
      </w:rPr>
      <w:t>Décision IPBES-7/</w:t>
    </w:r>
    <w:r w:rsidR="00DA39DB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5752" w14:textId="00C5BC01" w:rsidR="00D026C5" w:rsidRPr="00543F5D" w:rsidRDefault="0063261A" w:rsidP="00543F5D">
    <w:pPr>
      <w:pStyle w:val="Header"/>
      <w:jc w:val="right"/>
      <w:rPr>
        <w:b w:val="0"/>
        <w:szCs w:val="18"/>
      </w:rPr>
    </w:pPr>
    <w:r>
      <w:rPr>
        <w:szCs w:val="18"/>
      </w:rPr>
      <w:t>Décision IPBES-7/</w:t>
    </w:r>
    <w:r w:rsidR="00DA39DB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57A8" w14:textId="7F0C044E" w:rsidR="00D026C5" w:rsidRPr="00543F5D" w:rsidRDefault="0063261A" w:rsidP="00543F5D">
    <w:pPr>
      <w:pStyle w:val="Header"/>
      <w:rPr>
        <w:b w:val="0"/>
        <w:szCs w:val="18"/>
      </w:rPr>
    </w:pPr>
    <w:r>
      <w:rPr>
        <w:szCs w:val="18"/>
      </w:rPr>
      <w:t>Décision IPBES-7/X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BA89" w14:textId="4DC48516" w:rsidR="00D026C5" w:rsidRDefault="0063261A" w:rsidP="00FB6397">
    <w:pPr>
      <w:pStyle w:val="Header"/>
      <w:tabs>
        <w:tab w:val="clear" w:pos="4536"/>
        <w:tab w:val="clear" w:pos="9072"/>
        <w:tab w:val="left" w:pos="624"/>
      </w:tabs>
    </w:pPr>
    <w:r>
      <w:rPr>
        <w:szCs w:val="18"/>
      </w:rPr>
      <w:t>Décision IPBES-7/</w:t>
    </w:r>
    <w:r w:rsidR="00DA39DB">
      <w:rPr>
        <w:szCs w:val="18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134D" w14:textId="2E3BA325" w:rsidR="00D026C5" w:rsidRDefault="0063261A" w:rsidP="00FB6397">
    <w:pPr>
      <w:pStyle w:val="Header"/>
      <w:tabs>
        <w:tab w:val="clear" w:pos="4536"/>
        <w:tab w:val="clear" w:pos="9072"/>
        <w:tab w:val="left" w:pos="624"/>
      </w:tabs>
      <w:jc w:val="right"/>
    </w:pPr>
    <w:r>
      <w:rPr>
        <w:szCs w:val="18"/>
      </w:rPr>
      <w:t>Décision IPBES-7/</w:t>
    </w:r>
    <w:r w:rsidR="00DA39DB">
      <w:rPr>
        <w:szCs w:val="18"/>
      </w:rPr>
      <w:t>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F999" w14:textId="0E47AB23" w:rsidR="00D026C5" w:rsidRPr="00B612D4" w:rsidRDefault="0063261A" w:rsidP="00B612D4">
    <w:pPr>
      <w:pStyle w:val="Header"/>
      <w:jc w:val="right"/>
      <w:rPr>
        <w:b w:val="0"/>
        <w:szCs w:val="18"/>
      </w:rPr>
    </w:pPr>
    <w:r>
      <w:rPr>
        <w:noProof/>
        <w:szCs w:val="18"/>
      </w:rPr>
      <w:t>Décision IPBES-7/</w:t>
    </w:r>
    <w:r w:rsidR="00DA39DB">
      <w:rPr>
        <w:noProof/>
        <w:szCs w:val="18"/>
      </w:rPr>
      <w:t>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1A8163C4" w:rsidR="00D026C5" w:rsidRPr="008D2C44" w:rsidRDefault="0063261A" w:rsidP="00471052">
    <w:pPr>
      <w:pStyle w:val="Header-pool"/>
      <w:jc w:val="right"/>
    </w:pPr>
    <w:r>
      <w:t>Décision IPBES-7/</w:t>
    </w:r>
    <w:r w:rsidR="00DA39DB">
      <w:t>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03B1" w14:textId="1C3FC186" w:rsidR="00D026C5" w:rsidRPr="00F903E0" w:rsidRDefault="0063261A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Décision IPBES-7/X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" w15:restartNumberingAfterBreak="0">
    <w:nsid w:val="27FA56B8"/>
    <w:multiLevelType w:val="multilevel"/>
    <w:tmpl w:val="CE4EFDC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34001A0B"/>
    <w:multiLevelType w:val="multilevel"/>
    <w:tmpl w:val="A9941D8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64C2BE7"/>
    <w:multiLevelType w:val="multilevel"/>
    <w:tmpl w:val="D572309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70"/>
    <w:rsid w:val="00006938"/>
    <w:rsid w:val="00006A3D"/>
    <w:rsid w:val="00013B17"/>
    <w:rsid w:val="000149E6"/>
    <w:rsid w:val="00022B44"/>
    <w:rsid w:val="000247B0"/>
    <w:rsid w:val="00024951"/>
    <w:rsid w:val="00026997"/>
    <w:rsid w:val="00030240"/>
    <w:rsid w:val="00032F1F"/>
    <w:rsid w:val="00033E0B"/>
    <w:rsid w:val="00035EDE"/>
    <w:rsid w:val="00042BE9"/>
    <w:rsid w:val="00042E69"/>
    <w:rsid w:val="00044BE7"/>
    <w:rsid w:val="00047AAD"/>
    <w:rsid w:val="000509B4"/>
    <w:rsid w:val="00050A66"/>
    <w:rsid w:val="00050C08"/>
    <w:rsid w:val="00051CE9"/>
    <w:rsid w:val="00052F2F"/>
    <w:rsid w:val="00055CF4"/>
    <w:rsid w:val="0006035B"/>
    <w:rsid w:val="00061769"/>
    <w:rsid w:val="000618B2"/>
    <w:rsid w:val="00062EBF"/>
    <w:rsid w:val="00065148"/>
    <w:rsid w:val="00066760"/>
    <w:rsid w:val="00071886"/>
    <w:rsid w:val="00072235"/>
    <w:rsid w:val="000727AE"/>
    <w:rsid w:val="00072B67"/>
    <w:rsid w:val="00073CE8"/>
    <w:rsid w:val="000742BC"/>
    <w:rsid w:val="00075E1F"/>
    <w:rsid w:val="00077CA1"/>
    <w:rsid w:val="0008028E"/>
    <w:rsid w:val="000811A3"/>
    <w:rsid w:val="00082A0C"/>
    <w:rsid w:val="00083504"/>
    <w:rsid w:val="00092427"/>
    <w:rsid w:val="000936A3"/>
    <w:rsid w:val="000946FE"/>
    <w:rsid w:val="000953F8"/>
    <w:rsid w:val="0009640C"/>
    <w:rsid w:val="000A2383"/>
    <w:rsid w:val="000B15DB"/>
    <w:rsid w:val="000B22A2"/>
    <w:rsid w:val="000B342D"/>
    <w:rsid w:val="000B4414"/>
    <w:rsid w:val="000B4D84"/>
    <w:rsid w:val="000B668C"/>
    <w:rsid w:val="000C03D9"/>
    <w:rsid w:val="000C23E0"/>
    <w:rsid w:val="000C25F6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47BF"/>
    <w:rsid w:val="000D539E"/>
    <w:rsid w:val="000D6941"/>
    <w:rsid w:val="000D727B"/>
    <w:rsid w:val="000E09D0"/>
    <w:rsid w:val="000E6765"/>
    <w:rsid w:val="000E701A"/>
    <w:rsid w:val="000F01EB"/>
    <w:rsid w:val="000F3FDB"/>
    <w:rsid w:val="000F41E0"/>
    <w:rsid w:val="000F602B"/>
    <w:rsid w:val="000F7F9D"/>
    <w:rsid w:val="00104568"/>
    <w:rsid w:val="00104861"/>
    <w:rsid w:val="00106628"/>
    <w:rsid w:val="001076D1"/>
    <w:rsid w:val="001122E3"/>
    <w:rsid w:val="00112396"/>
    <w:rsid w:val="00113F5D"/>
    <w:rsid w:val="00115E46"/>
    <w:rsid w:val="0011669B"/>
    <w:rsid w:val="0011797B"/>
    <w:rsid w:val="001202E3"/>
    <w:rsid w:val="00120A86"/>
    <w:rsid w:val="00121BDC"/>
    <w:rsid w:val="00122965"/>
    <w:rsid w:val="00123174"/>
    <w:rsid w:val="00123699"/>
    <w:rsid w:val="0013059D"/>
    <w:rsid w:val="0013101E"/>
    <w:rsid w:val="00135994"/>
    <w:rsid w:val="0013744B"/>
    <w:rsid w:val="001375B7"/>
    <w:rsid w:val="001404D9"/>
    <w:rsid w:val="00140A7C"/>
    <w:rsid w:val="00141A55"/>
    <w:rsid w:val="00144213"/>
    <w:rsid w:val="001446A3"/>
    <w:rsid w:val="001518E1"/>
    <w:rsid w:val="00151BEF"/>
    <w:rsid w:val="00152765"/>
    <w:rsid w:val="00155395"/>
    <w:rsid w:val="0015599B"/>
    <w:rsid w:val="001609F3"/>
    <w:rsid w:val="00160D74"/>
    <w:rsid w:val="001615C1"/>
    <w:rsid w:val="00162AB9"/>
    <w:rsid w:val="001650A7"/>
    <w:rsid w:val="00165926"/>
    <w:rsid w:val="00167307"/>
    <w:rsid w:val="0016735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0EBE"/>
    <w:rsid w:val="001A1536"/>
    <w:rsid w:val="001A1807"/>
    <w:rsid w:val="001A1A8B"/>
    <w:rsid w:val="001A5874"/>
    <w:rsid w:val="001B1617"/>
    <w:rsid w:val="001B281B"/>
    <w:rsid w:val="001B359B"/>
    <w:rsid w:val="001B3758"/>
    <w:rsid w:val="001B3A62"/>
    <w:rsid w:val="001B4746"/>
    <w:rsid w:val="001B504B"/>
    <w:rsid w:val="001C0606"/>
    <w:rsid w:val="001C151D"/>
    <w:rsid w:val="001C22C3"/>
    <w:rsid w:val="001C599C"/>
    <w:rsid w:val="001C721F"/>
    <w:rsid w:val="001D055B"/>
    <w:rsid w:val="001D3874"/>
    <w:rsid w:val="001D4CCC"/>
    <w:rsid w:val="001D529B"/>
    <w:rsid w:val="001D7E75"/>
    <w:rsid w:val="001E27A4"/>
    <w:rsid w:val="001E2BF5"/>
    <w:rsid w:val="001E56D2"/>
    <w:rsid w:val="001E65A0"/>
    <w:rsid w:val="001E7D56"/>
    <w:rsid w:val="001F0AD0"/>
    <w:rsid w:val="001F122A"/>
    <w:rsid w:val="001F12FF"/>
    <w:rsid w:val="001F1648"/>
    <w:rsid w:val="001F2C16"/>
    <w:rsid w:val="001F511B"/>
    <w:rsid w:val="001F6091"/>
    <w:rsid w:val="001F75DE"/>
    <w:rsid w:val="00200D58"/>
    <w:rsid w:val="00201172"/>
    <w:rsid w:val="002013BE"/>
    <w:rsid w:val="0020440E"/>
    <w:rsid w:val="00205438"/>
    <w:rsid w:val="002063A4"/>
    <w:rsid w:val="0020711A"/>
    <w:rsid w:val="0021145B"/>
    <w:rsid w:val="002131BB"/>
    <w:rsid w:val="00217FDC"/>
    <w:rsid w:val="00227163"/>
    <w:rsid w:val="00232F93"/>
    <w:rsid w:val="00234040"/>
    <w:rsid w:val="00234807"/>
    <w:rsid w:val="00234847"/>
    <w:rsid w:val="00234E35"/>
    <w:rsid w:val="0023689F"/>
    <w:rsid w:val="00242084"/>
    <w:rsid w:val="002423FC"/>
    <w:rsid w:val="00242C40"/>
    <w:rsid w:val="00243D36"/>
    <w:rsid w:val="00247707"/>
    <w:rsid w:val="002477DE"/>
    <w:rsid w:val="002479C0"/>
    <w:rsid w:val="00247C3C"/>
    <w:rsid w:val="00250960"/>
    <w:rsid w:val="0025125E"/>
    <w:rsid w:val="00252F48"/>
    <w:rsid w:val="0025339C"/>
    <w:rsid w:val="002539D7"/>
    <w:rsid w:val="00253AAE"/>
    <w:rsid w:val="00255F96"/>
    <w:rsid w:val="00257E53"/>
    <w:rsid w:val="0026018E"/>
    <w:rsid w:val="00262BC2"/>
    <w:rsid w:val="00263DE4"/>
    <w:rsid w:val="00272D1D"/>
    <w:rsid w:val="00273F67"/>
    <w:rsid w:val="00274D0F"/>
    <w:rsid w:val="00275CF8"/>
    <w:rsid w:val="00281DE5"/>
    <w:rsid w:val="002820F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042"/>
    <w:rsid w:val="002A4C53"/>
    <w:rsid w:val="002B01CE"/>
    <w:rsid w:val="002B0672"/>
    <w:rsid w:val="002B0D7E"/>
    <w:rsid w:val="002B247F"/>
    <w:rsid w:val="002B3851"/>
    <w:rsid w:val="002B474C"/>
    <w:rsid w:val="002B6140"/>
    <w:rsid w:val="002B6D00"/>
    <w:rsid w:val="002C145D"/>
    <w:rsid w:val="002C2C3E"/>
    <w:rsid w:val="002C4AB1"/>
    <w:rsid w:val="002C533E"/>
    <w:rsid w:val="002C6F33"/>
    <w:rsid w:val="002C7940"/>
    <w:rsid w:val="002D027F"/>
    <w:rsid w:val="002D11E5"/>
    <w:rsid w:val="002D1876"/>
    <w:rsid w:val="002D3369"/>
    <w:rsid w:val="002D74B5"/>
    <w:rsid w:val="002D74CD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727"/>
    <w:rsid w:val="003019E2"/>
    <w:rsid w:val="00302159"/>
    <w:rsid w:val="00302A18"/>
    <w:rsid w:val="00302BB8"/>
    <w:rsid w:val="00306862"/>
    <w:rsid w:val="0030766A"/>
    <w:rsid w:val="00310EA1"/>
    <w:rsid w:val="00311D76"/>
    <w:rsid w:val="003123CC"/>
    <w:rsid w:val="003124F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56D6"/>
    <w:rsid w:val="00346331"/>
    <w:rsid w:val="00355EA9"/>
    <w:rsid w:val="003578DE"/>
    <w:rsid w:val="003605A1"/>
    <w:rsid w:val="0036139D"/>
    <w:rsid w:val="00362B46"/>
    <w:rsid w:val="00362CFB"/>
    <w:rsid w:val="0036379E"/>
    <w:rsid w:val="00365BAC"/>
    <w:rsid w:val="0036675E"/>
    <w:rsid w:val="003722C9"/>
    <w:rsid w:val="00372AA1"/>
    <w:rsid w:val="00377979"/>
    <w:rsid w:val="00380D8E"/>
    <w:rsid w:val="0038485D"/>
    <w:rsid w:val="003849C4"/>
    <w:rsid w:val="003858FD"/>
    <w:rsid w:val="00385B96"/>
    <w:rsid w:val="003872B9"/>
    <w:rsid w:val="00387D8C"/>
    <w:rsid w:val="00393028"/>
    <w:rsid w:val="003932FD"/>
    <w:rsid w:val="003938E6"/>
    <w:rsid w:val="00396257"/>
    <w:rsid w:val="00396929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1545"/>
    <w:rsid w:val="003B1763"/>
    <w:rsid w:val="003B6C78"/>
    <w:rsid w:val="003B7367"/>
    <w:rsid w:val="003C17B5"/>
    <w:rsid w:val="003C1BCF"/>
    <w:rsid w:val="003C409D"/>
    <w:rsid w:val="003C5972"/>
    <w:rsid w:val="003C5BA6"/>
    <w:rsid w:val="003C6ABD"/>
    <w:rsid w:val="003C77B2"/>
    <w:rsid w:val="003D0E2F"/>
    <w:rsid w:val="003D1B9A"/>
    <w:rsid w:val="003D36E8"/>
    <w:rsid w:val="003D5C96"/>
    <w:rsid w:val="003D608B"/>
    <w:rsid w:val="003E10DE"/>
    <w:rsid w:val="003E396F"/>
    <w:rsid w:val="003E5332"/>
    <w:rsid w:val="003E6334"/>
    <w:rsid w:val="003F0E85"/>
    <w:rsid w:val="003F3120"/>
    <w:rsid w:val="003F3739"/>
    <w:rsid w:val="003F392B"/>
    <w:rsid w:val="003F4001"/>
    <w:rsid w:val="003F6F3D"/>
    <w:rsid w:val="003F7C1A"/>
    <w:rsid w:val="003F7E1D"/>
    <w:rsid w:val="00400851"/>
    <w:rsid w:val="00410B25"/>
    <w:rsid w:val="00410C55"/>
    <w:rsid w:val="00416854"/>
    <w:rsid w:val="00417167"/>
    <w:rsid w:val="00417725"/>
    <w:rsid w:val="00421AE3"/>
    <w:rsid w:val="00422BC0"/>
    <w:rsid w:val="00425530"/>
    <w:rsid w:val="00425C24"/>
    <w:rsid w:val="0043074B"/>
    <w:rsid w:val="00431D69"/>
    <w:rsid w:val="00433434"/>
    <w:rsid w:val="00434A79"/>
    <w:rsid w:val="00436FDE"/>
    <w:rsid w:val="00437F26"/>
    <w:rsid w:val="00444097"/>
    <w:rsid w:val="00444CD5"/>
    <w:rsid w:val="00445487"/>
    <w:rsid w:val="0044657D"/>
    <w:rsid w:val="00446B22"/>
    <w:rsid w:val="0045156D"/>
    <w:rsid w:val="00451DB8"/>
    <w:rsid w:val="00453F79"/>
    <w:rsid w:val="00454769"/>
    <w:rsid w:val="0045762E"/>
    <w:rsid w:val="004641EB"/>
    <w:rsid w:val="00465040"/>
    <w:rsid w:val="00466991"/>
    <w:rsid w:val="004677D9"/>
    <w:rsid w:val="0047064C"/>
    <w:rsid w:val="00471052"/>
    <w:rsid w:val="00471270"/>
    <w:rsid w:val="004720F5"/>
    <w:rsid w:val="004722BD"/>
    <w:rsid w:val="00473C08"/>
    <w:rsid w:val="00477D8A"/>
    <w:rsid w:val="0048392E"/>
    <w:rsid w:val="004843BC"/>
    <w:rsid w:val="00486A09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B162C"/>
    <w:rsid w:val="004B4104"/>
    <w:rsid w:val="004B44B7"/>
    <w:rsid w:val="004C0022"/>
    <w:rsid w:val="004C101F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E6D2E"/>
    <w:rsid w:val="004F050F"/>
    <w:rsid w:val="004F1A81"/>
    <w:rsid w:val="004F22E1"/>
    <w:rsid w:val="004F4FD1"/>
    <w:rsid w:val="004F51CB"/>
    <w:rsid w:val="004F6344"/>
    <w:rsid w:val="005005F2"/>
    <w:rsid w:val="00500C88"/>
    <w:rsid w:val="005048C0"/>
    <w:rsid w:val="0050515A"/>
    <w:rsid w:val="00505269"/>
    <w:rsid w:val="0051572B"/>
    <w:rsid w:val="005165E3"/>
    <w:rsid w:val="0051776B"/>
    <w:rsid w:val="00520B69"/>
    <w:rsid w:val="00521324"/>
    <w:rsid w:val="005218D9"/>
    <w:rsid w:val="005223D7"/>
    <w:rsid w:val="00524E90"/>
    <w:rsid w:val="0052571A"/>
    <w:rsid w:val="005265E8"/>
    <w:rsid w:val="0052669B"/>
    <w:rsid w:val="00527941"/>
    <w:rsid w:val="0053140D"/>
    <w:rsid w:val="00535206"/>
    <w:rsid w:val="0053554F"/>
    <w:rsid w:val="00536186"/>
    <w:rsid w:val="0053704B"/>
    <w:rsid w:val="005415F1"/>
    <w:rsid w:val="00543F5D"/>
    <w:rsid w:val="005449C1"/>
    <w:rsid w:val="00544CBB"/>
    <w:rsid w:val="00544EA6"/>
    <w:rsid w:val="00545729"/>
    <w:rsid w:val="0055099D"/>
    <w:rsid w:val="00554C47"/>
    <w:rsid w:val="00564720"/>
    <w:rsid w:val="00564767"/>
    <w:rsid w:val="0056582E"/>
    <w:rsid w:val="00570A60"/>
    <w:rsid w:val="0057315F"/>
    <w:rsid w:val="00576104"/>
    <w:rsid w:val="0058349F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0C8B"/>
    <w:rsid w:val="005A1727"/>
    <w:rsid w:val="005A18F2"/>
    <w:rsid w:val="005A2156"/>
    <w:rsid w:val="005B025A"/>
    <w:rsid w:val="005B336E"/>
    <w:rsid w:val="005B734B"/>
    <w:rsid w:val="005C0C3C"/>
    <w:rsid w:val="005C2FB4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E4194"/>
    <w:rsid w:val="005E498B"/>
    <w:rsid w:val="005F06C5"/>
    <w:rsid w:val="005F100C"/>
    <w:rsid w:val="005F22E0"/>
    <w:rsid w:val="005F3147"/>
    <w:rsid w:val="005F31B8"/>
    <w:rsid w:val="005F46AD"/>
    <w:rsid w:val="005F547D"/>
    <w:rsid w:val="005F68DA"/>
    <w:rsid w:val="005F7739"/>
    <w:rsid w:val="006009E5"/>
    <w:rsid w:val="006010F0"/>
    <w:rsid w:val="0060773B"/>
    <w:rsid w:val="0061054E"/>
    <w:rsid w:val="00610C4F"/>
    <w:rsid w:val="00613F14"/>
    <w:rsid w:val="006157B5"/>
    <w:rsid w:val="00616F19"/>
    <w:rsid w:val="006208D3"/>
    <w:rsid w:val="00623204"/>
    <w:rsid w:val="00623B86"/>
    <w:rsid w:val="0062634E"/>
    <w:rsid w:val="00626FC6"/>
    <w:rsid w:val="00627436"/>
    <w:rsid w:val="006300CB"/>
    <w:rsid w:val="006303B4"/>
    <w:rsid w:val="0063261A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04E0"/>
    <w:rsid w:val="00650EBE"/>
    <w:rsid w:val="00650EF3"/>
    <w:rsid w:val="00651BFA"/>
    <w:rsid w:val="006534B9"/>
    <w:rsid w:val="00654475"/>
    <w:rsid w:val="00655CFE"/>
    <w:rsid w:val="00660658"/>
    <w:rsid w:val="00661A50"/>
    <w:rsid w:val="00662D9F"/>
    <w:rsid w:val="00665A4B"/>
    <w:rsid w:val="00672DC0"/>
    <w:rsid w:val="00674D0B"/>
    <w:rsid w:val="00676210"/>
    <w:rsid w:val="00682228"/>
    <w:rsid w:val="00682A64"/>
    <w:rsid w:val="00682C94"/>
    <w:rsid w:val="00684B06"/>
    <w:rsid w:val="00685B94"/>
    <w:rsid w:val="00691BF9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A7BDF"/>
    <w:rsid w:val="006B0102"/>
    <w:rsid w:val="006B0D1A"/>
    <w:rsid w:val="006B0F43"/>
    <w:rsid w:val="006B131C"/>
    <w:rsid w:val="006B3013"/>
    <w:rsid w:val="006B33E5"/>
    <w:rsid w:val="006B7163"/>
    <w:rsid w:val="006C0085"/>
    <w:rsid w:val="006C10B1"/>
    <w:rsid w:val="006C3405"/>
    <w:rsid w:val="006C63F7"/>
    <w:rsid w:val="006C6CAC"/>
    <w:rsid w:val="006C7020"/>
    <w:rsid w:val="006D02B5"/>
    <w:rsid w:val="006D0F83"/>
    <w:rsid w:val="006D1A33"/>
    <w:rsid w:val="006D40B3"/>
    <w:rsid w:val="006D4D37"/>
    <w:rsid w:val="006D7EFB"/>
    <w:rsid w:val="006E0890"/>
    <w:rsid w:val="006E1AF7"/>
    <w:rsid w:val="006E23A5"/>
    <w:rsid w:val="006E3E64"/>
    <w:rsid w:val="006E5A4D"/>
    <w:rsid w:val="006E627F"/>
    <w:rsid w:val="006E6672"/>
    <w:rsid w:val="006E6722"/>
    <w:rsid w:val="006E6A4C"/>
    <w:rsid w:val="006F2232"/>
    <w:rsid w:val="006F5DDE"/>
    <w:rsid w:val="0070028D"/>
    <w:rsid w:val="007027B9"/>
    <w:rsid w:val="007031E0"/>
    <w:rsid w:val="007073B9"/>
    <w:rsid w:val="0071103D"/>
    <w:rsid w:val="00715E88"/>
    <w:rsid w:val="00721407"/>
    <w:rsid w:val="00721725"/>
    <w:rsid w:val="007218B0"/>
    <w:rsid w:val="007249A3"/>
    <w:rsid w:val="00725B04"/>
    <w:rsid w:val="00734CAA"/>
    <w:rsid w:val="00736A98"/>
    <w:rsid w:val="007407CD"/>
    <w:rsid w:val="00744400"/>
    <w:rsid w:val="007449C8"/>
    <w:rsid w:val="00746164"/>
    <w:rsid w:val="0074672B"/>
    <w:rsid w:val="00746834"/>
    <w:rsid w:val="00752A92"/>
    <w:rsid w:val="0075533C"/>
    <w:rsid w:val="00757581"/>
    <w:rsid w:val="00757ABE"/>
    <w:rsid w:val="007609B7"/>
    <w:rsid w:val="007611A0"/>
    <w:rsid w:val="00762F28"/>
    <w:rsid w:val="00764A22"/>
    <w:rsid w:val="00764B11"/>
    <w:rsid w:val="007673DE"/>
    <w:rsid w:val="007707D2"/>
    <w:rsid w:val="0077139A"/>
    <w:rsid w:val="0077408A"/>
    <w:rsid w:val="007750F0"/>
    <w:rsid w:val="007778F1"/>
    <w:rsid w:val="00777C93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B76B9"/>
    <w:rsid w:val="007C1645"/>
    <w:rsid w:val="007C2541"/>
    <w:rsid w:val="007C4C48"/>
    <w:rsid w:val="007C4E48"/>
    <w:rsid w:val="007C5642"/>
    <w:rsid w:val="007C5DCB"/>
    <w:rsid w:val="007C6021"/>
    <w:rsid w:val="007C65E5"/>
    <w:rsid w:val="007C71FB"/>
    <w:rsid w:val="007D0656"/>
    <w:rsid w:val="007D256A"/>
    <w:rsid w:val="007D29FF"/>
    <w:rsid w:val="007D6560"/>
    <w:rsid w:val="007D66A8"/>
    <w:rsid w:val="007D77CA"/>
    <w:rsid w:val="007E003F"/>
    <w:rsid w:val="007E024D"/>
    <w:rsid w:val="007E0D14"/>
    <w:rsid w:val="007E217F"/>
    <w:rsid w:val="007E2CD6"/>
    <w:rsid w:val="007E3F7A"/>
    <w:rsid w:val="007E5B3C"/>
    <w:rsid w:val="007E7DDA"/>
    <w:rsid w:val="007F2868"/>
    <w:rsid w:val="007F3343"/>
    <w:rsid w:val="007F7F4C"/>
    <w:rsid w:val="00802081"/>
    <w:rsid w:val="00803738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844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2887"/>
    <w:rsid w:val="008434CE"/>
    <w:rsid w:val="00843576"/>
    <w:rsid w:val="00843624"/>
    <w:rsid w:val="00843B64"/>
    <w:rsid w:val="008478FC"/>
    <w:rsid w:val="00852E9D"/>
    <w:rsid w:val="00854B88"/>
    <w:rsid w:val="008554BF"/>
    <w:rsid w:val="00861FF0"/>
    <w:rsid w:val="00863326"/>
    <w:rsid w:val="00863D2B"/>
    <w:rsid w:val="008675FC"/>
    <w:rsid w:val="00867BFF"/>
    <w:rsid w:val="00870953"/>
    <w:rsid w:val="00872705"/>
    <w:rsid w:val="00875025"/>
    <w:rsid w:val="008805AC"/>
    <w:rsid w:val="008820D0"/>
    <w:rsid w:val="0088288D"/>
    <w:rsid w:val="0088480A"/>
    <w:rsid w:val="0088757A"/>
    <w:rsid w:val="008876E3"/>
    <w:rsid w:val="0089019F"/>
    <w:rsid w:val="00890902"/>
    <w:rsid w:val="00892EE7"/>
    <w:rsid w:val="00893E9F"/>
    <w:rsid w:val="008957DD"/>
    <w:rsid w:val="00897D98"/>
    <w:rsid w:val="008A3165"/>
    <w:rsid w:val="008A4B4C"/>
    <w:rsid w:val="008A5D76"/>
    <w:rsid w:val="008A69D1"/>
    <w:rsid w:val="008A6DF2"/>
    <w:rsid w:val="008A7807"/>
    <w:rsid w:val="008B4CC9"/>
    <w:rsid w:val="008B4CE7"/>
    <w:rsid w:val="008C04E7"/>
    <w:rsid w:val="008D0A7B"/>
    <w:rsid w:val="008D2C44"/>
    <w:rsid w:val="008D32CA"/>
    <w:rsid w:val="008D4F56"/>
    <w:rsid w:val="008D559F"/>
    <w:rsid w:val="008D59D2"/>
    <w:rsid w:val="008D7C99"/>
    <w:rsid w:val="008E015B"/>
    <w:rsid w:val="008E0FCB"/>
    <w:rsid w:val="008E126F"/>
    <w:rsid w:val="008E571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0B62"/>
    <w:rsid w:val="0091181C"/>
    <w:rsid w:val="0091206F"/>
    <w:rsid w:val="00915F87"/>
    <w:rsid w:val="00917132"/>
    <w:rsid w:val="009207E4"/>
    <w:rsid w:val="009214FA"/>
    <w:rsid w:val="0092178C"/>
    <w:rsid w:val="0092420B"/>
    <w:rsid w:val="00930B88"/>
    <w:rsid w:val="009317E6"/>
    <w:rsid w:val="00931F17"/>
    <w:rsid w:val="00933127"/>
    <w:rsid w:val="00933FB0"/>
    <w:rsid w:val="0093464E"/>
    <w:rsid w:val="0093568E"/>
    <w:rsid w:val="00936BD6"/>
    <w:rsid w:val="009378D1"/>
    <w:rsid w:val="00940DCC"/>
    <w:rsid w:val="0094179A"/>
    <w:rsid w:val="00941E9D"/>
    <w:rsid w:val="00942927"/>
    <w:rsid w:val="009434B1"/>
    <w:rsid w:val="0094459E"/>
    <w:rsid w:val="00944DBC"/>
    <w:rsid w:val="00945229"/>
    <w:rsid w:val="009475D0"/>
    <w:rsid w:val="00950887"/>
    <w:rsid w:val="00950900"/>
    <w:rsid w:val="00950977"/>
    <w:rsid w:val="009515F5"/>
    <w:rsid w:val="00951A7B"/>
    <w:rsid w:val="00952029"/>
    <w:rsid w:val="00953349"/>
    <w:rsid w:val="0095522D"/>
    <w:rsid w:val="0095529C"/>
    <w:rsid w:val="009563FE"/>
    <w:rsid w:val="009564A6"/>
    <w:rsid w:val="00957624"/>
    <w:rsid w:val="00960D2D"/>
    <w:rsid w:val="00961690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CEE"/>
    <w:rsid w:val="00993AE7"/>
    <w:rsid w:val="00994399"/>
    <w:rsid w:val="009956AF"/>
    <w:rsid w:val="00995961"/>
    <w:rsid w:val="00997849"/>
    <w:rsid w:val="009A00E6"/>
    <w:rsid w:val="009A049D"/>
    <w:rsid w:val="009A3DC2"/>
    <w:rsid w:val="009A401E"/>
    <w:rsid w:val="009A7B8C"/>
    <w:rsid w:val="009B3241"/>
    <w:rsid w:val="009B3E0E"/>
    <w:rsid w:val="009B46A1"/>
    <w:rsid w:val="009B48FC"/>
    <w:rsid w:val="009B49F6"/>
    <w:rsid w:val="009B4A0F"/>
    <w:rsid w:val="009B4F73"/>
    <w:rsid w:val="009B608C"/>
    <w:rsid w:val="009C0F1A"/>
    <w:rsid w:val="009C11D2"/>
    <w:rsid w:val="009C6C70"/>
    <w:rsid w:val="009D0387"/>
    <w:rsid w:val="009D0B63"/>
    <w:rsid w:val="009D4CF8"/>
    <w:rsid w:val="009D5158"/>
    <w:rsid w:val="009D5B26"/>
    <w:rsid w:val="009E2DCC"/>
    <w:rsid w:val="009E307E"/>
    <w:rsid w:val="009E4CBA"/>
    <w:rsid w:val="009E6BE9"/>
    <w:rsid w:val="009E6BF6"/>
    <w:rsid w:val="009E728A"/>
    <w:rsid w:val="009F0B99"/>
    <w:rsid w:val="009F3329"/>
    <w:rsid w:val="009F4E5B"/>
    <w:rsid w:val="009F5E59"/>
    <w:rsid w:val="00A00F81"/>
    <w:rsid w:val="00A023EE"/>
    <w:rsid w:val="00A02596"/>
    <w:rsid w:val="00A04031"/>
    <w:rsid w:val="00A04F56"/>
    <w:rsid w:val="00A051D8"/>
    <w:rsid w:val="00A07870"/>
    <w:rsid w:val="00A07985"/>
    <w:rsid w:val="00A07F19"/>
    <w:rsid w:val="00A1325E"/>
    <w:rsid w:val="00A132F1"/>
    <w:rsid w:val="00A133A5"/>
    <w:rsid w:val="00A1348D"/>
    <w:rsid w:val="00A13F82"/>
    <w:rsid w:val="00A144A7"/>
    <w:rsid w:val="00A14E35"/>
    <w:rsid w:val="00A21415"/>
    <w:rsid w:val="00A232EE"/>
    <w:rsid w:val="00A26EBF"/>
    <w:rsid w:val="00A32297"/>
    <w:rsid w:val="00A322FE"/>
    <w:rsid w:val="00A34602"/>
    <w:rsid w:val="00A35D03"/>
    <w:rsid w:val="00A37F24"/>
    <w:rsid w:val="00A4175F"/>
    <w:rsid w:val="00A41C5E"/>
    <w:rsid w:val="00A430EA"/>
    <w:rsid w:val="00A437A4"/>
    <w:rsid w:val="00A44411"/>
    <w:rsid w:val="00A45DF6"/>
    <w:rsid w:val="00A469FA"/>
    <w:rsid w:val="00A47143"/>
    <w:rsid w:val="00A50B6C"/>
    <w:rsid w:val="00A514E4"/>
    <w:rsid w:val="00A527E4"/>
    <w:rsid w:val="00A53F09"/>
    <w:rsid w:val="00A53F1F"/>
    <w:rsid w:val="00A55B01"/>
    <w:rsid w:val="00A56B5B"/>
    <w:rsid w:val="00A57827"/>
    <w:rsid w:val="00A57FAD"/>
    <w:rsid w:val="00A603FF"/>
    <w:rsid w:val="00A608E4"/>
    <w:rsid w:val="00A61FE5"/>
    <w:rsid w:val="00A63413"/>
    <w:rsid w:val="00A653CB"/>
    <w:rsid w:val="00A657DD"/>
    <w:rsid w:val="00A65DEE"/>
    <w:rsid w:val="00A666A6"/>
    <w:rsid w:val="00A675FD"/>
    <w:rsid w:val="00A714DB"/>
    <w:rsid w:val="00A71852"/>
    <w:rsid w:val="00A7230F"/>
    <w:rsid w:val="00A72437"/>
    <w:rsid w:val="00A73C3E"/>
    <w:rsid w:val="00A75CFC"/>
    <w:rsid w:val="00A75D72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A04C9"/>
    <w:rsid w:val="00AB045C"/>
    <w:rsid w:val="00AB14DC"/>
    <w:rsid w:val="00AB43C8"/>
    <w:rsid w:val="00AB52C7"/>
    <w:rsid w:val="00AB5340"/>
    <w:rsid w:val="00AB6135"/>
    <w:rsid w:val="00AB6990"/>
    <w:rsid w:val="00AC0A89"/>
    <w:rsid w:val="00AC3B80"/>
    <w:rsid w:val="00AC541D"/>
    <w:rsid w:val="00AC7C96"/>
    <w:rsid w:val="00AD17B2"/>
    <w:rsid w:val="00AD1B7D"/>
    <w:rsid w:val="00AD2DB5"/>
    <w:rsid w:val="00AD369E"/>
    <w:rsid w:val="00AD3794"/>
    <w:rsid w:val="00AD6490"/>
    <w:rsid w:val="00AD7249"/>
    <w:rsid w:val="00AE04B8"/>
    <w:rsid w:val="00AE237D"/>
    <w:rsid w:val="00AE38B1"/>
    <w:rsid w:val="00AE502A"/>
    <w:rsid w:val="00AF016D"/>
    <w:rsid w:val="00AF0593"/>
    <w:rsid w:val="00AF18E9"/>
    <w:rsid w:val="00AF25DF"/>
    <w:rsid w:val="00AF49CC"/>
    <w:rsid w:val="00AF4DDF"/>
    <w:rsid w:val="00AF5DA0"/>
    <w:rsid w:val="00AF76BA"/>
    <w:rsid w:val="00AF7C07"/>
    <w:rsid w:val="00B00B98"/>
    <w:rsid w:val="00B01BC9"/>
    <w:rsid w:val="00B01EF0"/>
    <w:rsid w:val="00B031F6"/>
    <w:rsid w:val="00B04344"/>
    <w:rsid w:val="00B1147B"/>
    <w:rsid w:val="00B11594"/>
    <w:rsid w:val="00B12C03"/>
    <w:rsid w:val="00B13011"/>
    <w:rsid w:val="00B13B88"/>
    <w:rsid w:val="00B13BBC"/>
    <w:rsid w:val="00B14ABD"/>
    <w:rsid w:val="00B154F4"/>
    <w:rsid w:val="00B155DC"/>
    <w:rsid w:val="00B164A5"/>
    <w:rsid w:val="00B16B8D"/>
    <w:rsid w:val="00B17E0C"/>
    <w:rsid w:val="00B214BE"/>
    <w:rsid w:val="00B22C93"/>
    <w:rsid w:val="00B23C38"/>
    <w:rsid w:val="00B25DF3"/>
    <w:rsid w:val="00B27589"/>
    <w:rsid w:val="00B31037"/>
    <w:rsid w:val="00B31351"/>
    <w:rsid w:val="00B33DF4"/>
    <w:rsid w:val="00B355BA"/>
    <w:rsid w:val="00B40174"/>
    <w:rsid w:val="00B405B7"/>
    <w:rsid w:val="00B423CE"/>
    <w:rsid w:val="00B46AD8"/>
    <w:rsid w:val="00B5067F"/>
    <w:rsid w:val="00B52222"/>
    <w:rsid w:val="00B5224A"/>
    <w:rsid w:val="00B52633"/>
    <w:rsid w:val="00B53FB7"/>
    <w:rsid w:val="00B54FE7"/>
    <w:rsid w:val="00B56C3C"/>
    <w:rsid w:val="00B56E8C"/>
    <w:rsid w:val="00B57E0E"/>
    <w:rsid w:val="00B606C6"/>
    <w:rsid w:val="00B612D4"/>
    <w:rsid w:val="00B64EC2"/>
    <w:rsid w:val="00B66350"/>
    <w:rsid w:val="00B66901"/>
    <w:rsid w:val="00B67121"/>
    <w:rsid w:val="00B71E6D"/>
    <w:rsid w:val="00B72070"/>
    <w:rsid w:val="00B724DE"/>
    <w:rsid w:val="00B734B5"/>
    <w:rsid w:val="00B76887"/>
    <w:rsid w:val="00B779E1"/>
    <w:rsid w:val="00B91B80"/>
    <w:rsid w:val="00B91EE1"/>
    <w:rsid w:val="00B9680D"/>
    <w:rsid w:val="00BA0090"/>
    <w:rsid w:val="00BA0219"/>
    <w:rsid w:val="00BA12B5"/>
    <w:rsid w:val="00BA1A67"/>
    <w:rsid w:val="00BA4195"/>
    <w:rsid w:val="00BA4FD0"/>
    <w:rsid w:val="00BA5A03"/>
    <w:rsid w:val="00BA6B86"/>
    <w:rsid w:val="00BA7B73"/>
    <w:rsid w:val="00BB0847"/>
    <w:rsid w:val="00BB5046"/>
    <w:rsid w:val="00BB6F90"/>
    <w:rsid w:val="00BC048A"/>
    <w:rsid w:val="00BC2405"/>
    <w:rsid w:val="00BC2C7B"/>
    <w:rsid w:val="00BC6F6E"/>
    <w:rsid w:val="00BC70FE"/>
    <w:rsid w:val="00BD00A6"/>
    <w:rsid w:val="00BD22C6"/>
    <w:rsid w:val="00BD399A"/>
    <w:rsid w:val="00BD44C1"/>
    <w:rsid w:val="00BD52BA"/>
    <w:rsid w:val="00BE3A4B"/>
    <w:rsid w:val="00BE5B5F"/>
    <w:rsid w:val="00BE688C"/>
    <w:rsid w:val="00BE6B68"/>
    <w:rsid w:val="00BF3030"/>
    <w:rsid w:val="00BF3E83"/>
    <w:rsid w:val="00BF4C3D"/>
    <w:rsid w:val="00BF59FF"/>
    <w:rsid w:val="00BF625F"/>
    <w:rsid w:val="00C01F28"/>
    <w:rsid w:val="00C02BF2"/>
    <w:rsid w:val="00C0548A"/>
    <w:rsid w:val="00C067BE"/>
    <w:rsid w:val="00C0701B"/>
    <w:rsid w:val="00C1165A"/>
    <w:rsid w:val="00C122F8"/>
    <w:rsid w:val="00C1327B"/>
    <w:rsid w:val="00C1669F"/>
    <w:rsid w:val="00C21199"/>
    <w:rsid w:val="00C26F55"/>
    <w:rsid w:val="00C30C63"/>
    <w:rsid w:val="00C30D2F"/>
    <w:rsid w:val="00C3125D"/>
    <w:rsid w:val="00C36B8B"/>
    <w:rsid w:val="00C3764A"/>
    <w:rsid w:val="00C37D4A"/>
    <w:rsid w:val="00C415C1"/>
    <w:rsid w:val="00C417F2"/>
    <w:rsid w:val="00C43861"/>
    <w:rsid w:val="00C45C2E"/>
    <w:rsid w:val="00C45CF7"/>
    <w:rsid w:val="00C47072"/>
    <w:rsid w:val="00C47247"/>
    <w:rsid w:val="00C47B31"/>
    <w:rsid w:val="00C47DBF"/>
    <w:rsid w:val="00C5438A"/>
    <w:rsid w:val="00C552FF"/>
    <w:rsid w:val="00C558DA"/>
    <w:rsid w:val="00C55AC3"/>
    <w:rsid w:val="00C55AF3"/>
    <w:rsid w:val="00C57627"/>
    <w:rsid w:val="00C6409C"/>
    <w:rsid w:val="00C72F72"/>
    <w:rsid w:val="00C73B3A"/>
    <w:rsid w:val="00C74AAC"/>
    <w:rsid w:val="00C77338"/>
    <w:rsid w:val="00C77CB2"/>
    <w:rsid w:val="00C77E90"/>
    <w:rsid w:val="00C82349"/>
    <w:rsid w:val="00C83C0F"/>
    <w:rsid w:val="00C84759"/>
    <w:rsid w:val="00C97BAA"/>
    <w:rsid w:val="00CA0E1D"/>
    <w:rsid w:val="00CA1313"/>
    <w:rsid w:val="00CA15A5"/>
    <w:rsid w:val="00CA22CD"/>
    <w:rsid w:val="00CA6C7F"/>
    <w:rsid w:val="00CB1E96"/>
    <w:rsid w:val="00CB2243"/>
    <w:rsid w:val="00CB75B3"/>
    <w:rsid w:val="00CC10A6"/>
    <w:rsid w:val="00CC2240"/>
    <w:rsid w:val="00CC64A2"/>
    <w:rsid w:val="00CD5EB8"/>
    <w:rsid w:val="00CD7044"/>
    <w:rsid w:val="00CE08B9"/>
    <w:rsid w:val="00CE1E0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23EF"/>
    <w:rsid w:val="00D026C5"/>
    <w:rsid w:val="00D04097"/>
    <w:rsid w:val="00D067BB"/>
    <w:rsid w:val="00D06D72"/>
    <w:rsid w:val="00D1085A"/>
    <w:rsid w:val="00D1352A"/>
    <w:rsid w:val="00D169AF"/>
    <w:rsid w:val="00D16A2F"/>
    <w:rsid w:val="00D20C77"/>
    <w:rsid w:val="00D220E9"/>
    <w:rsid w:val="00D232A4"/>
    <w:rsid w:val="00D2427B"/>
    <w:rsid w:val="00D25249"/>
    <w:rsid w:val="00D25267"/>
    <w:rsid w:val="00D30115"/>
    <w:rsid w:val="00D325C3"/>
    <w:rsid w:val="00D32B60"/>
    <w:rsid w:val="00D354D4"/>
    <w:rsid w:val="00D36091"/>
    <w:rsid w:val="00D36189"/>
    <w:rsid w:val="00D37511"/>
    <w:rsid w:val="00D409E0"/>
    <w:rsid w:val="00D42F84"/>
    <w:rsid w:val="00D44172"/>
    <w:rsid w:val="00D46B10"/>
    <w:rsid w:val="00D51CA4"/>
    <w:rsid w:val="00D561BB"/>
    <w:rsid w:val="00D57382"/>
    <w:rsid w:val="00D61444"/>
    <w:rsid w:val="00D63336"/>
    <w:rsid w:val="00D63B8C"/>
    <w:rsid w:val="00D64E51"/>
    <w:rsid w:val="00D67B3F"/>
    <w:rsid w:val="00D70968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43CA"/>
    <w:rsid w:val="00D9791E"/>
    <w:rsid w:val="00D97EC2"/>
    <w:rsid w:val="00DA04D5"/>
    <w:rsid w:val="00DA1BCA"/>
    <w:rsid w:val="00DA25B3"/>
    <w:rsid w:val="00DA39DB"/>
    <w:rsid w:val="00DA3EA9"/>
    <w:rsid w:val="00DA5AB7"/>
    <w:rsid w:val="00DA5EE2"/>
    <w:rsid w:val="00DA7E71"/>
    <w:rsid w:val="00DB29C8"/>
    <w:rsid w:val="00DB34DC"/>
    <w:rsid w:val="00DB43E0"/>
    <w:rsid w:val="00DC1A57"/>
    <w:rsid w:val="00DC3FB8"/>
    <w:rsid w:val="00DC46FF"/>
    <w:rsid w:val="00DC4991"/>
    <w:rsid w:val="00DC5254"/>
    <w:rsid w:val="00DD0232"/>
    <w:rsid w:val="00DD1A4F"/>
    <w:rsid w:val="00DD3107"/>
    <w:rsid w:val="00DD4558"/>
    <w:rsid w:val="00DD45E3"/>
    <w:rsid w:val="00DD4889"/>
    <w:rsid w:val="00DD4C10"/>
    <w:rsid w:val="00DD554D"/>
    <w:rsid w:val="00DD5DAE"/>
    <w:rsid w:val="00DD79B5"/>
    <w:rsid w:val="00DD7C2C"/>
    <w:rsid w:val="00DE0481"/>
    <w:rsid w:val="00DE0DC4"/>
    <w:rsid w:val="00DE1365"/>
    <w:rsid w:val="00DE4B69"/>
    <w:rsid w:val="00DF11D3"/>
    <w:rsid w:val="00DF1A35"/>
    <w:rsid w:val="00DF1E4C"/>
    <w:rsid w:val="00DF23E8"/>
    <w:rsid w:val="00DF2CCD"/>
    <w:rsid w:val="00DF44F0"/>
    <w:rsid w:val="00E03ABB"/>
    <w:rsid w:val="00E06797"/>
    <w:rsid w:val="00E07690"/>
    <w:rsid w:val="00E1087F"/>
    <w:rsid w:val="00E11447"/>
    <w:rsid w:val="00E11AE0"/>
    <w:rsid w:val="00E120F7"/>
    <w:rsid w:val="00E1265B"/>
    <w:rsid w:val="00E12995"/>
    <w:rsid w:val="00E12A9F"/>
    <w:rsid w:val="00E13B48"/>
    <w:rsid w:val="00E1404F"/>
    <w:rsid w:val="00E14F3D"/>
    <w:rsid w:val="00E17660"/>
    <w:rsid w:val="00E21601"/>
    <w:rsid w:val="00E21C83"/>
    <w:rsid w:val="00E2495C"/>
    <w:rsid w:val="00E24ADA"/>
    <w:rsid w:val="00E308A5"/>
    <w:rsid w:val="00E32804"/>
    <w:rsid w:val="00E32F59"/>
    <w:rsid w:val="00E373D2"/>
    <w:rsid w:val="00E43F27"/>
    <w:rsid w:val="00E46D9A"/>
    <w:rsid w:val="00E50545"/>
    <w:rsid w:val="00E52A31"/>
    <w:rsid w:val="00E565FF"/>
    <w:rsid w:val="00E57DA5"/>
    <w:rsid w:val="00E60FB8"/>
    <w:rsid w:val="00E65388"/>
    <w:rsid w:val="00E65925"/>
    <w:rsid w:val="00E67850"/>
    <w:rsid w:val="00E71C1C"/>
    <w:rsid w:val="00E7643E"/>
    <w:rsid w:val="00E81D2E"/>
    <w:rsid w:val="00E840F7"/>
    <w:rsid w:val="00E84DC5"/>
    <w:rsid w:val="00E84E6A"/>
    <w:rsid w:val="00E85B7D"/>
    <w:rsid w:val="00E86187"/>
    <w:rsid w:val="00E86A33"/>
    <w:rsid w:val="00E87609"/>
    <w:rsid w:val="00E9121B"/>
    <w:rsid w:val="00E937BD"/>
    <w:rsid w:val="00E940CC"/>
    <w:rsid w:val="00E9433C"/>
    <w:rsid w:val="00E94CF4"/>
    <w:rsid w:val="00EA0AE2"/>
    <w:rsid w:val="00EA3356"/>
    <w:rsid w:val="00EA39E5"/>
    <w:rsid w:val="00EA64D2"/>
    <w:rsid w:val="00EB1CF6"/>
    <w:rsid w:val="00EB4305"/>
    <w:rsid w:val="00EB66BF"/>
    <w:rsid w:val="00EB7138"/>
    <w:rsid w:val="00EC2D45"/>
    <w:rsid w:val="00EC3464"/>
    <w:rsid w:val="00EC36B4"/>
    <w:rsid w:val="00EC5A46"/>
    <w:rsid w:val="00EC63E2"/>
    <w:rsid w:val="00EC6B3F"/>
    <w:rsid w:val="00ED537E"/>
    <w:rsid w:val="00ED554B"/>
    <w:rsid w:val="00ED5F61"/>
    <w:rsid w:val="00ED61F6"/>
    <w:rsid w:val="00ED6939"/>
    <w:rsid w:val="00ED76A0"/>
    <w:rsid w:val="00EE266A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55D8"/>
    <w:rsid w:val="00F07A50"/>
    <w:rsid w:val="00F102E9"/>
    <w:rsid w:val="00F11007"/>
    <w:rsid w:val="00F113DA"/>
    <w:rsid w:val="00F114EB"/>
    <w:rsid w:val="00F146CF"/>
    <w:rsid w:val="00F14BB2"/>
    <w:rsid w:val="00F15217"/>
    <w:rsid w:val="00F16021"/>
    <w:rsid w:val="00F16C81"/>
    <w:rsid w:val="00F1765B"/>
    <w:rsid w:val="00F26165"/>
    <w:rsid w:val="00F277EB"/>
    <w:rsid w:val="00F31F7A"/>
    <w:rsid w:val="00F338DC"/>
    <w:rsid w:val="00F340A8"/>
    <w:rsid w:val="00F37CE0"/>
    <w:rsid w:val="00F37DC8"/>
    <w:rsid w:val="00F40E1D"/>
    <w:rsid w:val="00F40FC8"/>
    <w:rsid w:val="00F410F3"/>
    <w:rsid w:val="00F41A74"/>
    <w:rsid w:val="00F43016"/>
    <w:rsid w:val="00F4325F"/>
    <w:rsid w:val="00F439B3"/>
    <w:rsid w:val="00F45A0A"/>
    <w:rsid w:val="00F51ECA"/>
    <w:rsid w:val="00F563FE"/>
    <w:rsid w:val="00F61B43"/>
    <w:rsid w:val="00F620D1"/>
    <w:rsid w:val="00F650C3"/>
    <w:rsid w:val="00F65D85"/>
    <w:rsid w:val="00F731FD"/>
    <w:rsid w:val="00F7427A"/>
    <w:rsid w:val="00F7627A"/>
    <w:rsid w:val="00F8091E"/>
    <w:rsid w:val="00F84840"/>
    <w:rsid w:val="00F856FE"/>
    <w:rsid w:val="00F85D1D"/>
    <w:rsid w:val="00F8615C"/>
    <w:rsid w:val="00F874E0"/>
    <w:rsid w:val="00F87B25"/>
    <w:rsid w:val="00F87EA7"/>
    <w:rsid w:val="00F969E5"/>
    <w:rsid w:val="00F96E46"/>
    <w:rsid w:val="00FA30E2"/>
    <w:rsid w:val="00FA5ADB"/>
    <w:rsid w:val="00FA6011"/>
    <w:rsid w:val="00FA6BB0"/>
    <w:rsid w:val="00FB3F0D"/>
    <w:rsid w:val="00FB501B"/>
    <w:rsid w:val="00FB6397"/>
    <w:rsid w:val="00FB6556"/>
    <w:rsid w:val="00FB690D"/>
    <w:rsid w:val="00FB6FAF"/>
    <w:rsid w:val="00FC0D95"/>
    <w:rsid w:val="00FC239B"/>
    <w:rsid w:val="00FC29F7"/>
    <w:rsid w:val="00FC2BD1"/>
    <w:rsid w:val="00FC442C"/>
    <w:rsid w:val="00FC45F2"/>
    <w:rsid w:val="00FC63C1"/>
    <w:rsid w:val="00FD18A4"/>
    <w:rsid w:val="00FD1D9C"/>
    <w:rsid w:val="00FD268A"/>
    <w:rsid w:val="00FD3CED"/>
    <w:rsid w:val="00FD5860"/>
    <w:rsid w:val="00FD5D6A"/>
    <w:rsid w:val="00FD60E7"/>
    <w:rsid w:val="00FE15FF"/>
    <w:rsid w:val="00FE19F5"/>
    <w:rsid w:val="00FE352D"/>
    <w:rsid w:val="00FE35E0"/>
    <w:rsid w:val="00FE40EB"/>
    <w:rsid w:val="00FE45EB"/>
    <w:rsid w:val="00FE4D02"/>
    <w:rsid w:val="00FE7B7B"/>
    <w:rsid w:val="00FE7D62"/>
    <w:rsid w:val="00FF0431"/>
    <w:rsid w:val="00FF1486"/>
    <w:rsid w:val="00FF3514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031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031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1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7031E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31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031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031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31E0"/>
    <w:pPr>
      <w:keepNext/>
      <w:widowControl w:val="0"/>
      <w:numPr>
        <w:numId w:val="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1E0"/>
    <w:pPr>
      <w:keepNext/>
      <w:widowControl w:val="0"/>
      <w:numPr>
        <w:numId w:val="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7031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031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031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7031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7031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031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7031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7031E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rsid w:val="007031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7031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7031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7031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7031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7031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7031E0"/>
    <w:pPr>
      <w:numPr>
        <w:numId w:val="10"/>
      </w:numPr>
    </w:pPr>
  </w:style>
  <w:style w:type="paragraph" w:customStyle="1" w:styleId="NormalNonumber">
    <w:name w:val="Normal_No_number"/>
    <w:basedOn w:val="Normalpool"/>
    <w:rsid w:val="007031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7031E0"/>
    <w:pPr>
      <w:numPr>
        <w:numId w:val="11"/>
      </w:numPr>
      <w:spacing w:after="120"/>
    </w:pPr>
  </w:style>
  <w:style w:type="paragraph" w:customStyle="1" w:styleId="Titletable">
    <w:name w:val="Title_table"/>
    <w:basedOn w:val="Normalpool"/>
    <w:rsid w:val="007031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7031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7031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7031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7031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val="fr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1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link w:val="FootnoteText"/>
    <w:rsid w:val="007031E0"/>
    <w:rPr>
      <w:sz w:val="18"/>
      <w:lang w:val="fr-CA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rsid w:val="007031E0"/>
    <w:rPr>
      <w:sz w:val="18"/>
      <w:lang w:val="fr-FR" w:eastAsia="en-US"/>
    </w:rPr>
  </w:style>
  <w:style w:type="character" w:customStyle="1" w:styleId="HeaderChar">
    <w:name w:val="Header Char"/>
    <w:link w:val="Header"/>
    <w:rsid w:val="007031E0"/>
    <w:rPr>
      <w:b/>
      <w:sz w:val="18"/>
      <w:lang w:val="fr-FR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link w:val="Heading1"/>
    <w:rsid w:val="007031E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7031E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7031E0"/>
    <w:rPr>
      <w:b/>
      <w:lang w:val="fr-FR" w:eastAsia="en-US"/>
    </w:rPr>
  </w:style>
  <w:style w:type="character" w:customStyle="1" w:styleId="Heading4Char">
    <w:name w:val="Heading 4 Char"/>
    <w:link w:val="Heading4"/>
    <w:rsid w:val="007031E0"/>
    <w:rPr>
      <w:b/>
      <w:lang w:val="fr-FR" w:eastAsia="en-US"/>
    </w:rPr>
  </w:style>
  <w:style w:type="character" w:customStyle="1" w:styleId="Heading5Char">
    <w:name w:val="Heading 5 Char"/>
    <w:link w:val="Heading5"/>
    <w:rsid w:val="007031E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7031E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7031E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7031E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7031E0"/>
    <w:rPr>
      <w:snapToGrid w:val="0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3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ind w:left="720"/>
    </w:pPr>
    <w:rPr>
      <w:sz w:val="18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lang w:val="en-GB"/>
    </w:rPr>
  </w:style>
  <w:style w:type="paragraph" w:customStyle="1" w:styleId="DualTxt">
    <w:name w:val="__Dual Txt"/>
    <w:basedOn w:val="Normal"/>
    <w:rsid w:val="00FB690D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3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4"/>
      </w:numPr>
      <w:ind w:left="1429"/>
    </w:pPr>
    <w:rPr>
      <w:rFonts w:eastAsia="MS Mincho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  <w:style w:type="character" w:customStyle="1" w:styleId="DeltaViewInsertion">
    <w:name w:val="DeltaView Insertion"/>
    <w:uiPriority w:val="99"/>
    <w:rsid w:val="0077408A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7408A"/>
    <w:rPr>
      <w:color w:val="00C000"/>
      <w:u w:val="double"/>
    </w:rPr>
  </w:style>
  <w:style w:type="character" w:customStyle="1" w:styleId="FooterChar1">
    <w:name w:val="Footer Char1"/>
    <w:basedOn w:val="DefaultParagraphFont"/>
    <w:uiPriority w:val="99"/>
    <w:semiHidden/>
    <w:rsid w:val="0077408A"/>
    <w:rPr>
      <w:lang w:val="fr-FR"/>
    </w:rPr>
  </w:style>
  <w:style w:type="character" w:customStyle="1" w:styleId="HeaderChar1">
    <w:name w:val="Header Char1"/>
    <w:basedOn w:val="DefaultParagraphFont"/>
    <w:uiPriority w:val="99"/>
    <w:semiHidden/>
    <w:rsid w:val="0077408A"/>
    <w:rPr>
      <w:lang w:val="fr-FR"/>
    </w:rPr>
  </w:style>
  <w:style w:type="character" w:customStyle="1" w:styleId="DeltaViewDeletion">
    <w:name w:val="DeltaView Deletion"/>
    <w:uiPriority w:val="99"/>
    <w:rsid w:val="0077408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7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bes.net/guide-production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2019-09-10T12:29:28Z</Uploadeddate>
  </documentManagement>
</p:properties>
</file>

<file path=customXml/itemProps1.xml><?xml version="1.0" encoding="utf-8"?>
<ds:datastoreItem xmlns:ds="http://schemas.openxmlformats.org/officeDocument/2006/customXml" ds:itemID="{AA7A75C3-E9FD-4229-ABAD-1E6C79C42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E91EC-55B4-49EB-9E75-BFB78C00FFE2}"/>
</file>

<file path=customXml/itemProps3.xml><?xml version="1.0" encoding="utf-8"?>
<ds:datastoreItem xmlns:ds="http://schemas.openxmlformats.org/officeDocument/2006/customXml" ds:itemID="{E723640C-B16C-4272-832F-F603CCA3D6B5}"/>
</file>

<file path=customXml/itemProps4.xml><?xml version="1.0" encoding="utf-8"?>
<ds:datastoreItem xmlns:ds="http://schemas.openxmlformats.org/officeDocument/2006/customXml" ds:itemID="{4A382D6A-B90B-4B01-85E7-9BD789E6C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Benedict Aboki Omare</cp:lastModifiedBy>
  <cp:revision>4</cp:revision>
  <cp:lastPrinted>2019-08-20T08:18:00Z</cp:lastPrinted>
  <dcterms:created xsi:type="dcterms:W3CDTF">2019-08-20T11:54:00Z</dcterms:created>
  <dcterms:modified xsi:type="dcterms:W3CDTF">2019-09-10T09:28:00Z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