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27"/>
        <w:gridCol w:w="483"/>
        <w:gridCol w:w="509"/>
        <w:gridCol w:w="851"/>
        <w:gridCol w:w="992"/>
        <w:gridCol w:w="2410"/>
        <w:gridCol w:w="708"/>
        <w:gridCol w:w="567"/>
        <w:gridCol w:w="1666"/>
      </w:tblGrid>
      <w:tr w:rsidR="008034CE" w:rsidRPr="0081483A" w14:paraId="24CF7D54" w14:textId="77777777" w:rsidTr="009527C6">
        <w:trPr>
          <w:cantSplit/>
          <w:trHeight w:val="1079"/>
          <w:jc w:val="right"/>
        </w:trPr>
        <w:tc>
          <w:tcPr>
            <w:tcW w:w="1526" w:type="dxa"/>
          </w:tcPr>
          <w:p w14:paraId="4E7EE271" w14:textId="77777777" w:rsidR="008034CE" w:rsidRPr="0081483A" w:rsidRDefault="008034CE" w:rsidP="00D62DAC">
            <w:pPr>
              <w:keepNext/>
              <w:spacing w:before="40" w:after="0" w:line="240" w:lineRule="auto"/>
              <w:outlineLvl w:val="1"/>
              <w:rPr>
                <w:rFonts w:ascii="Times New Roman" w:hAnsi="Times New Roman"/>
                <w:sz w:val="27"/>
                <w:szCs w:val="27"/>
                <w:lang w:val="en-GB"/>
              </w:rPr>
            </w:pPr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t xml:space="preserve">UNITED </w:t>
            </w:r>
            <w:r w:rsidRPr="0081483A">
              <w:rPr>
                <w:rFonts w:ascii="Arial" w:hAnsi="Arial" w:cs="Arial"/>
                <w:b/>
                <w:noProof/>
                <w:sz w:val="27"/>
                <w:szCs w:val="27"/>
                <w:lang w:val="en-GB"/>
              </w:rPr>
              <w:br/>
              <w:t>NATIONS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14:paraId="74C1E390" w14:textId="77777777"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6395EC" wp14:editId="477B58CC">
                  <wp:extent cx="537932" cy="468923"/>
                  <wp:effectExtent l="0" t="0" r="0" b="7620"/>
                  <wp:docPr id="10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9" cy="47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D43F556" w14:textId="77777777" w:rsidR="008034CE" w:rsidRPr="0081483A" w:rsidRDefault="008034CE" w:rsidP="009527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0A70AF" wp14:editId="4591DCF7">
                  <wp:extent cx="468455" cy="492369"/>
                  <wp:effectExtent l="0" t="0" r="8255" b="3175"/>
                  <wp:docPr id="5" name="Picture 5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88" cy="49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327BEFB" w14:textId="77777777" w:rsidR="008034CE" w:rsidRPr="0081483A" w:rsidRDefault="008034CE" w:rsidP="008034C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7D6BF15" wp14:editId="546D49D1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6D67BBF" w14:textId="77777777" w:rsidR="008034CE" w:rsidRPr="0081483A" w:rsidRDefault="008034CE" w:rsidP="00985ADF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7FB5B1CF" wp14:editId="78735F10">
                  <wp:extent cx="1518138" cy="527539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O_logo_3lines_en_Blac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39" cy="52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D56430D" w14:textId="77777777"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12D53B" wp14:editId="568B3257">
                  <wp:extent cx="287215" cy="562232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5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71C73" w14:textId="77777777" w:rsidR="008034CE" w:rsidRPr="0081483A" w:rsidRDefault="008034CE" w:rsidP="00D62D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</w:tcPr>
          <w:p w14:paraId="05EB0946" w14:textId="77777777" w:rsidR="008034CE" w:rsidRPr="003F1D30" w:rsidRDefault="008034CE" w:rsidP="00D62DAC">
            <w:pPr>
              <w:keepNext/>
              <w:spacing w:before="40" w:after="0" w:line="240" w:lineRule="auto"/>
              <w:jc w:val="right"/>
              <w:outlineLvl w:val="1"/>
              <w:rPr>
                <w:rFonts w:ascii="Arial" w:hAnsi="Arial" w:cs="Arial"/>
                <w:b/>
                <w:sz w:val="64"/>
                <w:szCs w:val="64"/>
                <w:lang w:val="en-GB"/>
              </w:rPr>
            </w:pPr>
            <w:r w:rsidRPr="0081483A">
              <w:rPr>
                <w:rFonts w:ascii="Arial" w:hAnsi="Arial" w:cs="Arial"/>
                <w:b/>
                <w:sz w:val="64"/>
                <w:szCs w:val="64"/>
                <w:lang w:val="en-GB"/>
              </w:rPr>
              <w:t>BES</w:t>
            </w:r>
          </w:p>
        </w:tc>
      </w:tr>
      <w:tr w:rsidR="008034CE" w:rsidRPr="0081483A" w14:paraId="64B5E0F4" w14:textId="77777777" w:rsidTr="009527C6">
        <w:trPr>
          <w:cantSplit/>
          <w:trHeight w:val="282"/>
          <w:jc w:val="right"/>
        </w:trPr>
        <w:tc>
          <w:tcPr>
            <w:tcW w:w="1526" w:type="dxa"/>
            <w:tcBorders>
              <w:bottom w:val="single" w:sz="2" w:space="0" w:color="auto"/>
            </w:tcBorders>
          </w:tcPr>
          <w:p w14:paraId="4707B5A6" w14:textId="77777777" w:rsidR="008034CE" w:rsidRPr="0081483A" w:rsidRDefault="008034CE" w:rsidP="00D62DA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5953" w:type="dxa"/>
            <w:gridSpan w:val="6"/>
            <w:tcBorders>
              <w:bottom w:val="single" w:sz="2" w:space="0" w:color="auto"/>
            </w:tcBorders>
          </w:tcPr>
          <w:p w14:paraId="0DD0695A" w14:textId="77777777" w:rsidR="008034CE" w:rsidRPr="00EA5E72" w:rsidRDefault="008034CE" w:rsidP="00D62D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gridSpan w:val="2"/>
            <w:tcBorders>
              <w:bottom w:val="single" w:sz="2" w:space="0" w:color="auto"/>
            </w:tcBorders>
          </w:tcPr>
          <w:p w14:paraId="0F665ACB" w14:textId="77777777" w:rsidR="008034CE" w:rsidRPr="00EA5E72" w:rsidRDefault="008034CE" w:rsidP="00D62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EA5E72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IPBES</w:t>
            </w:r>
            <w:r w:rsidR="00BD6F73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/5/6</w:t>
            </w:r>
          </w:p>
        </w:tc>
      </w:tr>
      <w:tr w:rsidR="008034CE" w:rsidRPr="0081483A" w14:paraId="30F56521" w14:textId="77777777" w:rsidTr="009527C6">
        <w:trPr>
          <w:cantSplit/>
          <w:trHeight w:val="1433"/>
          <w:jc w:val="right"/>
        </w:trPr>
        <w:tc>
          <w:tcPr>
            <w:tcW w:w="200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083EE39" w14:textId="77777777" w:rsidR="008034CE" w:rsidRPr="0081483A" w:rsidRDefault="008034CE" w:rsidP="00D62DAC">
            <w:pPr>
              <w:spacing w:before="240" w:after="24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51721D3" wp14:editId="53797CE9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5056C4AB" w14:textId="0AEA7B5C" w:rsidR="008034CE" w:rsidRPr="00EA5E72" w:rsidRDefault="008034CE" w:rsidP="00B531EA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531EA">
              <w:rPr>
                <w:rFonts w:ascii="Arial" w:hAnsi="Arial" w:cs="Arial"/>
                <w:b/>
                <w:sz w:val="28"/>
                <w:szCs w:val="28"/>
                <w:lang w:val="en-GB"/>
              </w:rPr>
              <w:t>Intergovernmental Science-Policy Platform on Biodiversity and Ecosystem Services</w:t>
            </w:r>
          </w:p>
        </w:tc>
        <w:tc>
          <w:tcPr>
            <w:tcW w:w="2233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BC3A44C" w14:textId="6535B713" w:rsidR="008034CE" w:rsidRPr="00EA5E72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Distr.: General</w:t>
            </w: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br/>
            </w:r>
            <w:r w:rsidR="00F60DF3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16</w:t>
            </w:r>
            <w:r w:rsidR="002E2C2B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December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2016</w:t>
            </w:r>
          </w:p>
          <w:p w14:paraId="0B82B8BA" w14:textId="77777777" w:rsidR="008034CE" w:rsidRPr="009E78C3" w:rsidRDefault="008034CE" w:rsidP="00EA5E7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5E7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Original: English</w:t>
            </w:r>
          </w:p>
        </w:tc>
      </w:tr>
    </w:tbl>
    <w:p w14:paraId="5135673F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>
        <w:t>Plenary of the Intergovernmental Science-Policy</w:t>
      </w:r>
    </w:p>
    <w:p w14:paraId="08C6C7F0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81483A">
        <w:t>Platform on Biodiversity and Ecosystem Services</w:t>
      </w:r>
    </w:p>
    <w:p w14:paraId="4CF0F2D1" w14:textId="77777777" w:rsidR="007F3540" w:rsidRPr="00EA5E72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</w:pPr>
      <w:r w:rsidRPr="0081483A">
        <w:t>F</w:t>
      </w:r>
      <w:r>
        <w:t>ifth</w:t>
      </w:r>
      <w:r w:rsidRPr="0081483A">
        <w:t xml:space="preserve"> session</w:t>
      </w:r>
    </w:p>
    <w:p w14:paraId="52A01158" w14:textId="77777777" w:rsidR="007F3540" w:rsidRDefault="007F3540" w:rsidP="00EA5E72">
      <w:pPr>
        <w:pStyle w:val="AATitle"/>
        <w:keepNext w:val="0"/>
        <w:keepLines w:val="0"/>
        <w:tabs>
          <w:tab w:val="clear" w:pos="4082"/>
        </w:tabs>
        <w:ind w:right="3402"/>
        <w:rPr>
          <w:b w:val="0"/>
          <w:lang w:eastAsia="ja-JP"/>
        </w:rPr>
      </w:pPr>
      <w:r w:rsidRPr="00EA5E72">
        <w:rPr>
          <w:b w:val="0"/>
          <w:lang w:eastAsia="ja-JP"/>
        </w:rPr>
        <w:t xml:space="preserve">Bonn, Germany, </w:t>
      </w:r>
      <w:r w:rsidR="00984A20">
        <w:rPr>
          <w:b w:val="0"/>
          <w:lang w:eastAsia="ja-JP"/>
        </w:rPr>
        <w:t>7</w:t>
      </w:r>
      <w:r w:rsidR="009E78C3" w:rsidRPr="00EA5E72">
        <w:rPr>
          <w:b w:val="0"/>
          <w:lang w:eastAsia="ja-JP"/>
        </w:rPr>
        <w:t>–</w:t>
      </w:r>
      <w:r w:rsidRPr="00EA5E72">
        <w:rPr>
          <w:b w:val="0"/>
          <w:lang w:eastAsia="ja-JP"/>
        </w:rPr>
        <w:t>10 March 2017</w:t>
      </w:r>
    </w:p>
    <w:p w14:paraId="61C63981" w14:textId="77777777" w:rsidR="00BD6F73" w:rsidRPr="00F9521B" w:rsidRDefault="00BD6F73" w:rsidP="00BD6F73">
      <w:pPr>
        <w:pStyle w:val="AgendaItemTitle"/>
        <w:rPr>
          <w:b w:val="0"/>
        </w:rPr>
      </w:pPr>
      <w:r w:rsidRPr="00F9521B">
        <w:rPr>
          <w:b w:val="0"/>
        </w:rPr>
        <w:t>Item</w:t>
      </w:r>
      <w:r w:rsidR="00643A3F">
        <w:rPr>
          <w:b w:val="0"/>
        </w:rPr>
        <w:t>s</w:t>
      </w:r>
      <w:r w:rsidRPr="00F9521B">
        <w:rPr>
          <w:b w:val="0"/>
        </w:rPr>
        <w:t xml:space="preserve"> </w:t>
      </w:r>
      <w:r w:rsidRPr="000876A3">
        <w:rPr>
          <w:b w:val="0"/>
        </w:rPr>
        <w:t>6 (d), (e) and (f)</w:t>
      </w:r>
      <w:r w:rsidRPr="00F9521B">
        <w:rPr>
          <w:b w:val="0"/>
        </w:rPr>
        <w:t xml:space="preserve"> of the provisional agenda</w:t>
      </w:r>
      <w:r w:rsidRPr="004830DC">
        <w:rPr>
          <w:rStyle w:val="FootnoteReference"/>
          <w:b w:val="0"/>
          <w:vertAlign w:val="baseline"/>
        </w:rPr>
        <w:footnoteReference w:id="1"/>
      </w:r>
    </w:p>
    <w:p w14:paraId="0C98F038" w14:textId="5A386941" w:rsidR="00BD6F73" w:rsidRPr="008429B3" w:rsidRDefault="00BD6F73" w:rsidP="00021E01">
      <w:pPr>
        <w:pStyle w:val="AATitle2"/>
        <w:spacing w:before="60" w:after="60"/>
      </w:pPr>
      <w:r w:rsidRPr="00021E01">
        <w:t xml:space="preserve">Work programme of the Platform: </w:t>
      </w:r>
      <w:r w:rsidR="008610E3" w:rsidRPr="00021E01">
        <w:t>m</w:t>
      </w:r>
      <w:r w:rsidRPr="00021E01">
        <w:t xml:space="preserve">ethodological assessment regarding the diverse </w:t>
      </w:r>
      <w:r w:rsidRPr="00E13552">
        <w:t>conceptualization of multiple values of nature and its benefits</w:t>
      </w:r>
      <w:r w:rsidR="00077367" w:rsidRPr="00E13552">
        <w:t>;</w:t>
      </w:r>
      <w:r w:rsidRPr="00E13552">
        <w:t xml:space="preserve"> thematic assessment on invasive alien species</w:t>
      </w:r>
      <w:proofErr w:type="gramStart"/>
      <w:r w:rsidR="00077367" w:rsidRPr="00862F93">
        <w:t>;</w:t>
      </w:r>
      <w:proofErr w:type="gramEnd"/>
      <w:r w:rsidRPr="00862F93">
        <w:t xml:space="preserve"> thematic assessment </w:t>
      </w:r>
      <w:r w:rsidR="00021E01" w:rsidRPr="00862F93">
        <w:br/>
      </w:r>
      <w:r w:rsidRPr="00862F93">
        <w:t>on the sustainable use of biodiversity</w:t>
      </w:r>
    </w:p>
    <w:p w14:paraId="62444C77" w14:textId="2F261A88" w:rsidR="00BD6F73" w:rsidRDefault="00BD6F73" w:rsidP="000B5220">
      <w:pPr>
        <w:pStyle w:val="BBTitle"/>
      </w:pPr>
      <w:r>
        <w:t xml:space="preserve">Considerations </w:t>
      </w:r>
      <w:r w:rsidR="001565DC">
        <w:t xml:space="preserve">pertaining </w:t>
      </w:r>
      <w:r w:rsidR="001565DC" w:rsidRPr="00E13552">
        <w:t xml:space="preserve">to </w:t>
      </w:r>
      <w:r w:rsidRPr="00862F93">
        <w:t>the undertaking of</w:t>
      </w:r>
      <w:r w:rsidRPr="00E13552">
        <w:t xml:space="preserve"> two thematic</w:t>
      </w:r>
      <w:r>
        <w:t xml:space="preserve"> </w:t>
      </w:r>
      <w:r w:rsidR="001565DC">
        <w:t xml:space="preserve">assessments </w:t>
      </w:r>
      <w:r>
        <w:t>and one methodological assessment (deliverables 3 (b)</w:t>
      </w:r>
      <w:r w:rsidR="001565DC">
        <w:t xml:space="preserve"> </w:t>
      </w:r>
      <w:r>
        <w:t>(ii), 3 (b)</w:t>
      </w:r>
      <w:r w:rsidR="001565DC">
        <w:t xml:space="preserve"> </w:t>
      </w:r>
      <w:r>
        <w:t>(iii) and 3</w:t>
      </w:r>
      <w:r w:rsidR="00035F48">
        <w:t> </w:t>
      </w:r>
      <w:r>
        <w:t>(d))</w:t>
      </w:r>
    </w:p>
    <w:p w14:paraId="71364CF1" w14:textId="77777777" w:rsidR="00BD6F73" w:rsidRPr="0098071E" w:rsidRDefault="00333111">
      <w:pPr>
        <w:pStyle w:val="CH2"/>
      </w:pPr>
      <w:r>
        <w:tab/>
      </w:r>
      <w:r>
        <w:tab/>
      </w:r>
      <w:r w:rsidR="00BD6F73">
        <w:t xml:space="preserve">Note by the secretariat </w:t>
      </w:r>
    </w:p>
    <w:p w14:paraId="4B329FFA" w14:textId="757214B6" w:rsidR="00BD6F73" w:rsidRPr="00C90FDD" w:rsidRDefault="00AD1320" w:rsidP="00AD1320">
      <w:pPr>
        <w:pStyle w:val="CH1"/>
      </w:pPr>
      <w:r>
        <w:tab/>
      </w:r>
      <w:r w:rsidR="00211B03">
        <w:tab/>
      </w:r>
      <w:r w:rsidR="00BD6F73">
        <w:t>Introduction</w:t>
      </w:r>
    </w:p>
    <w:p w14:paraId="70301F58" w14:textId="3870FDA8" w:rsidR="00BD6F73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proofErr w:type="gramStart"/>
      <w:r>
        <w:t xml:space="preserve">In decision IPBES-4/1, the </w:t>
      </w:r>
      <w:r w:rsidRPr="005B44A0">
        <w:t>Plenary</w:t>
      </w:r>
      <w:r w:rsidR="001565DC">
        <w:t xml:space="preserve"> of the Intergovernmental Science-Policy Platform on Biodiversity and Ecosystem Services (IPBES)</w:t>
      </w:r>
      <w:r w:rsidRPr="005B44A0">
        <w:t xml:space="preserve"> approved the scoping report for a thematic assessment of invasive alien species and their control</w:t>
      </w:r>
      <w:r w:rsidR="00611FCB">
        <w:t>,</w:t>
      </w:r>
      <w:r>
        <w:t xml:space="preserve"> </w:t>
      </w:r>
      <w:r w:rsidR="00521825">
        <w:t xml:space="preserve">set out in </w:t>
      </w:r>
      <w:r>
        <w:t>annex III to the decision</w:t>
      </w:r>
      <w:r w:rsidR="00611FCB">
        <w:t>,</w:t>
      </w:r>
      <w:r>
        <w:t xml:space="preserve"> and</w:t>
      </w:r>
      <w:r w:rsidRPr="005B44A0">
        <w:t xml:space="preserve"> </w:t>
      </w:r>
      <w:r w:rsidR="00521825">
        <w:t>the</w:t>
      </w:r>
      <w:r w:rsidRPr="005B44A0">
        <w:t xml:space="preserve"> scoping report </w:t>
      </w:r>
      <w:r w:rsidR="00521825">
        <w:t>on the</w:t>
      </w:r>
      <w:r w:rsidRPr="005B44A0">
        <w:t xml:space="preserve"> methodological assessment </w:t>
      </w:r>
      <w:r w:rsidR="00521825">
        <w:t>regarding</w:t>
      </w:r>
      <w:r w:rsidR="00521825" w:rsidRPr="005B44A0">
        <w:t xml:space="preserve"> </w:t>
      </w:r>
      <w:r w:rsidRPr="005B44A0">
        <w:t>diverse conceptualization of multiple values of nature and its benefits</w:t>
      </w:r>
      <w:r w:rsidR="00611FCB">
        <w:t xml:space="preserve">, set out in </w:t>
      </w:r>
      <w:r>
        <w:t>annex VI to the decision</w:t>
      </w:r>
      <w:r w:rsidR="00611FCB">
        <w:t>,</w:t>
      </w:r>
      <w:r>
        <w:t xml:space="preserve"> and decided to consider the undertaking of th</w:t>
      </w:r>
      <w:r w:rsidR="00611FCB">
        <w:t>o</w:t>
      </w:r>
      <w:r>
        <w:t>se assessments at its fifth session</w:t>
      </w:r>
      <w:r w:rsidRPr="005B44A0">
        <w:t>.</w:t>
      </w:r>
      <w:proofErr w:type="gramEnd"/>
      <w:r w:rsidRPr="005B44A0">
        <w:t xml:space="preserve"> </w:t>
      </w:r>
    </w:p>
    <w:p w14:paraId="012F77E5" w14:textId="253817BD" w:rsidR="00BD6F73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>
        <w:t xml:space="preserve">In the same decision, the Plenary </w:t>
      </w:r>
      <w:r w:rsidRPr="00664711">
        <w:t xml:space="preserve">requested the </w:t>
      </w:r>
      <w:r>
        <w:t>Multidisciplinary Expert Panel</w:t>
      </w:r>
      <w:r w:rsidRPr="00664711">
        <w:t>, in consultation with the Bureau, to undertake a further scoping</w:t>
      </w:r>
      <w:r>
        <w:t xml:space="preserve"> of the thematic assessment of the sustainable use of biodiversity </w:t>
      </w:r>
      <w:r w:rsidRPr="00664711">
        <w:t xml:space="preserve">in accordance with the procedures for the preparation of the </w:t>
      </w:r>
      <w:r w:rsidR="00611FCB">
        <w:t>P</w:t>
      </w:r>
      <w:r w:rsidRPr="00664711">
        <w:t>latform’s deliverables</w:t>
      </w:r>
      <w:r>
        <w:t xml:space="preserve">. The revised scoping </w:t>
      </w:r>
      <w:r w:rsidR="00611FCB">
        <w:t xml:space="preserve">report </w:t>
      </w:r>
      <w:r w:rsidR="00211B03">
        <w:t>for a</w:t>
      </w:r>
      <w:r w:rsidR="00611FCB">
        <w:t xml:space="preserve"> thematic assessment of the sustainable use of </w:t>
      </w:r>
      <w:r w:rsidR="00611FCB" w:rsidRPr="00035F48">
        <w:t xml:space="preserve">biodiversity </w:t>
      </w:r>
      <w:r w:rsidR="00211B03" w:rsidRPr="00035F48">
        <w:t>(</w:t>
      </w:r>
      <w:r w:rsidRPr="00035F48">
        <w:t>IPBES/5/7</w:t>
      </w:r>
      <w:r w:rsidR="00211B03" w:rsidRPr="00035F48">
        <w:t>) is</w:t>
      </w:r>
      <w:r w:rsidR="00211B03">
        <w:t xml:space="preserve"> before the Plenary</w:t>
      </w:r>
      <w:r>
        <w:t xml:space="preserve"> </w:t>
      </w:r>
      <w:proofErr w:type="gramStart"/>
      <w:r>
        <w:t>for</w:t>
      </w:r>
      <w:r w:rsidR="00211B03">
        <w:t xml:space="preserve"> its</w:t>
      </w:r>
      <w:r>
        <w:t xml:space="preserve"> approval and </w:t>
      </w:r>
      <w:r w:rsidR="00611FCB">
        <w:t xml:space="preserve">to facilitate its </w:t>
      </w:r>
      <w:r>
        <w:t>consideration of the undertaking of the assessment</w:t>
      </w:r>
      <w:proofErr w:type="gramEnd"/>
      <w:r>
        <w:t xml:space="preserve">. </w:t>
      </w:r>
    </w:p>
    <w:p w14:paraId="151748A9" w14:textId="7FA53FB0" w:rsidR="00BD6F73" w:rsidRDefault="00611FCB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>
        <w:rPr>
          <w:rFonts w:cs="Arial"/>
        </w:rPr>
        <w:t>At its fifth session, t</w:t>
      </w:r>
      <w:r w:rsidR="00BD6F73">
        <w:rPr>
          <w:rFonts w:cs="Arial"/>
        </w:rPr>
        <w:t xml:space="preserve">he Plenary </w:t>
      </w:r>
      <w:proofErr w:type="gramStart"/>
      <w:r w:rsidR="00BD6F73">
        <w:rPr>
          <w:rFonts w:cs="Arial"/>
        </w:rPr>
        <w:t>will be invited</w:t>
      </w:r>
      <w:proofErr w:type="gramEnd"/>
      <w:r w:rsidR="00BD6F73">
        <w:rPr>
          <w:rFonts w:cs="Arial"/>
        </w:rPr>
        <w:t xml:space="preserve"> to consider the undertaking of the three </w:t>
      </w:r>
      <w:r w:rsidR="000B5220">
        <w:rPr>
          <w:rFonts w:cs="Arial"/>
        </w:rPr>
        <w:br/>
      </w:r>
      <w:r>
        <w:rPr>
          <w:rFonts w:cs="Arial"/>
        </w:rPr>
        <w:t xml:space="preserve">above-mentioned </w:t>
      </w:r>
      <w:r w:rsidR="00BD6F73">
        <w:rPr>
          <w:rFonts w:cs="Arial"/>
        </w:rPr>
        <w:t xml:space="preserve">assessments. </w:t>
      </w:r>
      <w:r w:rsidR="00BD6F73">
        <w:t xml:space="preserve">The present note </w:t>
      </w:r>
      <w:r>
        <w:t xml:space="preserve">provides background </w:t>
      </w:r>
      <w:r w:rsidR="00BD6F73">
        <w:t xml:space="preserve">information regarding </w:t>
      </w:r>
      <w:r>
        <w:t>the duration</w:t>
      </w:r>
      <w:r w:rsidR="00BD6F73">
        <w:t xml:space="preserve"> timing and order of launch</w:t>
      </w:r>
      <w:r w:rsidR="008D64A7">
        <w:t>ing</w:t>
      </w:r>
      <w:r w:rsidR="00BD6F73">
        <w:t xml:space="preserve"> </w:t>
      </w:r>
      <w:r>
        <w:t xml:space="preserve">of </w:t>
      </w:r>
      <w:r w:rsidR="00BD6F73">
        <w:t>the three assessments, as well as financial considerations.</w:t>
      </w:r>
    </w:p>
    <w:p w14:paraId="394B4547" w14:textId="73F176BE" w:rsidR="00BD6F73" w:rsidRPr="00BC36B2" w:rsidRDefault="00AD1320" w:rsidP="00AD1320">
      <w:pPr>
        <w:pStyle w:val="CH1"/>
      </w:pPr>
      <w:r>
        <w:tab/>
        <w:t>I.</w:t>
      </w:r>
      <w:r>
        <w:tab/>
      </w:r>
      <w:r w:rsidR="00BD6F73">
        <w:t xml:space="preserve">Considerations regarding </w:t>
      </w:r>
      <w:r w:rsidR="00611FCB">
        <w:t>duration</w:t>
      </w:r>
      <w:r w:rsidR="00BD6F73">
        <w:t>, t</w:t>
      </w:r>
      <w:r w:rsidR="00BD6F73" w:rsidRPr="00A156B1">
        <w:t xml:space="preserve">iming </w:t>
      </w:r>
      <w:r w:rsidR="00BD6F73">
        <w:t xml:space="preserve">and order </w:t>
      </w:r>
      <w:r w:rsidR="00BD6F73" w:rsidRPr="00A156B1">
        <w:t xml:space="preserve">of </w:t>
      </w:r>
      <w:r w:rsidR="00BD6F73" w:rsidRPr="00E13552">
        <w:t>launch</w:t>
      </w:r>
      <w:r w:rsidR="00F343AB" w:rsidRPr="00E13552">
        <w:t>ing</w:t>
      </w:r>
      <w:r w:rsidR="00BD6F73" w:rsidRPr="00E13552">
        <w:t xml:space="preserve"> of</w:t>
      </w:r>
      <w:r w:rsidR="00BD6F73">
        <w:t xml:space="preserve"> assessments</w:t>
      </w:r>
    </w:p>
    <w:p w14:paraId="17AD7785" w14:textId="6D2ED932" w:rsidR="00BD6F73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>
        <w:t xml:space="preserve">The Bureau suggests that the </w:t>
      </w:r>
      <w:r w:rsidRPr="005B44A0">
        <w:t>methodological assessment of diverse conceptualization of multiple values of na</w:t>
      </w:r>
      <w:r>
        <w:t xml:space="preserve">ture and </w:t>
      </w:r>
      <w:r w:rsidRPr="00F60DF3">
        <w:rPr>
          <w:rFonts w:cs="Arial"/>
        </w:rPr>
        <w:t>its</w:t>
      </w:r>
      <w:r>
        <w:t xml:space="preserve"> benefits, </w:t>
      </w:r>
      <w:r w:rsidR="00671ADF">
        <w:t xml:space="preserve">which </w:t>
      </w:r>
      <w:proofErr w:type="gramStart"/>
      <w:r w:rsidR="00671ADF">
        <w:t xml:space="preserve">was </w:t>
      </w:r>
      <w:r>
        <w:t>originally envisaged to be performed</w:t>
      </w:r>
      <w:proofErr w:type="gramEnd"/>
      <w:r>
        <w:t xml:space="preserve"> over a two-year period, instead</w:t>
      </w:r>
      <w:r w:rsidR="00671ADF">
        <w:t xml:space="preserve"> be</w:t>
      </w:r>
      <w:r>
        <w:t xml:space="preserve"> performed over a three-year period. This</w:t>
      </w:r>
      <w:r w:rsidR="00671ADF">
        <w:t xml:space="preserve"> suggestion</w:t>
      </w:r>
      <w:r w:rsidR="00334CD4">
        <w:t>,</w:t>
      </w:r>
      <w:r>
        <w:t xml:space="preserve"> based on lessons learn</w:t>
      </w:r>
      <w:r w:rsidR="00671ADF">
        <w:t>ed</w:t>
      </w:r>
      <w:r>
        <w:t xml:space="preserve"> from the two </w:t>
      </w:r>
      <w:r w:rsidR="00B2116E">
        <w:t xml:space="preserve">completed </w:t>
      </w:r>
      <w:r>
        <w:t>assessments</w:t>
      </w:r>
      <w:r w:rsidR="00B2116E">
        <w:t xml:space="preserve">, </w:t>
      </w:r>
      <w:proofErr w:type="gramStart"/>
      <w:r w:rsidR="00B2116E">
        <w:t>i</w:t>
      </w:r>
      <w:r w:rsidR="00334CD4">
        <w:t>s intended</w:t>
      </w:r>
      <w:proofErr w:type="gramEnd"/>
      <w:r w:rsidR="00B2116E">
        <w:t xml:space="preserve"> to </w:t>
      </w:r>
      <w:r>
        <w:t xml:space="preserve">allow enough time for the </w:t>
      </w:r>
      <w:r w:rsidR="00671ADF">
        <w:t>required work</w:t>
      </w:r>
      <w:r>
        <w:t xml:space="preserve">. </w:t>
      </w:r>
      <w:r w:rsidR="00671ADF">
        <w:t>With this change</w:t>
      </w:r>
      <w:r>
        <w:t xml:space="preserve">, </w:t>
      </w:r>
      <w:r w:rsidR="00671ADF">
        <w:t xml:space="preserve">each of the </w:t>
      </w:r>
      <w:r>
        <w:t>three</w:t>
      </w:r>
      <w:r w:rsidR="00671ADF">
        <w:t xml:space="preserve"> </w:t>
      </w:r>
      <w:r>
        <w:t xml:space="preserve">assessments under consideration </w:t>
      </w:r>
      <w:proofErr w:type="gramStart"/>
      <w:r>
        <w:t xml:space="preserve">would be </w:t>
      </w:r>
      <w:r w:rsidR="00671ADF">
        <w:t>undertaken</w:t>
      </w:r>
      <w:proofErr w:type="gramEnd"/>
      <w:r w:rsidR="00671ADF">
        <w:t xml:space="preserve"> over a </w:t>
      </w:r>
      <w:r>
        <w:t xml:space="preserve">three-year </w:t>
      </w:r>
      <w:r w:rsidR="00671ADF">
        <w:t>period</w:t>
      </w:r>
      <w:r>
        <w:t>.</w:t>
      </w:r>
    </w:p>
    <w:p w14:paraId="74CEE674" w14:textId="34FC0681" w:rsidR="00BD6F73" w:rsidRPr="00035F48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</w:rPr>
      </w:pPr>
      <w:r>
        <w:lastRenderedPageBreak/>
        <w:t xml:space="preserve">In deciding about the undertaking of any new assessment, the Plenary </w:t>
      </w:r>
      <w:r w:rsidR="00671ADF">
        <w:t xml:space="preserve">may </w:t>
      </w:r>
      <w:r>
        <w:t xml:space="preserve">want to </w:t>
      </w:r>
      <w:r w:rsidR="00671ADF">
        <w:t xml:space="preserve">take </w:t>
      </w:r>
      <w:r>
        <w:t>note</w:t>
      </w:r>
      <w:r w:rsidR="00671ADF">
        <w:t xml:space="preserve"> of</w:t>
      </w:r>
      <w:r>
        <w:t xml:space="preserve"> the potential </w:t>
      </w:r>
      <w:r w:rsidRPr="00F60DF3">
        <w:rPr>
          <w:rFonts w:cs="Arial"/>
        </w:rPr>
        <w:t xml:space="preserve">need for one additional staff </w:t>
      </w:r>
      <w:r w:rsidR="00264593">
        <w:rPr>
          <w:rFonts w:cs="Arial"/>
        </w:rPr>
        <w:t xml:space="preserve">member </w:t>
      </w:r>
      <w:r w:rsidRPr="00F60DF3">
        <w:rPr>
          <w:rFonts w:cs="Arial"/>
        </w:rPr>
        <w:t xml:space="preserve">at the secretariat should the launch of more than one new assessment be decided </w:t>
      </w:r>
      <w:r w:rsidR="002A652B">
        <w:rPr>
          <w:rFonts w:cs="Arial"/>
        </w:rPr>
        <w:t>for</w:t>
      </w:r>
      <w:r w:rsidR="002A652B" w:rsidRPr="00F60DF3">
        <w:rPr>
          <w:rFonts w:cs="Arial"/>
        </w:rPr>
        <w:t xml:space="preserve"> </w:t>
      </w:r>
      <w:r w:rsidRPr="00F60DF3">
        <w:rPr>
          <w:rFonts w:cs="Arial"/>
        </w:rPr>
        <w:t xml:space="preserve">2017 or 2018 </w:t>
      </w:r>
      <w:r w:rsidRPr="00035F48">
        <w:rPr>
          <w:rFonts w:cs="Arial"/>
        </w:rPr>
        <w:t>(</w:t>
      </w:r>
      <w:r w:rsidR="00035F48" w:rsidRPr="00035F48">
        <w:rPr>
          <w:rFonts w:cs="Arial"/>
        </w:rPr>
        <w:t xml:space="preserve">see </w:t>
      </w:r>
      <w:r w:rsidRPr="00035F48">
        <w:rPr>
          <w:rFonts w:cs="Arial"/>
        </w:rPr>
        <w:t xml:space="preserve">IPBES/5/10). </w:t>
      </w:r>
    </w:p>
    <w:p w14:paraId="406BF8BC" w14:textId="51332976" w:rsidR="00BD6F73" w:rsidRPr="008D64A7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</w:rPr>
      </w:pPr>
      <w:r w:rsidRPr="00643A3F">
        <w:rPr>
          <w:rFonts w:cs="Arial"/>
        </w:rPr>
        <w:t xml:space="preserve">In terms of the timing of the </w:t>
      </w:r>
      <w:r w:rsidRPr="008D64A7">
        <w:rPr>
          <w:rFonts w:cs="Arial"/>
        </w:rPr>
        <w:t>three assessments, the Plenary may wish to consider staggering their launch</w:t>
      </w:r>
      <w:r w:rsidRPr="00F343AB">
        <w:rPr>
          <w:rFonts w:cs="Arial"/>
        </w:rPr>
        <w:t xml:space="preserve"> and/or mov</w:t>
      </w:r>
      <w:r w:rsidR="002A652B">
        <w:rPr>
          <w:rFonts w:cs="Arial"/>
        </w:rPr>
        <w:t>ing</w:t>
      </w:r>
      <w:r w:rsidRPr="008D64A7">
        <w:rPr>
          <w:rFonts w:cs="Arial"/>
        </w:rPr>
        <w:t xml:space="preserve"> some or all of </w:t>
      </w:r>
      <w:r w:rsidRPr="00643A3F">
        <w:rPr>
          <w:rFonts w:cs="Arial"/>
        </w:rPr>
        <w:t xml:space="preserve">them to the next work programme. </w:t>
      </w:r>
      <w:proofErr w:type="gramStart"/>
      <w:r w:rsidR="002A652B" w:rsidRPr="002A652B">
        <w:rPr>
          <w:rFonts w:cs="Arial"/>
        </w:rPr>
        <w:t>Even assuming the availability of funding, s</w:t>
      </w:r>
      <w:r w:rsidRPr="00643A3F">
        <w:rPr>
          <w:rFonts w:cs="Arial"/>
        </w:rPr>
        <w:t xml:space="preserve">tarting three new assessments at </w:t>
      </w:r>
      <w:r w:rsidR="002A652B" w:rsidRPr="002A652B">
        <w:rPr>
          <w:rFonts w:cs="Arial"/>
        </w:rPr>
        <w:t>a similar time</w:t>
      </w:r>
      <w:r w:rsidRPr="008D64A7">
        <w:rPr>
          <w:rFonts w:cs="Arial"/>
        </w:rPr>
        <w:t xml:space="preserve"> would </w:t>
      </w:r>
      <w:r w:rsidR="002A652B" w:rsidRPr="002A652B">
        <w:rPr>
          <w:rFonts w:cs="Arial"/>
        </w:rPr>
        <w:t xml:space="preserve">undoubtedly </w:t>
      </w:r>
      <w:r w:rsidRPr="00643A3F">
        <w:rPr>
          <w:rFonts w:cs="Arial"/>
        </w:rPr>
        <w:t xml:space="preserve">lead in the coming years to an unacceptable overload </w:t>
      </w:r>
      <w:r w:rsidR="002A652B" w:rsidRPr="002A652B">
        <w:rPr>
          <w:rFonts w:cs="Arial"/>
        </w:rPr>
        <w:t>for</w:t>
      </w:r>
      <w:r w:rsidRPr="00643A3F">
        <w:rPr>
          <w:rFonts w:cs="Arial"/>
        </w:rPr>
        <w:t xml:space="preserve"> all involved, </w:t>
      </w:r>
      <w:r w:rsidRPr="009A04E2">
        <w:rPr>
          <w:rFonts w:cs="Arial"/>
        </w:rPr>
        <w:t xml:space="preserve">including </w:t>
      </w:r>
      <w:r w:rsidR="00CB150D">
        <w:rPr>
          <w:rFonts w:cs="Arial"/>
        </w:rPr>
        <w:t>s</w:t>
      </w:r>
      <w:r w:rsidRPr="00334CD4">
        <w:rPr>
          <w:rFonts w:cs="Arial"/>
        </w:rPr>
        <w:t xml:space="preserve">aturation </w:t>
      </w:r>
      <w:r w:rsidRPr="003F2C7A">
        <w:rPr>
          <w:rFonts w:cs="Arial"/>
        </w:rPr>
        <w:t>of the capacity of Governments to nominate</w:t>
      </w:r>
      <w:r w:rsidR="002A652B" w:rsidRPr="000B5220">
        <w:rPr>
          <w:rFonts w:cs="Arial"/>
        </w:rPr>
        <w:t xml:space="preserve"> experts for</w:t>
      </w:r>
      <w:r w:rsidRPr="009A04E2">
        <w:rPr>
          <w:rFonts w:cs="Arial"/>
        </w:rPr>
        <w:t>, provide comments</w:t>
      </w:r>
      <w:r w:rsidR="002A652B" w:rsidRPr="000B5220">
        <w:rPr>
          <w:rFonts w:cs="Arial"/>
        </w:rPr>
        <w:t xml:space="preserve"> on</w:t>
      </w:r>
      <w:r w:rsidRPr="009A04E2">
        <w:rPr>
          <w:rFonts w:cs="Arial"/>
        </w:rPr>
        <w:t xml:space="preserve"> and cons</w:t>
      </w:r>
      <w:r w:rsidRPr="00334CD4">
        <w:rPr>
          <w:rFonts w:cs="Arial"/>
        </w:rPr>
        <w:t xml:space="preserve">ider </w:t>
      </w:r>
      <w:r w:rsidRPr="003F2C7A">
        <w:rPr>
          <w:rFonts w:cs="Arial"/>
        </w:rPr>
        <w:t>the</w:t>
      </w:r>
      <w:r w:rsidR="002A652B" w:rsidRPr="000B5220">
        <w:rPr>
          <w:rFonts w:cs="Arial"/>
        </w:rPr>
        <w:t>se</w:t>
      </w:r>
      <w:r w:rsidRPr="009A04E2">
        <w:rPr>
          <w:rFonts w:cs="Arial"/>
        </w:rPr>
        <w:t xml:space="preserve"> assessments at future Plenar</w:t>
      </w:r>
      <w:r w:rsidR="002A652B" w:rsidRPr="000B5220">
        <w:rPr>
          <w:rFonts w:cs="Arial"/>
        </w:rPr>
        <w:t>y sessions</w:t>
      </w:r>
      <w:r w:rsidRPr="009A04E2">
        <w:rPr>
          <w:rFonts w:cs="Arial"/>
        </w:rPr>
        <w:t>, while continuing to contribute to the six on</w:t>
      </w:r>
      <w:r w:rsidRPr="003F2C7A">
        <w:rPr>
          <w:rFonts w:cs="Arial"/>
        </w:rPr>
        <w:t>going assessments;</w:t>
      </w:r>
      <w:r w:rsidR="00D60C76">
        <w:rPr>
          <w:rFonts w:cs="Arial"/>
        </w:rPr>
        <w:t xml:space="preserve"> </w:t>
      </w:r>
      <w:r w:rsidRPr="003F2C7A">
        <w:rPr>
          <w:rFonts w:cs="Arial"/>
        </w:rPr>
        <w:t>saturation</w:t>
      </w:r>
      <w:r w:rsidRPr="009A04E2">
        <w:rPr>
          <w:rFonts w:cs="Arial"/>
        </w:rPr>
        <w:t xml:space="preserve"> of the</w:t>
      </w:r>
      <w:r w:rsidRPr="00643A3F">
        <w:rPr>
          <w:rFonts w:cs="Arial"/>
        </w:rPr>
        <w:t xml:space="preserve"> </w:t>
      </w:r>
      <w:r w:rsidR="002A652B" w:rsidRPr="002A652B">
        <w:rPr>
          <w:rFonts w:cs="Arial"/>
        </w:rPr>
        <w:t xml:space="preserve">capacity of the </w:t>
      </w:r>
      <w:r w:rsidRPr="00643A3F">
        <w:rPr>
          <w:rFonts w:cs="Arial"/>
        </w:rPr>
        <w:t xml:space="preserve">community of experts </w:t>
      </w:r>
      <w:r w:rsidRPr="00F343AB">
        <w:rPr>
          <w:rFonts w:cs="Arial"/>
        </w:rPr>
        <w:t xml:space="preserve">to respond to the calls </w:t>
      </w:r>
      <w:r w:rsidR="002A652B">
        <w:rPr>
          <w:rFonts w:cs="Arial"/>
        </w:rPr>
        <w:t xml:space="preserve">of the Plenary </w:t>
      </w:r>
      <w:r w:rsidRPr="00643A3F">
        <w:rPr>
          <w:rFonts w:cs="Arial"/>
        </w:rPr>
        <w:t xml:space="preserve">and deliver the </w:t>
      </w:r>
      <w:r w:rsidR="002A652B">
        <w:rPr>
          <w:rFonts w:cs="Arial"/>
        </w:rPr>
        <w:t xml:space="preserve">requisite </w:t>
      </w:r>
      <w:r w:rsidRPr="00643A3F">
        <w:rPr>
          <w:rFonts w:cs="Arial"/>
        </w:rPr>
        <w:t>work; and a</w:t>
      </w:r>
      <w:r w:rsidR="002A652B">
        <w:rPr>
          <w:rFonts w:cs="Arial"/>
        </w:rPr>
        <w:t xml:space="preserve"> significant</w:t>
      </w:r>
      <w:r w:rsidRPr="00643A3F">
        <w:rPr>
          <w:rFonts w:cs="Arial"/>
        </w:rPr>
        <w:t xml:space="preserve"> challenge for members of the Multidisciplinary Expert Panel and the Bureau </w:t>
      </w:r>
      <w:r w:rsidR="002A652B">
        <w:rPr>
          <w:rFonts w:cs="Arial"/>
        </w:rPr>
        <w:t xml:space="preserve">in </w:t>
      </w:r>
      <w:r w:rsidRPr="00643A3F">
        <w:rPr>
          <w:rFonts w:cs="Arial"/>
        </w:rPr>
        <w:t>oversee</w:t>
      </w:r>
      <w:r w:rsidR="002A652B">
        <w:rPr>
          <w:rFonts w:cs="Arial"/>
        </w:rPr>
        <w:t>ing</w:t>
      </w:r>
      <w:r w:rsidRPr="00643A3F">
        <w:rPr>
          <w:rFonts w:cs="Arial"/>
        </w:rPr>
        <w:t xml:space="preserve"> and guid</w:t>
      </w:r>
      <w:r w:rsidR="002A652B">
        <w:rPr>
          <w:rFonts w:cs="Arial"/>
        </w:rPr>
        <w:t>ing</w:t>
      </w:r>
      <w:r w:rsidRPr="008D64A7">
        <w:rPr>
          <w:rFonts w:cs="Arial"/>
        </w:rPr>
        <w:t xml:space="preserve"> the work</w:t>
      </w:r>
      <w:r w:rsidR="002A652B">
        <w:rPr>
          <w:rFonts w:cs="Arial"/>
        </w:rPr>
        <w:t xml:space="preserve"> of IPBES</w:t>
      </w:r>
      <w:r w:rsidRPr="00643A3F">
        <w:rPr>
          <w:rFonts w:cs="Arial"/>
        </w:rPr>
        <w:t>.</w:t>
      </w:r>
      <w:proofErr w:type="gramEnd"/>
    </w:p>
    <w:p w14:paraId="0932233C" w14:textId="41B4EFEC" w:rsidR="00BD6F73" w:rsidRPr="00980F87" w:rsidRDefault="002A652B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</w:rPr>
      </w:pPr>
      <w:r>
        <w:rPr>
          <w:rFonts w:cs="Arial"/>
        </w:rPr>
        <w:t>The m</w:t>
      </w:r>
      <w:r w:rsidR="00BD6F73" w:rsidRPr="00643A3F">
        <w:rPr>
          <w:rFonts w:cs="Arial"/>
        </w:rPr>
        <w:t xml:space="preserve">ethodological assessments </w:t>
      </w:r>
      <w:r>
        <w:rPr>
          <w:rFonts w:cs="Arial"/>
        </w:rPr>
        <w:t>of</w:t>
      </w:r>
      <w:r w:rsidRPr="00643A3F">
        <w:rPr>
          <w:rFonts w:cs="Arial"/>
        </w:rPr>
        <w:t xml:space="preserve"> </w:t>
      </w:r>
      <w:r w:rsidR="00BD6F73" w:rsidRPr="008D64A7">
        <w:rPr>
          <w:rFonts w:cs="Arial"/>
        </w:rPr>
        <w:t xml:space="preserve">the first work programme of IPBES were </w:t>
      </w:r>
      <w:r w:rsidR="00B522BA">
        <w:rPr>
          <w:rFonts w:cs="Arial"/>
        </w:rPr>
        <w:t xml:space="preserve">planned </w:t>
      </w:r>
      <w:r w:rsidR="00BD6F73" w:rsidRPr="00643A3F">
        <w:rPr>
          <w:rFonts w:cs="Arial"/>
        </w:rPr>
        <w:t>to start early in the</w:t>
      </w:r>
      <w:r w:rsidR="00B522BA">
        <w:rPr>
          <w:rFonts w:cs="Arial"/>
        </w:rPr>
        <w:t xml:space="preserve"> implementation of the</w:t>
      </w:r>
      <w:r w:rsidR="00BD6F73" w:rsidRPr="00643A3F">
        <w:rPr>
          <w:rFonts w:cs="Arial"/>
        </w:rPr>
        <w:t xml:space="preserve"> programme</w:t>
      </w:r>
      <w:r w:rsidR="00BD6F73" w:rsidRPr="00F343AB">
        <w:rPr>
          <w:rFonts w:cs="Arial"/>
        </w:rPr>
        <w:t xml:space="preserve"> in order to inform and support the other assessments and other work of IPBES. The Plenary </w:t>
      </w:r>
      <w:r w:rsidR="00B522BA">
        <w:rPr>
          <w:rFonts w:cs="Arial"/>
        </w:rPr>
        <w:t>may</w:t>
      </w:r>
      <w:r w:rsidR="00B522BA" w:rsidRPr="00643A3F">
        <w:rPr>
          <w:rFonts w:cs="Arial"/>
        </w:rPr>
        <w:t xml:space="preserve"> </w:t>
      </w:r>
      <w:r w:rsidR="00BD6F73" w:rsidRPr="008D64A7">
        <w:rPr>
          <w:rFonts w:cs="Arial"/>
        </w:rPr>
        <w:t xml:space="preserve">therefore </w:t>
      </w:r>
      <w:r w:rsidR="00B522BA">
        <w:rPr>
          <w:rFonts w:cs="Arial"/>
        </w:rPr>
        <w:t xml:space="preserve">wish </w:t>
      </w:r>
      <w:r w:rsidR="00BD6F73" w:rsidRPr="00643A3F">
        <w:rPr>
          <w:rFonts w:cs="Arial"/>
        </w:rPr>
        <w:t xml:space="preserve">to consider launching </w:t>
      </w:r>
      <w:r w:rsidR="00BD6F73" w:rsidRPr="005834EC">
        <w:rPr>
          <w:rFonts w:cs="Arial"/>
        </w:rPr>
        <w:t xml:space="preserve">the methodological assessment of diverse conceptualization of multiple values of nature and its benefits </w:t>
      </w:r>
      <w:r w:rsidR="00B522BA">
        <w:rPr>
          <w:rFonts w:cs="Arial"/>
        </w:rPr>
        <w:t>first</w:t>
      </w:r>
      <w:r w:rsidR="00BD6F73" w:rsidRPr="00643A3F">
        <w:rPr>
          <w:rFonts w:cs="Arial"/>
        </w:rPr>
        <w:t xml:space="preserve">. This assessment would benefit from the </w:t>
      </w:r>
      <w:r w:rsidR="00B522BA">
        <w:rPr>
          <w:rFonts w:cs="Arial"/>
        </w:rPr>
        <w:t xml:space="preserve">work of the </w:t>
      </w:r>
      <w:r w:rsidR="00BD6F73" w:rsidRPr="00643A3F">
        <w:rPr>
          <w:rFonts w:cs="Arial"/>
        </w:rPr>
        <w:t xml:space="preserve">expert group </w:t>
      </w:r>
      <w:r w:rsidR="00BD6F73" w:rsidRPr="00980F87">
        <w:rPr>
          <w:rFonts w:cs="Arial"/>
        </w:rPr>
        <w:t xml:space="preserve">on values established in response to decision IPBES-4/1. The technical support unit, already in place at the Institute for Ecosystems </w:t>
      </w:r>
      <w:r w:rsidR="00B522BA" w:rsidRPr="00980F87">
        <w:rPr>
          <w:rFonts w:cs="Arial"/>
        </w:rPr>
        <w:t xml:space="preserve">and Sustainability </w:t>
      </w:r>
      <w:r w:rsidR="00BD6F73" w:rsidRPr="000B5220">
        <w:rPr>
          <w:rFonts w:cs="Arial"/>
        </w:rPr>
        <w:t>Research at the National Autonomous University of Mexico</w:t>
      </w:r>
      <w:r w:rsidR="00B522BA" w:rsidRPr="000B5220">
        <w:rPr>
          <w:rFonts w:cs="Arial"/>
        </w:rPr>
        <w:t xml:space="preserve"> </w:t>
      </w:r>
      <w:proofErr w:type="gramStart"/>
      <w:r w:rsidR="00B522BA" w:rsidRPr="000B5220">
        <w:rPr>
          <w:rFonts w:cs="Arial"/>
        </w:rPr>
        <w:t>for the purpose of</w:t>
      </w:r>
      <w:proofErr w:type="gramEnd"/>
      <w:r w:rsidR="00BD6F73" w:rsidRPr="00980F87">
        <w:rPr>
          <w:rFonts w:cs="Arial"/>
        </w:rPr>
        <w:t xml:space="preserve"> support</w:t>
      </w:r>
      <w:r w:rsidR="00B522BA" w:rsidRPr="00980F87">
        <w:rPr>
          <w:rFonts w:cs="Arial"/>
        </w:rPr>
        <w:t>ing</w:t>
      </w:r>
      <w:r w:rsidR="00BD6F73" w:rsidRPr="00980F87">
        <w:rPr>
          <w:rFonts w:cs="Arial"/>
        </w:rPr>
        <w:t xml:space="preserve"> th</w:t>
      </w:r>
      <w:r w:rsidR="00B522BA" w:rsidRPr="00980F87">
        <w:rPr>
          <w:rFonts w:cs="Arial"/>
        </w:rPr>
        <w:t>e</w:t>
      </w:r>
      <w:r w:rsidR="00BD6F73" w:rsidRPr="009A04E2">
        <w:rPr>
          <w:rFonts w:cs="Arial"/>
        </w:rPr>
        <w:t xml:space="preserve"> expert group</w:t>
      </w:r>
      <w:r w:rsidR="00B522BA" w:rsidRPr="009A04E2">
        <w:rPr>
          <w:rFonts w:cs="Arial"/>
        </w:rPr>
        <w:t>,</w:t>
      </w:r>
      <w:r w:rsidR="00BD6F73" w:rsidRPr="009A04E2">
        <w:rPr>
          <w:rFonts w:cs="Arial"/>
        </w:rPr>
        <w:t xml:space="preserve"> could </w:t>
      </w:r>
      <w:r w:rsidR="00B522BA" w:rsidRPr="009A04E2">
        <w:rPr>
          <w:rFonts w:cs="Arial"/>
        </w:rPr>
        <w:t xml:space="preserve">also provide </w:t>
      </w:r>
      <w:r w:rsidR="00BD6F73" w:rsidRPr="009A04E2">
        <w:rPr>
          <w:rFonts w:cs="Arial"/>
        </w:rPr>
        <w:t>support t</w:t>
      </w:r>
      <w:r w:rsidR="00B522BA" w:rsidRPr="009A04E2">
        <w:rPr>
          <w:rFonts w:cs="Arial"/>
        </w:rPr>
        <w:t xml:space="preserve">o the methodological </w:t>
      </w:r>
      <w:r w:rsidR="00BD6F73" w:rsidRPr="000B5220">
        <w:rPr>
          <w:rFonts w:cs="Arial"/>
        </w:rPr>
        <w:t>assessment, thus ensuring its quick and efficient launch.</w:t>
      </w:r>
    </w:p>
    <w:p w14:paraId="637E6D97" w14:textId="7AFF804D" w:rsidR="00BD6F73" w:rsidRPr="00A14E05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 w:rsidRPr="005834EC">
        <w:rPr>
          <w:rFonts w:cs="Arial"/>
        </w:rPr>
        <w:t>If the Plenary decides not</w:t>
      </w:r>
      <w:r w:rsidRPr="00A14E05">
        <w:t xml:space="preserve"> to launch any </w:t>
      </w:r>
      <w:proofErr w:type="gramStart"/>
      <w:r w:rsidRPr="00A14E05">
        <w:t>new</w:t>
      </w:r>
      <w:proofErr w:type="gramEnd"/>
      <w:r w:rsidRPr="00A14E05">
        <w:t xml:space="preserve"> assessment</w:t>
      </w:r>
      <w:r w:rsidR="00B522BA">
        <w:t>s</w:t>
      </w:r>
      <w:r w:rsidRPr="00A14E05">
        <w:t xml:space="preserve"> in 2017 or 2018, it may </w:t>
      </w:r>
      <w:r w:rsidR="00B522BA">
        <w:t>wish</w:t>
      </w:r>
      <w:r w:rsidR="00B522BA" w:rsidRPr="00A4064F">
        <w:t xml:space="preserve"> </w:t>
      </w:r>
      <w:r w:rsidRPr="00A4064F">
        <w:t>to discuss the</w:t>
      </w:r>
      <w:r w:rsidR="00B522BA">
        <w:t xml:space="preserve"> three above-mentioned</w:t>
      </w:r>
      <w:r w:rsidRPr="00A4064F">
        <w:t xml:space="preserve"> assessments in the context of the development of </w:t>
      </w:r>
      <w:r w:rsidR="00B522BA">
        <w:t>its</w:t>
      </w:r>
      <w:r w:rsidR="00B522BA" w:rsidRPr="00A4064F">
        <w:t xml:space="preserve"> </w:t>
      </w:r>
      <w:r w:rsidRPr="00A4064F">
        <w:t>second work programme</w:t>
      </w:r>
      <w:r>
        <w:t>.</w:t>
      </w:r>
    </w:p>
    <w:p w14:paraId="043F2DEC" w14:textId="36EA0C93" w:rsidR="00BD6F73" w:rsidRPr="00A156B1" w:rsidRDefault="00AD1320" w:rsidP="00AD1320">
      <w:pPr>
        <w:pStyle w:val="CH1"/>
      </w:pPr>
      <w:r>
        <w:tab/>
        <w:t>II.</w:t>
      </w:r>
      <w:r>
        <w:tab/>
      </w:r>
      <w:r w:rsidR="00BD6F73" w:rsidRPr="00A156B1">
        <w:t>Financial consideration</w:t>
      </w:r>
      <w:r w:rsidR="00BD6F73">
        <w:t>s</w:t>
      </w:r>
    </w:p>
    <w:p w14:paraId="06D17813" w14:textId="4BF12DF5" w:rsidR="00BD6F73" w:rsidRPr="00964967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</w:rPr>
      </w:pPr>
      <w:r>
        <w:t xml:space="preserve">The </w:t>
      </w:r>
      <w:r w:rsidRPr="00F60DF3">
        <w:rPr>
          <w:rFonts w:cs="Arial"/>
        </w:rPr>
        <w:t>cost of each of the three assessments would be similar.</w:t>
      </w:r>
    </w:p>
    <w:p w14:paraId="2CF8335D" w14:textId="2B5FDC4A" w:rsidR="00BD6F73" w:rsidRPr="00F60DF3" w:rsidRDefault="00B522BA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rFonts w:cs="Arial"/>
        </w:rPr>
      </w:pPr>
      <w:r>
        <w:rPr>
          <w:rFonts w:cs="Arial"/>
        </w:rPr>
        <w:t>At its fourth session, the Plenary took note of t</w:t>
      </w:r>
      <w:r w:rsidR="00BD6F73" w:rsidRPr="00643A3F">
        <w:rPr>
          <w:rFonts w:cs="Arial"/>
        </w:rPr>
        <w:t>he proposed budget for 2018 and 2019</w:t>
      </w:r>
      <w:r>
        <w:rPr>
          <w:rFonts w:cs="Arial"/>
        </w:rPr>
        <w:t>, which</w:t>
      </w:r>
      <w:r w:rsidR="00BD6F73" w:rsidRPr="00643A3F">
        <w:rPr>
          <w:rFonts w:cs="Arial"/>
        </w:rPr>
        <w:t xml:space="preserve"> </w:t>
      </w:r>
      <w:r w:rsidR="00BD6F73" w:rsidRPr="00F343AB">
        <w:rPr>
          <w:rFonts w:cs="Arial"/>
        </w:rPr>
        <w:t xml:space="preserve">included an indicative amount of $800,000 </w:t>
      </w:r>
      <w:r w:rsidR="00624347">
        <w:rPr>
          <w:rFonts w:cs="Arial"/>
        </w:rPr>
        <w:t xml:space="preserve">for </w:t>
      </w:r>
      <w:r w:rsidR="00BD6F73" w:rsidRPr="008D64A7">
        <w:rPr>
          <w:rFonts w:cs="Arial"/>
        </w:rPr>
        <w:t xml:space="preserve">each </w:t>
      </w:r>
      <w:r w:rsidR="00624347">
        <w:rPr>
          <w:rFonts w:cs="Arial"/>
        </w:rPr>
        <w:t>of</w:t>
      </w:r>
      <w:r w:rsidR="00BD6F73" w:rsidRPr="008D64A7">
        <w:rPr>
          <w:rFonts w:cs="Arial"/>
        </w:rPr>
        <w:t xml:space="preserve"> the </w:t>
      </w:r>
      <w:r w:rsidR="00BD6F73" w:rsidRPr="00643A3F">
        <w:rPr>
          <w:rFonts w:cs="Arial"/>
        </w:rPr>
        <w:t>assessments</w:t>
      </w:r>
      <w:r w:rsidR="00BD6F73" w:rsidRPr="008D64A7">
        <w:rPr>
          <w:rFonts w:cs="Arial"/>
        </w:rPr>
        <w:t xml:space="preserve"> on values and on invasive alien species</w:t>
      </w:r>
      <w:r w:rsidR="00BD6F73" w:rsidRPr="00F343AB">
        <w:rPr>
          <w:rFonts w:cs="Arial"/>
        </w:rPr>
        <w:t xml:space="preserve">, and </w:t>
      </w:r>
      <w:r w:rsidR="00624347">
        <w:rPr>
          <w:rFonts w:cs="Arial"/>
        </w:rPr>
        <w:t>no</w:t>
      </w:r>
      <w:r w:rsidR="002E20AB">
        <w:rPr>
          <w:rFonts w:cs="Arial"/>
        </w:rPr>
        <w:t xml:space="preserve"> funding</w:t>
      </w:r>
      <w:r w:rsidR="00BD6F73" w:rsidRPr="008D64A7">
        <w:rPr>
          <w:rFonts w:cs="Arial"/>
        </w:rPr>
        <w:t xml:space="preserve"> for the </w:t>
      </w:r>
      <w:r w:rsidR="00BD6F73" w:rsidRPr="00643A3F">
        <w:rPr>
          <w:rFonts w:cs="Arial"/>
        </w:rPr>
        <w:t>assessment</w:t>
      </w:r>
      <w:r w:rsidR="00BD6F73" w:rsidRPr="008D64A7">
        <w:rPr>
          <w:rFonts w:cs="Arial"/>
        </w:rPr>
        <w:t xml:space="preserve"> on the sustainable use of biodiversity</w:t>
      </w:r>
      <w:r w:rsidR="00BD6F73" w:rsidRPr="00F343AB">
        <w:rPr>
          <w:rFonts w:cs="Arial"/>
        </w:rPr>
        <w:t xml:space="preserve">. Such an amount would allow for the participation of </w:t>
      </w:r>
      <w:r w:rsidR="00D66D9B">
        <w:rPr>
          <w:rFonts w:cs="Arial"/>
        </w:rPr>
        <w:t xml:space="preserve">only </w:t>
      </w:r>
      <w:r w:rsidR="00BD6F73" w:rsidRPr="00F343AB">
        <w:rPr>
          <w:rFonts w:cs="Arial"/>
        </w:rPr>
        <w:t>50 experts</w:t>
      </w:r>
      <w:r w:rsidR="00624347">
        <w:rPr>
          <w:rFonts w:cs="Arial"/>
        </w:rPr>
        <w:t xml:space="preserve"> </w:t>
      </w:r>
      <w:r w:rsidR="00624347">
        <w:t>–</w:t>
      </w:r>
      <w:r w:rsidR="00BD6F73" w:rsidRPr="00643A3F">
        <w:rPr>
          <w:rFonts w:cs="Arial"/>
        </w:rPr>
        <w:t xml:space="preserve"> or about six experts per chapter</w:t>
      </w:r>
      <w:r w:rsidR="00624347">
        <w:rPr>
          <w:rFonts w:cs="Arial"/>
        </w:rPr>
        <w:t xml:space="preserve"> </w:t>
      </w:r>
      <w:r w:rsidR="00624347">
        <w:t>–</w:t>
      </w:r>
      <w:r w:rsidR="00BD6F73" w:rsidRPr="008D64A7">
        <w:rPr>
          <w:rFonts w:cs="Arial"/>
        </w:rPr>
        <w:t xml:space="preserve"> which is considered too few, </w:t>
      </w:r>
      <w:r w:rsidR="001B72A4">
        <w:rPr>
          <w:rFonts w:cs="Arial"/>
        </w:rPr>
        <w:t>and</w:t>
      </w:r>
      <w:r w:rsidR="001B72A4" w:rsidRPr="008D64A7">
        <w:rPr>
          <w:rFonts w:cs="Arial"/>
        </w:rPr>
        <w:t xml:space="preserve"> </w:t>
      </w:r>
      <w:r w:rsidR="00624347">
        <w:rPr>
          <w:rFonts w:cs="Arial"/>
        </w:rPr>
        <w:t xml:space="preserve">would </w:t>
      </w:r>
      <w:r w:rsidR="001B72A4">
        <w:rPr>
          <w:rFonts w:cs="Arial"/>
        </w:rPr>
        <w:t>not</w:t>
      </w:r>
      <w:r w:rsidR="00624347">
        <w:rPr>
          <w:rFonts w:cs="Arial"/>
        </w:rPr>
        <w:t xml:space="preserve"> </w:t>
      </w:r>
      <w:r w:rsidR="00BD6F73" w:rsidRPr="00643A3F">
        <w:rPr>
          <w:rFonts w:cs="Arial"/>
        </w:rPr>
        <w:t xml:space="preserve">allow </w:t>
      </w:r>
      <w:r w:rsidR="00624347">
        <w:rPr>
          <w:rFonts w:cs="Arial"/>
        </w:rPr>
        <w:t xml:space="preserve">for </w:t>
      </w:r>
      <w:r w:rsidR="00BD6F73" w:rsidRPr="00643A3F">
        <w:rPr>
          <w:rFonts w:cs="Arial"/>
        </w:rPr>
        <w:t>a fully inclusive second author meeting</w:t>
      </w:r>
      <w:r w:rsidR="00624347">
        <w:rPr>
          <w:rFonts w:cs="Arial"/>
        </w:rPr>
        <w:t xml:space="preserve"> to be convened</w:t>
      </w:r>
      <w:r w:rsidR="00BD6F73" w:rsidRPr="00643A3F">
        <w:rPr>
          <w:rFonts w:cs="Arial"/>
        </w:rPr>
        <w:t xml:space="preserve"> as described in </w:t>
      </w:r>
      <w:r w:rsidR="009A04E2">
        <w:rPr>
          <w:rFonts w:cs="Arial"/>
        </w:rPr>
        <w:t>sub</w:t>
      </w:r>
      <w:r w:rsidR="00BD6F73" w:rsidRPr="00643A3F">
        <w:rPr>
          <w:rFonts w:cs="Arial"/>
        </w:rPr>
        <w:t>para</w:t>
      </w:r>
      <w:r w:rsidR="00624347">
        <w:rPr>
          <w:rFonts w:cs="Arial"/>
        </w:rPr>
        <w:t>graph</w:t>
      </w:r>
      <w:r w:rsidR="00BD6F73" w:rsidRPr="00643A3F">
        <w:rPr>
          <w:rFonts w:cs="Arial"/>
        </w:rPr>
        <w:t xml:space="preserve"> 11</w:t>
      </w:r>
      <w:r w:rsidR="00624347">
        <w:rPr>
          <w:rFonts w:cs="Arial"/>
        </w:rPr>
        <w:t xml:space="preserve"> (</w:t>
      </w:r>
      <w:r w:rsidR="00BD6F73" w:rsidRPr="00643A3F">
        <w:rPr>
          <w:rFonts w:cs="Arial"/>
        </w:rPr>
        <w:t>b</w:t>
      </w:r>
      <w:r w:rsidR="00624347">
        <w:rPr>
          <w:rFonts w:cs="Arial"/>
        </w:rPr>
        <w:t>)</w:t>
      </w:r>
      <w:r w:rsidR="00BD6F73" w:rsidRPr="00F60DF3">
        <w:rPr>
          <w:rFonts w:cs="Arial"/>
        </w:rPr>
        <w:t xml:space="preserve"> below. </w:t>
      </w:r>
    </w:p>
    <w:p w14:paraId="48D7550B" w14:textId="61E7A44D" w:rsidR="00BD6F73" w:rsidRDefault="00624347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>
        <w:rPr>
          <w:rFonts w:cs="Arial"/>
        </w:rPr>
        <w:t>Based on lessons learned, t</w:t>
      </w:r>
      <w:r w:rsidR="00BD6F73" w:rsidRPr="008D64A7">
        <w:rPr>
          <w:rFonts w:cs="Arial"/>
        </w:rPr>
        <w:t xml:space="preserve">he Bureau suggests </w:t>
      </w:r>
      <w:r w:rsidR="009A04E2">
        <w:rPr>
          <w:rFonts w:cs="Arial"/>
        </w:rPr>
        <w:t>increasing</w:t>
      </w:r>
      <w:r w:rsidR="00BD6F73" w:rsidRPr="00643A3F">
        <w:rPr>
          <w:rFonts w:cs="Arial"/>
        </w:rPr>
        <w:t xml:space="preserve"> the budget for each</w:t>
      </w:r>
      <w:r w:rsidRPr="00035F48">
        <w:rPr>
          <w:rFonts w:cs="Arial"/>
        </w:rPr>
        <w:t xml:space="preserve"> of the three </w:t>
      </w:r>
      <w:r w:rsidR="00BD6F73" w:rsidRPr="008D64A7">
        <w:rPr>
          <w:rFonts w:cs="Arial"/>
        </w:rPr>
        <w:t>assessment</w:t>
      </w:r>
      <w:r w:rsidRPr="00035F48">
        <w:rPr>
          <w:rFonts w:cs="Arial"/>
        </w:rPr>
        <w:t>s</w:t>
      </w:r>
      <w:r w:rsidR="00BD6F73" w:rsidRPr="00643A3F">
        <w:rPr>
          <w:rFonts w:cs="Arial"/>
        </w:rPr>
        <w:t xml:space="preserve"> to $997,000</w:t>
      </w:r>
      <w:r w:rsidR="00BD6F73" w:rsidRPr="00F343AB">
        <w:rPr>
          <w:rFonts w:cs="Arial"/>
        </w:rPr>
        <w:t xml:space="preserve"> for the following reasons</w:t>
      </w:r>
      <w:r w:rsidR="00BD6F73">
        <w:t>:</w:t>
      </w:r>
    </w:p>
    <w:p w14:paraId="07E6742C" w14:textId="31897A07" w:rsidR="00BD6F73" w:rsidRDefault="00624347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t>E</w:t>
      </w:r>
      <w:r w:rsidR="00BD6F73">
        <w:t xml:space="preserve">ight experts per chapter is considered a minimum to allow for </w:t>
      </w:r>
      <w:r>
        <w:t>sufficient</w:t>
      </w:r>
      <w:r w:rsidR="00BD6F73">
        <w:t xml:space="preserve"> diversity of expertise and views in each chapter and </w:t>
      </w:r>
      <w:r w:rsidR="002E20AB">
        <w:t>sharing</w:t>
      </w:r>
      <w:r w:rsidR="00BD6F73">
        <w:t xml:space="preserve"> of the heavy workload among experts;</w:t>
      </w:r>
    </w:p>
    <w:p w14:paraId="2F03620D" w14:textId="004DFA08" w:rsidR="00BD6F73" w:rsidRDefault="00624347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t>The convening of t</w:t>
      </w:r>
      <w:r w:rsidR="00BD6F73">
        <w:t xml:space="preserve">hree fully inclusive author meetings with lead authors in attendance, rather than only two such meetings, is seen as a key criterion for success in order to ensure </w:t>
      </w:r>
      <w:r>
        <w:t xml:space="preserve">the </w:t>
      </w:r>
      <w:r w:rsidR="00BD6F73">
        <w:t>full integration and involvement of lead authors during th</w:t>
      </w:r>
      <w:r>
        <w:t>e</w:t>
      </w:r>
      <w:r w:rsidR="00BD6F73">
        <w:t xml:space="preserve"> three-year process; </w:t>
      </w:r>
    </w:p>
    <w:p w14:paraId="2FD54AB1" w14:textId="51FF918B" w:rsidR="00BD6F73" w:rsidRDefault="00BD6F73" w:rsidP="009B35F6">
      <w:pPr>
        <w:pStyle w:val="Normalnumber"/>
        <w:numPr>
          <w:ilvl w:val="1"/>
          <w:numId w:val="9"/>
        </w:numPr>
        <w:tabs>
          <w:tab w:val="clear" w:pos="4082"/>
        </w:tabs>
      </w:pPr>
      <w:proofErr w:type="gramStart"/>
      <w:r>
        <w:t xml:space="preserve">Keeping the technical support units open for a minimum of three months after the </w:t>
      </w:r>
      <w:r w:rsidR="00C8789F">
        <w:t xml:space="preserve">closure of the </w:t>
      </w:r>
      <w:r>
        <w:t xml:space="preserve">session of </w:t>
      </w:r>
      <w:r w:rsidR="00C576B7">
        <w:t xml:space="preserve">the fifth session of </w:t>
      </w:r>
      <w:r>
        <w:t xml:space="preserve">the Plenary, rather than </w:t>
      </w:r>
      <w:r w:rsidR="00C576B7">
        <w:t>until</w:t>
      </w:r>
      <w:r>
        <w:t xml:space="preserve"> </w:t>
      </w:r>
      <w:r w:rsidR="00C8789F">
        <w:t xml:space="preserve">the </w:t>
      </w:r>
      <w:r w:rsidR="00C8789F" w:rsidRPr="00C576B7">
        <w:t xml:space="preserve">closure of </w:t>
      </w:r>
      <w:r w:rsidRPr="00C576B7">
        <w:t>th</w:t>
      </w:r>
      <w:r w:rsidR="00C8789F" w:rsidRPr="00C576B7">
        <w:t>e</w:t>
      </w:r>
      <w:r w:rsidR="00C8789F" w:rsidRPr="003F2C7A">
        <w:t xml:space="preserve"> fifth</w:t>
      </w:r>
      <w:r w:rsidRPr="00C576B7">
        <w:t xml:space="preserve"> session</w:t>
      </w:r>
      <w:r w:rsidRPr="003F2C7A">
        <w:t>, as is</w:t>
      </w:r>
      <w:r>
        <w:t xml:space="preserve"> currently budgeted, is also seen</w:t>
      </w:r>
      <w:r w:rsidR="009A04E2">
        <w:t xml:space="preserve"> </w:t>
      </w:r>
      <w:r>
        <w:t>as key to</w:t>
      </w:r>
      <w:r w:rsidR="00C8789F">
        <w:t xml:space="preserve"> ensuring </w:t>
      </w:r>
      <w:r w:rsidR="009A04E2">
        <w:t xml:space="preserve">that </w:t>
      </w:r>
      <w:r>
        <w:t>the assessment report</w:t>
      </w:r>
      <w:r w:rsidR="00C8789F">
        <w:t xml:space="preserve"> is finalized</w:t>
      </w:r>
      <w:r>
        <w:t xml:space="preserve"> and comments</w:t>
      </w:r>
      <w:r w:rsidR="00C8789F">
        <w:t xml:space="preserve"> thereon are posted on the IPBES website</w:t>
      </w:r>
      <w:r w:rsidR="009A04E2">
        <w:t>;</w:t>
      </w:r>
      <w:r>
        <w:t xml:space="preserve"> to coordinat</w:t>
      </w:r>
      <w:r w:rsidR="00C8789F">
        <w:t>ing the</w:t>
      </w:r>
      <w:r>
        <w:t xml:space="preserve"> drafting and submission of </w:t>
      </w:r>
      <w:r w:rsidR="00C8789F">
        <w:t xml:space="preserve">the relevant </w:t>
      </w:r>
      <w:r>
        <w:t>publications</w:t>
      </w:r>
      <w:r w:rsidR="009A04E2">
        <w:t>;</w:t>
      </w:r>
      <w:r>
        <w:t xml:space="preserve"> and </w:t>
      </w:r>
      <w:r w:rsidR="00C8789F">
        <w:t xml:space="preserve">to carrying out </w:t>
      </w:r>
      <w:r>
        <w:t>other dissemination and outreach activities.</w:t>
      </w:r>
      <w:proofErr w:type="gramEnd"/>
      <w:r w:rsidRPr="000B5220">
        <w:rPr>
          <w:b/>
        </w:rPr>
        <w:t xml:space="preserve"> </w:t>
      </w:r>
    </w:p>
    <w:p w14:paraId="249F2418" w14:textId="52B3249E" w:rsidR="00BD6F73" w:rsidRDefault="0027136B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>
        <w:t xml:space="preserve">A </w:t>
      </w:r>
      <w:r w:rsidR="00BD6F73">
        <w:t>generic budget</w:t>
      </w:r>
      <w:r>
        <w:t>, applicable to</w:t>
      </w:r>
      <w:r w:rsidR="00BD6F73">
        <w:t xml:space="preserve"> any of these three assessments, </w:t>
      </w:r>
      <w:proofErr w:type="gramStart"/>
      <w:r>
        <w:t xml:space="preserve">is </w:t>
      </w:r>
      <w:r w:rsidR="00BD6F73">
        <w:t>presented</w:t>
      </w:r>
      <w:proofErr w:type="gramEnd"/>
      <w:r w:rsidR="00BD6F73">
        <w:t xml:space="preserve"> in </w:t>
      </w:r>
      <w:r w:rsidR="00C8789F">
        <w:t xml:space="preserve">the </w:t>
      </w:r>
      <w:r w:rsidR="005834EC">
        <w:t xml:space="preserve">following </w:t>
      </w:r>
      <w:r w:rsidR="00BD6F73">
        <w:t>table</w:t>
      </w:r>
      <w:r>
        <w:t>. The generic budget is based on</w:t>
      </w:r>
      <w:r w:rsidR="00BD6F73">
        <w:t xml:space="preserve"> the</w:t>
      </w:r>
      <w:r>
        <w:t xml:space="preserve"> above-mentioned considerations and the</w:t>
      </w:r>
      <w:r w:rsidR="00BD6F73">
        <w:t xml:space="preserve"> following assumptions:</w:t>
      </w:r>
    </w:p>
    <w:p w14:paraId="0838849D" w14:textId="3D90AA60" w:rsidR="00BD6F73" w:rsidRDefault="00BD6F73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t xml:space="preserve">Each assessment </w:t>
      </w:r>
      <w:r w:rsidR="0027136B">
        <w:t>will be</w:t>
      </w:r>
      <w:r>
        <w:t xml:space="preserve"> carried out over a period of three years;</w:t>
      </w:r>
    </w:p>
    <w:p w14:paraId="7B4430FB" w14:textId="6CC634D3" w:rsidR="00BD6F73" w:rsidRPr="00E17497" w:rsidRDefault="00BD6F73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t xml:space="preserve">Each assessment </w:t>
      </w:r>
      <w:r w:rsidR="0027136B">
        <w:t xml:space="preserve">will </w:t>
      </w:r>
      <w:r>
        <w:t>include three fully inclusive author meeting</w:t>
      </w:r>
      <w:r w:rsidR="0027136B">
        <w:t>s</w:t>
      </w:r>
      <w:r>
        <w:t xml:space="preserve"> with </w:t>
      </w:r>
      <w:r w:rsidR="0027136B">
        <w:t xml:space="preserve">the </w:t>
      </w:r>
      <w:r>
        <w:t xml:space="preserve">lead authors </w:t>
      </w:r>
      <w:r w:rsidR="0027136B">
        <w:t xml:space="preserve">in attendance at each of those </w:t>
      </w:r>
      <w:r w:rsidRPr="00E17497">
        <w:t>meetings;</w:t>
      </w:r>
    </w:p>
    <w:p w14:paraId="021804FF" w14:textId="7FB9FA5D" w:rsidR="00BD6F73" w:rsidRPr="00E17497" w:rsidRDefault="00BD6F73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 w:rsidRPr="00E17497">
        <w:t xml:space="preserve">Each assessment </w:t>
      </w:r>
      <w:r w:rsidR="0027136B">
        <w:t xml:space="preserve">will </w:t>
      </w:r>
      <w:r w:rsidRPr="003F2C7A">
        <w:t>include a</w:t>
      </w:r>
      <w:r w:rsidRPr="00E17497">
        <w:t xml:space="preserve"> total of 62 experts (</w:t>
      </w:r>
      <w:r w:rsidRPr="00E17497">
        <w:rPr>
          <w:rFonts w:eastAsia="SimSun"/>
          <w:lang w:eastAsia="zh-CN"/>
        </w:rPr>
        <w:t>2 co-chairs, 12 coordinating lead authors,</w:t>
      </w:r>
      <w:r>
        <w:rPr>
          <w:rFonts w:eastAsia="SimSun"/>
          <w:lang w:eastAsia="zh-CN"/>
        </w:rPr>
        <w:t xml:space="preserve"> </w:t>
      </w:r>
      <w:r w:rsidRPr="00E17497">
        <w:rPr>
          <w:rFonts w:eastAsia="SimSun"/>
          <w:lang w:eastAsia="zh-CN"/>
        </w:rPr>
        <w:t>36 lead authors</w:t>
      </w:r>
      <w:r>
        <w:rPr>
          <w:rFonts w:eastAsia="SimSun"/>
          <w:lang w:eastAsia="zh-CN"/>
        </w:rPr>
        <w:t xml:space="preserve"> and 12 review editors</w:t>
      </w:r>
      <w:r w:rsidRPr="00E17497">
        <w:rPr>
          <w:rFonts w:eastAsia="SimSun"/>
          <w:lang w:eastAsia="zh-CN"/>
        </w:rPr>
        <w:t>)</w:t>
      </w:r>
      <w:r>
        <w:t xml:space="preserve"> </w:t>
      </w:r>
      <w:r w:rsidRPr="00E17497">
        <w:t xml:space="preserve">or about </w:t>
      </w:r>
      <w:r w:rsidR="0027136B">
        <w:t>8 experts</w:t>
      </w:r>
      <w:r w:rsidR="0027136B" w:rsidRPr="00E17497">
        <w:t xml:space="preserve"> </w:t>
      </w:r>
      <w:r w:rsidRPr="00E17497">
        <w:t>per chapter</w:t>
      </w:r>
      <w:r w:rsidR="001B72A4">
        <w:t xml:space="preserve">, of which 75 per cent </w:t>
      </w:r>
      <w:proofErr w:type="gramStart"/>
      <w:r w:rsidR="001B72A4">
        <w:t>will be supported</w:t>
      </w:r>
      <w:proofErr w:type="gramEnd"/>
      <w:r w:rsidR="001B72A4">
        <w:t xml:space="preserve"> by the trust fund</w:t>
      </w:r>
      <w:r w:rsidRPr="00E17497">
        <w:t>.</w:t>
      </w:r>
    </w:p>
    <w:p w14:paraId="6E846F32" w14:textId="257033FD" w:rsidR="00BD6F73" w:rsidRPr="00F0440B" w:rsidRDefault="00AD1320" w:rsidP="00AD1320">
      <w:pPr>
        <w:pStyle w:val="CH1"/>
        <w:rPr>
          <w:sz w:val="24"/>
          <w:szCs w:val="24"/>
        </w:rPr>
      </w:pPr>
      <w:r>
        <w:lastRenderedPageBreak/>
        <w:tab/>
        <w:t>I</w:t>
      </w:r>
      <w:r w:rsidR="00211B03">
        <w:t>II</w:t>
      </w:r>
      <w:r>
        <w:t>.</w:t>
      </w:r>
      <w:r>
        <w:tab/>
      </w:r>
      <w:r w:rsidR="00BD6F73" w:rsidRPr="003124BE">
        <w:t>Suggested action by the Plenary</w:t>
      </w:r>
      <w:bookmarkStart w:id="0" w:name="_GoBack"/>
      <w:bookmarkEnd w:id="0"/>
    </w:p>
    <w:p w14:paraId="69AAB2B9" w14:textId="77777777" w:rsidR="00BD6F73" w:rsidRDefault="00BD6F73" w:rsidP="000B5220">
      <w:pPr>
        <w:pStyle w:val="Normalnumber"/>
        <w:numPr>
          <w:ilvl w:val="0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</w:pPr>
      <w:r w:rsidRPr="00B975FB">
        <w:rPr>
          <w:rFonts w:cs="Arial"/>
        </w:rPr>
        <w:t>The P</w:t>
      </w:r>
      <w:r>
        <w:rPr>
          <w:rFonts w:cs="Arial"/>
        </w:rPr>
        <w:t>lenary may wish to c</w:t>
      </w:r>
      <w:r>
        <w:t>onsider:</w:t>
      </w:r>
    </w:p>
    <w:p w14:paraId="549740CB" w14:textId="32CA8589" w:rsidR="00BD6F73" w:rsidRDefault="0027136B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r>
        <w:t>T</w:t>
      </w:r>
      <w:r w:rsidR="00BD6F73">
        <w:t xml:space="preserve">he duration </w:t>
      </w:r>
      <w:r w:rsidR="005834EC">
        <w:t xml:space="preserve">of </w:t>
      </w:r>
      <w:r w:rsidR="00BD6F73">
        <w:t xml:space="preserve">and budget for the </w:t>
      </w:r>
      <w:r>
        <w:t xml:space="preserve">two </w:t>
      </w:r>
      <w:r w:rsidR="00BD6F73" w:rsidRPr="00384260">
        <w:t>thematic</w:t>
      </w:r>
      <w:r>
        <w:t xml:space="preserve"> assessments</w:t>
      </w:r>
      <w:r w:rsidR="00BD6F73" w:rsidRPr="00384260">
        <w:t xml:space="preserve"> and</w:t>
      </w:r>
      <w:r>
        <w:t xml:space="preserve"> the</w:t>
      </w:r>
      <w:r w:rsidR="00BD6F73" w:rsidRPr="00384260">
        <w:t xml:space="preserve"> methodological assessment (deliverables 3 (b)</w:t>
      </w:r>
      <w:r>
        <w:t xml:space="preserve"> </w:t>
      </w:r>
      <w:r w:rsidR="00BD6F73" w:rsidRPr="00384260">
        <w:t>(ii), 3 (b)</w:t>
      </w:r>
      <w:r>
        <w:t xml:space="preserve"> </w:t>
      </w:r>
      <w:r w:rsidR="00BD6F73" w:rsidRPr="00384260">
        <w:t>(iii) and 3 (d))</w:t>
      </w:r>
      <w:r w:rsidR="00BD6F73">
        <w:t>;</w:t>
      </w:r>
    </w:p>
    <w:p w14:paraId="499D8091" w14:textId="1759EDE1" w:rsidR="00BD6F73" w:rsidRDefault="0027136B" w:rsidP="000B5220">
      <w:pPr>
        <w:pStyle w:val="Normalnumber"/>
        <w:numPr>
          <w:ilvl w:val="1"/>
          <w:numId w:val="9"/>
        </w:numPr>
        <w:tabs>
          <w:tab w:val="clear" w:pos="567"/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firstLine="624"/>
      </w:pPr>
      <w:proofErr w:type="gramStart"/>
      <w:r>
        <w:t>The timing of the</w:t>
      </w:r>
      <w:r w:rsidR="00BD6F73">
        <w:t xml:space="preserve"> launch </w:t>
      </w:r>
      <w:r>
        <w:t xml:space="preserve">of </w:t>
      </w:r>
      <w:r w:rsidR="00BD6F73">
        <w:t xml:space="preserve">each of the three assessments, including the possibility </w:t>
      </w:r>
      <w:r>
        <w:t xml:space="preserve">of </w:t>
      </w:r>
      <w:r w:rsidR="00BD6F73">
        <w:t>consider</w:t>
      </w:r>
      <w:r>
        <w:t>ing</w:t>
      </w:r>
      <w:r w:rsidR="00BD6F73">
        <w:t xml:space="preserve"> them in the context of the development of a second</w:t>
      </w:r>
      <w:r>
        <w:t xml:space="preserve"> IPBES</w:t>
      </w:r>
      <w:r w:rsidR="00BD6F73">
        <w:t xml:space="preserve"> work programme.</w:t>
      </w:r>
      <w:proofErr w:type="gramEnd"/>
      <w:r w:rsidR="00BD6F73">
        <w:t xml:space="preserve"> </w:t>
      </w:r>
    </w:p>
    <w:p w14:paraId="6C555A6F" w14:textId="20F3F2ED" w:rsidR="00BD6F73" w:rsidRPr="00643A3F" w:rsidRDefault="00BD6F73" w:rsidP="000B5220">
      <w:pPr>
        <w:pStyle w:val="Normal-pool"/>
        <w:spacing w:before="120"/>
        <w:rPr>
          <w:rFonts w:eastAsia="Gulim"/>
          <w:b/>
          <w:sz w:val="24"/>
          <w:szCs w:val="24"/>
        </w:rPr>
      </w:pPr>
      <w:r w:rsidRPr="000B5220">
        <w:rPr>
          <w:rFonts w:eastAsia="Gulim"/>
          <w:b/>
        </w:rPr>
        <w:t xml:space="preserve">Estimated cost of </w:t>
      </w:r>
      <w:r w:rsidR="0027136B">
        <w:rPr>
          <w:rFonts w:eastAsia="Gulim"/>
          <w:b/>
        </w:rPr>
        <w:t>an</w:t>
      </w:r>
      <w:r w:rsidR="0027136B" w:rsidRPr="000B5220">
        <w:rPr>
          <w:rFonts w:eastAsia="Gulim"/>
          <w:b/>
        </w:rPr>
        <w:t xml:space="preserve"> </w:t>
      </w:r>
      <w:r w:rsidRPr="000B5220">
        <w:rPr>
          <w:rFonts w:eastAsia="Gulim"/>
          <w:b/>
        </w:rPr>
        <w:t xml:space="preserve">assessment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050"/>
        <w:gridCol w:w="3328"/>
        <w:gridCol w:w="1560"/>
      </w:tblGrid>
      <w:tr w:rsidR="00333111" w:rsidRPr="00D57CDF" w14:paraId="1C116B45" w14:textId="77777777" w:rsidTr="00862F93">
        <w:trPr>
          <w:tblHeader/>
        </w:trPr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B4624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Year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3EA9A0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Cost item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FE0ABC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Assumptions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EE9D32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 xml:space="preserve">Estimated costs </w:t>
            </w:r>
            <w:r w:rsidRPr="000B5220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br/>
              <w:t xml:space="preserve">(in United States dollars) </w:t>
            </w:r>
          </w:p>
        </w:tc>
      </w:tr>
      <w:tr w:rsidR="00333111" w:rsidRPr="00D57CDF" w14:paraId="0B174D1E" w14:textId="77777777" w:rsidTr="00862F93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4D0351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Year 1</w:t>
            </w:r>
          </w:p>
        </w:tc>
        <w:tc>
          <w:tcPr>
            <w:tcW w:w="30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C851EAF" w14:textId="6E534BDE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Management meeting for assessment (with co-chairs</w:t>
            </w:r>
            <w:r w:rsidR="0027136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,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secretariat</w:t>
            </w:r>
            <w:r w:rsidR="0027136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, the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technical support unit, </w:t>
            </w:r>
            <w:r w:rsidR="0027136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and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Multidisciplinary Expert Panel </w:t>
            </w:r>
            <w:r w:rsidR="0027136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and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Bureau</w:t>
            </w:r>
            <w:r w:rsidR="00E1566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members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328" w:type="dxa"/>
            <w:tcBorders>
              <w:top w:val="single" w:sz="12" w:space="0" w:color="auto"/>
            </w:tcBorders>
            <w:shd w:val="clear" w:color="auto" w:fill="auto"/>
          </w:tcPr>
          <w:p w14:paraId="39F6D466" w14:textId="0C926E93" w:rsidR="00BD6F73" w:rsidRPr="000B5220" w:rsidRDefault="0027136B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Venue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="00BD6F73"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costs (1/2 week, six participants, in Bonn)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4D3F2911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</w:t>
            </w:r>
          </w:p>
        </w:tc>
      </w:tr>
      <w:tr w:rsidR="00333111" w:rsidRPr="00D57CDF" w14:paraId="28EAA917" w14:textId="77777777" w:rsidTr="00862F93">
        <w:tc>
          <w:tcPr>
            <w:tcW w:w="1560" w:type="dxa"/>
            <w:vMerge/>
            <w:shd w:val="clear" w:color="auto" w:fill="auto"/>
          </w:tcPr>
          <w:p w14:paraId="17F62682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14:paraId="592FFBF4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328" w:type="dxa"/>
            <w:shd w:val="clear" w:color="auto" w:fill="auto"/>
          </w:tcPr>
          <w:p w14:paraId="20E1985C" w14:textId="2BC16BF6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Travel and daily subsistence allowance (4 </w:t>
            </w:r>
            <w:r w:rsidR="000026D0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×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$3,750)</w:t>
            </w:r>
          </w:p>
        </w:tc>
        <w:tc>
          <w:tcPr>
            <w:tcW w:w="1560" w:type="dxa"/>
            <w:shd w:val="clear" w:color="auto" w:fill="auto"/>
          </w:tcPr>
          <w:p w14:paraId="099EB74D" w14:textId="36578F2A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15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000</w:t>
            </w:r>
          </w:p>
        </w:tc>
      </w:tr>
      <w:tr w:rsidR="00333111" w:rsidRPr="00D57CDF" w14:paraId="356397A6" w14:textId="77777777" w:rsidTr="00862F93">
        <w:tc>
          <w:tcPr>
            <w:tcW w:w="1560" w:type="dxa"/>
            <w:vMerge/>
            <w:shd w:val="clear" w:color="auto" w:fill="auto"/>
          </w:tcPr>
          <w:p w14:paraId="4D659FF6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 w:val="restart"/>
            <w:shd w:val="clear" w:color="auto" w:fill="auto"/>
          </w:tcPr>
          <w:p w14:paraId="4EB67A95" w14:textId="25562E49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First author meeting (participants: 2 co-chairs, 12 coordinating lead authors,</w:t>
            </w:r>
            <w:r w:rsidR="0027136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36 lead authors and 6 dedicated Multidisciplinary Expert Panel </w:t>
            </w:r>
            <w:r w:rsidR="0027136B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and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Bureau</w:t>
            </w:r>
            <w:r w:rsidR="00E1566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members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328" w:type="dxa"/>
            <w:shd w:val="clear" w:color="auto" w:fill="auto"/>
          </w:tcPr>
          <w:p w14:paraId="49897447" w14:textId="763A5EDD" w:rsidR="00BD6F73" w:rsidRPr="000B5220" w:rsidRDefault="0027136B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</w:t>
            </w:r>
            <w:r w:rsidR="00BD6F73"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enue</w:t>
            </w:r>
            <w:r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costs</w:t>
            </w:r>
            <w:r w:rsidR="00BD6F73"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(corresponding to 75 per cent, to be complemented with 25 per cent in kind); 56 participants (42 supported)</w:t>
            </w:r>
          </w:p>
        </w:tc>
        <w:tc>
          <w:tcPr>
            <w:tcW w:w="1560" w:type="dxa"/>
            <w:shd w:val="clear" w:color="auto" w:fill="auto"/>
          </w:tcPr>
          <w:p w14:paraId="393EB2F1" w14:textId="385634E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18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750</w:t>
            </w:r>
          </w:p>
        </w:tc>
      </w:tr>
      <w:tr w:rsidR="00333111" w:rsidRPr="00D57CDF" w14:paraId="4727D4BF" w14:textId="77777777" w:rsidTr="00862F93">
        <w:tc>
          <w:tcPr>
            <w:tcW w:w="1560" w:type="dxa"/>
            <w:vMerge/>
            <w:shd w:val="clear" w:color="auto" w:fill="auto"/>
          </w:tcPr>
          <w:p w14:paraId="48BD9BD0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14:paraId="2D0F529B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328" w:type="dxa"/>
            <w:shd w:val="clear" w:color="auto" w:fill="auto"/>
          </w:tcPr>
          <w:p w14:paraId="3FE0C832" w14:textId="333072A2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Travel and daily subsistence allowance (42 </w:t>
            </w:r>
            <w:r w:rsidR="000026D0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×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$3,750)</w:t>
            </w:r>
          </w:p>
        </w:tc>
        <w:tc>
          <w:tcPr>
            <w:tcW w:w="1560" w:type="dxa"/>
            <w:shd w:val="clear" w:color="auto" w:fill="auto"/>
          </w:tcPr>
          <w:p w14:paraId="2D6CEF5F" w14:textId="64AA79C1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157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500</w:t>
            </w:r>
          </w:p>
        </w:tc>
      </w:tr>
      <w:tr w:rsidR="00333111" w:rsidRPr="00D57CDF" w14:paraId="31B65F2A" w14:textId="77777777" w:rsidTr="00862F93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1976EE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7045ACB3" w14:textId="5D05A38E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Technical support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3BFF360E" w14:textId="3C606B4F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One full-time equivalent </w:t>
            </w:r>
            <w:r w:rsidR="00E15666" w:rsidRPr="009A04E2">
              <w:rPr>
                <w:rFonts w:ascii="Times New Roman" w:hAnsi="Times New Roman"/>
                <w:sz w:val="18"/>
                <w:szCs w:val="18"/>
                <w:lang w:eastAsia="zh-CN"/>
              </w:rPr>
              <w:t>P</w:t>
            </w:r>
            <w:r w:rsidRPr="000B5220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rofessional position, travel costs and overhead (to be matched by an in-kind offer of an equivalent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value)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8C987A2" w14:textId="5A017EAE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75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000</w:t>
            </w:r>
          </w:p>
          <w:p w14:paraId="766535CE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14:paraId="23CE0584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33111" w:rsidRPr="00D57CDF" w14:paraId="57E2D573" w14:textId="77777777" w:rsidTr="00862F9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D894D" w14:textId="77777777" w:rsidR="00BD6F73" w:rsidRPr="00862F93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92DE8" w14:textId="77777777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Total year 1: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2FC71" w14:textId="77777777" w:rsidR="00BD6F73" w:rsidRPr="00862F93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B48C1" w14:textId="0665AFE8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266</w:t>
            </w:r>
            <w:r w:rsidR="00A12487"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250</w:t>
            </w:r>
          </w:p>
        </w:tc>
      </w:tr>
      <w:tr w:rsidR="00333111" w:rsidRPr="00D57CDF" w14:paraId="1669F97E" w14:textId="77777777" w:rsidTr="00862F93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23859A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Year 2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C94334" w14:textId="061A10D4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Second author meeting (participants: 2 co-chairs, 12 coordinating lead authors, 36 lead authors, 12 review editors and 6 dedicated Multidisciplinary Expert Panel </w:t>
            </w:r>
            <w:r w:rsidR="00E1566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and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Bureau members)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31240F10" w14:textId="31045BAD" w:rsidR="00BD6F73" w:rsidRPr="000B5220" w:rsidRDefault="00E15666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</w:t>
            </w:r>
            <w:r w:rsidR="00BD6F73"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enue</w:t>
            </w:r>
            <w:r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costs</w:t>
            </w:r>
            <w:r w:rsidR="00BD6F73"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(corresponding to 75 per cent, to be complemented with 25 per cent in kind); 68 participants (51 supported)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F62A53D" w14:textId="0F3DBA5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000</w:t>
            </w:r>
          </w:p>
        </w:tc>
      </w:tr>
      <w:tr w:rsidR="00333111" w:rsidRPr="00D57CDF" w14:paraId="612538CC" w14:textId="77777777" w:rsidTr="00862F93">
        <w:tc>
          <w:tcPr>
            <w:tcW w:w="1560" w:type="dxa"/>
            <w:vMerge/>
            <w:shd w:val="clear" w:color="auto" w:fill="auto"/>
          </w:tcPr>
          <w:p w14:paraId="7A951290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14:paraId="43F61C91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328" w:type="dxa"/>
            <w:shd w:val="clear" w:color="auto" w:fill="auto"/>
          </w:tcPr>
          <w:p w14:paraId="53B2C310" w14:textId="4E2261D0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Travel and daily subsistence allowance (51 </w:t>
            </w:r>
            <w:r w:rsidR="000026D0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×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$3,750)</w:t>
            </w:r>
          </w:p>
        </w:tc>
        <w:tc>
          <w:tcPr>
            <w:tcW w:w="1560" w:type="dxa"/>
            <w:shd w:val="clear" w:color="auto" w:fill="auto"/>
          </w:tcPr>
          <w:p w14:paraId="0BF2153B" w14:textId="180F49F9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191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250</w:t>
            </w:r>
          </w:p>
        </w:tc>
      </w:tr>
      <w:tr w:rsidR="00333111" w:rsidRPr="00D57CDF" w14:paraId="3D484205" w14:textId="77777777" w:rsidTr="00862F93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00C512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220B7A56" w14:textId="0D7681B5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Technical support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2D60F562" w14:textId="165AA418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One full-time equivalent </w:t>
            </w:r>
            <w:r w:rsidR="00E15666" w:rsidRPr="009A04E2">
              <w:rPr>
                <w:rFonts w:ascii="Times New Roman" w:hAnsi="Times New Roman"/>
                <w:sz w:val="18"/>
                <w:szCs w:val="18"/>
                <w:lang w:eastAsia="zh-CN"/>
              </w:rPr>
              <w:t>P</w:t>
            </w:r>
            <w:r w:rsidRPr="000B5220">
              <w:rPr>
                <w:rFonts w:ascii="Times New Roman" w:hAnsi="Times New Roman"/>
                <w:sz w:val="18"/>
                <w:szCs w:val="18"/>
                <w:lang w:eastAsia="zh-CN"/>
              </w:rPr>
              <w:t>rofessional position, travel costs and overhead (to be matched by an in-kind offer of an equivalent value)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B276A8" w14:textId="2E55EE0F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75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000</w:t>
            </w:r>
          </w:p>
          <w:p w14:paraId="087F04DE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14:paraId="0BEA799D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</w:tr>
      <w:tr w:rsidR="00333111" w:rsidRPr="00D57CDF" w14:paraId="04C8B32D" w14:textId="77777777" w:rsidTr="00862F9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198652" w14:textId="77777777" w:rsidR="00BD6F73" w:rsidRPr="00862F93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2BCBA" w14:textId="77777777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Total year 2: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EE33D" w14:textId="77777777" w:rsidR="00BD6F73" w:rsidRPr="00862F93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099CB" w14:textId="319A77E9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286</w:t>
            </w:r>
            <w:r w:rsidR="00A12487"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250</w:t>
            </w:r>
          </w:p>
        </w:tc>
      </w:tr>
      <w:tr w:rsidR="00333111" w:rsidRPr="00D57CDF" w14:paraId="31AB0116" w14:textId="77777777" w:rsidTr="00862F93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8E8231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Year 3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0255828" w14:textId="0DF703E8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Third author meeting (participants: 2 co-chairs, 12 coordinating lead authors, 36 lead authors, 12 review editors, and 6 dedicated Multidisciplinary Expert Panel </w:t>
            </w:r>
            <w:r w:rsidR="00E1566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and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Bureau members)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43B3E5E0" w14:textId="585DA216" w:rsidR="00BD6F73" w:rsidRPr="000B5220" w:rsidRDefault="00E15666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V</w:t>
            </w:r>
            <w:r w:rsidR="00BD6F73"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enue</w:t>
            </w:r>
            <w:r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costs</w:t>
            </w:r>
            <w:r w:rsidR="00BD6F73"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(corresponding to 75 per cent, to be complemented with 25 per cent in kind); 68 participants (51 supported)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7869911" w14:textId="1B2018C9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20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000</w:t>
            </w:r>
          </w:p>
        </w:tc>
      </w:tr>
      <w:tr w:rsidR="00333111" w:rsidRPr="00D57CDF" w14:paraId="72107321" w14:textId="77777777" w:rsidTr="00862F93">
        <w:tc>
          <w:tcPr>
            <w:tcW w:w="1560" w:type="dxa"/>
            <w:vMerge/>
            <w:shd w:val="clear" w:color="auto" w:fill="auto"/>
          </w:tcPr>
          <w:p w14:paraId="08556FA7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14:paraId="50A91828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328" w:type="dxa"/>
            <w:shd w:val="clear" w:color="auto" w:fill="auto"/>
          </w:tcPr>
          <w:p w14:paraId="0210A31B" w14:textId="396394FC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Travel and daily subsistence allowance (51 </w:t>
            </w:r>
            <w:r w:rsidR="000026D0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×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$3,750)</w:t>
            </w:r>
          </w:p>
        </w:tc>
        <w:tc>
          <w:tcPr>
            <w:tcW w:w="1560" w:type="dxa"/>
            <w:shd w:val="clear" w:color="auto" w:fill="auto"/>
          </w:tcPr>
          <w:p w14:paraId="534DFDDA" w14:textId="3C5769B4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191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250</w:t>
            </w:r>
          </w:p>
        </w:tc>
      </w:tr>
      <w:tr w:rsidR="00333111" w:rsidRPr="00D57CDF" w14:paraId="3A1D355A" w14:textId="77777777" w:rsidTr="00862F93">
        <w:tc>
          <w:tcPr>
            <w:tcW w:w="1560" w:type="dxa"/>
            <w:vMerge/>
            <w:shd w:val="clear" w:color="auto" w:fill="auto"/>
          </w:tcPr>
          <w:p w14:paraId="7C1DAF26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shd w:val="clear" w:color="auto" w:fill="auto"/>
          </w:tcPr>
          <w:p w14:paraId="19D52FE1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Technical support</w:t>
            </w:r>
          </w:p>
        </w:tc>
        <w:tc>
          <w:tcPr>
            <w:tcW w:w="3328" w:type="dxa"/>
            <w:shd w:val="clear" w:color="auto" w:fill="auto"/>
          </w:tcPr>
          <w:p w14:paraId="229A93F2" w14:textId="007EF649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One full-time equivalent </w:t>
            </w:r>
            <w:r w:rsidR="00E15666" w:rsidRPr="009A04E2">
              <w:rPr>
                <w:rFonts w:ascii="Times New Roman" w:hAnsi="Times New Roman"/>
                <w:sz w:val="18"/>
                <w:szCs w:val="18"/>
                <w:lang w:eastAsia="zh-CN"/>
              </w:rPr>
              <w:t>P</w:t>
            </w:r>
            <w:r w:rsidRPr="000B5220">
              <w:rPr>
                <w:rFonts w:ascii="Times New Roman" w:hAnsi="Times New Roman"/>
                <w:sz w:val="18"/>
                <w:szCs w:val="18"/>
                <w:lang w:eastAsia="zh-CN"/>
              </w:rPr>
              <w:t>rofessional position, travel costs and overhead (to be matched by an in-kind offer of an equivalent value)</w:t>
            </w:r>
          </w:p>
        </w:tc>
        <w:tc>
          <w:tcPr>
            <w:tcW w:w="1560" w:type="dxa"/>
            <w:shd w:val="clear" w:color="auto" w:fill="auto"/>
          </w:tcPr>
          <w:p w14:paraId="1F2A7026" w14:textId="21BB0478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75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000</w:t>
            </w:r>
          </w:p>
        </w:tc>
      </w:tr>
      <w:tr w:rsidR="00333111" w:rsidRPr="00D57CDF" w14:paraId="4FD1649E" w14:textId="77777777" w:rsidTr="00862F93">
        <w:trPr>
          <w:trHeight w:val="289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4857B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15D1739D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Dissemination and outreach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1F4CFCCB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78AB868" w14:textId="1EA7410B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50</w:t>
            </w:r>
            <w:r w:rsidR="00A12487"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000</w:t>
            </w:r>
          </w:p>
        </w:tc>
      </w:tr>
      <w:tr w:rsidR="00333111" w:rsidRPr="00D57CDF" w14:paraId="725D2BFE" w14:textId="77777777" w:rsidTr="00862F9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DDE63" w14:textId="77777777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93F67" w14:textId="77777777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Total year 3:</w:t>
            </w:r>
          </w:p>
        </w:tc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2182D" w14:textId="77777777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6544F" w14:textId="117712FC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336</w:t>
            </w:r>
            <w:r w:rsidR="00A12487"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250</w:t>
            </w:r>
          </w:p>
        </w:tc>
      </w:tr>
      <w:tr w:rsidR="00862F93" w:rsidRPr="00D57CDF" w14:paraId="7771E8DC" w14:textId="77777777" w:rsidTr="00862F93"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6DB28B" w14:textId="77777777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Year 4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(assessment launch and post-launch activities)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shd w:val="clear" w:color="auto" w:fill="auto"/>
          </w:tcPr>
          <w:p w14:paraId="3A6787B1" w14:textId="77777777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Participation of 8 experts, including 2 co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noBreakHyphen/>
              <w:t>chairs and 6 coordinating lead authors or lead authors in the eight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h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session of the Plenary 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shd w:val="clear" w:color="auto" w:fill="auto"/>
          </w:tcPr>
          <w:p w14:paraId="30CD5B42" w14:textId="77777777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8 participants (6 supported)</w:t>
            </w:r>
          </w:p>
          <w:p w14:paraId="5132B12B" w14:textId="77777777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Travel and daily subsistence allowance </w:t>
            </w:r>
          </w:p>
          <w:p w14:paraId="20C38F52" w14:textId="2020106C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(6 </w:t>
            </w:r>
            <w:r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×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$3,750)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95E0852" w14:textId="0922CA47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22</w:t>
            </w:r>
            <w:r w:rsidRPr="009A04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500</w:t>
            </w:r>
          </w:p>
        </w:tc>
      </w:tr>
      <w:tr w:rsidR="00862F93" w:rsidRPr="00D57CDF" w14:paraId="2DDD39A5" w14:textId="77777777" w:rsidTr="00862F93">
        <w:tc>
          <w:tcPr>
            <w:tcW w:w="1560" w:type="dxa"/>
            <w:vMerge/>
            <w:shd w:val="clear" w:color="auto" w:fill="auto"/>
          </w:tcPr>
          <w:p w14:paraId="67FF2D2A" w14:textId="77777777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shd w:val="clear" w:color="auto" w:fill="auto"/>
          </w:tcPr>
          <w:p w14:paraId="482850F2" w14:textId="77408DC2" w:rsidR="00862F93" w:rsidRPr="00862F93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Technical support (for 3 months after launch of the assessment report at Plenary)</w:t>
            </w:r>
          </w:p>
        </w:tc>
        <w:tc>
          <w:tcPr>
            <w:tcW w:w="3328" w:type="dxa"/>
            <w:shd w:val="clear" w:color="auto" w:fill="auto"/>
          </w:tcPr>
          <w:p w14:paraId="4DB641E9" w14:textId="16B6C91E" w:rsidR="00862F93" w:rsidRPr="00862F93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hAnsi="Times New Roman"/>
                <w:sz w:val="18"/>
                <w:szCs w:val="18"/>
                <w:lang w:eastAsia="zh-CN"/>
              </w:rPr>
              <w:t>One full-time equivalent Professional position, travel costs and overhead (to be matched by an in-kind offer of an equivalent value)</w:t>
            </w:r>
          </w:p>
        </w:tc>
        <w:tc>
          <w:tcPr>
            <w:tcW w:w="1560" w:type="dxa"/>
            <w:shd w:val="clear" w:color="auto" w:fill="auto"/>
          </w:tcPr>
          <w:p w14:paraId="46405A83" w14:textId="280F24BC" w:rsidR="00862F93" w:rsidRPr="00862F93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18 750</w:t>
            </w:r>
          </w:p>
        </w:tc>
      </w:tr>
      <w:tr w:rsidR="00862F93" w:rsidRPr="00D57CDF" w14:paraId="1F5CE7BF" w14:textId="77777777" w:rsidTr="00862F93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B315AF" w14:textId="77777777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715388CD" w14:textId="50FD3789" w:rsidR="00862F93" w:rsidRPr="000B5220" w:rsidRDefault="00862F9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b/>
                <w:i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Dissemination and outreach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2CB42373" w14:textId="77777777" w:rsidR="00862F93" w:rsidRPr="000B5220" w:rsidRDefault="00862F9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hAnsi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5C0C547" w14:textId="1419423F" w:rsidR="00862F93" w:rsidRPr="000B5220" w:rsidRDefault="00862F9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i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67 000</w:t>
            </w:r>
          </w:p>
        </w:tc>
      </w:tr>
      <w:tr w:rsidR="00333111" w:rsidRPr="00D57CDF" w14:paraId="285C6598" w14:textId="77777777" w:rsidTr="00862F9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AF9318E" w14:textId="77777777" w:rsidR="00BD6F73" w:rsidRPr="00862F93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14:paraId="64EEDA6B" w14:textId="77777777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Total year 4: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</w:tcPr>
          <w:p w14:paraId="3A3E1FCD" w14:textId="77777777" w:rsidR="00BD6F73" w:rsidRPr="00862F93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C56C8A5" w14:textId="71E804CB" w:rsidR="00BD6F73" w:rsidRPr="00862F93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108</w:t>
            </w:r>
            <w:r w:rsidR="00A12487"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862F93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250</w:t>
            </w:r>
          </w:p>
        </w:tc>
      </w:tr>
      <w:tr w:rsidR="00333111" w:rsidRPr="00D57CDF" w14:paraId="361FBA45" w14:textId="77777777" w:rsidTr="00862F93"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B2313C" w14:textId="77777777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Total</w:t>
            </w:r>
          </w:p>
        </w:tc>
        <w:tc>
          <w:tcPr>
            <w:tcW w:w="30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E17D3C3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23E18A" w14:textId="77777777" w:rsidR="00BD6F73" w:rsidRPr="000B5220" w:rsidRDefault="00BD6F73" w:rsidP="00862F93">
            <w:pPr>
              <w:keepNext/>
              <w:keepLines/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  <w:tab w:val="left" w:pos="4082"/>
              </w:tabs>
              <w:suppressAutoHyphens/>
              <w:spacing w:before="40" w:after="40" w:line="240" w:lineRule="auto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905528" w14:textId="6D0CD1A2" w:rsidR="00BD6F73" w:rsidRPr="000B5220" w:rsidRDefault="00BD6F73" w:rsidP="00862F93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40" w:after="40" w:line="240" w:lineRule="auto"/>
              <w:jc w:val="right"/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</w:pPr>
            <w:r w:rsidRPr="000B5220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997</w:t>
            </w:r>
            <w:r w:rsidR="00A12487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 xml:space="preserve"> </w:t>
            </w:r>
            <w:r w:rsidRPr="000B5220">
              <w:rPr>
                <w:rFonts w:ascii="Times New Roman" w:eastAsia="SimSun" w:hAnsi="Times New Roman"/>
                <w:b/>
                <w:sz w:val="18"/>
                <w:szCs w:val="18"/>
                <w:lang w:eastAsia="zh-CN"/>
              </w:rPr>
              <w:t>000</w:t>
            </w:r>
          </w:p>
        </w:tc>
      </w:tr>
    </w:tbl>
    <w:p w14:paraId="7A39C1A1" w14:textId="77777777" w:rsidR="00BD6F73" w:rsidRDefault="00BD6F73" w:rsidP="00BD6F73">
      <w:pPr>
        <w:pStyle w:val="NormalPlain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1943"/>
        <w:gridCol w:w="1942"/>
        <w:gridCol w:w="1942"/>
        <w:gridCol w:w="1836"/>
      </w:tblGrid>
      <w:tr w:rsidR="00333111" w14:paraId="069BA5A6" w14:textId="77777777" w:rsidTr="00862F93">
        <w:tc>
          <w:tcPr>
            <w:tcW w:w="1943" w:type="dxa"/>
          </w:tcPr>
          <w:p w14:paraId="14C63228" w14:textId="77777777" w:rsidR="00333111" w:rsidRDefault="00333111" w:rsidP="0004147A">
            <w:pPr>
              <w:pStyle w:val="NormalPlain"/>
              <w:spacing w:before="520"/>
              <w:ind w:left="0"/>
              <w:rPr>
                <w:b/>
              </w:rPr>
            </w:pPr>
          </w:p>
        </w:tc>
        <w:tc>
          <w:tcPr>
            <w:tcW w:w="1943" w:type="dxa"/>
          </w:tcPr>
          <w:p w14:paraId="127ED4F8" w14:textId="77777777" w:rsidR="00333111" w:rsidRDefault="00333111" w:rsidP="0004147A">
            <w:pPr>
              <w:pStyle w:val="NormalPlain"/>
              <w:spacing w:before="520"/>
              <w:ind w:left="0"/>
              <w:rPr>
                <w:b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26BCD68F" w14:textId="77777777" w:rsidR="00333111" w:rsidRDefault="00333111" w:rsidP="0004147A">
            <w:pPr>
              <w:pStyle w:val="NormalPlain"/>
              <w:spacing w:before="520"/>
              <w:ind w:left="0"/>
              <w:rPr>
                <w:b/>
              </w:rPr>
            </w:pPr>
          </w:p>
        </w:tc>
        <w:tc>
          <w:tcPr>
            <w:tcW w:w="1942" w:type="dxa"/>
          </w:tcPr>
          <w:p w14:paraId="357FE2B9" w14:textId="77777777" w:rsidR="00333111" w:rsidRDefault="00333111" w:rsidP="0004147A">
            <w:pPr>
              <w:pStyle w:val="NormalPlain"/>
              <w:spacing w:before="520"/>
              <w:ind w:left="0"/>
              <w:rPr>
                <w:b/>
              </w:rPr>
            </w:pPr>
          </w:p>
        </w:tc>
        <w:tc>
          <w:tcPr>
            <w:tcW w:w="1836" w:type="dxa"/>
          </w:tcPr>
          <w:p w14:paraId="0629A495" w14:textId="77777777" w:rsidR="00333111" w:rsidRDefault="00333111" w:rsidP="0004147A">
            <w:pPr>
              <w:pStyle w:val="NormalPlain"/>
              <w:spacing w:before="520"/>
              <w:ind w:left="0"/>
              <w:rPr>
                <w:b/>
              </w:rPr>
            </w:pPr>
          </w:p>
        </w:tc>
      </w:tr>
    </w:tbl>
    <w:p w14:paraId="1C2E89A7" w14:textId="77777777" w:rsidR="00333111" w:rsidRDefault="00333111" w:rsidP="00BD6F73">
      <w:pPr>
        <w:pStyle w:val="NormalPlain"/>
        <w:ind w:left="0"/>
      </w:pPr>
    </w:p>
    <w:sectPr w:rsidR="00333111" w:rsidSect="00862F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chicago"/>
      </w:footnotePr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462264" w15:done="0"/>
  <w15:commentEx w15:paraId="34084E29" w15:done="0"/>
  <w15:commentEx w15:paraId="68409A69" w15:done="0"/>
  <w15:commentEx w15:paraId="5F75DCCC" w15:done="0"/>
  <w15:commentEx w15:paraId="381A4B39" w15:done="0"/>
  <w15:commentEx w15:paraId="2865E678" w15:done="0"/>
  <w15:commentEx w15:paraId="6847587E" w15:done="0"/>
  <w15:commentEx w15:paraId="141ABDE1" w15:done="0"/>
  <w15:commentEx w15:paraId="60F32DFD" w15:done="0"/>
  <w15:commentEx w15:paraId="0F020884" w15:done="0"/>
  <w15:commentEx w15:paraId="41435172" w15:done="0"/>
  <w15:commentEx w15:paraId="4E985E80" w15:done="0"/>
  <w15:commentEx w15:paraId="5AF689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10A87" w14:textId="77777777" w:rsidR="0088690D" w:rsidRDefault="0088690D">
      <w:r>
        <w:separator/>
      </w:r>
    </w:p>
  </w:endnote>
  <w:endnote w:type="continuationSeparator" w:id="0">
    <w:p w14:paraId="57C4C256" w14:textId="77777777" w:rsidR="0088690D" w:rsidRDefault="0088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Cs w:val="18"/>
      </w:rPr>
      <w:id w:val="-163193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99740" w14:textId="389DA800" w:rsidR="000B5220" w:rsidRPr="000B5220" w:rsidRDefault="000B5220" w:rsidP="000B5220">
        <w:pPr>
          <w:pStyle w:val="Footer"/>
          <w:rPr>
            <w:b/>
            <w:szCs w:val="18"/>
          </w:rPr>
        </w:pPr>
        <w:r w:rsidRPr="000B5220">
          <w:rPr>
            <w:rStyle w:val="Normal-poolChar"/>
            <w:rFonts w:ascii="Times New Roman" w:hAnsi="Times New Roman"/>
            <w:b/>
            <w:szCs w:val="18"/>
          </w:rPr>
          <w:fldChar w:fldCharType="begin"/>
        </w:r>
        <w:r w:rsidRPr="000B5220">
          <w:rPr>
            <w:rStyle w:val="Normal-poolChar"/>
            <w:rFonts w:ascii="Times New Roman" w:hAnsi="Times New Roman"/>
            <w:b/>
            <w:szCs w:val="18"/>
          </w:rPr>
          <w:instrText xml:space="preserve"> PAGE   \* MERGEFORMAT </w:instrText>
        </w:r>
        <w:r w:rsidRPr="000B5220">
          <w:rPr>
            <w:rStyle w:val="Normal-poolChar"/>
            <w:rFonts w:ascii="Times New Roman" w:hAnsi="Times New Roman"/>
            <w:b/>
            <w:szCs w:val="18"/>
          </w:rPr>
          <w:fldChar w:fldCharType="separate"/>
        </w:r>
        <w:r w:rsidR="0085278E">
          <w:rPr>
            <w:rStyle w:val="Normal-poolChar"/>
            <w:rFonts w:ascii="Times New Roman" w:hAnsi="Times New Roman"/>
            <w:b/>
            <w:noProof/>
            <w:szCs w:val="18"/>
          </w:rPr>
          <w:t>2</w:t>
        </w:r>
        <w:r w:rsidRPr="000B5220">
          <w:rPr>
            <w:rStyle w:val="Normal-poolChar"/>
            <w:rFonts w:ascii="Times New Roman" w:hAnsi="Times New Roman"/>
            <w:b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20083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14:paraId="482765C6" w14:textId="0C6F4244" w:rsidR="000B5220" w:rsidRPr="000B5220" w:rsidRDefault="000B5220" w:rsidP="000B5220">
        <w:pPr>
          <w:pStyle w:val="Normal-pool"/>
          <w:jc w:val="right"/>
          <w:rPr>
            <w:b/>
            <w:sz w:val="18"/>
            <w:szCs w:val="18"/>
          </w:rPr>
        </w:pPr>
        <w:r w:rsidRPr="000B5220">
          <w:rPr>
            <w:b/>
            <w:sz w:val="18"/>
            <w:szCs w:val="18"/>
          </w:rPr>
          <w:fldChar w:fldCharType="begin"/>
        </w:r>
        <w:r w:rsidRPr="000B5220">
          <w:rPr>
            <w:b/>
            <w:sz w:val="18"/>
            <w:szCs w:val="18"/>
          </w:rPr>
          <w:instrText xml:space="preserve"> PAGE   \* MERGEFORMAT </w:instrText>
        </w:r>
        <w:r w:rsidRPr="000B5220">
          <w:rPr>
            <w:b/>
            <w:sz w:val="18"/>
            <w:szCs w:val="18"/>
          </w:rPr>
          <w:fldChar w:fldCharType="separate"/>
        </w:r>
        <w:r w:rsidR="0085278E">
          <w:rPr>
            <w:b/>
            <w:noProof/>
            <w:sz w:val="18"/>
            <w:szCs w:val="18"/>
          </w:rPr>
          <w:t>3</w:t>
        </w:r>
        <w:r w:rsidRPr="000B5220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92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E8760" w14:textId="3BB0F970" w:rsidR="00B50B38" w:rsidRPr="00AD1320" w:rsidRDefault="000B5220" w:rsidP="000B5220">
        <w:pPr>
          <w:pStyle w:val="Normal-pool"/>
        </w:pPr>
        <w:r>
          <w:t>K1612156</w:t>
        </w:r>
        <w:r>
          <w:tab/>
        </w:r>
        <w:r w:rsidR="00862F93">
          <w:t>190117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732B3" w14:textId="77777777" w:rsidR="0088690D" w:rsidRPr="000B5220" w:rsidRDefault="0088690D" w:rsidP="00E346FA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0B5220">
        <w:rPr>
          <w:sz w:val="18"/>
          <w:szCs w:val="18"/>
        </w:rPr>
        <w:separator/>
      </w:r>
    </w:p>
  </w:footnote>
  <w:footnote w:type="continuationSeparator" w:id="0">
    <w:p w14:paraId="6D752215" w14:textId="77777777" w:rsidR="0088690D" w:rsidRDefault="0088690D">
      <w:r>
        <w:continuationSeparator/>
      </w:r>
    </w:p>
  </w:footnote>
  <w:footnote w:id="1">
    <w:p w14:paraId="1F29A077" w14:textId="1E1B8E03" w:rsidR="00B50B38" w:rsidRPr="004830DC" w:rsidRDefault="00B50B38" w:rsidP="00E346F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szCs w:val="18"/>
          <w:lang w:val="en-US"/>
        </w:rPr>
      </w:pPr>
      <w:r w:rsidRPr="003726C5">
        <w:rPr>
          <w:rStyle w:val="FootnoteReference"/>
          <w:sz w:val="18"/>
          <w:vertAlign w:val="baseline"/>
        </w:rPr>
        <w:footnoteRef/>
      </w:r>
      <w:r w:rsidRPr="003726C5">
        <w:rPr>
          <w:szCs w:val="18"/>
        </w:rPr>
        <w:t xml:space="preserve"> </w:t>
      </w:r>
      <w:r w:rsidRPr="009A04E2">
        <w:rPr>
          <w:szCs w:val="18"/>
        </w:rPr>
        <w:t>IPBES/5/1</w:t>
      </w:r>
      <w:r w:rsidR="003726C5" w:rsidRPr="000B5220">
        <w:rPr>
          <w:szCs w:val="18"/>
        </w:rPr>
        <w:t>/Rev.1</w:t>
      </w:r>
      <w:r w:rsidRPr="003726C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4E2A1" w14:textId="1C30EBD5" w:rsidR="000B5220" w:rsidRPr="000B5220" w:rsidRDefault="000B5220">
    <w:pPr>
      <w:pStyle w:val="Header"/>
      <w:rPr>
        <w:szCs w:val="18"/>
      </w:rPr>
    </w:pPr>
    <w:r>
      <w:rPr>
        <w:rFonts w:ascii="Times New Roman" w:hAnsi="Times New Roman"/>
        <w:szCs w:val="18"/>
        <w:lang w:val="en-GB"/>
      </w:rPr>
      <w:t>IPBES/5/6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049C9" w14:textId="1BD40F3E" w:rsidR="000B5220" w:rsidRPr="000B5220" w:rsidRDefault="000B5220" w:rsidP="000B5220">
    <w:pPr>
      <w:pStyle w:val="Header"/>
      <w:jc w:val="right"/>
      <w:rPr>
        <w:szCs w:val="18"/>
      </w:rPr>
    </w:pPr>
    <w:r>
      <w:rPr>
        <w:rFonts w:ascii="Times New Roman" w:hAnsi="Times New Roman"/>
        <w:szCs w:val="18"/>
        <w:lang w:val="en-GB"/>
      </w:rPr>
      <w:t>IPBES/5/6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3626" w14:textId="68478E74" w:rsidR="00B50B38" w:rsidRPr="000B5220" w:rsidRDefault="00B50B38" w:rsidP="000B522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1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E7B550A"/>
    <w:multiLevelType w:val="hybridMultilevel"/>
    <w:tmpl w:val="7188072E"/>
    <w:lvl w:ilvl="0" w:tplc="625846C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Larigauderie">
    <w15:presenceInfo w15:providerId="AD" w15:userId="S-1-5-21-95821832-833947585-1217154298-22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131078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40"/>
    <w:rsid w:val="000026D0"/>
    <w:rsid w:val="00010869"/>
    <w:rsid w:val="000149E6"/>
    <w:rsid w:val="00021E01"/>
    <w:rsid w:val="000247B0"/>
    <w:rsid w:val="00026997"/>
    <w:rsid w:val="00033C5F"/>
    <w:rsid w:val="00033E0B"/>
    <w:rsid w:val="00035EDE"/>
    <w:rsid w:val="00035F48"/>
    <w:rsid w:val="0004147A"/>
    <w:rsid w:val="0004540A"/>
    <w:rsid w:val="000509B4"/>
    <w:rsid w:val="0006035B"/>
    <w:rsid w:val="00061444"/>
    <w:rsid w:val="0006430A"/>
    <w:rsid w:val="00071886"/>
    <w:rsid w:val="000742BC"/>
    <w:rsid w:val="00077367"/>
    <w:rsid w:val="00082A0C"/>
    <w:rsid w:val="00083504"/>
    <w:rsid w:val="000904EF"/>
    <w:rsid w:val="0009640C"/>
    <w:rsid w:val="000B22A2"/>
    <w:rsid w:val="000B5220"/>
    <w:rsid w:val="000C1B60"/>
    <w:rsid w:val="000C2A52"/>
    <w:rsid w:val="000D33C0"/>
    <w:rsid w:val="000D6941"/>
    <w:rsid w:val="000F6B5C"/>
    <w:rsid w:val="001202E3"/>
    <w:rsid w:val="00123699"/>
    <w:rsid w:val="0013059D"/>
    <w:rsid w:val="00141A55"/>
    <w:rsid w:val="001446A3"/>
    <w:rsid w:val="00155395"/>
    <w:rsid w:val="001565DC"/>
    <w:rsid w:val="00160D74"/>
    <w:rsid w:val="0016498C"/>
    <w:rsid w:val="00167C67"/>
    <w:rsid w:val="00167D02"/>
    <w:rsid w:val="00181EC8"/>
    <w:rsid w:val="00184349"/>
    <w:rsid w:val="00195F33"/>
    <w:rsid w:val="001A5B35"/>
    <w:rsid w:val="001B1617"/>
    <w:rsid w:val="001B504B"/>
    <w:rsid w:val="001B72A4"/>
    <w:rsid w:val="001D3874"/>
    <w:rsid w:val="001D7E75"/>
    <w:rsid w:val="001E56D2"/>
    <w:rsid w:val="001E7D56"/>
    <w:rsid w:val="001F75DE"/>
    <w:rsid w:val="00200D58"/>
    <w:rsid w:val="002013BE"/>
    <w:rsid w:val="002063A4"/>
    <w:rsid w:val="0021145B"/>
    <w:rsid w:val="00211B03"/>
    <w:rsid w:val="00243D36"/>
    <w:rsid w:val="00247707"/>
    <w:rsid w:val="00251ADB"/>
    <w:rsid w:val="0026018E"/>
    <w:rsid w:val="00264593"/>
    <w:rsid w:val="0027136B"/>
    <w:rsid w:val="00285344"/>
    <w:rsid w:val="00286740"/>
    <w:rsid w:val="002929D8"/>
    <w:rsid w:val="002A237D"/>
    <w:rsid w:val="002A4C53"/>
    <w:rsid w:val="002A652B"/>
    <w:rsid w:val="002B0672"/>
    <w:rsid w:val="002B247F"/>
    <w:rsid w:val="002C145D"/>
    <w:rsid w:val="002C2C3E"/>
    <w:rsid w:val="002C533E"/>
    <w:rsid w:val="002D027F"/>
    <w:rsid w:val="002D7A85"/>
    <w:rsid w:val="002D7B60"/>
    <w:rsid w:val="002E20AB"/>
    <w:rsid w:val="002E2C2B"/>
    <w:rsid w:val="002F4761"/>
    <w:rsid w:val="002F5C79"/>
    <w:rsid w:val="003019E2"/>
    <w:rsid w:val="0031413F"/>
    <w:rsid w:val="003148BB"/>
    <w:rsid w:val="00317976"/>
    <w:rsid w:val="00322F15"/>
    <w:rsid w:val="00333111"/>
    <w:rsid w:val="00334CD4"/>
    <w:rsid w:val="00355EA9"/>
    <w:rsid w:val="003578DE"/>
    <w:rsid w:val="003726C5"/>
    <w:rsid w:val="00396257"/>
    <w:rsid w:val="00397EB8"/>
    <w:rsid w:val="003A4FD0"/>
    <w:rsid w:val="003A69D1"/>
    <w:rsid w:val="003A7705"/>
    <w:rsid w:val="003A77F1"/>
    <w:rsid w:val="003B1545"/>
    <w:rsid w:val="003B30F6"/>
    <w:rsid w:val="003C409D"/>
    <w:rsid w:val="003C5BA6"/>
    <w:rsid w:val="003D50CB"/>
    <w:rsid w:val="003F0E85"/>
    <w:rsid w:val="003F1D30"/>
    <w:rsid w:val="003F2C7A"/>
    <w:rsid w:val="003F7440"/>
    <w:rsid w:val="0041081A"/>
    <w:rsid w:val="00410C55"/>
    <w:rsid w:val="00416854"/>
    <w:rsid w:val="00417725"/>
    <w:rsid w:val="00436B6A"/>
    <w:rsid w:val="00437F26"/>
    <w:rsid w:val="00444097"/>
    <w:rsid w:val="00445487"/>
    <w:rsid w:val="00454769"/>
    <w:rsid w:val="00461A6E"/>
    <w:rsid w:val="00466991"/>
    <w:rsid w:val="0047064C"/>
    <w:rsid w:val="004830DC"/>
    <w:rsid w:val="004A42E1"/>
    <w:rsid w:val="004B162C"/>
    <w:rsid w:val="004C3DBE"/>
    <w:rsid w:val="004C5C96"/>
    <w:rsid w:val="004D06A4"/>
    <w:rsid w:val="004F1A81"/>
    <w:rsid w:val="00517861"/>
    <w:rsid w:val="00521825"/>
    <w:rsid w:val="005218D9"/>
    <w:rsid w:val="00536186"/>
    <w:rsid w:val="00544CBB"/>
    <w:rsid w:val="0057315F"/>
    <w:rsid w:val="00576104"/>
    <w:rsid w:val="005834EC"/>
    <w:rsid w:val="005C67C8"/>
    <w:rsid w:val="005D0249"/>
    <w:rsid w:val="005D6E8C"/>
    <w:rsid w:val="005F100C"/>
    <w:rsid w:val="005F68DA"/>
    <w:rsid w:val="00606059"/>
    <w:rsid w:val="0060773B"/>
    <w:rsid w:val="00611A56"/>
    <w:rsid w:val="00611FCB"/>
    <w:rsid w:val="006157B5"/>
    <w:rsid w:val="0062009F"/>
    <w:rsid w:val="00624347"/>
    <w:rsid w:val="00626FC6"/>
    <w:rsid w:val="006303B4"/>
    <w:rsid w:val="00633D3D"/>
    <w:rsid w:val="00641703"/>
    <w:rsid w:val="006431A6"/>
    <w:rsid w:val="00643A3F"/>
    <w:rsid w:val="006459F6"/>
    <w:rsid w:val="006501AD"/>
    <w:rsid w:val="00651BFA"/>
    <w:rsid w:val="00654475"/>
    <w:rsid w:val="006600AD"/>
    <w:rsid w:val="00665A4B"/>
    <w:rsid w:val="00671ADF"/>
    <w:rsid w:val="00692E2A"/>
    <w:rsid w:val="006A76F2"/>
    <w:rsid w:val="006D7EFB"/>
    <w:rsid w:val="006E6672"/>
    <w:rsid w:val="006E6722"/>
    <w:rsid w:val="007027B9"/>
    <w:rsid w:val="00707AEA"/>
    <w:rsid w:val="00714E08"/>
    <w:rsid w:val="00715E88"/>
    <w:rsid w:val="00734CAA"/>
    <w:rsid w:val="0075533C"/>
    <w:rsid w:val="00757581"/>
    <w:rsid w:val="007611A0"/>
    <w:rsid w:val="00796D3F"/>
    <w:rsid w:val="007A1683"/>
    <w:rsid w:val="007A5C12"/>
    <w:rsid w:val="007A7CB0"/>
    <w:rsid w:val="007B68A3"/>
    <w:rsid w:val="007C2541"/>
    <w:rsid w:val="007D66A8"/>
    <w:rsid w:val="007E003F"/>
    <w:rsid w:val="007F3540"/>
    <w:rsid w:val="007F6126"/>
    <w:rsid w:val="008034CE"/>
    <w:rsid w:val="008056BA"/>
    <w:rsid w:val="008164F2"/>
    <w:rsid w:val="00821395"/>
    <w:rsid w:val="00830E26"/>
    <w:rsid w:val="00843576"/>
    <w:rsid w:val="00843B64"/>
    <w:rsid w:val="008478FC"/>
    <w:rsid w:val="0085278E"/>
    <w:rsid w:val="008610E3"/>
    <w:rsid w:val="00862F93"/>
    <w:rsid w:val="00867BFF"/>
    <w:rsid w:val="008829D3"/>
    <w:rsid w:val="0088480A"/>
    <w:rsid w:val="0088690D"/>
    <w:rsid w:val="0088757A"/>
    <w:rsid w:val="008957DD"/>
    <w:rsid w:val="00897D98"/>
    <w:rsid w:val="008A6DF2"/>
    <w:rsid w:val="008A7807"/>
    <w:rsid w:val="008B4CC9"/>
    <w:rsid w:val="008D5655"/>
    <w:rsid w:val="008D64A7"/>
    <w:rsid w:val="008D7C99"/>
    <w:rsid w:val="008E0FCB"/>
    <w:rsid w:val="009173B9"/>
    <w:rsid w:val="00920EC7"/>
    <w:rsid w:val="0092178C"/>
    <w:rsid w:val="00930B88"/>
    <w:rsid w:val="00940DCC"/>
    <w:rsid w:val="0094179A"/>
    <w:rsid w:val="009441A9"/>
    <w:rsid w:val="0094459E"/>
    <w:rsid w:val="00944DBC"/>
    <w:rsid w:val="0094617E"/>
    <w:rsid w:val="00950977"/>
    <w:rsid w:val="00950B6F"/>
    <w:rsid w:val="00951A7B"/>
    <w:rsid w:val="009527C6"/>
    <w:rsid w:val="009564A6"/>
    <w:rsid w:val="00964967"/>
    <w:rsid w:val="0096595F"/>
    <w:rsid w:val="00967621"/>
    <w:rsid w:val="00967E6A"/>
    <w:rsid w:val="00980F87"/>
    <w:rsid w:val="00984A20"/>
    <w:rsid w:val="00985ADF"/>
    <w:rsid w:val="009A04E2"/>
    <w:rsid w:val="009B35F6"/>
    <w:rsid w:val="009B4A0F"/>
    <w:rsid w:val="009C11D2"/>
    <w:rsid w:val="009C6C70"/>
    <w:rsid w:val="009D0B63"/>
    <w:rsid w:val="009E307E"/>
    <w:rsid w:val="009E78C3"/>
    <w:rsid w:val="009F3D34"/>
    <w:rsid w:val="00A07870"/>
    <w:rsid w:val="00A07F19"/>
    <w:rsid w:val="00A12487"/>
    <w:rsid w:val="00A1348D"/>
    <w:rsid w:val="00A232EE"/>
    <w:rsid w:val="00A4175F"/>
    <w:rsid w:val="00A44411"/>
    <w:rsid w:val="00A469FA"/>
    <w:rsid w:val="00A55B01"/>
    <w:rsid w:val="00A56B5B"/>
    <w:rsid w:val="00A603FF"/>
    <w:rsid w:val="00A657DD"/>
    <w:rsid w:val="00A666A6"/>
    <w:rsid w:val="00A675FD"/>
    <w:rsid w:val="00A72437"/>
    <w:rsid w:val="00A80611"/>
    <w:rsid w:val="00AA0C30"/>
    <w:rsid w:val="00AA1C27"/>
    <w:rsid w:val="00AB5340"/>
    <w:rsid w:val="00AC0A89"/>
    <w:rsid w:val="00AC7C96"/>
    <w:rsid w:val="00AD1320"/>
    <w:rsid w:val="00AE237D"/>
    <w:rsid w:val="00AE502A"/>
    <w:rsid w:val="00AF7C07"/>
    <w:rsid w:val="00B2116E"/>
    <w:rsid w:val="00B22C93"/>
    <w:rsid w:val="00B27589"/>
    <w:rsid w:val="00B31CA2"/>
    <w:rsid w:val="00B405B7"/>
    <w:rsid w:val="00B50B38"/>
    <w:rsid w:val="00B52222"/>
    <w:rsid w:val="00B522BA"/>
    <w:rsid w:val="00B531EA"/>
    <w:rsid w:val="00B54FE7"/>
    <w:rsid w:val="00B57FCC"/>
    <w:rsid w:val="00B66901"/>
    <w:rsid w:val="00B71E6D"/>
    <w:rsid w:val="00B72070"/>
    <w:rsid w:val="00B779E1"/>
    <w:rsid w:val="00B8597A"/>
    <w:rsid w:val="00B91EE1"/>
    <w:rsid w:val="00BA0090"/>
    <w:rsid w:val="00BA1A67"/>
    <w:rsid w:val="00BD6F73"/>
    <w:rsid w:val="00BE5B5F"/>
    <w:rsid w:val="00BF6F99"/>
    <w:rsid w:val="00C26F55"/>
    <w:rsid w:val="00C30C63"/>
    <w:rsid w:val="00C36B8B"/>
    <w:rsid w:val="00C415C1"/>
    <w:rsid w:val="00C47DBF"/>
    <w:rsid w:val="00C552FF"/>
    <w:rsid w:val="00C558DA"/>
    <w:rsid w:val="00C55AF3"/>
    <w:rsid w:val="00C576B7"/>
    <w:rsid w:val="00C70845"/>
    <w:rsid w:val="00C84759"/>
    <w:rsid w:val="00C8789F"/>
    <w:rsid w:val="00CA15FC"/>
    <w:rsid w:val="00CA6C7F"/>
    <w:rsid w:val="00CB150D"/>
    <w:rsid w:val="00CC10A6"/>
    <w:rsid w:val="00CD5EB8"/>
    <w:rsid w:val="00CD7044"/>
    <w:rsid w:val="00CE08B9"/>
    <w:rsid w:val="00CE524C"/>
    <w:rsid w:val="00CF141F"/>
    <w:rsid w:val="00CF4777"/>
    <w:rsid w:val="00D067BB"/>
    <w:rsid w:val="00D1352A"/>
    <w:rsid w:val="00D169AF"/>
    <w:rsid w:val="00D25249"/>
    <w:rsid w:val="00D44172"/>
    <w:rsid w:val="00D57CDF"/>
    <w:rsid w:val="00D60C76"/>
    <w:rsid w:val="00D62DAC"/>
    <w:rsid w:val="00D63625"/>
    <w:rsid w:val="00D63B8C"/>
    <w:rsid w:val="00D66D9B"/>
    <w:rsid w:val="00D739CC"/>
    <w:rsid w:val="00D8093D"/>
    <w:rsid w:val="00D8108C"/>
    <w:rsid w:val="00D842AE"/>
    <w:rsid w:val="00D86974"/>
    <w:rsid w:val="00D87566"/>
    <w:rsid w:val="00D9211C"/>
    <w:rsid w:val="00D92DE0"/>
    <w:rsid w:val="00D92FEF"/>
    <w:rsid w:val="00D93A0F"/>
    <w:rsid w:val="00DA1BCA"/>
    <w:rsid w:val="00DC45C7"/>
    <w:rsid w:val="00DC46FF"/>
    <w:rsid w:val="00DC5254"/>
    <w:rsid w:val="00DD1A4F"/>
    <w:rsid w:val="00DD2838"/>
    <w:rsid w:val="00DD3107"/>
    <w:rsid w:val="00DD7C2C"/>
    <w:rsid w:val="00DF05AB"/>
    <w:rsid w:val="00E06797"/>
    <w:rsid w:val="00E1265B"/>
    <w:rsid w:val="00E13552"/>
    <w:rsid w:val="00E13B48"/>
    <w:rsid w:val="00E1404F"/>
    <w:rsid w:val="00E15666"/>
    <w:rsid w:val="00E21C83"/>
    <w:rsid w:val="00E24ADA"/>
    <w:rsid w:val="00E32F59"/>
    <w:rsid w:val="00E346FA"/>
    <w:rsid w:val="00E4188D"/>
    <w:rsid w:val="00E44A5A"/>
    <w:rsid w:val="00E46D9A"/>
    <w:rsid w:val="00E565FF"/>
    <w:rsid w:val="00E65388"/>
    <w:rsid w:val="00E85B7D"/>
    <w:rsid w:val="00E9121B"/>
    <w:rsid w:val="00EA0AE2"/>
    <w:rsid w:val="00EA39E5"/>
    <w:rsid w:val="00EA5E72"/>
    <w:rsid w:val="00EB32C8"/>
    <w:rsid w:val="00EC5A46"/>
    <w:rsid w:val="00EC63E2"/>
    <w:rsid w:val="00EF22B3"/>
    <w:rsid w:val="00F03B69"/>
    <w:rsid w:val="00F07A50"/>
    <w:rsid w:val="00F113DA"/>
    <w:rsid w:val="00F24AB6"/>
    <w:rsid w:val="00F32722"/>
    <w:rsid w:val="00F343AB"/>
    <w:rsid w:val="00F37DC8"/>
    <w:rsid w:val="00F439B3"/>
    <w:rsid w:val="00F60DF3"/>
    <w:rsid w:val="00F650C3"/>
    <w:rsid w:val="00F65D85"/>
    <w:rsid w:val="00F8091E"/>
    <w:rsid w:val="00F8615C"/>
    <w:rsid w:val="00F94214"/>
    <w:rsid w:val="00F969E5"/>
    <w:rsid w:val="00FA3208"/>
    <w:rsid w:val="00FA5BA4"/>
    <w:rsid w:val="00FA6BB0"/>
    <w:rsid w:val="00FD5860"/>
    <w:rsid w:val="00FD6314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84A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numberChar">
    <w:name w:val="Normal_number Char"/>
    <w:link w:val="Normalnumber"/>
    <w:uiPriority w:val="99"/>
    <w:rsid w:val="009441A9"/>
    <w:rPr>
      <w:lang w:val="en-GB"/>
    </w:rPr>
  </w:style>
  <w:style w:type="character" w:customStyle="1" w:styleId="Normal-poolChar">
    <w:name w:val="Normal-pool Char"/>
    <w:link w:val="Normal-pool"/>
    <w:rsid w:val="009441A9"/>
    <w:rPr>
      <w:lang w:val="en-GB"/>
    </w:rPr>
  </w:style>
  <w:style w:type="character" w:customStyle="1" w:styleId="CH2Char">
    <w:name w:val="CH2 Char"/>
    <w:link w:val="CH2"/>
    <w:rsid w:val="009441A9"/>
    <w:rPr>
      <w:b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9441A9"/>
    <w:rPr>
      <w:rFonts w:ascii="Calibri" w:eastAsia="MS Mincho" w:hAnsi="Calibri"/>
      <w:b/>
      <w:sz w:val="18"/>
      <w:szCs w:val="22"/>
    </w:rPr>
  </w:style>
  <w:style w:type="character" w:customStyle="1" w:styleId="FooterChar">
    <w:name w:val="Footer Char"/>
    <w:link w:val="Footer"/>
    <w:uiPriority w:val="99"/>
    <w:rsid w:val="009441A9"/>
    <w:rPr>
      <w:rFonts w:ascii="Calibri" w:eastAsia="MS Mincho" w:hAnsi="Calibri"/>
      <w:sz w:val="18"/>
      <w:szCs w:val="22"/>
    </w:rPr>
  </w:style>
  <w:style w:type="paragraph" w:styleId="Title">
    <w:name w:val="Title"/>
    <w:basedOn w:val="BBTitle"/>
    <w:next w:val="Normal"/>
    <w:link w:val="TitleChar"/>
    <w:qFormat/>
    <w:rsid w:val="009441A9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9441A9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9441A9"/>
    <w:pPr>
      <w:keepNext/>
      <w:keepLines/>
      <w:tabs>
        <w:tab w:val="clear" w:pos="4082"/>
      </w:tabs>
      <w:suppressAutoHyphens/>
      <w:ind w:right="3402"/>
    </w:pPr>
    <w:rPr>
      <w:b/>
    </w:rPr>
  </w:style>
  <w:style w:type="paragraph" w:customStyle="1" w:styleId="AnnexTitle">
    <w:name w:val="Annex Title"/>
    <w:basedOn w:val="Normal-pool"/>
    <w:qFormat/>
    <w:rsid w:val="009441A9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NormalPlain">
    <w:name w:val="Normal_Plain"/>
    <w:basedOn w:val="Normal"/>
    <w:qFormat/>
    <w:rsid w:val="00BD6F73"/>
    <w:pPr>
      <w:spacing w:after="0" w:line="240" w:lineRule="auto"/>
      <w:ind w:left="1260"/>
    </w:pPr>
    <w:rPr>
      <w:rFonts w:ascii="Times New Roman" w:hAnsi="Times New Roman"/>
      <w:sz w:val="20"/>
      <w:szCs w:val="20"/>
      <w:lang w:val="en-GB" w:eastAsia="ko-KR"/>
    </w:rPr>
  </w:style>
  <w:style w:type="table" w:styleId="TableGrid">
    <w:name w:val="Table Grid"/>
    <w:basedOn w:val="TableNormal"/>
    <w:rsid w:val="00333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583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4EC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4EC"/>
    <w:rPr>
      <w:rFonts w:ascii="Calibri" w:eastAsia="MS Mincho" w:hAnsi="Calibri"/>
      <w:b/>
      <w:bCs/>
    </w:rPr>
  </w:style>
  <w:style w:type="paragraph" w:styleId="Revision">
    <w:name w:val="Revision"/>
    <w:hidden/>
    <w:uiPriority w:val="99"/>
    <w:semiHidden/>
    <w:rsid w:val="009B35F6"/>
    <w:rPr>
      <w:rFonts w:ascii="Calibri" w:eastAsia="MS Mincho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0"/>
    <w:pPr>
      <w:spacing w:after="200"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number"/>
    <w:qFormat/>
    <w:rsid w:val="000D6941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/>
    </w:rPr>
  </w:style>
  <w:style w:type="character" w:styleId="FootnoteReference">
    <w:name w:val="footnote reference"/>
    <w:basedOn w:val="DefaultParagraphFon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semiHidden/>
    <w:rsid w:val="000D6941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uiPriority w:val="99"/>
    <w:rsid w:val="000D6941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basedOn w:val="DefaultParagraphFont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3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uiPriority w:val="99"/>
    <w:qFormat/>
    <w:rsid w:val="00160D74"/>
    <w:pPr>
      <w:numPr>
        <w:numId w:val="4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BalloonText">
    <w:name w:val="Balloon Text"/>
    <w:basedOn w:val="Normal"/>
    <w:link w:val="BalloonTextChar"/>
    <w:rsid w:val="009E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78C3"/>
    <w:rPr>
      <w:rFonts w:ascii="Tahoma" w:eastAsia="MS Mincho" w:hAnsi="Tahoma" w:cs="Tahoma"/>
      <w:sz w:val="16"/>
      <w:szCs w:val="16"/>
    </w:rPr>
  </w:style>
  <w:style w:type="character" w:customStyle="1" w:styleId="NormalnumberChar">
    <w:name w:val="Normal_number Char"/>
    <w:link w:val="Normalnumber"/>
    <w:uiPriority w:val="99"/>
    <w:rsid w:val="009441A9"/>
    <w:rPr>
      <w:lang w:val="en-GB"/>
    </w:rPr>
  </w:style>
  <w:style w:type="character" w:customStyle="1" w:styleId="Normal-poolChar">
    <w:name w:val="Normal-pool Char"/>
    <w:link w:val="Normal-pool"/>
    <w:rsid w:val="009441A9"/>
    <w:rPr>
      <w:lang w:val="en-GB"/>
    </w:rPr>
  </w:style>
  <w:style w:type="character" w:customStyle="1" w:styleId="CH2Char">
    <w:name w:val="CH2 Char"/>
    <w:link w:val="CH2"/>
    <w:rsid w:val="009441A9"/>
    <w:rPr>
      <w:b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9441A9"/>
    <w:rPr>
      <w:rFonts w:ascii="Calibri" w:eastAsia="MS Mincho" w:hAnsi="Calibri"/>
      <w:b/>
      <w:sz w:val="18"/>
      <w:szCs w:val="22"/>
    </w:rPr>
  </w:style>
  <w:style w:type="character" w:customStyle="1" w:styleId="FooterChar">
    <w:name w:val="Footer Char"/>
    <w:link w:val="Footer"/>
    <w:uiPriority w:val="99"/>
    <w:rsid w:val="009441A9"/>
    <w:rPr>
      <w:rFonts w:ascii="Calibri" w:eastAsia="MS Mincho" w:hAnsi="Calibri"/>
      <w:sz w:val="18"/>
      <w:szCs w:val="22"/>
    </w:rPr>
  </w:style>
  <w:style w:type="paragraph" w:styleId="Title">
    <w:name w:val="Title"/>
    <w:basedOn w:val="BBTitle"/>
    <w:next w:val="Normal"/>
    <w:link w:val="TitleChar"/>
    <w:qFormat/>
    <w:rsid w:val="009441A9"/>
    <w:pPr>
      <w:tabs>
        <w:tab w:val="clear" w:pos="4082"/>
      </w:tabs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9441A9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9441A9"/>
    <w:pPr>
      <w:keepNext/>
      <w:keepLines/>
      <w:tabs>
        <w:tab w:val="clear" w:pos="4082"/>
      </w:tabs>
      <w:suppressAutoHyphens/>
      <w:ind w:right="3402"/>
    </w:pPr>
    <w:rPr>
      <w:b/>
    </w:rPr>
  </w:style>
  <w:style w:type="paragraph" w:customStyle="1" w:styleId="AnnexTitle">
    <w:name w:val="Annex Title"/>
    <w:basedOn w:val="Normal-pool"/>
    <w:qFormat/>
    <w:rsid w:val="009441A9"/>
    <w:pPr>
      <w:pageBreakBefore/>
      <w:tabs>
        <w:tab w:val="clear" w:pos="4082"/>
      </w:tabs>
    </w:pPr>
    <w:rPr>
      <w:b/>
      <w:bCs/>
      <w:sz w:val="28"/>
      <w:szCs w:val="22"/>
    </w:rPr>
  </w:style>
  <w:style w:type="paragraph" w:customStyle="1" w:styleId="NormalPlain">
    <w:name w:val="Normal_Plain"/>
    <w:basedOn w:val="Normal"/>
    <w:qFormat/>
    <w:rsid w:val="00BD6F73"/>
    <w:pPr>
      <w:spacing w:after="0" w:line="240" w:lineRule="auto"/>
      <w:ind w:left="1260"/>
    </w:pPr>
    <w:rPr>
      <w:rFonts w:ascii="Times New Roman" w:hAnsi="Times New Roman"/>
      <w:sz w:val="20"/>
      <w:szCs w:val="20"/>
      <w:lang w:val="en-GB" w:eastAsia="ko-KR"/>
    </w:rPr>
  </w:style>
  <w:style w:type="table" w:styleId="TableGrid">
    <w:name w:val="Table Grid"/>
    <w:basedOn w:val="TableNormal"/>
    <w:rsid w:val="00333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5834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4EC"/>
    <w:rPr>
      <w:rFonts w:ascii="Calibri" w:eastAsia="MS Mincho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4EC"/>
    <w:rPr>
      <w:rFonts w:ascii="Calibri" w:eastAsia="MS Mincho" w:hAnsi="Calibri"/>
      <w:b/>
      <w:bCs/>
    </w:rPr>
  </w:style>
  <w:style w:type="paragraph" w:styleId="Revision">
    <w:name w:val="Revision"/>
    <w:hidden/>
    <w:uiPriority w:val="99"/>
    <w:semiHidden/>
    <w:rsid w:val="009B35F6"/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B98D-8B9D-46E3-883D-B0ED13A2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Veronica Gathu</cp:lastModifiedBy>
  <cp:revision>7</cp:revision>
  <cp:lastPrinted>2017-01-19T06:41:00Z</cp:lastPrinted>
  <dcterms:created xsi:type="dcterms:W3CDTF">2017-01-18T12:28:00Z</dcterms:created>
  <dcterms:modified xsi:type="dcterms:W3CDTF">2017-01-19T13:03:00Z</dcterms:modified>
</cp:coreProperties>
</file>