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96"/>
        <w:tblW w:w="5000" w:type="pct"/>
        <w:jc w:val="right"/>
        <w:tblLayout w:type="fixed"/>
        <w:tblLook w:val="0000" w:firstRow="0" w:lastRow="0" w:firstColumn="0" w:lastColumn="0" w:noHBand="0" w:noVBand="0"/>
      </w:tblPr>
      <w:tblGrid>
        <w:gridCol w:w="1809"/>
        <w:gridCol w:w="566"/>
        <w:gridCol w:w="289"/>
        <w:gridCol w:w="1130"/>
        <w:gridCol w:w="1130"/>
        <w:gridCol w:w="1130"/>
        <w:gridCol w:w="1130"/>
        <w:gridCol w:w="14"/>
        <w:gridCol w:w="716"/>
        <w:gridCol w:w="1798"/>
      </w:tblGrid>
      <w:tr w:rsidR="00A614BE" w:rsidRPr="00DF6A59" w:rsidTr="00A614BE">
        <w:trPr>
          <w:cantSplit/>
          <w:trHeight w:val="1079"/>
          <w:jc w:val="right"/>
        </w:trPr>
        <w:tc>
          <w:tcPr>
            <w:tcW w:w="1809" w:type="dxa"/>
          </w:tcPr>
          <w:p w:rsidR="00A614BE" w:rsidRPr="00415529" w:rsidRDefault="00A614BE" w:rsidP="00A614BE">
            <w:pPr>
              <w:pStyle w:val="Heading2"/>
              <w:spacing w:before="40" w:after="0"/>
              <w:ind w:left="0" w:firstLine="0"/>
              <w:rPr>
                <w:b w:val="0"/>
                <w:sz w:val="27"/>
                <w:szCs w:val="27"/>
                <w:lang w:val="es-ES"/>
              </w:rPr>
            </w:pPr>
            <w:bookmarkStart w:id="0" w:name="_GoBack"/>
            <w:bookmarkEnd w:id="0"/>
            <w:r w:rsidRPr="00415529">
              <w:rPr>
                <w:rFonts w:ascii="Arial" w:hAnsi="Arial" w:cs="Arial"/>
                <w:sz w:val="27"/>
                <w:szCs w:val="27"/>
                <w:lang w:val="es-ES"/>
              </w:rPr>
              <w:t>NACIONES</w:t>
            </w:r>
            <w:r w:rsidRPr="00415529">
              <w:rPr>
                <w:rFonts w:ascii="Arial" w:hAnsi="Arial" w:cs="Arial"/>
                <w:sz w:val="27"/>
                <w:szCs w:val="27"/>
                <w:lang w:val="es-ES"/>
              </w:rPr>
              <w:br/>
              <w:t>UNIDAS</w:t>
            </w:r>
          </w:p>
        </w:tc>
        <w:tc>
          <w:tcPr>
            <w:tcW w:w="855" w:type="dxa"/>
            <w:gridSpan w:val="2"/>
            <w:tcBorders>
              <w:left w:val="nil"/>
            </w:tcBorders>
            <w:vAlign w:val="center"/>
          </w:tcPr>
          <w:p w:rsidR="00A614BE" w:rsidRPr="00415529" w:rsidRDefault="00A614BE" w:rsidP="00A614BE">
            <w:pPr>
              <w:jc w:val="center"/>
              <w:rPr>
                <w:lang w:val="es-ES"/>
              </w:rPr>
            </w:pPr>
            <w:r>
              <w:rPr>
                <w:noProof/>
                <w:lang w:val="en-US"/>
              </w:rPr>
              <w:drawing>
                <wp:inline distT="0" distB="0" distL="0" distR="0" wp14:anchorId="1DF2B423" wp14:editId="02F56794">
                  <wp:extent cx="584200" cy="553085"/>
                  <wp:effectExtent l="0" t="0" r="6350" b="0"/>
                  <wp:docPr id="12" name="Picture 1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553085"/>
                          </a:xfrm>
                          <a:prstGeom prst="rect">
                            <a:avLst/>
                          </a:prstGeom>
                          <a:noFill/>
                          <a:ln>
                            <a:noFill/>
                          </a:ln>
                        </pic:spPr>
                      </pic:pic>
                    </a:graphicData>
                  </a:graphic>
                </wp:inline>
              </w:drawing>
            </w:r>
          </w:p>
        </w:tc>
        <w:tc>
          <w:tcPr>
            <w:tcW w:w="1130" w:type="dxa"/>
            <w:tcBorders>
              <w:left w:val="nil"/>
            </w:tcBorders>
            <w:vAlign w:val="center"/>
          </w:tcPr>
          <w:p w:rsidR="00A614BE" w:rsidRPr="00415529" w:rsidRDefault="00A614BE" w:rsidP="00A614BE">
            <w:pPr>
              <w:jc w:val="center"/>
              <w:rPr>
                <w:lang w:val="es-ES"/>
              </w:rPr>
            </w:pPr>
            <w:r>
              <w:rPr>
                <w:noProof/>
                <w:lang w:val="en-US"/>
              </w:rPr>
              <w:drawing>
                <wp:inline distT="0" distB="0" distL="0" distR="0" wp14:anchorId="1B934979" wp14:editId="7C765CFB">
                  <wp:extent cx="576580" cy="629920"/>
                  <wp:effectExtent l="0" t="0" r="0" b="0"/>
                  <wp:docPr id="11" name="Picture 11" descr="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629920"/>
                          </a:xfrm>
                          <a:prstGeom prst="rect">
                            <a:avLst/>
                          </a:prstGeom>
                          <a:noFill/>
                          <a:ln>
                            <a:noFill/>
                          </a:ln>
                        </pic:spPr>
                      </pic:pic>
                    </a:graphicData>
                  </a:graphic>
                </wp:inline>
              </w:drawing>
            </w:r>
          </w:p>
        </w:tc>
        <w:tc>
          <w:tcPr>
            <w:tcW w:w="1130" w:type="dxa"/>
            <w:tcBorders>
              <w:left w:val="nil"/>
            </w:tcBorders>
            <w:vAlign w:val="center"/>
          </w:tcPr>
          <w:p w:rsidR="00A614BE" w:rsidRPr="00415529" w:rsidRDefault="00A614BE" w:rsidP="00A614BE">
            <w:pPr>
              <w:jc w:val="center"/>
              <w:rPr>
                <w:lang w:val="es-ES"/>
              </w:rPr>
            </w:pPr>
            <w:r>
              <w:rPr>
                <w:noProof/>
                <w:lang w:val="en-US"/>
              </w:rPr>
              <w:drawing>
                <wp:inline distT="0" distB="0" distL="0" distR="0" wp14:anchorId="63D9F89A" wp14:editId="3C2309AE">
                  <wp:extent cx="637540" cy="491490"/>
                  <wp:effectExtent l="0" t="0" r="0" b="3810"/>
                  <wp:docPr id="10" name="Picture 1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1130" w:type="dxa"/>
            <w:tcBorders>
              <w:left w:val="nil"/>
            </w:tcBorders>
            <w:vAlign w:val="center"/>
          </w:tcPr>
          <w:p w:rsidR="00A614BE" w:rsidRPr="00415529" w:rsidRDefault="00A614BE" w:rsidP="00A614BE">
            <w:pPr>
              <w:jc w:val="center"/>
              <w:rPr>
                <w:lang w:val="es-ES"/>
              </w:rPr>
            </w:pPr>
            <w:r>
              <w:rPr>
                <w:noProof/>
                <w:lang w:val="en-US"/>
              </w:rPr>
              <w:drawing>
                <wp:inline distT="0" distB="0" distL="0" distR="0" wp14:anchorId="27373AF8" wp14:editId="0CDDFF02">
                  <wp:extent cx="545465" cy="545465"/>
                  <wp:effectExtent l="0" t="0" r="6985" b="6985"/>
                  <wp:docPr id="9" name="Picture 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130" w:type="dxa"/>
            <w:tcBorders>
              <w:left w:val="nil"/>
            </w:tcBorders>
            <w:vAlign w:val="center"/>
          </w:tcPr>
          <w:p w:rsidR="00A614BE" w:rsidRPr="00415529" w:rsidRDefault="00A614BE" w:rsidP="00A614BE">
            <w:pPr>
              <w:rPr>
                <w:lang w:val="es-ES"/>
              </w:rPr>
            </w:pPr>
            <w:r>
              <w:rPr>
                <w:noProof/>
                <w:lang w:val="en-US"/>
              </w:rPr>
              <w:drawing>
                <wp:inline distT="0" distB="0" distL="0" distR="0" wp14:anchorId="3B8CAB12" wp14:editId="1E8BA5FC">
                  <wp:extent cx="322580" cy="637540"/>
                  <wp:effectExtent l="0" t="0" r="1270" b="0"/>
                  <wp:docPr id="8" name="Picture 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730" w:type="dxa"/>
            <w:gridSpan w:val="2"/>
            <w:tcBorders>
              <w:left w:val="nil"/>
            </w:tcBorders>
            <w:vAlign w:val="center"/>
          </w:tcPr>
          <w:p w:rsidR="00A614BE" w:rsidRPr="00415529" w:rsidRDefault="00A614BE" w:rsidP="00A614BE">
            <w:pPr>
              <w:jc w:val="center"/>
              <w:rPr>
                <w:lang w:val="es-ES"/>
              </w:rPr>
            </w:pPr>
          </w:p>
        </w:tc>
        <w:tc>
          <w:tcPr>
            <w:tcW w:w="1798" w:type="dxa"/>
          </w:tcPr>
          <w:p w:rsidR="00A614BE" w:rsidRPr="00415529" w:rsidRDefault="00A614BE" w:rsidP="00A614BE">
            <w:pPr>
              <w:pStyle w:val="Heading2"/>
              <w:spacing w:before="40" w:after="0"/>
              <w:ind w:left="0" w:firstLine="0"/>
              <w:jc w:val="right"/>
              <w:rPr>
                <w:rFonts w:ascii="Arial" w:hAnsi="Arial" w:cs="Arial"/>
                <w:sz w:val="64"/>
                <w:szCs w:val="64"/>
                <w:lang w:val="es-ES"/>
              </w:rPr>
            </w:pPr>
            <w:r w:rsidRPr="00415529">
              <w:rPr>
                <w:rFonts w:ascii="Arial" w:hAnsi="Arial" w:cs="Arial"/>
                <w:sz w:val="64"/>
                <w:szCs w:val="64"/>
                <w:lang w:val="es-ES"/>
              </w:rPr>
              <w:t>BES</w:t>
            </w:r>
          </w:p>
        </w:tc>
      </w:tr>
      <w:tr w:rsidR="00A614BE" w:rsidRPr="00DF6A59" w:rsidTr="00A963E8">
        <w:trPr>
          <w:cantSplit/>
          <w:trHeight w:val="242"/>
          <w:jc w:val="right"/>
        </w:trPr>
        <w:tc>
          <w:tcPr>
            <w:tcW w:w="1809" w:type="dxa"/>
            <w:tcBorders>
              <w:bottom w:val="single" w:sz="2" w:space="0" w:color="auto"/>
            </w:tcBorders>
          </w:tcPr>
          <w:p w:rsidR="00A614BE" w:rsidRPr="00415529" w:rsidRDefault="00A614BE" w:rsidP="00A963E8">
            <w:pPr>
              <w:spacing w:after="0" w:line="240" w:lineRule="auto"/>
              <w:rPr>
                <w:lang w:val="es-ES"/>
              </w:rPr>
            </w:pPr>
          </w:p>
        </w:tc>
        <w:tc>
          <w:tcPr>
            <w:tcW w:w="5389" w:type="dxa"/>
            <w:gridSpan w:val="7"/>
            <w:tcBorders>
              <w:bottom w:val="single" w:sz="2" w:space="0" w:color="auto"/>
            </w:tcBorders>
          </w:tcPr>
          <w:p w:rsidR="00A614BE" w:rsidRPr="00415529" w:rsidRDefault="00A614BE" w:rsidP="00A963E8">
            <w:pPr>
              <w:spacing w:after="0" w:line="240" w:lineRule="auto"/>
              <w:rPr>
                <w:rFonts w:ascii="Univers" w:hAnsi="Univers"/>
                <w:b/>
                <w:sz w:val="24"/>
                <w:lang w:val="es-ES"/>
              </w:rPr>
            </w:pPr>
          </w:p>
        </w:tc>
        <w:tc>
          <w:tcPr>
            <w:tcW w:w="2514" w:type="dxa"/>
            <w:gridSpan w:val="2"/>
            <w:tcBorders>
              <w:bottom w:val="single" w:sz="2" w:space="0" w:color="auto"/>
            </w:tcBorders>
          </w:tcPr>
          <w:p w:rsidR="00A614BE" w:rsidRPr="00A614BE" w:rsidRDefault="00A614BE" w:rsidP="00A963E8">
            <w:pPr>
              <w:spacing w:after="0" w:line="240" w:lineRule="auto"/>
              <w:rPr>
                <w:rFonts w:ascii="Times New Roman" w:hAnsi="Times New Roman" w:cs="Times New Roman"/>
                <w:b/>
                <w:sz w:val="24"/>
                <w:szCs w:val="24"/>
                <w:lang w:val="es-ES"/>
              </w:rPr>
            </w:pPr>
            <w:r w:rsidRPr="00A614BE">
              <w:rPr>
                <w:rFonts w:ascii="Times New Roman" w:hAnsi="Times New Roman" w:cs="Times New Roman"/>
                <w:b/>
                <w:sz w:val="28"/>
                <w:lang w:val="es-ES"/>
              </w:rPr>
              <w:t>IPBES</w:t>
            </w:r>
            <w:r w:rsidRPr="00A614BE">
              <w:rPr>
                <w:rFonts w:ascii="Times New Roman" w:hAnsi="Times New Roman" w:cs="Times New Roman"/>
                <w:lang w:val="es-ES"/>
              </w:rPr>
              <w:t>/4/1</w:t>
            </w:r>
            <w:r w:rsidR="00834B8C">
              <w:rPr>
                <w:rFonts w:ascii="Times New Roman" w:hAnsi="Times New Roman" w:cs="Times New Roman"/>
                <w:lang w:val="es-ES"/>
              </w:rPr>
              <w:t>3/Add.1</w:t>
            </w:r>
          </w:p>
        </w:tc>
      </w:tr>
      <w:tr w:rsidR="00846A75" w:rsidRPr="00DF6A59" w:rsidTr="005260AA">
        <w:trPr>
          <w:cantSplit/>
          <w:trHeight w:val="1433"/>
          <w:jc w:val="right"/>
        </w:trPr>
        <w:tc>
          <w:tcPr>
            <w:tcW w:w="2375" w:type="dxa"/>
            <w:gridSpan w:val="2"/>
            <w:tcBorders>
              <w:top w:val="single" w:sz="2" w:space="0" w:color="auto"/>
              <w:bottom w:val="single" w:sz="24" w:space="0" w:color="auto"/>
            </w:tcBorders>
          </w:tcPr>
          <w:p w:rsidR="00846A75" w:rsidRPr="00DF6A59" w:rsidRDefault="002B0698" w:rsidP="00181D2C">
            <w:pPr>
              <w:tabs>
                <w:tab w:val="left" w:pos="1247"/>
                <w:tab w:val="left" w:pos="1814"/>
                <w:tab w:val="left" w:pos="2381"/>
                <w:tab w:val="left" w:pos="2948"/>
                <w:tab w:val="left" w:pos="3515"/>
              </w:tabs>
              <w:suppressAutoHyphens w:val="0"/>
              <w:spacing w:before="240" w:after="240" w:line="240" w:lineRule="auto"/>
              <w:rPr>
                <w:rFonts w:ascii="Arial" w:eastAsia="Times New Roman" w:hAnsi="Arial" w:cs="Arial"/>
                <w:b/>
                <w:sz w:val="28"/>
                <w:szCs w:val="28"/>
              </w:rPr>
            </w:pPr>
            <w:r>
              <w:rPr>
                <w:rFonts w:ascii="Arial" w:eastAsia="Times New Roman" w:hAnsi="Arial" w:cs="Arial"/>
                <w:b/>
                <w:noProof/>
                <w:sz w:val="28"/>
                <w:szCs w:val="28"/>
                <w:lang w:val="en-US"/>
              </w:rPr>
              <w:drawing>
                <wp:inline distT="0" distB="0" distL="0" distR="0" wp14:anchorId="70B0BBEE" wp14:editId="4726826F">
                  <wp:extent cx="1371600" cy="7620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tc>
        <w:tc>
          <w:tcPr>
            <w:tcW w:w="4823" w:type="dxa"/>
            <w:gridSpan w:val="6"/>
            <w:tcBorders>
              <w:top w:val="single" w:sz="2" w:space="0" w:color="auto"/>
              <w:bottom w:val="single" w:sz="24" w:space="0" w:color="auto"/>
            </w:tcBorders>
          </w:tcPr>
          <w:p w:rsidR="00846A75" w:rsidRPr="005260AA" w:rsidRDefault="005260AA" w:rsidP="00181D2C">
            <w:pPr>
              <w:tabs>
                <w:tab w:val="left" w:pos="1247"/>
                <w:tab w:val="left" w:pos="1814"/>
                <w:tab w:val="left" w:pos="2381"/>
                <w:tab w:val="left" w:pos="2948"/>
                <w:tab w:val="left" w:pos="3515"/>
              </w:tabs>
              <w:suppressAutoHyphens w:val="0"/>
              <w:spacing w:before="360" w:after="0" w:line="240" w:lineRule="auto"/>
              <w:rPr>
                <w:rFonts w:ascii="Arial" w:eastAsia="Times New Roman" w:hAnsi="Arial" w:cs="Arial"/>
                <w:b/>
                <w:sz w:val="28"/>
                <w:szCs w:val="28"/>
                <w:lang w:val="es-ES"/>
              </w:rPr>
            </w:pPr>
            <w:r w:rsidRPr="00415529">
              <w:rPr>
                <w:rFonts w:ascii="Arial" w:hAnsi="Arial" w:cs="Arial"/>
                <w:b/>
                <w:sz w:val="28"/>
                <w:szCs w:val="28"/>
                <w:lang w:val="es-ES"/>
              </w:rPr>
              <w:t>Plataforma Intergubernamental Científico</w:t>
            </w:r>
            <w:r w:rsidR="00834B8C">
              <w:rPr>
                <w:rFonts w:ascii="Arial" w:hAnsi="Arial" w:cs="Arial"/>
                <w:b/>
                <w:sz w:val="28"/>
                <w:szCs w:val="28"/>
                <w:lang w:val="es-ES"/>
              </w:rPr>
              <w:noBreakHyphen/>
            </w:r>
            <w:r w:rsidRPr="00415529">
              <w:rPr>
                <w:rFonts w:ascii="Arial" w:hAnsi="Arial" w:cs="Arial"/>
                <w:b/>
                <w:sz w:val="28"/>
                <w:szCs w:val="28"/>
                <w:lang w:val="es-ES"/>
              </w:rPr>
              <w:t>normativa sobre Diversidad Biológica y Servicios de los Ecosistemas</w:t>
            </w:r>
          </w:p>
        </w:tc>
        <w:tc>
          <w:tcPr>
            <w:tcW w:w="2514" w:type="dxa"/>
            <w:gridSpan w:val="2"/>
            <w:tcBorders>
              <w:top w:val="single" w:sz="2" w:space="0" w:color="auto"/>
              <w:bottom w:val="single" w:sz="24" w:space="0" w:color="auto"/>
            </w:tcBorders>
          </w:tcPr>
          <w:p w:rsidR="008C46B8" w:rsidRPr="005260AA" w:rsidRDefault="00846A75" w:rsidP="00181D2C">
            <w:pPr>
              <w:tabs>
                <w:tab w:val="left" w:pos="1247"/>
                <w:tab w:val="left" w:pos="1814"/>
                <w:tab w:val="left" w:pos="2381"/>
                <w:tab w:val="left" w:pos="2948"/>
                <w:tab w:val="left" w:pos="3515"/>
              </w:tabs>
              <w:suppressAutoHyphens w:val="0"/>
              <w:spacing w:before="120" w:after="0" w:line="240" w:lineRule="auto"/>
              <w:rPr>
                <w:rFonts w:ascii="Times New Roman" w:eastAsia="Times New Roman" w:hAnsi="Times New Roman" w:cs="Times New Roman"/>
                <w:sz w:val="20"/>
                <w:szCs w:val="20"/>
                <w:lang w:val="es-ES"/>
              </w:rPr>
            </w:pPr>
            <w:r w:rsidRPr="005260AA">
              <w:rPr>
                <w:rFonts w:ascii="Times New Roman" w:hAnsi="Times New Roman" w:cs="Times New Roman"/>
                <w:sz w:val="20"/>
                <w:szCs w:val="20"/>
                <w:lang w:val="es-ES"/>
              </w:rPr>
              <w:t>Distr. general</w:t>
            </w:r>
            <w:r w:rsidRPr="005260AA">
              <w:rPr>
                <w:rFonts w:ascii="Times New Roman" w:hAnsi="Times New Roman" w:cs="Times New Roman"/>
                <w:sz w:val="20"/>
                <w:szCs w:val="20"/>
                <w:lang w:val="es-ES"/>
              </w:rPr>
              <w:br/>
              <w:t>27 de noviembre de 2015</w:t>
            </w:r>
          </w:p>
          <w:p w:rsidR="005260AA" w:rsidRPr="005260AA" w:rsidRDefault="00846A75" w:rsidP="00A614BE">
            <w:pPr>
              <w:tabs>
                <w:tab w:val="left" w:pos="1247"/>
                <w:tab w:val="left" w:pos="1814"/>
                <w:tab w:val="left" w:pos="2381"/>
                <w:tab w:val="left" w:pos="2948"/>
                <w:tab w:val="left" w:pos="3515"/>
              </w:tabs>
              <w:suppressAutoHyphens w:val="0"/>
              <w:spacing w:before="120" w:after="0" w:line="240" w:lineRule="auto"/>
              <w:rPr>
                <w:rFonts w:ascii="Times New Roman" w:hAnsi="Times New Roman" w:cs="Times New Roman"/>
                <w:sz w:val="20"/>
                <w:szCs w:val="20"/>
                <w:lang w:val="es-ES"/>
              </w:rPr>
            </w:pPr>
            <w:r w:rsidRPr="005260AA">
              <w:rPr>
                <w:rFonts w:ascii="Times New Roman" w:hAnsi="Times New Roman" w:cs="Times New Roman"/>
                <w:sz w:val="20"/>
                <w:szCs w:val="20"/>
                <w:lang w:val="es-ES"/>
              </w:rPr>
              <w:t xml:space="preserve">Español </w:t>
            </w:r>
          </w:p>
          <w:p w:rsidR="00846A75" w:rsidRPr="00DF6A59" w:rsidRDefault="00846A75" w:rsidP="00A614BE">
            <w:pPr>
              <w:tabs>
                <w:tab w:val="left" w:pos="1247"/>
                <w:tab w:val="left" w:pos="1814"/>
                <w:tab w:val="left" w:pos="2381"/>
                <w:tab w:val="left" w:pos="2948"/>
                <w:tab w:val="left" w:pos="3515"/>
              </w:tabs>
              <w:suppressAutoHyphens w:val="0"/>
              <w:spacing w:after="120" w:line="240" w:lineRule="auto"/>
              <w:rPr>
                <w:rFonts w:ascii="Times New Roman" w:eastAsia="Times New Roman" w:hAnsi="Times New Roman" w:cs="Times New Roman"/>
                <w:sz w:val="20"/>
                <w:szCs w:val="20"/>
              </w:rPr>
            </w:pPr>
            <w:r w:rsidRPr="005260AA">
              <w:rPr>
                <w:rFonts w:ascii="Times New Roman" w:hAnsi="Times New Roman" w:cs="Times New Roman"/>
                <w:sz w:val="20"/>
                <w:szCs w:val="20"/>
                <w:lang w:val="es-ES"/>
              </w:rPr>
              <w:t>Original: inglés</w:t>
            </w:r>
          </w:p>
        </w:tc>
      </w:tr>
    </w:tbl>
    <w:p w:rsidR="005260AA" w:rsidRPr="00F47CD5" w:rsidRDefault="005260AA" w:rsidP="00A614BE">
      <w:pPr>
        <w:pStyle w:val="AATitle"/>
        <w:keepNext w:val="0"/>
        <w:keepLines w:val="0"/>
        <w:tabs>
          <w:tab w:val="clear" w:pos="1247"/>
          <w:tab w:val="clear" w:pos="1814"/>
          <w:tab w:val="clear" w:pos="2381"/>
          <w:tab w:val="clear" w:pos="2948"/>
          <w:tab w:val="clear" w:pos="3515"/>
        </w:tabs>
        <w:ind w:right="2552"/>
        <w:rPr>
          <w:lang w:val="es-ES"/>
        </w:rPr>
      </w:pPr>
      <w:r>
        <w:rPr>
          <w:lang w:val="es-ES"/>
        </w:rPr>
        <w:t>Plenario de la Plataforma Intergubernamental Científico</w:t>
      </w:r>
      <w:r w:rsidR="00834B8C">
        <w:rPr>
          <w:lang w:val="es-ES"/>
        </w:rPr>
        <w:noBreakHyphen/>
      </w:r>
      <w:r>
        <w:rPr>
          <w:lang w:val="es-ES"/>
        </w:rPr>
        <w:t>normativa</w:t>
      </w:r>
      <w:r>
        <w:rPr>
          <w:lang w:val="es-ES"/>
        </w:rPr>
        <w:br/>
        <w:t>sobre Diversidad Biológica y Servicios de los Ecosistemas</w:t>
      </w:r>
    </w:p>
    <w:p w:rsidR="005260AA" w:rsidRPr="00F47CD5" w:rsidRDefault="005260AA" w:rsidP="00A614BE">
      <w:pPr>
        <w:pStyle w:val="AATitle"/>
        <w:keepNext w:val="0"/>
        <w:keepLines w:val="0"/>
        <w:tabs>
          <w:tab w:val="clear" w:pos="1247"/>
          <w:tab w:val="clear" w:pos="1814"/>
          <w:tab w:val="clear" w:pos="2381"/>
          <w:tab w:val="clear" w:pos="2948"/>
          <w:tab w:val="clear" w:pos="3515"/>
        </w:tabs>
        <w:ind w:right="2552"/>
        <w:rPr>
          <w:lang w:val="es-ES"/>
        </w:rPr>
      </w:pPr>
      <w:r>
        <w:rPr>
          <w:lang w:val="es-ES"/>
        </w:rPr>
        <w:t>Cuarto período de sesiones</w:t>
      </w:r>
    </w:p>
    <w:p w:rsidR="005260AA" w:rsidRPr="0023206E" w:rsidRDefault="005260AA" w:rsidP="00A614BE">
      <w:pPr>
        <w:pStyle w:val="AATitle"/>
        <w:keepNext w:val="0"/>
        <w:keepLines w:val="0"/>
        <w:tabs>
          <w:tab w:val="clear" w:pos="1247"/>
          <w:tab w:val="clear" w:pos="1814"/>
          <w:tab w:val="clear" w:pos="2381"/>
          <w:tab w:val="clear" w:pos="2948"/>
          <w:tab w:val="clear" w:pos="3515"/>
        </w:tabs>
        <w:ind w:right="2552"/>
        <w:rPr>
          <w:b w:val="0"/>
          <w:lang w:val="es-ES"/>
        </w:rPr>
      </w:pPr>
      <w:r>
        <w:rPr>
          <w:b w:val="0"/>
          <w:lang w:val="es-ES"/>
        </w:rPr>
        <w:t>Kuala Lumpur,</w:t>
      </w:r>
      <w:r w:rsidRPr="0023206E">
        <w:rPr>
          <w:b w:val="0"/>
          <w:lang w:val="es-ES"/>
        </w:rPr>
        <w:t xml:space="preserve"> 22 a 28 de febrero de 2016</w:t>
      </w:r>
    </w:p>
    <w:p w:rsidR="00546EAE" w:rsidRPr="001B12CA" w:rsidRDefault="00546EAE" w:rsidP="00A614BE">
      <w:pPr>
        <w:pStyle w:val="H23"/>
        <w:keepNext w:val="0"/>
        <w:keepLines w:val="0"/>
        <w:spacing w:line="240" w:lineRule="auto"/>
        <w:ind w:left="0" w:right="2552" w:firstLine="0"/>
        <w:rPr>
          <w:b w:val="0"/>
          <w:lang w:val="es-ES"/>
        </w:rPr>
      </w:pPr>
      <w:r w:rsidRPr="001B12CA">
        <w:rPr>
          <w:b w:val="0"/>
          <w:lang w:val="es-ES"/>
        </w:rPr>
        <w:t>Tema 6 del programa provisional</w:t>
      </w:r>
      <w:r w:rsidRPr="001B12CA">
        <w:rPr>
          <w:b w:val="0"/>
          <w:lang w:val="es-ES"/>
        </w:rPr>
        <w:footnoteReference w:customMarkFollows="1" w:id="1"/>
        <w:t>*</w:t>
      </w:r>
    </w:p>
    <w:p w:rsidR="00546EAE" w:rsidRPr="005260AA" w:rsidRDefault="00546EAE" w:rsidP="00834B8C">
      <w:pPr>
        <w:pStyle w:val="AATitle2"/>
        <w:keepNext w:val="0"/>
        <w:keepLines w:val="0"/>
        <w:spacing w:before="60" w:after="0"/>
        <w:ind w:right="3969"/>
        <w:rPr>
          <w:lang w:val="es-ES"/>
        </w:rPr>
      </w:pPr>
      <w:r>
        <w:rPr>
          <w:lang w:val="es-ES"/>
        </w:rPr>
        <w:t>Disposiciones financieras y presupuestarias para la Plataforma: presupuesto y gastos para 2014</w:t>
      </w:r>
      <w:r w:rsidR="00834B8C">
        <w:rPr>
          <w:lang w:val="es-ES"/>
        </w:rPr>
        <w:noBreakHyphen/>
      </w:r>
      <w:r>
        <w:rPr>
          <w:lang w:val="es-ES"/>
        </w:rPr>
        <w:t>2018, incluido un informe sobre la financiación de los expertos y</w:t>
      </w:r>
      <w:r w:rsidR="00224EF0">
        <w:rPr>
          <w:lang w:val="es-ES"/>
        </w:rPr>
        <w:t xml:space="preserve"> los participantes en reuniones</w:t>
      </w:r>
    </w:p>
    <w:p w:rsidR="00B670AD" w:rsidRPr="005260AA" w:rsidRDefault="00B670AD" w:rsidP="00A614BE">
      <w:pPr>
        <w:pStyle w:val="BBTitle"/>
        <w:spacing w:before="240"/>
        <w:rPr>
          <w:lang w:val="es-ES"/>
        </w:rPr>
      </w:pPr>
      <w:r>
        <w:rPr>
          <w:lang w:val="es-ES"/>
        </w:rPr>
        <w:t>Presupuesto y gastos para 2014–2018</w:t>
      </w:r>
    </w:p>
    <w:p w:rsidR="00B670AD" w:rsidRPr="00834B8C" w:rsidRDefault="00B670AD" w:rsidP="00A614BE">
      <w:pPr>
        <w:pStyle w:val="BBTitle"/>
        <w:spacing w:before="240"/>
        <w:rPr>
          <w:sz w:val="24"/>
          <w:szCs w:val="24"/>
          <w:lang w:val="es-ES"/>
        </w:rPr>
      </w:pPr>
      <w:r w:rsidRPr="00834B8C">
        <w:rPr>
          <w:sz w:val="24"/>
          <w:szCs w:val="24"/>
          <w:lang w:val="es-ES"/>
        </w:rPr>
        <w:t>Adición</w:t>
      </w:r>
    </w:p>
    <w:p w:rsidR="00546EAE" w:rsidRPr="005260AA" w:rsidRDefault="00546EAE" w:rsidP="00A614BE">
      <w:pPr>
        <w:pStyle w:val="BBTitle"/>
        <w:spacing w:before="240"/>
        <w:rPr>
          <w:lang w:val="es-ES"/>
        </w:rPr>
      </w:pPr>
      <w:r>
        <w:rPr>
          <w:lang w:val="es-ES"/>
        </w:rPr>
        <w:t>Estudio comparativo sobre las prácticas establecidas en relación con la financiación de expertos y</w:t>
      </w:r>
      <w:r w:rsidR="00224EF0">
        <w:rPr>
          <w:lang w:val="es-ES"/>
        </w:rPr>
        <w:t xml:space="preserve"> </w:t>
      </w:r>
      <w:r>
        <w:rPr>
          <w:lang w:val="es-ES"/>
        </w:rPr>
        <w:t>participantes en reuniones</w:t>
      </w:r>
    </w:p>
    <w:p w:rsidR="00546EAE" w:rsidRPr="005260AA" w:rsidRDefault="0007692D" w:rsidP="00A614BE">
      <w:pPr>
        <w:pStyle w:val="CH2"/>
        <w:spacing w:before="240" w:after="240"/>
        <w:ind w:right="567" w:firstLine="0"/>
        <w:rPr>
          <w:lang w:val="es-ES"/>
        </w:rPr>
      </w:pPr>
      <w:r>
        <w:rPr>
          <w:lang w:val="es-ES"/>
        </w:rPr>
        <w:t>Nota de la Secretaría</w:t>
      </w:r>
    </w:p>
    <w:p w:rsidR="00546EAE" w:rsidRPr="005260AA" w:rsidRDefault="00834B8C" w:rsidP="00834B8C">
      <w:pPr>
        <w:pStyle w:val="CH1"/>
        <w:rPr>
          <w:lang w:val="es-ES"/>
        </w:rPr>
      </w:pPr>
      <w:r>
        <w:rPr>
          <w:lang w:val="es-ES"/>
        </w:rPr>
        <w:tab/>
      </w:r>
      <w:r w:rsidR="00546EAE">
        <w:rPr>
          <w:lang w:val="es-ES"/>
        </w:rPr>
        <w:t>I.</w:t>
      </w:r>
      <w:r w:rsidR="00546EAE">
        <w:rPr>
          <w:lang w:val="es-ES"/>
        </w:rPr>
        <w:tab/>
        <w:t>Introducción</w:t>
      </w:r>
    </w:p>
    <w:p w:rsidR="00546EAE" w:rsidRPr="00DF6A59" w:rsidRDefault="00546EAE" w:rsidP="00DF6A59">
      <w:pPr>
        <w:pStyle w:val="Normalnumber"/>
        <w:ind w:left="1247" w:firstLine="0"/>
      </w:pPr>
      <w:r>
        <w:rPr>
          <w:lang w:val="es-ES"/>
        </w:rPr>
        <w:t xml:space="preserve">En su </w:t>
      </w:r>
      <w:r w:rsidR="005260AA">
        <w:rPr>
          <w:lang w:val="es-ES"/>
        </w:rPr>
        <w:t>decisión</w:t>
      </w:r>
      <w:r>
        <w:rPr>
          <w:lang w:val="es-ES"/>
        </w:rPr>
        <w:t xml:space="preserve"> IPBES</w:t>
      </w:r>
      <w:r w:rsidR="00834B8C">
        <w:rPr>
          <w:lang w:val="es-ES"/>
        </w:rPr>
        <w:noBreakHyphen/>
      </w:r>
      <w:r>
        <w:rPr>
          <w:lang w:val="es-ES"/>
        </w:rPr>
        <w:t>3/2 sobre disposiciones financieras y presupuestarias, el Plenario de la Plataforma Intergubernamental Científico</w:t>
      </w:r>
      <w:r w:rsidR="00834B8C">
        <w:rPr>
          <w:lang w:val="es-ES"/>
        </w:rPr>
        <w:noBreakHyphen/>
      </w:r>
      <w:r>
        <w:rPr>
          <w:lang w:val="es-ES"/>
        </w:rPr>
        <w:t>normativa sobre Diversidad Biológica y Servicios de los Ecosistemas solicitó al Secretario Ejecutivo que, en consulta con la Mesa, presentase al Plenario en su cuarto período de sesiones un informe sobre las prácticas establecidas por las organizaciones ambientales multilaterales, el Grupo Intergubernamental sobre el Cambio Climático y otros foros pertinentes sobre la financiación de expertos y participantes en reuniones para facilitar la adopción de una decisión fundamentada por parte de los miembros de la Plataforma sobre los criterios que han de cumplir quienes soliciten ayuda</w:t>
      </w:r>
      <w:r w:rsidR="00834B8C">
        <w:rPr>
          <w:lang w:val="es-ES"/>
        </w:rPr>
        <w:t>.</w:t>
      </w:r>
      <w:r>
        <w:rPr>
          <w:lang w:val="es-ES"/>
        </w:rPr>
        <w:t xml:space="preserve"> La presente nota, que ha sido elaborada por la Secretaría en respuesta a esa solicitud, se somete a la consideración del Plenario en su cuarto período de sesiones. </w:t>
      </w:r>
    </w:p>
    <w:p w:rsidR="00546EAE" w:rsidRPr="005260AA" w:rsidRDefault="00F93840" w:rsidP="00DF6A59">
      <w:pPr>
        <w:pStyle w:val="CH1"/>
        <w:rPr>
          <w:lang w:val="es-ES"/>
        </w:rPr>
      </w:pPr>
      <w:r>
        <w:rPr>
          <w:lang w:val="es-ES"/>
        </w:rPr>
        <w:tab/>
        <w:t>II.</w:t>
      </w:r>
      <w:r>
        <w:rPr>
          <w:lang w:val="es-ES"/>
        </w:rPr>
        <w:tab/>
        <w:t>Estudio comparativo sobre las prácticas establecidas en relación con la financiación de expertos y</w:t>
      </w:r>
      <w:r w:rsidR="00224EF0">
        <w:rPr>
          <w:lang w:val="es-ES"/>
        </w:rPr>
        <w:t xml:space="preserve"> </w:t>
      </w:r>
      <w:r>
        <w:rPr>
          <w:lang w:val="es-ES"/>
        </w:rPr>
        <w:t xml:space="preserve">participantes en reuniones </w:t>
      </w:r>
    </w:p>
    <w:p w:rsidR="00546EAE" w:rsidRPr="00DF6A59" w:rsidRDefault="00546EAE" w:rsidP="00A614BE">
      <w:pPr>
        <w:pStyle w:val="Normalnumber"/>
        <w:ind w:left="1247" w:firstLine="0"/>
      </w:pPr>
      <w:r>
        <w:rPr>
          <w:lang w:val="es-ES"/>
        </w:rPr>
        <w:t>En respuesta a una solicitud formulada por la Secretaría enviaron información por correo electrónico las</w:t>
      </w:r>
      <w:r w:rsidR="00224EF0">
        <w:rPr>
          <w:lang w:val="es-ES"/>
        </w:rPr>
        <w:t xml:space="preserve"> </w:t>
      </w:r>
      <w:r>
        <w:rPr>
          <w:lang w:val="es-ES"/>
        </w:rPr>
        <w:t xml:space="preserve">secretarías de las siguientes entidades: el Convenio sobre la Diversidad Biológica, el Convenio para la Protección del Mar Mediterráneo contra la Contaminación (Convenio de Barcelona), la Convención sobre la Conservación de las Especies Migratorias de Animales Silvestres, la Convención sobre el Comercio Internacional de Especies Amenazadas de Fauna y Flora </w:t>
      </w:r>
      <w:r w:rsidR="00834B8C">
        <w:rPr>
          <w:lang w:val="es-ES"/>
        </w:rPr>
        <w:t>S</w:t>
      </w:r>
      <w:r>
        <w:rPr>
          <w:lang w:val="es-ES"/>
        </w:rPr>
        <w:t xml:space="preserve">ilvestres (CITES), el Convenio de Rotterdam sobre el Procedimiento de Consentimiento Fundamentado Previo Aplicable a Ciertos Plaguicidas y Productos Químicos Peligrosos Objeto de Comercio Internacional, el Convenio de Basilea sobre el Control de los Movimientos Transfronterizos de los Desechos </w:t>
      </w:r>
      <w:r w:rsidR="00834B8C">
        <w:rPr>
          <w:lang w:val="es-ES"/>
        </w:rPr>
        <w:t>P</w:t>
      </w:r>
      <w:r>
        <w:rPr>
          <w:lang w:val="es-ES"/>
        </w:rPr>
        <w:t xml:space="preserve">eligrosos y su Eliminación, el Convenio de Estocolmo sobre Contaminantes Orgánicos Persistentes, el Convenio de Viena para la Protección de la Capa de Ozono, el Grupo Intergubernamental de Expertos sobre el </w:t>
      </w:r>
      <w:r>
        <w:rPr>
          <w:lang w:val="es-ES"/>
        </w:rPr>
        <w:lastRenderedPageBreak/>
        <w:t xml:space="preserve">Cambio Climático, y el Fondo Multilateral para la Aplicación del Protocolo de Montreal </w:t>
      </w:r>
      <w:r w:rsidR="00834B8C">
        <w:rPr>
          <w:lang w:val="es-ES"/>
        </w:rPr>
        <w:t>R</w:t>
      </w:r>
      <w:r>
        <w:rPr>
          <w:lang w:val="es-ES"/>
        </w:rPr>
        <w:t>elativo a las Sustancias que Agotan la Capa de Ozono.</w:t>
      </w:r>
    </w:p>
    <w:p w:rsidR="00546EAE" w:rsidRPr="00DF6A59" w:rsidRDefault="00546EAE" w:rsidP="00DF6A59">
      <w:pPr>
        <w:pStyle w:val="Normalnumber"/>
        <w:ind w:left="1247" w:firstLine="0"/>
      </w:pPr>
      <w:r>
        <w:rPr>
          <w:lang w:val="es-ES"/>
        </w:rPr>
        <w:t>El Convenio de Barcelona, que es un instrumento regional, no se incluyó en este análisis comparativo, ya que no es comparable con las otras entidades mencionadas en el párrafo anterior.</w:t>
      </w:r>
    </w:p>
    <w:p w:rsidR="00546EAE" w:rsidRPr="00DF6A59" w:rsidRDefault="00546EAE" w:rsidP="00DF6A59">
      <w:pPr>
        <w:pStyle w:val="Normalnumber"/>
        <w:ind w:left="1247" w:firstLine="0"/>
      </w:pPr>
      <w:r>
        <w:rPr>
          <w:lang w:val="es-ES"/>
        </w:rPr>
        <w:t xml:space="preserve">En relación con las entidades mencionadas anteriormente se podrían hacer las siguientes observaciones: </w:t>
      </w:r>
    </w:p>
    <w:p w:rsidR="00546EAE" w:rsidRPr="00DF6A59" w:rsidRDefault="00546EAE" w:rsidP="00A614BE">
      <w:pPr>
        <w:pStyle w:val="Normalnumber"/>
        <w:numPr>
          <w:ilvl w:val="1"/>
          <w:numId w:val="16"/>
        </w:numPr>
        <w:ind w:left="1247" w:firstLine="624"/>
      </w:pPr>
      <w:r>
        <w:rPr>
          <w:lang w:val="es-ES"/>
        </w:rPr>
        <w:t>Ninguna de las entidades presta apoyo a expertos de países desarrollados. Sin embargo, el Grupo Intergubernamental de Expertos sobre el Cambio Climático</w:t>
      </w:r>
      <w:r w:rsidR="005260AA">
        <w:rPr>
          <w:lang w:val="es-ES"/>
        </w:rPr>
        <w:t xml:space="preserve"> </w:t>
      </w:r>
      <w:r>
        <w:rPr>
          <w:lang w:val="es-ES"/>
        </w:rPr>
        <w:t xml:space="preserve">financia únicamente a título excepcional, la participación de expertos de países desarrollados en reuniones de expertos, si su participación se considera fundamental para los propósitos de la reunión, se ha presentado por escrito una solicitud de apoyo y si el coordinador nacional pertinente confirma que el país no está en condiciones de aportar los recursos necesarios; </w:t>
      </w:r>
    </w:p>
    <w:p w:rsidR="00546EAE" w:rsidRPr="00DF6A59" w:rsidRDefault="00546EAE" w:rsidP="00DF6A59">
      <w:pPr>
        <w:pStyle w:val="Normalnumber"/>
        <w:numPr>
          <w:ilvl w:val="1"/>
          <w:numId w:val="16"/>
        </w:numPr>
        <w:ind w:left="1247" w:firstLine="624"/>
      </w:pPr>
      <w:r>
        <w:rPr>
          <w:lang w:val="es-ES"/>
        </w:rPr>
        <w:t>Todas las entidades prestan apoyo a expertos de países en desarrollo</w:t>
      </w:r>
      <w:r w:rsidR="00834B8C">
        <w:rPr>
          <w:lang w:val="es-ES"/>
        </w:rPr>
        <w:t>;</w:t>
      </w:r>
      <w:r>
        <w:rPr>
          <w:lang w:val="es-ES"/>
        </w:rPr>
        <w:t xml:space="preserve"> </w:t>
      </w:r>
    </w:p>
    <w:p w:rsidR="00546EAE" w:rsidRPr="00DF6A59" w:rsidRDefault="00546EAE" w:rsidP="00DF6A59">
      <w:pPr>
        <w:pStyle w:val="Normalnumber"/>
        <w:numPr>
          <w:ilvl w:val="1"/>
          <w:numId w:val="16"/>
        </w:numPr>
        <w:ind w:left="1247" w:firstLine="624"/>
      </w:pPr>
      <w:r>
        <w:rPr>
          <w:lang w:val="es-ES"/>
        </w:rPr>
        <w:t>Hay múltiples interpretaciones de lo que constituye un país desarrollado o un país en desarrollo y se aplican criterios diferentes para adoptar decisiones sobre la prestación de apoyo:</w:t>
      </w:r>
    </w:p>
    <w:p w:rsidR="00546EAE" w:rsidRPr="00DF6A59" w:rsidRDefault="00CA0A2B" w:rsidP="005260AA">
      <w:pPr>
        <w:pStyle w:val="Normalnumber"/>
        <w:numPr>
          <w:ilvl w:val="4"/>
          <w:numId w:val="28"/>
        </w:numPr>
        <w:ind w:left="3119" w:hanging="624"/>
      </w:pPr>
      <w:r>
        <w:rPr>
          <w:lang w:val="es-ES"/>
        </w:rPr>
        <w:t>La S</w:t>
      </w:r>
      <w:r w:rsidR="00546EAE">
        <w:rPr>
          <w:lang w:val="es-ES"/>
        </w:rPr>
        <w:t xml:space="preserve">ecretaría del Grupo Intergubernamental de Expertos sobre el Cambio Climático elaboró para su examen en su 42º período de </w:t>
      </w:r>
      <w:r w:rsidR="00A614BE">
        <w:rPr>
          <w:lang w:val="es-ES"/>
        </w:rPr>
        <w:t>sesiones, en octubre de </w:t>
      </w:r>
      <w:r w:rsidR="00546EAE">
        <w:rPr>
          <w:lang w:val="es-ES"/>
        </w:rPr>
        <w:t>2015, u</w:t>
      </w:r>
      <w:r w:rsidR="005260AA">
        <w:rPr>
          <w:lang w:val="es-ES"/>
        </w:rPr>
        <w:t>n documento titulado “</w:t>
      </w:r>
      <w:r w:rsidR="00546EAE">
        <w:rPr>
          <w:lang w:val="es-ES"/>
        </w:rPr>
        <w:t>Guidance on developed and developing countries categories” (Orientación sobre categorías de países desarrollados y países en desarrollo) (IPCC</w:t>
      </w:r>
      <w:r w:rsidR="00834B8C">
        <w:rPr>
          <w:lang w:val="es-ES"/>
        </w:rPr>
        <w:noBreakHyphen/>
      </w:r>
      <w:r w:rsidR="00546EAE">
        <w:rPr>
          <w:lang w:val="es-ES"/>
        </w:rPr>
        <w:t>XLII/INF</w:t>
      </w:r>
      <w:r w:rsidR="00834B8C">
        <w:rPr>
          <w:lang w:val="es-ES"/>
        </w:rPr>
        <w:t>/</w:t>
      </w:r>
      <w:r w:rsidR="00546EAE">
        <w:rPr>
          <w:lang w:val="es-ES"/>
        </w:rPr>
        <w:t>16),</w:t>
      </w:r>
      <w:r w:rsidR="00224EF0">
        <w:rPr>
          <w:lang w:val="es-ES"/>
        </w:rPr>
        <w:t xml:space="preserve"> </w:t>
      </w:r>
      <w:r w:rsidR="00546EAE">
        <w:rPr>
          <w:lang w:val="es-ES"/>
        </w:rPr>
        <w:t xml:space="preserve">en el que se señala que la Oficina del Asesor Jurídico de las Naciones Unidas ha confirmado que no existen definiciones generales pero que se podría utilizar como fuente de orientación básica el anexo estadístico del informe Situación y perspectivas de la economía mundial 2015. El anexo estadístico fue publicado por el Departamento de Asuntos Económicos y Sociales de las Naciones Unidas. En la orientación del Grupo Intergubernamental de Expertos, que se basa en el anexo estadístico, figuran tres listas: 41 países desarrollados, 17 países con economías en transición y 137 países en desarrollo. El Grupo no examinó ni aprobó de manera oficial la orientación en su 42º período de sesiones; </w:t>
      </w:r>
    </w:p>
    <w:p w:rsidR="00546EAE" w:rsidRPr="00DF6A59" w:rsidRDefault="00FD1C67" w:rsidP="00DF6A59">
      <w:pPr>
        <w:pStyle w:val="Normalnumber"/>
        <w:numPr>
          <w:ilvl w:val="4"/>
          <w:numId w:val="28"/>
        </w:numPr>
        <w:ind w:left="3119" w:hanging="624"/>
      </w:pPr>
      <w:r>
        <w:rPr>
          <w:lang w:val="es-ES"/>
        </w:rPr>
        <w:t>En su resolución 8.3, la Conferencia de las Partes en la Convención sobre las Especies Migratorias acordó establecer el umbral de elegibilidad para la financiación de delegados que asisten a la</w:t>
      </w:r>
      <w:r w:rsidR="00A614BE">
        <w:rPr>
          <w:lang w:val="es-ES"/>
        </w:rPr>
        <w:t xml:space="preserve">s reuniones de la Convención en 0,200% </w:t>
      </w:r>
      <w:r>
        <w:rPr>
          <w:lang w:val="es-ES"/>
        </w:rPr>
        <w:t xml:space="preserve">de la escala de cuotas de las Naciones Unidas. Se excluyen de la prestación de apoyo los países de la Unión Europea, países europeos con economías sólidas o países en mora </w:t>
      </w:r>
      <w:r w:rsidR="00CA0A2B">
        <w:rPr>
          <w:lang w:val="es-ES"/>
        </w:rPr>
        <w:t>durante</w:t>
      </w:r>
      <w:r>
        <w:rPr>
          <w:lang w:val="es-ES"/>
        </w:rPr>
        <w:t xml:space="preserve"> más de tres años. Esta resolución sirve como orientación general para la adopción de decisiones en relación con la prestación de apoyo;</w:t>
      </w:r>
    </w:p>
    <w:p w:rsidR="00546EAE" w:rsidRPr="00DF6A59" w:rsidRDefault="00546EAE" w:rsidP="00DF6A59">
      <w:pPr>
        <w:pStyle w:val="Normalnumber"/>
        <w:numPr>
          <w:ilvl w:val="4"/>
          <w:numId w:val="28"/>
        </w:numPr>
        <w:ind w:left="3119" w:hanging="624"/>
      </w:pPr>
      <w:r>
        <w:rPr>
          <w:lang w:val="es-ES"/>
        </w:rPr>
        <w:t>Varias de las entidades mantienen listas de países en desarrollo beneficiarios de asistencia y prestan apoyo a un número total de países como se indica a continuación: Convenio sobre la Diversidad Biológica: 134; Convenio de Viena</w:t>
      </w:r>
      <w:r w:rsidR="00834B8C">
        <w:rPr>
          <w:lang w:val="es-ES"/>
        </w:rPr>
        <w:t>:</w:t>
      </w:r>
      <w:r>
        <w:rPr>
          <w:lang w:val="es-ES"/>
        </w:rPr>
        <w:t xml:space="preserve"> 147; Grupo Intergubernamental de Exp</w:t>
      </w:r>
      <w:r w:rsidR="00A614BE">
        <w:rPr>
          <w:lang w:val="es-ES"/>
        </w:rPr>
        <w:t>ertos sobre el Cambio Climático</w:t>
      </w:r>
      <w:r w:rsidR="00834B8C">
        <w:rPr>
          <w:lang w:val="es-ES"/>
        </w:rPr>
        <w:t>:</w:t>
      </w:r>
      <w:r w:rsidR="00A614BE">
        <w:rPr>
          <w:lang w:val="es-ES"/>
        </w:rPr>
        <w:t> </w:t>
      </w:r>
      <w:r>
        <w:rPr>
          <w:lang w:val="es-ES"/>
        </w:rPr>
        <w:t>137; Protocolo de Montreal</w:t>
      </w:r>
      <w:r w:rsidR="00834B8C">
        <w:rPr>
          <w:lang w:val="es-ES"/>
        </w:rPr>
        <w:t>:</w:t>
      </w:r>
      <w:r>
        <w:rPr>
          <w:lang w:val="es-ES"/>
        </w:rPr>
        <w:t xml:space="preserve"> 148;</w:t>
      </w:r>
    </w:p>
    <w:p w:rsidR="00546EAE" w:rsidRPr="00DF6A59" w:rsidRDefault="00546EAE" w:rsidP="00DF6A59">
      <w:pPr>
        <w:pStyle w:val="Normalnumber"/>
        <w:numPr>
          <w:ilvl w:val="4"/>
          <w:numId w:val="28"/>
        </w:numPr>
        <w:ind w:left="3119" w:hanging="624"/>
      </w:pPr>
      <w:r>
        <w:rPr>
          <w:lang w:val="es-ES"/>
        </w:rPr>
        <w:t xml:space="preserve">Además, las </w:t>
      </w:r>
      <w:r w:rsidR="00224EF0">
        <w:rPr>
          <w:lang w:val="es-ES"/>
        </w:rPr>
        <w:t>S</w:t>
      </w:r>
      <w:r>
        <w:rPr>
          <w:lang w:val="es-ES"/>
        </w:rPr>
        <w:t xml:space="preserve">ecretarías del Convenio sobre la Diversidad Biológica y el Grupo Intergubernamental de Expertos sobre el Cambio Climático llevan una lista por separado de países con economías en transición </w:t>
      </w:r>
      <w:r w:rsidR="00A614BE">
        <w:rPr>
          <w:lang w:val="es-ES"/>
        </w:rPr>
        <w:t>−</w:t>
      </w:r>
      <w:r>
        <w:rPr>
          <w:lang w:val="es-ES"/>
        </w:rPr>
        <w:t>18 y 17 países</w:t>
      </w:r>
      <w:r w:rsidR="00A614BE">
        <w:rPr>
          <w:lang w:val="es-ES"/>
        </w:rPr>
        <w:t>,</w:t>
      </w:r>
      <w:r>
        <w:rPr>
          <w:lang w:val="es-ES"/>
        </w:rPr>
        <w:t xml:space="preserve"> respectivamente</w:t>
      </w:r>
      <w:r w:rsidR="00A614BE">
        <w:rPr>
          <w:lang w:val="es-ES"/>
        </w:rPr>
        <w:t>−</w:t>
      </w:r>
      <w:r>
        <w:rPr>
          <w:lang w:val="es-ES"/>
        </w:rPr>
        <w:t xml:space="preserve"> con lo que el número total de países que reciben asistencia</w:t>
      </w:r>
      <w:r w:rsidR="00224EF0">
        <w:rPr>
          <w:lang w:val="es-ES"/>
        </w:rPr>
        <w:t xml:space="preserve"> </w:t>
      </w:r>
      <w:r>
        <w:rPr>
          <w:lang w:val="es-ES"/>
        </w:rPr>
        <w:t>del Convenio sobre la Diversidad Biológica se eleva a 152 y los que reciben asistencia del</w:t>
      </w:r>
      <w:r w:rsidR="00224EF0">
        <w:rPr>
          <w:lang w:val="es-ES"/>
        </w:rPr>
        <w:t xml:space="preserve"> </w:t>
      </w:r>
      <w:r>
        <w:rPr>
          <w:lang w:val="es-ES"/>
        </w:rPr>
        <w:t>Grupo Intergubernamental suman 154, en comparación con las cifras mencionadas anteriormente para el Convenio de Viena (147) y el Protocolo de Montreal (148);</w:t>
      </w:r>
    </w:p>
    <w:p w:rsidR="00546EAE" w:rsidRPr="00DF6A59" w:rsidRDefault="00546EAE" w:rsidP="00DF6A59">
      <w:pPr>
        <w:pStyle w:val="Normalnumber"/>
        <w:numPr>
          <w:ilvl w:val="1"/>
          <w:numId w:val="16"/>
        </w:numPr>
        <w:ind w:left="1247" w:firstLine="624"/>
      </w:pPr>
      <w:r>
        <w:rPr>
          <w:lang w:val="es-ES"/>
        </w:rPr>
        <w:t>Ninguna de las entidades presta apoyo a países miembros de la Unión Europea;</w:t>
      </w:r>
    </w:p>
    <w:p w:rsidR="00546EAE" w:rsidRPr="00EB4F2D" w:rsidRDefault="00546EAE" w:rsidP="00DF6A59">
      <w:pPr>
        <w:pStyle w:val="Normalnumber"/>
        <w:numPr>
          <w:ilvl w:val="1"/>
          <w:numId w:val="16"/>
        </w:numPr>
        <w:ind w:left="1247" w:firstLine="624"/>
      </w:pPr>
      <w:r>
        <w:rPr>
          <w:lang w:val="es-ES"/>
        </w:rPr>
        <w:t>Algunas de las entidades prestan asistencia a expertos de la Federación de Rusia (Convenio sobre la Diversidad Biológica, CITES, Convenios de Basilea, Estocolmo y Rotterdam, Grupo Intergubernamental de Expertos sobre el Cambio Climático), y otros no lo hacen (Protocolo de Montreal, Convenio de Viena).</w:t>
      </w:r>
    </w:p>
    <w:p w:rsidR="006B0425" w:rsidRPr="00EB4F2D" w:rsidRDefault="00EB4F2D" w:rsidP="00EB4F2D">
      <w:pPr>
        <w:pStyle w:val="Normalnumber"/>
        <w:numPr>
          <w:ilvl w:val="0"/>
          <w:numId w:val="0"/>
        </w:numPr>
        <w:jc w:val="center"/>
      </w:pPr>
      <w:r>
        <w:t>________________________</w:t>
      </w:r>
    </w:p>
    <w:sectPr w:rsidR="006B0425" w:rsidRPr="00EB4F2D" w:rsidSect="00181D2C">
      <w:headerReference w:type="even" r:id="rId14"/>
      <w:headerReference w:type="default" r:id="rId15"/>
      <w:footerReference w:type="even" r:id="rId16"/>
      <w:footerReference w:type="default" r:id="rId17"/>
      <w:footerReference w:type="first" r:id="rId18"/>
      <w:type w:val="continuous"/>
      <w:pgSz w:w="11906" w:h="16838" w:code="9"/>
      <w:pgMar w:top="907" w:right="992" w:bottom="1418" w:left="1418" w:header="539" w:footer="975"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5F" w:rsidRDefault="00AC4D5F">
      <w:pPr>
        <w:spacing w:after="0" w:line="240" w:lineRule="auto"/>
      </w:pPr>
      <w:r>
        <w:separator/>
      </w:r>
    </w:p>
  </w:endnote>
  <w:endnote w:type="continuationSeparator" w:id="0">
    <w:p w:rsidR="00AC4D5F" w:rsidRDefault="00AC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BE" w:rsidRPr="00DF6A59" w:rsidRDefault="00A614BE">
    <w:pPr>
      <w:pStyle w:val="Footer"/>
      <w:rPr>
        <w:rFonts w:ascii="Times New Roman" w:hAnsi="Times New Roman" w:cs="Times New Roman"/>
        <w:b/>
        <w:sz w:val="18"/>
        <w:szCs w:val="18"/>
      </w:rPr>
    </w:pPr>
    <w:r w:rsidRPr="00DF6A59">
      <w:rPr>
        <w:rFonts w:ascii="Times New Roman" w:hAnsi="Times New Roman" w:cs="Times New Roman"/>
        <w:b/>
        <w:sz w:val="18"/>
        <w:szCs w:val="18"/>
      </w:rPr>
      <w:fldChar w:fldCharType="begin"/>
    </w:r>
    <w:r w:rsidRPr="00DF6A59">
      <w:rPr>
        <w:rFonts w:ascii="Times New Roman" w:hAnsi="Times New Roman" w:cs="Times New Roman"/>
        <w:b/>
        <w:sz w:val="18"/>
        <w:szCs w:val="18"/>
      </w:rPr>
      <w:instrText xml:space="preserve"> PAGE   \* MERGEFORMAT </w:instrText>
    </w:r>
    <w:r w:rsidRPr="00DF6A59">
      <w:rPr>
        <w:rFonts w:ascii="Times New Roman" w:hAnsi="Times New Roman" w:cs="Times New Roman"/>
        <w:b/>
        <w:sz w:val="18"/>
        <w:szCs w:val="18"/>
      </w:rPr>
      <w:fldChar w:fldCharType="separate"/>
    </w:r>
    <w:r w:rsidR="00E71826">
      <w:rPr>
        <w:rFonts w:ascii="Times New Roman" w:hAnsi="Times New Roman" w:cs="Times New Roman"/>
        <w:b/>
        <w:noProof/>
        <w:sz w:val="18"/>
        <w:szCs w:val="18"/>
      </w:rPr>
      <w:t>2</w:t>
    </w:r>
    <w:r w:rsidRPr="00DF6A59">
      <w:rPr>
        <w:rFonts w:ascii="Times New Roman" w:hAnsi="Times New Roman" w:cs="Times New Roman"/>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BE" w:rsidRPr="00B711BF" w:rsidRDefault="00A614BE" w:rsidP="00DF6A59">
    <w:pPr>
      <w:pStyle w:val="Footer"/>
      <w:jc w:val="right"/>
      <w:rPr>
        <w:rFonts w:ascii="Times New Roman" w:hAnsi="Times New Roman" w:cs="Times New Roman"/>
        <w:b/>
        <w:sz w:val="20"/>
        <w:szCs w:val="20"/>
      </w:rPr>
    </w:pPr>
    <w:r w:rsidRPr="00B711BF">
      <w:rPr>
        <w:rFonts w:ascii="Times New Roman" w:hAnsi="Times New Roman" w:cs="Times New Roman"/>
        <w:b/>
        <w:sz w:val="20"/>
        <w:szCs w:val="20"/>
      </w:rPr>
      <w:fldChar w:fldCharType="begin"/>
    </w:r>
    <w:r w:rsidRPr="00B711BF">
      <w:rPr>
        <w:rFonts w:ascii="Times New Roman" w:hAnsi="Times New Roman" w:cs="Times New Roman"/>
        <w:b/>
        <w:sz w:val="20"/>
        <w:szCs w:val="20"/>
      </w:rPr>
      <w:instrText xml:space="preserve"> PAGE   \* MERGEFORMAT </w:instrText>
    </w:r>
    <w:r w:rsidRPr="00B711BF">
      <w:rPr>
        <w:rFonts w:ascii="Times New Roman" w:hAnsi="Times New Roman" w:cs="Times New Roman"/>
        <w:b/>
        <w:sz w:val="20"/>
        <w:szCs w:val="20"/>
      </w:rPr>
      <w:fldChar w:fldCharType="separate"/>
    </w:r>
    <w:r w:rsidR="00EB4F2D">
      <w:rPr>
        <w:rFonts w:ascii="Times New Roman" w:hAnsi="Times New Roman" w:cs="Times New Roman"/>
        <w:b/>
        <w:noProof/>
        <w:sz w:val="20"/>
        <w:szCs w:val="20"/>
      </w:rPr>
      <w:t>3</w:t>
    </w:r>
    <w:r w:rsidRPr="00B711BF">
      <w:rPr>
        <w:rFonts w:ascii="Times New Roman" w:hAnsi="Times New Roman" w:cs="Times New Roman"/>
        <w:b/>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BE" w:rsidRPr="00A614BE" w:rsidRDefault="00A614BE" w:rsidP="00DF6A59">
    <w:pPr>
      <w:pStyle w:val="Footer"/>
      <w:tabs>
        <w:tab w:val="clear" w:pos="4513"/>
        <w:tab w:val="clear" w:pos="9026"/>
        <w:tab w:val="left" w:pos="624"/>
      </w:tabs>
      <w:rPr>
        <w:rFonts w:ascii="Times New Roman" w:hAnsi="Times New Roman" w:cs="Times New Roman"/>
        <w:sz w:val="20"/>
        <w:szCs w:val="20"/>
      </w:rPr>
    </w:pPr>
    <w:r w:rsidRPr="00A614BE">
      <w:rPr>
        <w:rFonts w:ascii="Times New Roman" w:hAnsi="Times New Roman" w:cs="Times New Roman"/>
        <w:sz w:val="20"/>
        <w:szCs w:val="20"/>
        <w:lang w:val="es-ES"/>
      </w:rPr>
      <w:t>K150387</w:t>
    </w:r>
    <w:r w:rsidR="00834B8C">
      <w:rPr>
        <w:rFonts w:ascii="Times New Roman" w:hAnsi="Times New Roman" w:cs="Times New Roman"/>
        <w:sz w:val="20"/>
        <w:szCs w:val="20"/>
        <w:lang w:val="es-ES"/>
      </w:rPr>
      <w:t>6</w:t>
    </w:r>
    <w:r w:rsidRPr="00A614BE">
      <w:rPr>
        <w:rFonts w:ascii="Times New Roman" w:hAnsi="Times New Roman" w:cs="Times New Roman"/>
        <w:sz w:val="20"/>
        <w:szCs w:val="20"/>
        <w:lang w:val="es-ES"/>
      </w:rPr>
      <w:tab/>
    </w:r>
    <w:r w:rsidR="00834B8C">
      <w:rPr>
        <w:rFonts w:ascii="Times New Roman" w:hAnsi="Times New Roman" w:cs="Times New Roman"/>
        <w:sz w:val="20"/>
        <w:szCs w:val="20"/>
        <w:lang w:val="es-ES"/>
      </w:rPr>
      <w:t>1</w:t>
    </w:r>
    <w:r w:rsidR="00A963E8">
      <w:rPr>
        <w:rFonts w:ascii="Times New Roman" w:hAnsi="Times New Roman" w:cs="Times New Roman"/>
        <w:sz w:val="20"/>
        <w:szCs w:val="20"/>
        <w:lang w:val="es-ES"/>
      </w:rPr>
      <w:t>8</w:t>
    </w:r>
    <w:r w:rsidRPr="00A614BE">
      <w:rPr>
        <w:rFonts w:ascii="Times New Roman" w:hAnsi="Times New Roman" w:cs="Times New Roman"/>
        <w:sz w:val="20"/>
        <w:szCs w:val="20"/>
        <w:lang w:val="es-ES"/>
      </w:rPr>
      <w:t>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5F" w:rsidRPr="00DF6A59" w:rsidRDefault="00AC4D5F" w:rsidP="00E8202C">
      <w:pPr>
        <w:spacing w:after="120" w:line="240" w:lineRule="auto"/>
        <w:ind w:left="624"/>
        <w:rPr>
          <w:rFonts w:ascii="Times New Roman" w:hAnsi="Times New Roman" w:cs="Times New Roman"/>
          <w:sz w:val="18"/>
          <w:szCs w:val="18"/>
        </w:rPr>
      </w:pPr>
      <w:r w:rsidRPr="00DF6A59">
        <w:rPr>
          <w:rFonts w:ascii="Times New Roman" w:hAnsi="Times New Roman" w:cs="Times New Roman"/>
          <w:sz w:val="18"/>
          <w:szCs w:val="18"/>
        </w:rPr>
        <w:separator/>
      </w:r>
    </w:p>
  </w:footnote>
  <w:footnote w:type="continuationSeparator" w:id="0">
    <w:p w:rsidR="00AC4D5F" w:rsidRDefault="00AC4D5F">
      <w:r>
        <w:continuationSeparator/>
      </w:r>
    </w:p>
  </w:footnote>
  <w:footnote w:id="1">
    <w:p w:rsidR="00A614BE" w:rsidRPr="00A614BE" w:rsidRDefault="00A614BE" w:rsidP="00E8202C">
      <w:pPr>
        <w:pStyle w:val="FootnoteText"/>
        <w:tabs>
          <w:tab w:val="right" w:pos="0"/>
          <w:tab w:val="left" w:pos="1267"/>
          <w:tab w:val="left" w:pos="1742"/>
          <w:tab w:val="left" w:pos="1814"/>
          <w:tab w:val="left" w:pos="2218"/>
          <w:tab w:val="left" w:pos="2381"/>
          <w:tab w:val="left" w:pos="2693"/>
          <w:tab w:val="left" w:pos="2948"/>
          <w:tab w:val="left" w:pos="3515"/>
        </w:tabs>
        <w:spacing w:before="20" w:after="40"/>
        <w:ind w:left="1247"/>
        <w:rPr>
          <w:rStyle w:val="FootnoteReference"/>
          <w:rFonts w:ascii="Times New Roman" w:eastAsia="Times New Roman" w:hAnsi="Times New Roman" w:cs="Times New Roman"/>
          <w:sz w:val="18"/>
          <w:szCs w:val="18"/>
          <w:vertAlign w:val="baseline"/>
        </w:rPr>
      </w:pPr>
      <w:r w:rsidRPr="00A614BE">
        <w:rPr>
          <w:rFonts w:ascii="Times New Roman" w:hAnsi="Times New Roman" w:cs="Times New Roman"/>
          <w:lang w:val="es-ES"/>
        </w:rPr>
        <w:t>*</w:t>
      </w:r>
      <w:r>
        <w:rPr>
          <w:rFonts w:ascii="Times New Roman" w:hAnsi="Times New Roman" w:cs="Times New Roman"/>
          <w:lang w:val="es-ES"/>
        </w:rPr>
        <w:t xml:space="preserve"> </w:t>
      </w:r>
      <w:r w:rsidRPr="00A614BE">
        <w:rPr>
          <w:rFonts w:ascii="Times New Roman" w:hAnsi="Times New Roman" w:cs="Times New Roman"/>
          <w:lang w:val="es-ES"/>
        </w:rPr>
        <w:t>IPBES/4/1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BE" w:rsidRDefault="00A614BE" w:rsidP="00DF6A59">
    <w:pPr>
      <w:pStyle w:val="Header"/>
      <w:pBdr>
        <w:bottom w:val="single" w:sz="4" w:space="1" w:color="auto"/>
      </w:pBdr>
    </w:pPr>
    <w:r w:rsidRPr="00066F80">
      <w:rPr>
        <w:rFonts w:ascii="Times New Roman" w:eastAsia="Times New Roman" w:hAnsi="Times New Roman" w:cs="Times New Roman"/>
        <w:b/>
        <w:sz w:val="18"/>
        <w:szCs w:val="18"/>
      </w:rPr>
      <w:t>IPBES/4/</w:t>
    </w:r>
    <w:r>
      <w:rPr>
        <w:rFonts w:ascii="Times New Roman" w:eastAsia="Times New Roman" w:hAnsi="Times New Roman" w:cs="Times New Roman"/>
        <w:b/>
        <w:sz w:val="18"/>
        <w:szCs w:val="18"/>
      </w:rPr>
      <w:t>1</w:t>
    </w:r>
    <w:r w:rsidRPr="00066F80">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BE" w:rsidRDefault="00A614BE" w:rsidP="00A614BE">
    <w:pPr>
      <w:pStyle w:val="Header"/>
      <w:pBdr>
        <w:bottom w:val="single" w:sz="4" w:space="1" w:color="auto"/>
      </w:pBdr>
      <w:jc w:val="right"/>
    </w:pPr>
    <w:r w:rsidRPr="00066F80">
      <w:rPr>
        <w:rFonts w:ascii="Times New Roman" w:eastAsia="Times New Roman" w:hAnsi="Times New Roman" w:cs="Times New Roman"/>
        <w:b/>
        <w:sz w:val="18"/>
        <w:szCs w:val="18"/>
      </w:rPr>
      <w:t>IPBES/4/</w:t>
    </w:r>
    <w:r>
      <w:rPr>
        <w:rFonts w:ascii="Times New Roman" w:eastAsia="Times New Roman" w:hAnsi="Times New Roman" w:cs="Times New Roman"/>
        <w:b/>
        <w:sz w:val="18"/>
        <w:szCs w:val="18"/>
      </w:rPr>
      <w:t>1</w:t>
    </w:r>
    <w:r w:rsidRPr="00066F80">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FE3"/>
    <w:multiLevelType w:val="hybridMultilevel"/>
    <w:tmpl w:val="14E05D4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061BF"/>
    <w:multiLevelType w:val="hybridMultilevel"/>
    <w:tmpl w:val="14E05D4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E1734F"/>
    <w:multiLevelType w:val="hybridMultilevel"/>
    <w:tmpl w:val="B4B2B01E"/>
    <w:lvl w:ilvl="0" w:tplc="F8207F10">
      <w:start w:val="1"/>
      <w:numFmt w:val="decimal"/>
      <w:lvlText w:val="%1."/>
      <w:lvlJc w:val="left"/>
      <w:pPr>
        <w:ind w:left="1620" w:hanging="360"/>
      </w:pPr>
      <w:rPr>
        <w:b w:val="0"/>
        <w:sz w:val="20"/>
        <w:szCs w:val="2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 w15:restartNumberingAfterBreak="0">
    <w:nsid w:val="11D600BE"/>
    <w:multiLevelType w:val="hybridMultilevel"/>
    <w:tmpl w:val="9BAEFA92"/>
    <w:lvl w:ilvl="0" w:tplc="0804EDBA">
      <w:start w:val="1"/>
      <w:numFmt w:val="decimal"/>
      <w:pStyle w:val="Normalnumber"/>
      <w:lvlText w:val="%1."/>
      <w:lvlJc w:val="left"/>
      <w:pPr>
        <w:ind w:left="2070" w:hanging="360"/>
      </w:pPr>
      <w:rPr>
        <w:rFonts w:ascii="Times New Roman" w:hAnsi="Times New Roman" w:hint="default"/>
        <w:sz w:val="20"/>
      </w:rPr>
    </w:lvl>
    <w:lvl w:ilvl="1" w:tplc="58FE94F4">
      <w:start w:val="1"/>
      <w:numFmt w:val="lowerLetter"/>
      <w:lvlText w:val="%2)"/>
      <w:lvlJc w:val="left"/>
      <w:pPr>
        <w:ind w:left="194" w:hanging="360"/>
      </w:pPr>
      <w:rPr>
        <w:rFonts w:ascii="Times New Roman" w:eastAsia="Times New Roman" w:hAnsi="Times New Roman" w:cs="Times New Roman"/>
        <w:i w:val="0"/>
      </w:rPr>
    </w:lvl>
    <w:lvl w:ilvl="2" w:tplc="0809001B">
      <w:start w:val="1"/>
      <w:numFmt w:val="lowerRoman"/>
      <w:lvlText w:val="%3."/>
      <w:lvlJc w:val="right"/>
      <w:pPr>
        <w:ind w:left="914" w:hanging="180"/>
      </w:pPr>
    </w:lvl>
    <w:lvl w:ilvl="3" w:tplc="0809000F">
      <w:start w:val="1"/>
      <w:numFmt w:val="decimal"/>
      <w:lvlText w:val="%4."/>
      <w:lvlJc w:val="left"/>
      <w:pPr>
        <w:ind w:left="1634" w:hanging="360"/>
      </w:pPr>
    </w:lvl>
    <w:lvl w:ilvl="4" w:tplc="08090019">
      <w:start w:val="1"/>
      <w:numFmt w:val="lowerLetter"/>
      <w:lvlText w:val="%5."/>
      <w:lvlJc w:val="left"/>
      <w:pPr>
        <w:ind w:left="2354" w:hanging="360"/>
      </w:pPr>
    </w:lvl>
    <w:lvl w:ilvl="5" w:tplc="0809001B" w:tentative="1">
      <w:start w:val="1"/>
      <w:numFmt w:val="lowerRoman"/>
      <w:lvlText w:val="%6."/>
      <w:lvlJc w:val="right"/>
      <w:pPr>
        <w:ind w:left="3074" w:hanging="180"/>
      </w:pPr>
    </w:lvl>
    <w:lvl w:ilvl="6" w:tplc="0809000F" w:tentative="1">
      <w:start w:val="1"/>
      <w:numFmt w:val="decimal"/>
      <w:lvlText w:val="%7."/>
      <w:lvlJc w:val="left"/>
      <w:pPr>
        <w:ind w:left="3794" w:hanging="360"/>
      </w:pPr>
    </w:lvl>
    <w:lvl w:ilvl="7" w:tplc="08090019" w:tentative="1">
      <w:start w:val="1"/>
      <w:numFmt w:val="lowerLetter"/>
      <w:lvlText w:val="%8."/>
      <w:lvlJc w:val="left"/>
      <w:pPr>
        <w:ind w:left="4514" w:hanging="360"/>
      </w:pPr>
    </w:lvl>
    <w:lvl w:ilvl="8" w:tplc="0809001B" w:tentative="1">
      <w:start w:val="1"/>
      <w:numFmt w:val="lowerRoman"/>
      <w:lvlText w:val="%9."/>
      <w:lvlJc w:val="right"/>
      <w:pPr>
        <w:ind w:left="5234" w:hanging="180"/>
      </w:pPr>
    </w:lvl>
  </w:abstractNum>
  <w:abstractNum w:abstractNumId="4" w15:restartNumberingAfterBreak="0">
    <w:nsid w:val="135A1116"/>
    <w:multiLevelType w:val="hybridMultilevel"/>
    <w:tmpl w:val="8B58107C"/>
    <w:lvl w:ilvl="0" w:tplc="0804EDBA">
      <w:start w:val="1"/>
      <w:numFmt w:val="decimal"/>
      <w:lvlText w:val="%1."/>
      <w:lvlJc w:val="left"/>
      <w:pPr>
        <w:ind w:left="2070" w:hanging="360"/>
      </w:pPr>
      <w:rPr>
        <w:rFonts w:ascii="Times New Roman" w:hAnsi="Times New Roman" w:hint="default"/>
        <w:sz w:val="20"/>
      </w:rPr>
    </w:lvl>
    <w:lvl w:ilvl="1" w:tplc="F4C6EA5E">
      <w:start w:val="1"/>
      <w:numFmt w:val="lowerLetter"/>
      <w:lvlText w:val="(%2)"/>
      <w:lvlJc w:val="left"/>
      <w:pPr>
        <w:ind w:left="194" w:hanging="360"/>
      </w:pPr>
      <w:rPr>
        <w:rFonts w:ascii="Times New Roman" w:eastAsia="Times New Roman" w:hAnsi="Times New Roman" w:cs="Times New Roman"/>
        <w:i w:val="0"/>
      </w:rPr>
    </w:lvl>
    <w:lvl w:ilvl="2" w:tplc="0809001B">
      <w:start w:val="1"/>
      <w:numFmt w:val="lowerRoman"/>
      <w:lvlText w:val="%3."/>
      <w:lvlJc w:val="right"/>
      <w:pPr>
        <w:ind w:left="914" w:hanging="180"/>
      </w:pPr>
    </w:lvl>
    <w:lvl w:ilvl="3" w:tplc="0809000F">
      <w:start w:val="1"/>
      <w:numFmt w:val="decimal"/>
      <w:lvlText w:val="%4."/>
      <w:lvlJc w:val="left"/>
      <w:pPr>
        <w:ind w:left="1634" w:hanging="360"/>
      </w:pPr>
    </w:lvl>
    <w:lvl w:ilvl="4" w:tplc="BDE47184">
      <w:start w:val="1"/>
      <w:numFmt w:val="lowerRoman"/>
      <w:lvlText w:val="%5)"/>
      <w:lvlJc w:val="left"/>
      <w:pPr>
        <w:ind w:left="2354" w:hanging="360"/>
      </w:pPr>
      <w:rPr>
        <w:rFonts w:ascii="Times New Roman" w:eastAsia="Times New Roman" w:hAnsi="Times New Roman" w:cs="Times New Roman"/>
      </w:rPr>
    </w:lvl>
    <w:lvl w:ilvl="5" w:tplc="0809001B" w:tentative="1">
      <w:start w:val="1"/>
      <w:numFmt w:val="lowerRoman"/>
      <w:lvlText w:val="%6."/>
      <w:lvlJc w:val="right"/>
      <w:pPr>
        <w:ind w:left="3074" w:hanging="180"/>
      </w:pPr>
    </w:lvl>
    <w:lvl w:ilvl="6" w:tplc="0809000F" w:tentative="1">
      <w:start w:val="1"/>
      <w:numFmt w:val="decimal"/>
      <w:lvlText w:val="%7."/>
      <w:lvlJc w:val="left"/>
      <w:pPr>
        <w:ind w:left="3794" w:hanging="360"/>
      </w:pPr>
    </w:lvl>
    <w:lvl w:ilvl="7" w:tplc="08090019" w:tentative="1">
      <w:start w:val="1"/>
      <w:numFmt w:val="lowerLetter"/>
      <w:lvlText w:val="%8."/>
      <w:lvlJc w:val="left"/>
      <w:pPr>
        <w:ind w:left="4514" w:hanging="360"/>
      </w:pPr>
    </w:lvl>
    <w:lvl w:ilvl="8" w:tplc="0809001B" w:tentative="1">
      <w:start w:val="1"/>
      <w:numFmt w:val="lowerRoman"/>
      <w:lvlText w:val="%9."/>
      <w:lvlJc w:val="right"/>
      <w:pPr>
        <w:ind w:left="5234" w:hanging="180"/>
      </w:pPr>
    </w:lvl>
  </w:abstractNum>
  <w:abstractNum w:abstractNumId="5" w15:restartNumberingAfterBreak="0">
    <w:nsid w:val="1AD33638"/>
    <w:multiLevelType w:val="multilevel"/>
    <w:tmpl w:val="6C0A51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747C14"/>
    <w:multiLevelType w:val="hybridMultilevel"/>
    <w:tmpl w:val="B198B6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F374DD"/>
    <w:multiLevelType w:val="multilevel"/>
    <w:tmpl w:val="374CC6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D193A53"/>
    <w:multiLevelType w:val="hybridMultilevel"/>
    <w:tmpl w:val="9112CB5E"/>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BE1833"/>
    <w:multiLevelType w:val="multilevel"/>
    <w:tmpl w:val="3A202ED8"/>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A537D8"/>
    <w:multiLevelType w:val="hybridMultilevel"/>
    <w:tmpl w:val="E02E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94B12"/>
    <w:multiLevelType w:val="hybridMultilevel"/>
    <w:tmpl w:val="904C1F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4C27B1"/>
    <w:multiLevelType w:val="hybridMultilevel"/>
    <w:tmpl w:val="D3F88C9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5C4EE8"/>
    <w:multiLevelType w:val="hybridMultilevel"/>
    <w:tmpl w:val="87986116"/>
    <w:lvl w:ilvl="0" w:tplc="08090005">
      <w:start w:val="1"/>
      <w:numFmt w:val="bullet"/>
      <w:lvlText w:val=""/>
      <w:lvlJc w:val="left"/>
      <w:pPr>
        <w:ind w:left="2563" w:hanging="360"/>
      </w:pPr>
      <w:rPr>
        <w:rFonts w:ascii="Wingdings" w:hAnsi="Wingdings" w:hint="default"/>
      </w:rPr>
    </w:lvl>
    <w:lvl w:ilvl="1" w:tplc="08090003">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4" w15:restartNumberingAfterBreak="0">
    <w:nsid w:val="6BF1450F"/>
    <w:multiLevelType w:val="hybridMultilevel"/>
    <w:tmpl w:val="BD444C32"/>
    <w:lvl w:ilvl="0" w:tplc="9CECB0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983433"/>
    <w:multiLevelType w:val="hybridMultilevel"/>
    <w:tmpl w:val="6D0E0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67036E"/>
    <w:multiLevelType w:val="hybridMultilevel"/>
    <w:tmpl w:val="9B0CCA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9E52126"/>
    <w:multiLevelType w:val="hybridMultilevel"/>
    <w:tmpl w:val="B6A0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8"/>
  </w:num>
  <w:num w:numId="5">
    <w:abstractNumId w:val="1"/>
  </w:num>
  <w:num w:numId="6">
    <w:abstractNumId w:val="11"/>
  </w:num>
  <w:num w:numId="7">
    <w:abstractNumId w:val="12"/>
  </w:num>
  <w:num w:numId="8">
    <w:abstractNumId w:val="0"/>
  </w:num>
  <w:num w:numId="9">
    <w:abstractNumId w:val="17"/>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16"/>
  </w:num>
  <w:num w:numId="14">
    <w:abstractNumId w:val="2"/>
  </w:num>
  <w:num w:numId="15">
    <w:abstractNumId w:val="14"/>
  </w:num>
  <w:num w:numId="16">
    <w:abstractNumId w:val="3"/>
  </w:num>
  <w:num w:numId="17">
    <w:abstractNumId w:val="1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4"/>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2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80"/>
    <w:rsid w:val="00001094"/>
    <w:rsid w:val="000041DB"/>
    <w:rsid w:val="00005274"/>
    <w:rsid w:val="00011500"/>
    <w:rsid w:val="00014517"/>
    <w:rsid w:val="00014F49"/>
    <w:rsid w:val="00017890"/>
    <w:rsid w:val="00020F86"/>
    <w:rsid w:val="00022EB5"/>
    <w:rsid w:val="00024724"/>
    <w:rsid w:val="00025E95"/>
    <w:rsid w:val="00027209"/>
    <w:rsid w:val="000274E7"/>
    <w:rsid w:val="00027948"/>
    <w:rsid w:val="0003186C"/>
    <w:rsid w:val="00031A4B"/>
    <w:rsid w:val="00036240"/>
    <w:rsid w:val="00044C27"/>
    <w:rsid w:val="0004721F"/>
    <w:rsid w:val="000542DD"/>
    <w:rsid w:val="000543BE"/>
    <w:rsid w:val="00055A5B"/>
    <w:rsid w:val="0005768E"/>
    <w:rsid w:val="00061989"/>
    <w:rsid w:val="0006199A"/>
    <w:rsid w:val="000621BF"/>
    <w:rsid w:val="00071058"/>
    <w:rsid w:val="000712F4"/>
    <w:rsid w:val="00071E04"/>
    <w:rsid w:val="00072D84"/>
    <w:rsid w:val="00076662"/>
    <w:rsid w:val="0007692D"/>
    <w:rsid w:val="00077C2C"/>
    <w:rsid w:val="00080631"/>
    <w:rsid w:val="000836F4"/>
    <w:rsid w:val="00084FED"/>
    <w:rsid w:val="00087412"/>
    <w:rsid w:val="000924A7"/>
    <w:rsid w:val="000958FB"/>
    <w:rsid w:val="00097151"/>
    <w:rsid w:val="000A0E59"/>
    <w:rsid w:val="000A2A71"/>
    <w:rsid w:val="000A7C30"/>
    <w:rsid w:val="000B0E0C"/>
    <w:rsid w:val="000B2AED"/>
    <w:rsid w:val="000B3F63"/>
    <w:rsid w:val="000B40A2"/>
    <w:rsid w:val="000B48BD"/>
    <w:rsid w:val="000B4A0E"/>
    <w:rsid w:val="000B5909"/>
    <w:rsid w:val="000B7579"/>
    <w:rsid w:val="000C0CCD"/>
    <w:rsid w:val="000C1047"/>
    <w:rsid w:val="000C1459"/>
    <w:rsid w:val="000C1F67"/>
    <w:rsid w:val="000C3AD3"/>
    <w:rsid w:val="000C6205"/>
    <w:rsid w:val="000C64F5"/>
    <w:rsid w:val="000C6765"/>
    <w:rsid w:val="000C7AA4"/>
    <w:rsid w:val="000D63CD"/>
    <w:rsid w:val="000D65C4"/>
    <w:rsid w:val="000E105F"/>
    <w:rsid w:val="000E1F27"/>
    <w:rsid w:val="000E3199"/>
    <w:rsid w:val="000E484A"/>
    <w:rsid w:val="000E59C7"/>
    <w:rsid w:val="000E5CBD"/>
    <w:rsid w:val="000F2130"/>
    <w:rsid w:val="000F217B"/>
    <w:rsid w:val="000F56BE"/>
    <w:rsid w:val="000F74A9"/>
    <w:rsid w:val="001001EF"/>
    <w:rsid w:val="00103759"/>
    <w:rsid w:val="00103A2D"/>
    <w:rsid w:val="00103DAA"/>
    <w:rsid w:val="00103EAA"/>
    <w:rsid w:val="00106D22"/>
    <w:rsid w:val="00112D68"/>
    <w:rsid w:val="00113504"/>
    <w:rsid w:val="001161E2"/>
    <w:rsid w:val="00121FF0"/>
    <w:rsid w:val="0012472E"/>
    <w:rsid w:val="00124C93"/>
    <w:rsid w:val="00126B97"/>
    <w:rsid w:val="00127516"/>
    <w:rsid w:val="00127D0A"/>
    <w:rsid w:val="00127E19"/>
    <w:rsid w:val="001311FB"/>
    <w:rsid w:val="00134A9D"/>
    <w:rsid w:val="001439B9"/>
    <w:rsid w:val="001442F8"/>
    <w:rsid w:val="00144AFE"/>
    <w:rsid w:val="00151E57"/>
    <w:rsid w:val="0015492F"/>
    <w:rsid w:val="001565CE"/>
    <w:rsid w:val="00157407"/>
    <w:rsid w:val="00157C14"/>
    <w:rsid w:val="00162768"/>
    <w:rsid w:val="001633FC"/>
    <w:rsid w:val="00164588"/>
    <w:rsid w:val="0016703A"/>
    <w:rsid w:val="00171921"/>
    <w:rsid w:val="00171E7D"/>
    <w:rsid w:val="00174A4F"/>
    <w:rsid w:val="00174F2D"/>
    <w:rsid w:val="001759AF"/>
    <w:rsid w:val="001760FF"/>
    <w:rsid w:val="001800E4"/>
    <w:rsid w:val="001807E9"/>
    <w:rsid w:val="00181D2C"/>
    <w:rsid w:val="001822B7"/>
    <w:rsid w:val="0018258E"/>
    <w:rsid w:val="00184A67"/>
    <w:rsid w:val="00190263"/>
    <w:rsid w:val="0019679C"/>
    <w:rsid w:val="001A0D42"/>
    <w:rsid w:val="001A1760"/>
    <w:rsid w:val="001A367B"/>
    <w:rsid w:val="001A6731"/>
    <w:rsid w:val="001A6F80"/>
    <w:rsid w:val="001B12CA"/>
    <w:rsid w:val="001C12FE"/>
    <w:rsid w:val="001C55C5"/>
    <w:rsid w:val="001D3AA4"/>
    <w:rsid w:val="001E0638"/>
    <w:rsid w:val="001E14F4"/>
    <w:rsid w:val="001E38E5"/>
    <w:rsid w:val="001E746D"/>
    <w:rsid w:val="001F048A"/>
    <w:rsid w:val="001F180C"/>
    <w:rsid w:val="001F7549"/>
    <w:rsid w:val="0020244B"/>
    <w:rsid w:val="0021174A"/>
    <w:rsid w:val="002123C6"/>
    <w:rsid w:val="0021261A"/>
    <w:rsid w:val="00214CB5"/>
    <w:rsid w:val="00214EEE"/>
    <w:rsid w:val="00215FA3"/>
    <w:rsid w:val="00216912"/>
    <w:rsid w:val="00222192"/>
    <w:rsid w:val="00224EF0"/>
    <w:rsid w:val="00235B81"/>
    <w:rsid w:val="002360D1"/>
    <w:rsid w:val="00237F4D"/>
    <w:rsid w:val="00240E2E"/>
    <w:rsid w:val="00245AF3"/>
    <w:rsid w:val="00252D53"/>
    <w:rsid w:val="00253FAF"/>
    <w:rsid w:val="002540FF"/>
    <w:rsid w:val="00256FA8"/>
    <w:rsid w:val="00257F0F"/>
    <w:rsid w:val="00260657"/>
    <w:rsid w:val="002638B3"/>
    <w:rsid w:val="00266317"/>
    <w:rsid w:val="00274D84"/>
    <w:rsid w:val="0028031E"/>
    <w:rsid w:val="00285D7D"/>
    <w:rsid w:val="00286E67"/>
    <w:rsid w:val="00292395"/>
    <w:rsid w:val="00296086"/>
    <w:rsid w:val="00297C13"/>
    <w:rsid w:val="002B0698"/>
    <w:rsid w:val="002B0DD9"/>
    <w:rsid w:val="002B19A4"/>
    <w:rsid w:val="002B2D13"/>
    <w:rsid w:val="002B56DE"/>
    <w:rsid w:val="002B647C"/>
    <w:rsid w:val="002C4578"/>
    <w:rsid w:val="002C7AAB"/>
    <w:rsid w:val="002D3E12"/>
    <w:rsid w:val="002D5D82"/>
    <w:rsid w:val="002D75B8"/>
    <w:rsid w:val="002E01F4"/>
    <w:rsid w:val="002E3667"/>
    <w:rsid w:val="002E64E9"/>
    <w:rsid w:val="002F0415"/>
    <w:rsid w:val="002F0E41"/>
    <w:rsid w:val="002F17A7"/>
    <w:rsid w:val="002F2DEA"/>
    <w:rsid w:val="002F4E62"/>
    <w:rsid w:val="002F4E85"/>
    <w:rsid w:val="00303B87"/>
    <w:rsid w:val="0031086A"/>
    <w:rsid w:val="003116CC"/>
    <w:rsid w:val="003210C4"/>
    <w:rsid w:val="003239F4"/>
    <w:rsid w:val="00323C5C"/>
    <w:rsid w:val="00334672"/>
    <w:rsid w:val="00342C8C"/>
    <w:rsid w:val="003467BA"/>
    <w:rsid w:val="0035204A"/>
    <w:rsid w:val="0036007E"/>
    <w:rsid w:val="003676E9"/>
    <w:rsid w:val="00370C18"/>
    <w:rsid w:val="00372DC9"/>
    <w:rsid w:val="00375A7B"/>
    <w:rsid w:val="0037724A"/>
    <w:rsid w:val="00380FC9"/>
    <w:rsid w:val="00383B1B"/>
    <w:rsid w:val="00386AC6"/>
    <w:rsid w:val="003906A0"/>
    <w:rsid w:val="00392D92"/>
    <w:rsid w:val="00393A60"/>
    <w:rsid w:val="00397D1E"/>
    <w:rsid w:val="003A04C8"/>
    <w:rsid w:val="003A0677"/>
    <w:rsid w:val="003A4D48"/>
    <w:rsid w:val="003A5F10"/>
    <w:rsid w:val="003C13A2"/>
    <w:rsid w:val="003C2133"/>
    <w:rsid w:val="003C2BFB"/>
    <w:rsid w:val="003C2F82"/>
    <w:rsid w:val="003C4793"/>
    <w:rsid w:val="003C6505"/>
    <w:rsid w:val="003D1B5B"/>
    <w:rsid w:val="003D1D00"/>
    <w:rsid w:val="003D379E"/>
    <w:rsid w:val="003D3D4C"/>
    <w:rsid w:val="003D479B"/>
    <w:rsid w:val="003D62C0"/>
    <w:rsid w:val="003D789D"/>
    <w:rsid w:val="003E4E6C"/>
    <w:rsid w:val="003E5847"/>
    <w:rsid w:val="003E7CDD"/>
    <w:rsid w:val="003F10C0"/>
    <w:rsid w:val="003F1DBC"/>
    <w:rsid w:val="003F6464"/>
    <w:rsid w:val="003F7C35"/>
    <w:rsid w:val="004010D7"/>
    <w:rsid w:val="00401D95"/>
    <w:rsid w:val="004035A4"/>
    <w:rsid w:val="00403EE4"/>
    <w:rsid w:val="00405DF6"/>
    <w:rsid w:val="00420A01"/>
    <w:rsid w:val="00422606"/>
    <w:rsid w:val="004234A8"/>
    <w:rsid w:val="00423B61"/>
    <w:rsid w:val="0043159D"/>
    <w:rsid w:val="00432654"/>
    <w:rsid w:val="0043323F"/>
    <w:rsid w:val="00443BAF"/>
    <w:rsid w:val="00447BF6"/>
    <w:rsid w:val="0045278B"/>
    <w:rsid w:val="004610D3"/>
    <w:rsid w:val="004753DC"/>
    <w:rsid w:val="00476495"/>
    <w:rsid w:val="00477291"/>
    <w:rsid w:val="00481492"/>
    <w:rsid w:val="004829FD"/>
    <w:rsid w:val="00482CCB"/>
    <w:rsid w:val="00482CD2"/>
    <w:rsid w:val="004830FF"/>
    <w:rsid w:val="00483A4D"/>
    <w:rsid w:val="004840FC"/>
    <w:rsid w:val="0048435E"/>
    <w:rsid w:val="00484CC3"/>
    <w:rsid w:val="0048743F"/>
    <w:rsid w:val="004905AF"/>
    <w:rsid w:val="00490C01"/>
    <w:rsid w:val="00490D1C"/>
    <w:rsid w:val="00490D99"/>
    <w:rsid w:val="004A4EDA"/>
    <w:rsid w:val="004A7A1F"/>
    <w:rsid w:val="004B1972"/>
    <w:rsid w:val="004B5D9C"/>
    <w:rsid w:val="004C0843"/>
    <w:rsid w:val="004C2A6A"/>
    <w:rsid w:val="004C371F"/>
    <w:rsid w:val="004C4002"/>
    <w:rsid w:val="004C648A"/>
    <w:rsid w:val="004C686E"/>
    <w:rsid w:val="004C6D14"/>
    <w:rsid w:val="004D0C06"/>
    <w:rsid w:val="004D4036"/>
    <w:rsid w:val="004D439E"/>
    <w:rsid w:val="004D5DC3"/>
    <w:rsid w:val="004E3905"/>
    <w:rsid w:val="004E4805"/>
    <w:rsid w:val="004E4C83"/>
    <w:rsid w:val="004F0587"/>
    <w:rsid w:val="004F072D"/>
    <w:rsid w:val="004F68CD"/>
    <w:rsid w:val="004F6F81"/>
    <w:rsid w:val="005010E4"/>
    <w:rsid w:val="0050121A"/>
    <w:rsid w:val="005014F4"/>
    <w:rsid w:val="005020AA"/>
    <w:rsid w:val="00512C76"/>
    <w:rsid w:val="005260AA"/>
    <w:rsid w:val="005261C9"/>
    <w:rsid w:val="00531AF0"/>
    <w:rsid w:val="00536F1E"/>
    <w:rsid w:val="00546EAE"/>
    <w:rsid w:val="0055084C"/>
    <w:rsid w:val="0055439F"/>
    <w:rsid w:val="00557AF2"/>
    <w:rsid w:val="005600B9"/>
    <w:rsid w:val="00560A27"/>
    <w:rsid w:val="005612E1"/>
    <w:rsid w:val="00563810"/>
    <w:rsid w:val="00567924"/>
    <w:rsid w:val="00571C91"/>
    <w:rsid w:val="00575641"/>
    <w:rsid w:val="00583758"/>
    <w:rsid w:val="00583F5D"/>
    <w:rsid w:val="00586C2C"/>
    <w:rsid w:val="0059127E"/>
    <w:rsid w:val="00593941"/>
    <w:rsid w:val="00595522"/>
    <w:rsid w:val="005B0A77"/>
    <w:rsid w:val="005B1760"/>
    <w:rsid w:val="005B1919"/>
    <w:rsid w:val="005B2E25"/>
    <w:rsid w:val="005B3F39"/>
    <w:rsid w:val="005B6AD2"/>
    <w:rsid w:val="005C2616"/>
    <w:rsid w:val="005C2F78"/>
    <w:rsid w:val="005C49B1"/>
    <w:rsid w:val="005C5A5A"/>
    <w:rsid w:val="005C7492"/>
    <w:rsid w:val="005D3847"/>
    <w:rsid w:val="005D3964"/>
    <w:rsid w:val="005D71F1"/>
    <w:rsid w:val="005E592D"/>
    <w:rsid w:val="005E6D66"/>
    <w:rsid w:val="005F3C96"/>
    <w:rsid w:val="005F6906"/>
    <w:rsid w:val="0060294C"/>
    <w:rsid w:val="00602D5D"/>
    <w:rsid w:val="006045A4"/>
    <w:rsid w:val="00605EB1"/>
    <w:rsid w:val="0061042E"/>
    <w:rsid w:val="00612F55"/>
    <w:rsid w:val="0061345F"/>
    <w:rsid w:val="00613FAB"/>
    <w:rsid w:val="00623C1C"/>
    <w:rsid w:val="00626751"/>
    <w:rsid w:val="00643454"/>
    <w:rsid w:val="00646037"/>
    <w:rsid w:val="00654AC9"/>
    <w:rsid w:val="00657046"/>
    <w:rsid w:val="006613D9"/>
    <w:rsid w:val="00661D1F"/>
    <w:rsid w:val="00665579"/>
    <w:rsid w:val="00674DB7"/>
    <w:rsid w:val="0067663F"/>
    <w:rsid w:val="00677CEF"/>
    <w:rsid w:val="006825D1"/>
    <w:rsid w:val="00685A7A"/>
    <w:rsid w:val="00691337"/>
    <w:rsid w:val="006A0CBC"/>
    <w:rsid w:val="006A425C"/>
    <w:rsid w:val="006A66B5"/>
    <w:rsid w:val="006B0425"/>
    <w:rsid w:val="006C38D0"/>
    <w:rsid w:val="006C75FD"/>
    <w:rsid w:val="006D184F"/>
    <w:rsid w:val="006D44DB"/>
    <w:rsid w:val="006D46B3"/>
    <w:rsid w:val="006E1E9B"/>
    <w:rsid w:val="006E28DD"/>
    <w:rsid w:val="006E790F"/>
    <w:rsid w:val="00700E45"/>
    <w:rsid w:val="00701783"/>
    <w:rsid w:val="00703032"/>
    <w:rsid w:val="00703225"/>
    <w:rsid w:val="00703EC5"/>
    <w:rsid w:val="007118AD"/>
    <w:rsid w:val="0071225E"/>
    <w:rsid w:val="0071520D"/>
    <w:rsid w:val="007201F1"/>
    <w:rsid w:val="00720532"/>
    <w:rsid w:val="00720F8C"/>
    <w:rsid w:val="00722707"/>
    <w:rsid w:val="00722A27"/>
    <w:rsid w:val="0072667E"/>
    <w:rsid w:val="00730076"/>
    <w:rsid w:val="00733631"/>
    <w:rsid w:val="00736D81"/>
    <w:rsid w:val="00736DEB"/>
    <w:rsid w:val="007471A1"/>
    <w:rsid w:val="007509C3"/>
    <w:rsid w:val="00753F1F"/>
    <w:rsid w:val="00757E57"/>
    <w:rsid w:val="0076044E"/>
    <w:rsid w:val="007607D8"/>
    <w:rsid w:val="00766C02"/>
    <w:rsid w:val="00792803"/>
    <w:rsid w:val="007935F8"/>
    <w:rsid w:val="007972FF"/>
    <w:rsid w:val="007A28BB"/>
    <w:rsid w:val="007A3EF8"/>
    <w:rsid w:val="007B18DE"/>
    <w:rsid w:val="007B766D"/>
    <w:rsid w:val="007C0507"/>
    <w:rsid w:val="007C293B"/>
    <w:rsid w:val="007D0E48"/>
    <w:rsid w:val="007E006F"/>
    <w:rsid w:val="007E1875"/>
    <w:rsid w:val="007E6734"/>
    <w:rsid w:val="007E7145"/>
    <w:rsid w:val="007F4F3D"/>
    <w:rsid w:val="007F5EFF"/>
    <w:rsid w:val="00801B8F"/>
    <w:rsid w:val="0080423D"/>
    <w:rsid w:val="0080441C"/>
    <w:rsid w:val="00806943"/>
    <w:rsid w:val="008102D9"/>
    <w:rsid w:val="00814FDC"/>
    <w:rsid w:val="00817F2D"/>
    <w:rsid w:val="00820834"/>
    <w:rsid w:val="00821D2D"/>
    <w:rsid w:val="008256FD"/>
    <w:rsid w:val="0083145F"/>
    <w:rsid w:val="008316A3"/>
    <w:rsid w:val="00831BEB"/>
    <w:rsid w:val="00834B8C"/>
    <w:rsid w:val="008362C3"/>
    <w:rsid w:val="00841DFA"/>
    <w:rsid w:val="0084254A"/>
    <w:rsid w:val="0084293E"/>
    <w:rsid w:val="00843AD5"/>
    <w:rsid w:val="00844E09"/>
    <w:rsid w:val="00846A75"/>
    <w:rsid w:val="00847480"/>
    <w:rsid w:val="0085389B"/>
    <w:rsid w:val="008601BE"/>
    <w:rsid w:val="0086330E"/>
    <w:rsid w:val="00863A9D"/>
    <w:rsid w:val="00864692"/>
    <w:rsid w:val="008663A4"/>
    <w:rsid w:val="008820E2"/>
    <w:rsid w:val="00884428"/>
    <w:rsid w:val="0088524D"/>
    <w:rsid w:val="00890B24"/>
    <w:rsid w:val="00891327"/>
    <w:rsid w:val="008914C6"/>
    <w:rsid w:val="0089261E"/>
    <w:rsid w:val="008A1690"/>
    <w:rsid w:val="008A3317"/>
    <w:rsid w:val="008B2EA3"/>
    <w:rsid w:val="008B7932"/>
    <w:rsid w:val="008C0021"/>
    <w:rsid w:val="008C1C87"/>
    <w:rsid w:val="008C2C53"/>
    <w:rsid w:val="008C455B"/>
    <w:rsid w:val="008C46B8"/>
    <w:rsid w:val="008C5055"/>
    <w:rsid w:val="008E1A4F"/>
    <w:rsid w:val="008E39A6"/>
    <w:rsid w:val="008F2ACF"/>
    <w:rsid w:val="008F384E"/>
    <w:rsid w:val="009004A3"/>
    <w:rsid w:val="00900664"/>
    <w:rsid w:val="009010B1"/>
    <w:rsid w:val="00903AA6"/>
    <w:rsid w:val="0090627C"/>
    <w:rsid w:val="009105BA"/>
    <w:rsid w:val="0091440B"/>
    <w:rsid w:val="00916A16"/>
    <w:rsid w:val="00916F84"/>
    <w:rsid w:val="00920ACF"/>
    <w:rsid w:val="009215C6"/>
    <w:rsid w:val="009249B6"/>
    <w:rsid w:val="00926711"/>
    <w:rsid w:val="00931563"/>
    <w:rsid w:val="00934A3D"/>
    <w:rsid w:val="00937324"/>
    <w:rsid w:val="00942450"/>
    <w:rsid w:val="00946ECF"/>
    <w:rsid w:val="00947BCB"/>
    <w:rsid w:val="00951797"/>
    <w:rsid w:val="0095414C"/>
    <w:rsid w:val="009633AE"/>
    <w:rsid w:val="00963DCD"/>
    <w:rsid w:val="00973974"/>
    <w:rsid w:val="00975BA2"/>
    <w:rsid w:val="00977105"/>
    <w:rsid w:val="00985315"/>
    <w:rsid w:val="00985777"/>
    <w:rsid w:val="00990F40"/>
    <w:rsid w:val="00990FD8"/>
    <w:rsid w:val="00994065"/>
    <w:rsid w:val="0099423D"/>
    <w:rsid w:val="00995936"/>
    <w:rsid w:val="00996E9F"/>
    <w:rsid w:val="009A13AA"/>
    <w:rsid w:val="009A211B"/>
    <w:rsid w:val="009A2E9F"/>
    <w:rsid w:val="009A6292"/>
    <w:rsid w:val="009A7674"/>
    <w:rsid w:val="009B435A"/>
    <w:rsid w:val="009C2018"/>
    <w:rsid w:val="009C3392"/>
    <w:rsid w:val="009C426F"/>
    <w:rsid w:val="009C73B6"/>
    <w:rsid w:val="009D0415"/>
    <w:rsid w:val="009D499C"/>
    <w:rsid w:val="009D79A9"/>
    <w:rsid w:val="009E0E6C"/>
    <w:rsid w:val="009E341B"/>
    <w:rsid w:val="009E4F2C"/>
    <w:rsid w:val="009E7FF7"/>
    <w:rsid w:val="009F0C44"/>
    <w:rsid w:val="009F1A2A"/>
    <w:rsid w:val="00A03AA1"/>
    <w:rsid w:val="00A05330"/>
    <w:rsid w:val="00A106DD"/>
    <w:rsid w:val="00A11F4F"/>
    <w:rsid w:val="00A130CA"/>
    <w:rsid w:val="00A138AD"/>
    <w:rsid w:val="00A147FD"/>
    <w:rsid w:val="00A14B4C"/>
    <w:rsid w:val="00A14C6A"/>
    <w:rsid w:val="00A14F1A"/>
    <w:rsid w:val="00A15E1D"/>
    <w:rsid w:val="00A215CC"/>
    <w:rsid w:val="00A22E96"/>
    <w:rsid w:val="00A25BB5"/>
    <w:rsid w:val="00A30661"/>
    <w:rsid w:val="00A31E24"/>
    <w:rsid w:val="00A356C5"/>
    <w:rsid w:val="00A418A7"/>
    <w:rsid w:val="00A42136"/>
    <w:rsid w:val="00A45749"/>
    <w:rsid w:val="00A5061F"/>
    <w:rsid w:val="00A50A08"/>
    <w:rsid w:val="00A613F2"/>
    <w:rsid w:val="00A614BE"/>
    <w:rsid w:val="00A6333C"/>
    <w:rsid w:val="00A6405E"/>
    <w:rsid w:val="00A6433A"/>
    <w:rsid w:val="00A644B0"/>
    <w:rsid w:val="00A64C09"/>
    <w:rsid w:val="00A6590C"/>
    <w:rsid w:val="00A707BB"/>
    <w:rsid w:val="00A73678"/>
    <w:rsid w:val="00A7571C"/>
    <w:rsid w:val="00A8229C"/>
    <w:rsid w:val="00A84D62"/>
    <w:rsid w:val="00A85134"/>
    <w:rsid w:val="00A90419"/>
    <w:rsid w:val="00A90499"/>
    <w:rsid w:val="00A92A54"/>
    <w:rsid w:val="00A94CF4"/>
    <w:rsid w:val="00A963E8"/>
    <w:rsid w:val="00A96E98"/>
    <w:rsid w:val="00AA1706"/>
    <w:rsid w:val="00AA2258"/>
    <w:rsid w:val="00AA3CBD"/>
    <w:rsid w:val="00AA3E80"/>
    <w:rsid w:val="00AA533F"/>
    <w:rsid w:val="00AB1D38"/>
    <w:rsid w:val="00AB45DE"/>
    <w:rsid w:val="00AC4D5F"/>
    <w:rsid w:val="00AC542B"/>
    <w:rsid w:val="00AD093D"/>
    <w:rsid w:val="00AD2B01"/>
    <w:rsid w:val="00AD2F3A"/>
    <w:rsid w:val="00AD385F"/>
    <w:rsid w:val="00AD7106"/>
    <w:rsid w:val="00AD7379"/>
    <w:rsid w:val="00AE37F7"/>
    <w:rsid w:val="00AE6ADD"/>
    <w:rsid w:val="00AF30A1"/>
    <w:rsid w:val="00AF797F"/>
    <w:rsid w:val="00B0251C"/>
    <w:rsid w:val="00B0284E"/>
    <w:rsid w:val="00B032D2"/>
    <w:rsid w:val="00B0755B"/>
    <w:rsid w:val="00B07893"/>
    <w:rsid w:val="00B12315"/>
    <w:rsid w:val="00B140CA"/>
    <w:rsid w:val="00B178DE"/>
    <w:rsid w:val="00B17FB9"/>
    <w:rsid w:val="00B20FBA"/>
    <w:rsid w:val="00B21D20"/>
    <w:rsid w:val="00B24FB2"/>
    <w:rsid w:val="00B26514"/>
    <w:rsid w:val="00B31BB3"/>
    <w:rsid w:val="00B31E50"/>
    <w:rsid w:val="00B3204F"/>
    <w:rsid w:val="00B35ED7"/>
    <w:rsid w:val="00B36381"/>
    <w:rsid w:val="00B4049F"/>
    <w:rsid w:val="00B40D56"/>
    <w:rsid w:val="00B40D63"/>
    <w:rsid w:val="00B51B02"/>
    <w:rsid w:val="00B52379"/>
    <w:rsid w:val="00B52B99"/>
    <w:rsid w:val="00B538A8"/>
    <w:rsid w:val="00B540E5"/>
    <w:rsid w:val="00B5506F"/>
    <w:rsid w:val="00B60AF9"/>
    <w:rsid w:val="00B61780"/>
    <w:rsid w:val="00B6247A"/>
    <w:rsid w:val="00B670AD"/>
    <w:rsid w:val="00B711BF"/>
    <w:rsid w:val="00B72AD8"/>
    <w:rsid w:val="00B72DB4"/>
    <w:rsid w:val="00B7581C"/>
    <w:rsid w:val="00B75F57"/>
    <w:rsid w:val="00B768B7"/>
    <w:rsid w:val="00B76E15"/>
    <w:rsid w:val="00B800BA"/>
    <w:rsid w:val="00B82850"/>
    <w:rsid w:val="00B8356A"/>
    <w:rsid w:val="00B8459A"/>
    <w:rsid w:val="00B9544B"/>
    <w:rsid w:val="00BA0883"/>
    <w:rsid w:val="00BA3C10"/>
    <w:rsid w:val="00BA5903"/>
    <w:rsid w:val="00BA6361"/>
    <w:rsid w:val="00BB3943"/>
    <w:rsid w:val="00BB4080"/>
    <w:rsid w:val="00BB41D1"/>
    <w:rsid w:val="00BC144E"/>
    <w:rsid w:val="00BC169B"/>
    <w:rsid w:val="00BC6AF3"/>
    <w:rsid w:val="00BD050C"/>
    <w:rsid w:val="00BD30AD"/>
    <w:rsid w:val="00BD3849"/>
    <w:rsid w:val="00BD72BB"/>
    <w:rsid w:val="00BD765A"/>
    <w:rsid w:val="00BE5222"/>
    <w:rsid w:val="00BE6849"/>
    <w:rsid w:val="00BF22BB"/>
    <w:rsid w:val="00BF3F43"/>
    <w:rsid w:val="00BF6316"/>
    <w:rsid w:val="00C018DF"/>
    <w:rsid w:val="00C0374B"/>
    <w:rsid w:val="00C04786"/>
    <w:rsid w:val="00C04FF0"/>
    <w:rsid w:val="00C0536D"/>
    <w:rsid w:val="00C06D75"/>
    <w:rsid w:val="00C0766E"/>
    <w:rsid w:val="00C07C30"/>
    <w:rsid w:val="00C10A8E"/>
    <w:rsid w:val="00C10C83"/>
    <w:rsid w:val="00C13E50"/>
    <w:rsid w:val="00C16FB7"/>
    <w:rsid w:val="00C259C0"/>
    <w:rsid w:val="00C26207"/>
    <w:rsid w:val="00C3067C"/>
    <w:rsid w:val="00C3129A"/>
    <w:rsid w:val="00C32CEF"/>
    <w:rsid w:val="00C4478E"/>
    <w:rsid w:val="00C44FEC"/>
    <w:rsid w:val="00C50158"/>
    <w:rsid w:val="00C52667"/>
    <w:rsid w:val="00C5593A"/>
    <w:rsid w:val="00C568E5"/>
    <w:rsid w:val="00C62AEE"/>
    <w:rsid w:val="00C630C7"/>
    <w:rsid w:val="00C7210D"/>
    <w:rsid w:val="00C7598E"/>
    <w:rsid w:val="00C76FDC"/>
    <w:rsid w:val="00C77A9F"/>
    <w:rsid w:val="00C8679D"/>
    <w:rsid w:val="00C91727"/>
    <w:rsid w:val="00CA0A2B"/>
    <w:rsid w:val="00CA3E5E"/>
    <w:rsid w:val="00CA56EA"/>
    <w:rsid w:val="00CA5970"/>
    <w:rsid w:val="00CB6E04"/>
    <w:rsid w:val="00CB7579"/>
    <w:rsid w:val="00CC00D3"/>
    <w:rsid w:val="00CC2658"/>
    <w:rsid w:val="00CC355F"/>
    <w:rsid w:val="00CC36D9"/>
    <w:rsid w:val="00CC715B"/>
    <w:rsid w:val="00CC781A"/>
    <w:rsid w:val="00CD0522"/>
    <w:rsid w:val="00CE6FE8"/>
    <w:rsid w:val="00CF31E7"/>
    <w:rsid w:val="00CF3CB3"/>
    <w:rsid w:val="00CF53B2"/>
    <w:rsid w:val="00CF6050"/>
    <w:rsid w:val="00CF67DE"/>
    <w:rsid w:val="00D00096"/>
    <w:rsid w:val="00D10AC2"/>
    <w:rsid w:val="00D10F90"/>
    <w:rsid w:val="00D126A3"/>
    <w:rsid w:val="00D146B3"/>
    <w:rsid w:val="00D15E7A"/>
    <w:rsid w:val="00D164A3"/>
    <w:rsid w:val="00D215D9"/>
    <w:rsid w:val="00D30F7F"/>
    <w:rsid w:val="00D324CE"/>
    <w:rsid w:val="00D34BDF"/>
    <w:rsid w:val="00D42F78"/>
    <w:rsid w:val="00D453E6"/>
    <w:rsid w:val="00D454EF"/>
    <w:rsid w:val="00D50DE7"/>
    <w:rsid w:val="00D51533"/>
    <w:rsid w:val="00D57D6B"/>
    <w:rsid w:val="00D626B7"/>
    <w:rsid w:val="00D65095"/>
    <w:rsid w:val="00D70343"/>
    <w:rsid w:val="00D70B77"/>
    <w:rsid w:val="00D74E6F"/>
    <w:rsid w:val="00D76B54"/>
    <w:rsid w:val="00D776D9"/>
    <w:rsid w:val="00D77AE0"/>
    <w:rsid w:val="00D835BB"/>
    <w:rsid w:val="00D83C55"/>
    <w:rsid w:val="00D8732B"/>
    <w:rsid w:val="00D87355"/>
    <w:rsid w:val="00D90ED3"/>
    <w:rsid w:val="00D913D7"/>
    <w:rsid w:val="00D92610"/>
    <w:rsid w:val="00D97AAF"/>
    <w:rsid w:val="00D97FFA"/>
    <w:rsid w:val="00DA0090"/>
    <w:rsid w:val="00DA05DE"/>
    <w:rsid w:val="00DA0EA4"/>
    <w:rsid w:val="00DA1157"/>
    <w:rsid w:val="00DA1680"/>
    <w:rsid w:val="00DA1881"/>
    <w:rsid w:val="00DA1E97"/>
    <w:rsid w:val="00DA3008"/>
    <w:rsid w:val="00DA5456"/>
    <w:rsid w:val="00DA5794"/>
    <w:rsid w:val="00DA70B5"/>
    <w:rsid w:val="00DB6616"/>
    <w:rsid w:val="00DB70A1"/>
    <w:rsid w:val="00DC2FB1"/>
    <w:rsid w:val="00DC3702"/>
    <w:rsid w:val="00DD383D"/>
    <w:rsid w:val="00DD4357"/>
    <w:rsid w:val="00DD43C6"/>
    <w:rsid w:val="00DD4963"/>
    <w:rsid w:val="00DD57EE"/>
    <w:rsid w:val="00DD6170"/>
    <w:rsid w:val="00DD6684"/>
    <w:rsid w:val="00DD69F1"/>
    <w:rsid w:val="00DD7651"/>
    <w:rsid w:val="00DE1BE3"/>
    <w:rsid w:val="00DE4426"/>
    <w:rsid w:val="00DE660C"/>
    <w:rsid w:val="00DF4D26"/>
    <w:rsid w:val="00DF6A59"/>
    <w:rsid w:val="00E10956"/>
    <w:rsid w:val="00E20BF7"/>
    <w:rsid w:val="00E20E80"/>
    <w:rsid w:val="00E21F78"/>
    <w:rsid w:val="00E27BC5"/>
    <w:rsid w:val="00E30082"/>
    <w:rsid w:val="00E30D56"/>
    <w:rsid w:val="00E31FE9"/>
    <w:rsid w:val="00E35A88"/>
    <w:rsid w:val="00E36B65"/>
    <w:rsid w:val="00E42D24"/>
    <w:rsid w:val="00E44209"/>
    <w:rsid w:val="00E446C2"/>
    <w:rsid w:val="00E446FA"/>
    <w:rsid w:val="00E510FB"/>
    <w:rsid w:val="00E5381E"/>
    <w:rsid w:val="00E67412"/>
    <w:rsid w:val="00E715EE"/>
    <w:rsid w:val="00E71826"/>
    <w:rsid w:val="00E71E07"/>
    <w:rsid w:val="00E76551"/>
    <w:rsid w:val="00E77D30"/>
    <w:rsid w:val="00E8202C"/>
    <w:rsid w:val="00E8279B"/>
    <w:rsid w:val="00E85036"/>
    <w:rsid w:val="00E86421"/>
    <w:rsid w:val="00E91E62"/>
    <w:rsid w:val="00E948C7"/>
    <w:rsid w:val="00E96281"/>
    <w:rsid w:val="00E967BC"/>
    <w:rsid w:val="00E979E2"/>
    <w:rsid w:val="00E97D09"/>
    <w:rsid w:val="00EA3303"/>
    <w:rsid w:val="00EA3495"/>
    <w:rsid w:val="00EA46B2"/>
    <w:rsid w:val="00EA55A9"/>
    <w:rsid w:val="00EA6B8B"/>
    <w:rsid w:val="00EA6CFD"/>
    <w:rsid w:val="00EB4F2D"/>
    <w:rsid w:val="00EB5720"/>
    <w:rsid w:val="00EB6341"/>
    <w:rsid w:val="00EB69E6"/>
    <w:rsid w:val="00EB795E"/>
    <w:rsid w:val="00EB7E16"/>
    <w:rsid w:val="00EC15C0"/>
    <w:rsid w:val="00EC3A52"/>
    <w:rsid w:val="00EC5A1F"/>
    <w:rsid w:val="00EC5F77"/>
    <w:rsid w:val="00ED220E"/>
    <w:rsid w:val="00ED6C12"/>
    <w:rsid w:val="00ED7164"/>
    <w:rsid w:val="00EE1B84"/>
    <w:rsid w:val="00EE7089"/>
    <w:rsid w:val="00EF05C9"/>
    <w:rsid w:val="00EF0B0E"/>
    <w:rsid w:val="00EF3BE7"/>
    <w:rsid w:val="00EF3C10"/>
    <w:rsid w:val="00EF4886"/>
    <w:rsid w:val="00F02BD7"/>
    <w:rsid w:val="00F03BA5"/>
    <w:rsid w:val="00F07DCB"/>
    <w:rsid w:val="00F149A7"/>
    <w:rsid w:val="00F1513E"/>
    <w:rsid w:val="00F15BE1"/>
    <w:rsid w:val="00F168B0"/>
    <w:rsid w:val="00F17BB9"/>
    <w:rsid w:val="00F20E2F"/>
    <w:rsid w:val="00F216B0"/>
    <w:rsid w:val="00F2177B"/>
    <w:rsid w:val="00F233D6"/>
    <w:rsid w:val="00F23BBC"/>
    <w:rsid w:val="00F23FCC"/>
    <w:rsid w:val="00F3123A"/>
    <w:rsid w:val="00F34B9D"/>
    <w:rsid w:val="00F34D43"/>
    <w:rsid w:val="00F3570D"/>
    <w:rsid w:val="00F36CE0"/>
    <w:rsid w:val="00F37D1B"/>
    <w:rsid w:val="00F40392"/>
    <w:rsid w:val="00F41B08"/>
    <w:rsid w:val="00F42C9E"/>
    <w:rsid w:val="00F44423"/>
    <w:rsid w:val="00F446EB"/>
    <w:rsid w:val="00F53A27"/>
    <w:rsid w:val="00F60CD0"/>
    <w:rsid w:val="00F66777"/>
    <w:rsid w:val="00F67ECD"/>
    <w:rsid w:val="00F70E7A"/>
    <w:rsid w:val="00F7143F"/>
    <w:rsid w:val="00F75926"/>
    <w:rsid w:val="00F75B9D"/>
    <w:rsid w:val="00F76E14"/>
    <w:rsid w:val="00F80C45"/>
    <w:rsid w:val="00F837B8"/>
    <w:rsid w:val="00F8798C"/>
    <w:rsid w:val="00F90116"/>
    <w:rsid w:val="00F93840"/>
    <w:rsid w:val="00F95931"/>
    <w:rsid w:val="00FA0C08"/>
    <w:rsid w:val="00FA3C2A"/>
    <w:rsid w:val="00FA3C4D"/>
    <w:rsid w:val="00FA68D2"/>
    <w:rsid w:val="00FB1D48"/>
    <w:rsid w:val="00FB7922"/>
    <w:rsid w:val="00FC2F9F"/>
    <w:rsid w:val="00FD1C67"/>
    <w:rsid w:val="00FD3F37"/>
    <w:rsid w:val="00FD6645"/>
    <w:rsid w:val="00FE18E4"/>
    <w:rsid w:val="00FE1C16"/>
    <w:rsid w:val="00FE4C7A"/>
    <w:rsid w:val="00FE5DFD"/>
    <w:rsid w:val="00FF0590"/>
    <w:rsid w:val="00FF1647"/>
    <w:rsid w:val="00FF3A0A"/>
    <w:rsid w:val="00FF68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F19498-4FE4-4C71-B859-49456216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sz w:val="22"/>
      <w:szCs w:val="22"/>
      <w:lang w:val="en-GB" w:eastAsia="en-US"/>
    </w:rPr>
  </w:style>
  <w:style w:type="paragraph" w:styleId="Heading2">
    <w:name w:val="heading 2"/>
    <w:basedOn w:val="Normal"/>
    <w:next w:val="Normalnumber"/>
    <w:link w:val="Heading2Char"/>
    <w:qFormat/>
    <w:rsid w:val="00A614BE"/>
    <w:pPr>
      <w:keepNext/>
      <w:suppressAutoHyphens w:val="0"/>
      <w:spacing w:before="240" w:after="120" w:line="240" w:lineRule="auto"/>
      <w:ind w:left="1247" w:hanging="680"/>
      <w:outlineLvl w:val="1"/>
    </w:pPr>
    <w:rPr>
      <w:rFonts w:ascii="Times New Roman" w:eastAsia="MS Mincho"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85BD9"/>
    <w:rPr>
      <w:sz w:val="16"/>
      <w:szCs w:val="16"/>
    </w:rPr>
  </w:style>
  <w:style w:type="character" w:customStyle="1" w:styleId="CommentTextChar">
    <w:name w:val="Comment Text Char"/>
    <w:link w:val="CommentText"/>
    <w:uiPriority w:val="99"/>
    <w:rsid w:val="00585BD9"/>
    <w:rPr>
      <w:sz w:val="20"/>
      <w:szCs w:val="20"/>
    </w:rPr>
  </w:style>
  <w:style w:type="character" w:customStyle="1" w:styleId="CommentSubjectChar">
    <w:name w:val="Comment Subject Char"/>
    <w:link w:val="CommentSubject"/>
    <w:uiPriority w:val="99"/>
    <w:semiHidden/>
    <w:rsid w:val="00585BD9"/>
    <w:rPr>
      <w:b/>
      <w:bCs/>
      <w:sz w:val="20"/>
      <w:szCs w:val="20"/>
    </w:rPr>
  </w:style>
  <w:style w:type="character" w:customStyle="1" w:styleId="BalloonTextChar">
    <w:name w:val="Balloon Text Char"/>
    <w:link w:val="BalloonText"/>
    <w:uiPriority w:val="99"/>
    <w:semiHidden/>
    <w:rsid w:val="00585BD9"/>
    <w:rPr>
      <w:rFonts w:ascii="Segoe UI" w:hAnsi="Segoe UI" w:cs="Segoe UI"/>
      <w:sz w:val="18"/>
      <w:szCs w:val="18"/>
    </w:rPr>
  </w:style>
  <w:style w:type="character" w:customStyle="1" w:styleId="HeaderChar">
    <w:name w:val="Header Char"/>
    <w:basedOn w:val="DefaultParagraphFont"/>
    <w:link w:val="Header"/>
    <w:uiPriority w:val="99"/>
    <w:rsid w:val="00533E9E"/>
  </w:style>
  <w:style w:type="character" w:customStyle="1" w:styleId="FooterChar">
    <w:name w:val="Footer Char"/>
    <w:basedOn w:val="DefaultParagraphFont"/>
    <w:link w:val="Footer"/>
    <w:uiPriority w:val="99"/>
    <w:rsid w:val="00533E9E"/>
  </w:style>
  <w:style w:type="character" w:customStyle="1" w:styleId="Normal-poolChar">
    <w:name w:val="Normal-pool Char"/>
    <w:rsid w:val="00FE5ED0"/>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237FCC"/>
    <w:rPr>
      <w:sz w:val="20"/>
      <w:szCs w:val="20"/>
    </w:rPr>
  </w:style>
  <w:style w:type="character" w:styleId="FootnoteReference">
    <w:name w:val="footnote reference"/>
    <w:aliases w:val="16 Point,Superscript 6 Point,number,SUPERS,Footnote Reference Superscript"/>
    <w:uiPriority w:val="99"/>
    <w:unhideWhenUsed/>
    <w:rsid w:val="00237FCC"/>
    <w:rPr>
      <w:vertAlign w:val="superscript"/>
    </w:rPr>
  </w:style>
  <w:style w:type="character" w:customStyle="1" w:styleId="ListLabel1">
    <w:name w:val="ListLabel 1"/>
    <w:rPr>
      <w:rFonts w:cs="Courier New"/>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7B5340"/>
    <w:pPr>
      <w:ind w:left="720"/>
      <w:contextualSpacing/>
    </w:pPr>
  </w:style>
  <w:style w:type="paragraph" w:styleId="CommentText">
    <w:name w:val="annotation text"/>
    <w:basedOn w:val="Normal"/>
    <w:link w:val="CommentTextChar"/>
    <w:uiPriority w:val="99"/>
    <w:unhideWhenUsed/>
    <w:rsid w:val="00585BD9"/>
    <w:pPr>
      <w:spacing w:line="240" w:lineRule="auto"/>
    </w:pPr>
    <w:rPr>
      <w:sz w:val="20"/>
      <w:szCs w:val="20"/>
    </w:rPr>
  </w:style>
  <w:style w:type="paragraph" w:styleId="CommentSubject">
    <w:name w:val="annotation subject"/>
    <w:basedOn w:val="CommentText"/>
    <w:link w:val="CommentSubjectChar"/>
    <w:uiPriority w:val="99"/>
    <w:semiHidden/>
    <w:unhideWhenUsed/>
    <w:rsid w:val="00585BD9"/>
    <w:rPr>
      <w:b/>
      <w:bCs/>
    </w:rPr>
  </w:style>
  <w:style w:type="paragraph" w:styleId="BalloonText">
    <w:name w:val="Balloon Text"/>
    <w:basedOn w:val="Normal"/>
    <w:link w:val="BalloonTextChar"/>
    <w:uiPriority w:val="99"/>
    <w:semiHidden/>
    <w:unhideWhenUsed/>
    <w:rsid w:val="00585BD9"/>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533E9E"/>
    <w:pPr>
      <w:tabs>
        <w:tab w:val="center" w:pos="4513"/>
        <w:tab w:val="right" w:pos="9026"/>
      </w:tabs>
      <w:spacing w:after="0" w:line="240" w:lineRule="auto"/>
    </w:pPr>
  </w:style>
  <w:style w:type="paragraph" w:styleId="Footer">
    <w:name w:val="footer"/>
    <w:basedOn w:val="Normal"/>
    <w:link w:val="FooterChar"/>
    <w:uiPriority w:val="99"/>
    <w:unhideWhenUsed/>
    <w:rsid w:val="00533E9E"/>
    <w:pPr>
      <w:tabs>
        <w:tab w:val="center" w:pos="4513"/>
        <w:tab w:val="right" w:pos="9026"/>
      </w:tabs>
      <w:spacing w:after="0" w:line="240" w:lineRule="auto"/>
    </w:pPr>
  </w:style>
  <w:style w:type="paragraph" w:customStyle="1" w:styleId="Normal-pool">
    <w:name w:val="Normal-pool"/>
    <w:rsid w:val="00FE5ED0"/>
    <w:pPr>
      <w:tabs>
        <w:tab w:val="left" w:pos="1247"/>
        <w:tab w:val="left" w:pos="1814"/>
        <w:tab w:val="left" w:pos="2381"/>
        <w:tab w:val="left" w:pos="2948"/>
        <w:tab w:val="left" w:pos="3515"/>
      </w:tabs>
      <w:suppressAutoHyphens/>
    </w:pPr>
    <w:rPr>
      <w:rFonts w:ascii="Times New Roman" w:eastAsia="Times New Roman" w:hAnsi="Times New Roman" w:cs="Times New Roman"/>
      <w:lang w:val="en-GB" w:eastAsia="en-US"/>
    </w:rPr>
  </w:style>
  <w:style w:type="paragraph" w:styleId="Revision">
    <w:name w:val="Revision"/>
    <w:uiPriority w:val="99"/>
    <w:semiHidden/>
    <w:rsid w:val="00042F34"/>
    <w:pPr>
      <w:suppressAutoHyphens/>
    </w:pPr>
    <w:rPr>
      <w:sz w:val="22"/>
      <w:szCs w:val="22"/>
      <w:lang w:val="en-GB" w:eastAsia="en-US"/>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nhideWhenUsed/>
    <w:rsid w:val="00237FCC"/>
    <w:pPr>
      <w:spacing w:after="0" w:line="240" w:lineRule="auto"/>
    </w:pPr>
    <w:rPr>
      <w:sz w:val="20"/>
      <w:szCs w:val="20"/>
    </w:rPr>
  </w:style>
  <w:style w:type="paragraph" w:customStyle="1" w:styleId="Footnote">
    <w:name w:val="Footnote"/>
    <w:basedOn w:val="Normal"/>
  </w:style>
  <w:style w:type="table" w:styleId="TableGrid">
    <w:name w:val="Table Grid"/>
    <w:basedOn w:val="TableNormal"/>
    <w:uiPriority w:val="39"/>
    <w:rsid w:val="00FE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20ACF"/>
  </w:style>
  <w:style w:type="paragraph" w:styleId="PlainText">
    <w:name w:val="Plain Text"/>
    <w:basedOn w:val="Normal"/>
    <w:link w:val="PlainTextChar"/>
    <w:uiPriority w:val="99"/>
    <w:semiHidden/>
    <w:unhideWhenUsed/>
    <w:rsid w:val="00F2177B"/>
    <w:pPr>
      <w:suppressAutoHyphens w:val="0"/>
      <w:spacing w:after="0" w:line="240" w:lineRule="auto"/>
    </w:pPr>
    <w:rPr>
      <w:rFonts w:eastAsia="Calibri" w:cs="Consolas"/>
      <w:szCs w:val="21"/>
    </w:rPr>
  </w:style>
  <w:style w:type="character" w:customStyle="1" w:styleId="PlainTextChar">
    <w:name w:val="Plain Text Char"/>
    <w:link w:val="PlainText"/>
    <w:uiPriority w:val="99"/>
    <w:semiHidden/>
    <w:rsid w:val="00F2177B"/>
    <w:rPr>
      <w:rFonts w:eastAsia="Calibri" w:cs="Consolas"/>
      <w:szCs w:val="21"/>
    </w:rPr>
  </w:style>
  <w:style w:type="character" w:styleId="Hyperlink">
    <w:name w:val="Hyperlink"/>
    <w:uiPriority w:val="99"/>
    <w:unhideWhenUsed/>
    <w:rsid w:val="00087412"/>
    <w:rPr>
      <w:color w:val="0563C1"/>
      <w:u w:val="single"/>
    </w:rPr>
  </w:style>
  <w:style w:type="paragraph" w:customStyle="1" w:styleId="AATitle">
    <w:name w:val="AA_Title"/>
    <w:basedOn w:val="Normal"/>
    <w:rsid w:val="001D3AA4"/>
    <w:pPr>
      <w:keepNext/>
      <w:keepLines/>
      <w:tabs>
        <w:tab w:val="left" w:pos="1247"/>
        <w:tab w:val="left" w:pos="1814"/>
        <w:tab w:val="left" w:pos="2381"/>
        <w:tab w:val="left" w:pos="2948"/>
        <w:tab w:val="left" w:pos="3515"/>
        <w:tab w:val="left" w:pos="4082"/>
      </w:tabs>
      <w:spacing w:after="0" w:line="240" w:lineRule="auto"/>
      <w:ind w:right="5103"/>
    </w:pPr>
    <w:rPr>
      <w:rFonts w:ascii="Times New Roman" w:eastAsia="Times New Roman" w:hAnsi="Times New Roman" w:cs="Times New Roman"/>
      <w:b/>
      <w:sz w:val="20"/>
      <w:szCs w:val="20"/>
    </w:rPr>
  </w:style>
  <w:style w:type="paragraph" w:customStyle="1" w:styleId="AATitle2">
    <w:name w:val="AA_Title2"/>
    <w:basedOn w:val="AATitle"/>
    <w:rsid w:val="001D3AA4"/>
    <w:pPr>
      <w:tabs>
        <w:tab w:val="clear" w:pos="4082"/>
      </w:tabs>
      <w:spacing w:before="120" w:after="120"/>
      <w:ind w:right="4536"/>
    </w:pPr>
  </w:style>
  <w:style w:type="paragraph" w:customStyle="1" w:styleId="BBTitle">
    <w:name w:val="BB_Title"/>
    <w:basedOn w:val="Normal"/>
    <w:rsid w:val="001D3AA4"/>
    <w:pPr>
      <w:keepNext/>
      <w:keepLines/>
      <w:tabs>
        <w:tab w:val="left" w:pos="1247"/>
        <w:tab w:val="left" w:pos="1814"/>
        <w:tab w:val="left" w:pos="2381"/>
        <w:tab w:val="left" w:pos="2948"/>
        <w:tab w:val="left" w:pos="3515"/>
        <w:tab w:val="left" w:pos="4082"/>
      </w:tabs>
      <w:spacing w:before="320" w:after="240" w:line="240" w:lineRule="auto"/>
      <w:ind w:left="1247" w:right="567"/>
    </w:pPr>
    <w:rPr>
      <w:rFonts w:ascii="Times New Roman" w:eastAsia="Times New Roman" w:hAnsi="Times New Roman" w:cs="Times New Roman"/>
      <w:b/>
      <w:sz w:val="28"/>
      <w:szCs w:val="28"/>
    </w:rPr>
  </w:style>
  <w:style w:type="paragraph" w:customStyle="1" w:styleId="CH2">
    <w:name w:val="CH2"/>
    <w:basedOn w:val="Normal"/>
    <w:next w:val="Normal"/>
    <w:rsid w:val="001D3AA4"/>
    <w:pPr>
      <w:keepNext/>
      <w:keepLines/>
      <w:tabs>
        <w:tab w:val="right" w:pos="851"/>
        <w:tab w:val="left" w:pos="1247"/>
        <w:tab w:val="left" w:pos="1814"/>
        <w:tab w:val="left" w:pos="2381"/>
        <w:tab w:val="left" w:pos="2948"/>
        <w:tab w:val="left" w:pos="3515"/>
        <w:tab w:val="left" w:pos="4082"/>
      </w:tabs>
      <w:spacing w:before="80" w:after="120" w:line="240" w:lineRule="auto"/>
      <w:ind w:left="1247" w:right="284" w:hanging="1247"/>
    </w:pPr>
    <w:rPr>
      <w:rFonts w:ascii="Times New Roman" w:eastAsia="Times New Roman" w:hAnsi="Times New Roman" w:cs="Times New Roman"/>
      <w:b/>
      <w:sz w:val="24"/>
      <w:szCs w:val="24"/>
    </w:rPr>
  </w:style>
  <w:style w:type="paragraph" w:customStyle="1" w:styleId="CH1">
    <w:name w:val="CH1"/>
    <w:basedOn w:val="Normal"/>
    <w:next w:val="CH2"/>
    <w:rsid w:val="001D3AA4"/>
    <w:pPr>
      <w:keepNext/>
      <w:keepLines/>
      <w:tabs>
        <w:tab w:val="right" w:pos="851"/>
        <w:tab w:val="left" w:pos="1247"/>
        <w:tab w:val="left" w:pos="1814"/>
        <w:tab w:val="left" w:pos="2381"/>
        <w:tab w:val="left" w:pos="2948"/>
        <w:tab w:val="left" w:pos="3515"/>
        <w:tab w:val="left" w:pos="4082"/>
      </w:tabs>
      <w:spacing w:before="240" w:after="120" w:line="240" w:lineRule="auto"/>
      <w:ind w:left="1247" w:right="284" w:hanging="1247"/>
    </w:pPr>
    <w:rPr>
      <w:rFonts w:ascii="Times New Roman" w:eastAsia="Times New Roman" w:hAnsi="Times New Roman" w:cs="Times New Roman"/>
      <w:b/>
      <w:sz w:val="28"/>
      <w:szCs w:val="28"/>
    </w:rPr>
  </w:style>
  <w:style w:type="paragraph" w:customStyle="1" w:styleId="ZZAnxheader">
    <w:name w:val="ZZ_Anx_header"/>
    <w:basedOn w:val="Normal"/>
    <w:rsid w:val="009010B1"/>
    <w:pPr>
      <w:tabs>
        <w:tab w:val="left" w:pos="1247"/>
        <w:tab w:val="left" w:pos="1814"/>
        <w:tab w:val="left" w:pos="2381"/>
        <w:tab w:val="left" w:pos="2948"/>
        <w:tab w:val="left" w:pos="3515"/>
        <w:tab w:val="left" w:pos="4082"/>
      </w:tabs>
      <w:suppressAutoHyphens w:val="0"/>
      <w:spacing w:after="0" w:line="240" w:lineRule="auto"/>
    </w:pPr>
    <w:rPr>
      <w:rFonts w:ascii="Times New Roman" w:eastAsia="Times New Roman" w:hAnsi="Times New Roman" w:cs="Times New Roman"/>
      <w:b/>
      <w:bCs/>
      <w:sz w:val="28"/>
    </w:rPr>
  </w:style>
  <w:style w:type="paragraph" w:customStyle="1" w:styleId="ZZAnxtitle">
    <w:name w:val="ZZ_Anx_title"/>
    <w:basedOn w:val="Normal"/>
    <w:rsid w:val="00AD7379"/>
    <w:pPr>
      <w:tabs>
        <w:tab w:val="left" w:pos="1247"/>
        <w:tab w:val="left" w:pos="1814"/>
        <w:tab w:val="left" w:pos="2381"/>
        <w:tab w:val="left" w:pos="2948"/>
        <w:tab w:val="left" w:pos="3515"/>
        <w:tab w:val="left" w:pos="4082"/>
      </w:tabs>
      <w:suppressAutoHyphens w:val="0"/>
      <w:spacing w:before="360" w:after="120" w:line="240" w:lineRule="auto"/>
      <w:ind w:left="1247"/>
    </w:pPr>
    <w:rPr>
      <w:rFonts w:ascii="Times New Roman" w:eastAsia="Times New Roman" w:hAnsi="Times New Roman" w:cs="Times New Roman"/>
      <w:b/>
      <w:bCs/>
      <w:sz w:val="28"/>
      <w:szCs w:val="26"/>
    </w:rPr>
  </w:style>
  <w:style w:type="paragraph" w:customStyle="1" w:styleId="H23">
    <w:name w:val="_ H_2/3"/>
    <w:basedOn w:val="Normal"/>
    <w:next w:val="Normal"/>
    <w:rsid w:val="00546E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exact"/>
      <w:ind w:left="1267" w:right="1267" w:hanging="1267"/>
      <w:outlineLvl w:val="1"/>
    </w:pPr>
    <w:rPr>
      <w:rFonts w:ascii="Times New Roman" w:eastAsia="Times New Roman" w:hAnsi="Times New Roman" w:cs="Times New Roman"/>
      <w:b/>
      <w:spacing w:val="2"/>
      <w:w w:val="103"/>
      <w:kern w:val="14"/>
      <w:sz w:val="20"/>
      <w:szCs w:val="20"/>
    </w:rPr>
  </w:style>
  <w:style w:type="paragraph" w:customStyle="1" w:styleId="Normalnumber">
    <w:name w:val="Normal_number"/>
    <w:basedOn w:val="Normal"/>
    <w:rsid w:val="0007692D"/>
    <w:pPr>
      <w:numPr>
        <w:numId w:val="16"/>
      </w:numPr>
      <w:tabs>
        <w:tab w:val="left" w:pos="624"/>
        <w:tab w:val="left" w:pos="1247"/>
        <w:tab w:val="left" w:pos="1871"/>
        <w:tab w:val="left" w:pos="2495"/>
        <w:tab w:val="left" w:pos="3119"/>
      </w:tabs>
      <w:suppressAutoHyphens w:val="0"/>
      <w:spacing w:after="120" w:line="240" w:lineRule="auto"/>
    </w:pPr>
    <w:rPr>
      <w:rFonts w:ascii="Times New Roman" w:eastAsia="Times New Roman" w:hAnsi="Times New Roman" w:cs="Times New Roman"/>
      <w:sz w:val="20"/>
      <w:szCs w:val="20"/>
      <w:lang w:val="fr-CA"/>
    </w:rPr>
  </w:style>
  <w:style w:type="character" w:customStyle="1" w:styleId="Heading2Char">
    <w:name w:val="Heading 2 Char"/>
    <w:basedOn w:val="DefaultParagraphFont"/>
    <w:link w:val="Heading2"/>
    <w:rsid w:val="00A614BE"/>
    <w:rPr>
      <w:rFonts w:ascii="Times New Roman" w:eastAsia="MS Mincho" w:hAnsi="Times New Roman" w:cs="Times New Roman"/>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698">
      <w:bodyDiv w:val="1"/>
      <w:marLeft w:val="0"/>
      <w:marRight w:val="0"/>
      <w:marTop w:val="0"/>
      <w:marBottom w:val="0"/>
      <w:divBdr>
        <w:top w:val="none" w:sz="0" w:space="0" w:color="auto"/>
        <w:left w:val="none" w:sz="0" w:space="0" w:color="auto"/>
        <w:bottom w:val="none" w:sz="0" w:space="0" w:color="auto"/>
        <w:right w:val="none" w:sz="0" w:space="0" w:color="auto"/>
      </w:divBdr>
    </w:div>
    <w:div w:id="46152968">
      <w:bodyDiv w:val="1"/>
      <w:marLeft w:val="0"/>
      <w:marRight w:val="0"/>
      <w:marTop w:val="0"/>
      <w:marBottom w:val="0"/>
      <w:divBdr>
        <w:top w:val="none" w:sz="0" w:space="0" w:color="auto"/>
        <w:left w:val="none" w:sz="0" w:space="0" w:color="auto"/>
        <w:bottom w:val="none" w:sz="0" w:space="0" w:color="auto"/>
        <w:right w:val="none" w:sz="0" w:space="0" w:color="auto"/>
      </w:divBdr>
    </w:div>
    <w:div w:id="85420340">
      <w:bodyDiv w:val="1"/>
      <w:marLeft w:val="0"/>
      <w:marRight w:val="0"/>
      <w:marTop w:val="0"/>
      <w:marBottom w:val="0"/>
      <w:divBdr>
        <w:top w:val="none" w:sz="0" w:space="0" w:color="auto"/>
        <w:left w:val="none" w:sz="0" w:space="0" w:color="auto"/>
        <w:bottom w:val="none" w:sz="0" w:space="0" w:color="auto"/>
        <w:right w:val="none" w:sz="0" w:space="0" w:color="auto"/>
      </w:divBdr>
    </w:div>
    <w:div w:id="117334004">
      <w:bodyDiv w:val="1"/>
      <w:marLeft w:val="0"/>
      <w:marRight w:val="0"/>
      <w:marTop w:val="0"/>
      <w:marBottom w:val="0"/>
      <w:divBdr>
        <w:top w:val="none" w:sz="0" w:space="0" w:color="auto"/>
        <w:left w:val="none" w:sz="0" w:space="0" w:color="auto"/>
        <w:bottom w:val="none" w:sz="0" w:space="0" w:color="auto"/>
        <w:right w:val="none" w:sz="0" w:space="0" w:color="auto"/>
      </w:divBdr>
    </w:div>
    <w:div w:id="219244427">
      <w:bodyDiv w:val="1"/>
      <w:marLeft w:val="0"/>
      <w:marRight w:val="0"/>
      <w:marTop w:val="0"/>
      <w:marBottom w:val="0"/>
      <w:divBdr>
        <w:top w:val="none" w:sz="0" w:space="0" w:color="auto"/>
        <w:left w:val="none" w:sz="0" w:space="0" w:color="auto"/>
        <w:bottom w:val="none" w:sz="0" w:space="0" w:color="auto"/>
        <w:right w:val="none" w:sz="0" w:space="0" w:color="auto"/>
      </w:divBdr>
    </w:div>
    <w:div w:id="244924805">
      <w:bodyDiv w:val="1"/>
      <w:marLeft w:val="0"/>
      <w:marRight w:val="0"/>
      <w:marTop w:val="0"/>
      <w:marBottom w:val="0"/>
      <w:divBdr>
        <w:top w:val="none" w:sz="0" w:space="0" w:color="auto"/>
        <w:left w:val="none" w:sz="0" w:space="0" w:color="auto"/>
        <w:bottom w:val="none" w:sz="0" w:space="0" w:color="auto"/>
        <w:right w:val="none" w:sz="0" w:space="0" w:color="auto"/>
      </w:divBdr>
    </w:div>
    <w:div w:id="249430371">
      <w:bodyDiv w:val="1"/>
      <w:marLeft w:val="0"/>
      <w:marRight w:val="0"/>
      <w:marTop w:val="0"/>
      <w:marBottom w:val="0"/>
      <w:divBdr>
        <w:top w:val="none" w:sz="0" w:space="0" w:color="auto"/>
        <w:left w:val="none" w:sz="0" w:space="0" w:color="auto"/>
        <w:bottom w:val="none" w:sz="0" w:space="0" w:color="auto"/>
        <w:right w:val="none" w:sz="0" w:space="0" w:color="auto"/>
      </w:divBdr>
    </w:div>
    <w:div w:id="341204641">
      <w:bodyDiv w:val="1"/>
      <w:marLeft w:val="0"/>
      <w:marRight w:val="0"/>
      <w:marTop w:val="0"/>
      <w:marBottom w:val="0"/>
      <w:divBdr>
        <w:top w:val="none" w:sz="0" w:space="0" w:color="auto"/>
        <w:left w:val="none" w:sz="0" w:space="0" w:color="auto"/>
        <w:bottom w:val="none" w:sz="0" w:space="0" w:color="auto"/>
        <w:right w:val="none" w:sz="0" w:space="0" w:color="auto"/>
      </w:divBdr>
    </w:div>
    <w:div w:id="394789821">
      <w:bodyDiv w:val="1"/>
      <w:marLeft w:val="0"/>
      <w:marRight w:val="0"/>
      <w:marTop w:val="0"/>
      <w:marBottom w:val="0"/>
      <w:divBdr>
        <w:top w:val="none" w:sz="0" w:space="0" w:color="auto"/>
        <w:left w:val="none" w:sz="0" w:space="0" w:color="auto"/>
        <w:bottom w:val="none" w:sz="0" w:space="0" w:color="auto"/>
        <w:right w:val="none" w:sz="0" w:space="0" w:color="auto"/>
      </w:divBdr>
    </w:div>
    <w:div w:id="442303949">
      <w:bodyDiv w:val="1"/>
      <w:marLeft w:val="0"/>
      <w:marRight w:val="0"/>
      <w:marTop w:val="0"/>
      <w:marBottom w:val="0"/>
      <w:divBdr>
        <w:top w:val="none" w:sz="0" w:space="0" w:color="auto"/>
        <w:left w:val="none" w:sz="0" w:space="0" w:color="auto"/>
        <w:bottom w:val="none" w:sz="0" w:space="0" w:color="auto"/>
        <w:right w:val="none" w:sz="0" w:space="0" w:color="auto"/>
      </w:divBdr>
    </w:div>
    <w:div w:id="450130972">
      <w:bodyDiv w:val="1"/>
      <w:marLeft w:val="0"/>
      <w:marRight w:val="0"/>
      <w:marTop w:val="0"/>
      <w:marBottom w:val="0"/>
      <w:divBdr>
        <w:top w:val="none" w:sz="0" w:space="0" w:color="auto"/>
        <w:left w:val="none" w:sz="0" w:space="0" w:color="auto"/>
        <w:bottom w:val="none" w:sz="0" w:space="0" w:color="auto"/>
        <w:right w:val="none" w:sz="0" w:space="0" w:color="auto"/>
      </w:divBdr>
    </w:div>
    <w:div w:id="538972697">
      <w:bodyDiv w:val="1"/>
      <w:marLeft w:val="0"/>
      <w:marRight w:val="0"/>
      <w:marTop w:val="0"/>
      <w:marBottom w:val="0"/>
      <w:divBdr>
        <w:top w:val="none" w:sz="0" w:space="0" w:color="auto"/>
        <w:left w:val="none" w:sz="0" w:space="0" w:color="auto"/>
        <w:bottom w:val="none" w:sz="0" w:space="0" w:color="auto"/>
        <w:right w:val="none" w:sz="0" w:space="0" w:color="auto"/>
      </w:divBdr>
    </w:div>
    <w:div w:id="591549135">
      <w:bodyDiv w:val="1"/>
      <w:marLeft w:val="0"/>
      <w:marRight w:val="0"/>
      <w:marTop w:val="0"/>
      <w:marBottom w:val="0"/>
      <w:divBdr>
        <w:top w:val="none" w:sz="0" w:space="0" w:color="auto"/>
        <w:left w:val="none" w:sz="0" w:space="0" w:color="auto"/>
        <w:bottom w:val="none" w:sz="0" w:space="0" w:color="auto"/>
        <w:right w:val="none" w:sz="0" w:space="0" w:color="auto"/>
      </w:divBdr>
    </w:div>
    <w:div w:id="741023988">
      <w:bodyDiv w:val="1"/>
      <w:marLeft w:val="0"/>
      <w:marRight w:val="0"/>
      <w:marTop w:val="0"/>
      <w:marBottom w:val="0"/>
      <w:divBdr>
        <w:top w:val="none" w:sz="0" w:space="0" w:color="auto"/>
        <w:left w:val="none" w:sz="0" w:space="0" w:color="auto"/>
        <w:bottom w:val="none" w:sz="0" w:space="0" w:color="auto"/>
        <w:right w:val="none" w:sz="0" w:space="0" w:color="auto"/>
      </w:divBdr>
    </w:div>
    <w:div w:id="758451311">
      <w:bodyDiv w:val="1"/>
      <w:marLeft w:val="0"/>
      <w:marRight w:val="0"/>
      <w:marTop w:val="0"/>
      <w:marBottom w:val="0"/>
      <w:divBdr>
        <w:top w:val="none" w:sz="0" w:space="0" w:color="auto"/>
        <w:left w:val="none" w:sz="0" w:space="0" w:color="auto"/>
        <w:bottom w:val="none" w:sz="0" w:space="0" w:color="auto"/>
        <w:right w:val="none" w:sz="0" w:space="0" w:color="auto"/>
      </w:divBdr>
    </w:div>
    <w:div w:id="837380521">
      <w:bodyDiv w:val="1"/>
      <w:marLeft w:val="0"/>
      <w:marRight w:val="0"/>
      <w:marTop w:val="0"/>
      <w:marBottom w:val="0"/>
      <w:divBdr>
        <w:top w:val="none" w:sz="0" w:space="0" w:color="auto"/>
        <w:left w:val="none" w:sz="0" w:space="0" w:color="auto"/>
        <w:bottom w:val="none" w:sz="0" w:space="0" w:color="auto"/>
        <w:right w:val="none" w:sz="0" w:space="0" w:color="auto"/>
      </w:divBdr>
    </w:div>
    <w:div w:id="900478115">
      <w:bodyDiv w:val="1"/>
      <w:marLeft w:val="0"/>
      <w:marRight w:val="0"/>
      <w:marTop w:val="0"/>
      <w:marBottom w:val="0"/>
      <w:divBdr>
        <w:top w:val="none" w:sz="0" w:space="0" w:color="auto"/>
        <w:left w:val="none" w:sz="0" w:space="0" w:color="auto"/>
        <w:bottom w:val="none" w:sz="0" w:space="0" w:color="auto"/>
        <w:right w:val="none" w:sz="0" w:space="0" w:color="auto"/>
      </w:divBdr>
    </w:div>
    <w:div w:id="907228243">
      <w:bodyDiv w:val="1"/>
      <w:marLeft w:val="0"/>
      <w:marRight w:val="0"/>
      <w:marTop w:val="0"/>
      <w:marBottom w:val="0"/>
      <w:divBdr>
        <w:top w:val="none" w:sz="0" w:space="0" w:color="auto"/>
        <w:left w:val="none" w:sz="0" w:space="0" w:color="auto"/>
        <w:bottom w:val="none" w:sz="0" w:space="0" w:color="auto"/>
        <w:right w:val="none" w:sz="0" w:space="0" w:color="auto"/>
      </w:divBdr>
      <w:divsChild>
        <w:div w:id="2069181378">
          <w:marLeft w:val="0"/>
          <w:marRight w:val="0"/>
          <w:marTop w:val="0"/>
          <w:marBottom w:val="0"/>
          <w:divBdr>
            <w:top w:val="none" w:sz="0" w:space="0" w:color="auto"/>
            <w:left w:val="none" w:sz="0" w:space="0" w:color="auto"/>
            <w:bottom w:val="none" w:sz="0" w:space="0" w:color="auto"/>
            <w:right w:val="none" w:sz="0" w:space="0" w:color="auto"/>
          </w:divBdr>
          <w:divsChild>
            <w:div w:id="17774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2413">
      <w:bodyDiv w:val="1"/>
      <w:marLeft w:val="0"/>
      <w:marRight w:val="0"/>
      <w:marTop w:val="0"/>
      <w:marBottom w:val="0"/>
      <w:divBdr>
        <w:top w:val="none" w:sz="0" w:space="0" w:color="auto"/>
        <w:left w:val="none" w:sz="0" w:space="0" w:color="auto"/>
        <w:bottom w:val="none" w:sz="0" w:space="0" w:color="auto"/>
        <w:right w:val="none" w:sz="0" w:space="0" w:color="auto"/>
      </w:divBdr>
    </w:div>
    <w:div w:id="980035536">
      <w:bodyDiv w:val="1"/>
      <w:marLeft w:val="0"/>
      <w:marRight w:val="0"/>
      <w:marTop w:val="0"/>
      <w:marBottom w:val="0"/>
      <w:divBdr>
        <w:top w:val="none" w:sz="0" w:space="0" w:color="auto"/>
        <w:left w:val="none" w:sz="0" w:space="0" w:color="auto"/>
        <w:bottom w:val="none" w:sz="0" w:space="0" w:color="auto"/>
        <w:right w:val="none" w:sz="0" w:space="0" w:color="auto"/>
      </w:divBdr>
    </w:div>
    <w:div w:id="1062098333">
      <w:bodyDiv w:val="1"/>
      <w:marLeft w:val="0"/>
      <w:marRight w:val="0"/>
      <w:marTop w:val="0"/>
      <w:marBottom w:val="0"/>
      <w:divBdr>
        <w:top w:val="none" w:sz="0" w:space="0" w:color="auto"/>
        <w:left w:val="none" w:sz="0" w:space="0" w:color="auto"/>
        <w:bottom w:val="none" w:sz="0" w:space="0" w:color="auto"/>
        <w:right w:val="none" w:sz="0" w:space="0" w:color="auto"/>
      </w:divBdr>
    </w:div>
    <w:div w:id="1109855738">
      <w:bodyDiv w:val="1"/>
      <w:marLeft w:val="0"/>
      <w:marRight w:val="0"/>
      <w:marTop w:val="0"/>
      <w:marBottom w:val="0"/>
      <w:divBdr>
        <w:top w:val="none" w:sz="0" w:space="0" w:color="auto"/>
        <w:left w:val="none" w:sz="0" w:space="0" w:color="auto"/>
        <w:bottom w:val="none" w:sz="0" w:space="0" w:color="auto"/>
        <w:right w:val="none" w:sz="0" w:space="0" w:color="auto"/>
      </w:divBdr>
    </w:div>
    <w:div w:id="1152599109">
      <w:bodyDiv w:val="1"/>
      <w:marLeft w:val="0"/>
      <w:marRight w:val="0"/>
      <w:marTop w:val="0"/>
      <w:marBottom w:val="0"/>
      <w:divBdr>
        <w:top w:val="none" w:sz="0" w:space="0" w:color="auto"/>
        <w:left w:val="none" w:sz="0" w:space="0" w:color="auto"/>
        <w:bottom w:val="none" w:sz="0" w:space="0" w:color="auto"/>
        <w:right w:val="none" w:sz="0" w:space="0" w:color="auto"/>
      </w:divBdr>
    </w:div>
    <w:div w:id="1184199367">
      <w:bodyDiv w:val="1"/>
      <w:marLeft w:val="0"/>
      <w:marRight w:val="0"/>
      <w:marTop w:val="0"/>
      <w:marBottom w:val="0"/>
      <w:divBdr>
        <w:top w:val="none" w:sz="0" w:space="0" w:color="auto"/>
        <w:left w:val="none" w:sz="0" w:space="0" w:color="auto"/>
        <w:bottom w:val="none" w:sz="0" w:space="0" w:color="auto"/>
        <w:right w:val="none" w:sz="0" w:space="0" w:color="auto"/>
      </w:divBdr>
    </w:div>
    <w:div w:id="1278558273">
      <w:bodyDiv w:val="1"/>
      <w:marLeft w:val="0"/>
      <w:marRight w:val="0"/>
      <w:marTop w:val="0"/>
      <w:marBottom w:val="0"/>
      <w:divBdr>
        <w:top w:val="none" w:sz="0" w:space="0" w:color="auto"/>
        <w:left w:val="none" w:sz="0" w:space="0" w:color="auto"/>
        <w:bottom w:val="none" w:sz="0" w:space="0" w:color="auto"/>
        <w:right w:val="none" w:sz="0" w:space="0" w:color="auto"/>
      </w:divBdr>
    </w:div>
    <w:div w:id="1369571840">
      <w:bodyDiv w:val="1"/>
      <w:marLeft w:val="0"/>
      <w:marRight w:val="0"/>
      <w:marTop w:val="0"/>
      <w:marBottom w:val="0"/>
      <w:divBdr>
        <w:top w:val="none" w:sz="0" w:space="0" w:color="auto"/>
        <w:left w:val="none" w:sz="0" w:space="0" w:color="auto"/>
        <w:bottom w:val="none" w:sz="0" w:space="0" w:color="auto"/>
        <w:right w:val="none" w:sz="0" w:space="0" w:color="auto"/>
      </w:divBdr>
    </w:div>
    <w:div w:id="1442603476">
      <w:bodyDiv w:val="1"/>
      <w:marLeft w:val="0"/>
      <w:marRight w:val="0"/>
      <w:marTop w:val="0"/>
      <w:marBottom w:val="0"/>
      <w:divBdr>
        <w:top w:val="none" w:sz="0" w:space="0" w:color="auto"/>
        <w:left w:val="none" w:sz="0" w:space="0" w:color="auto"/>
        <w:bottom w:val="none" w:sz="0" w:space="0" w:color="auto"/>
        <w:right w:val="none" w:sz="0" w:space="0" w:color="auto"/>
      </w:divBdr>
    </w:div>
    <w:div w:id="1550415049">
      <w:bodyDiv w:val="1"/>
      <w:marLeft w:val="0"/>
      <w:marRight w:val="0"/>
      <w:marTop w:val="0"/>
      <w:marBottom w:val="0"/>
      <w:divBdr>
        <w:top w:val="none" w:sz="0" w:space="0" w:color="auto"/>
        <w:left w:val="none" w:sz="0" w:space="0" w:color="auto"/>
        <w:bottom w:val="none" w:sz="0" w:space="0" w:color="auto"/>
        <w:right w:val="none" w:sz="0" w:space="0" w:color="auto"/>
      </w:divBdr>
    </w:div>
    <w:div w:id="1568615297">
      <w:bodyDiv w:val="1"/>
      <w:marLeft w:val="0"/>
      <w:marRight w:val="0"/>
      <w:marTop w:val="0"/>
      <w:marBottom w:val="0"/>
      <w:divBdr>
        <w:top w:val="none" w:sz="0" w:space="0" w:color="auto"/>
        <w:left w:val="none" w:sz="0" w:space="0" w:color="auto"/>
        <w:bottom w:val="none" w:sz="0" w:space="0" w:color="auto"/>
        <w:right w:val="none" w:sz="0" w:space="0" w:color="auto"/>
      </w:divBdr>
    </w:div>
    <w:div w:id="1678269089">
      <w:bodyDiv w:val="1"/>
      <w:marLeft w:val="0"/>
      <w:marRight w:val="0"/>
      <w:marTop w:val="0"/>
      <w:marBottom w:val="0"/>
      <w:divBdr>
        <w:top w:val="none" w:sz="0" w:space="0" w:color="auto"/>
        <w:left w:val="none" w:sz="0" w:space="0" w:color="auto"/>
        <w:bottom w:val="none" w:sz="0" w:space="0" w:color="auto"/>
        <w:right w:val="none" w:sz="0" w:space="0" w:color="auto"/>
      </w:divBdr>
    </w:div>
    <w:div w:id="1753626523">
      <w:bodyDiv w:val="1"/>
      <w:marLeft w:val="0"/>
      <w:marRight w:val="0"/>
      <w:marTop w:val="0"/>
      <w:marBottom w:val="0"/>
      <w:divBdr>
        <w:top w:val="none" w:sz="0" w:space="0" w:color="auto"/>
        <w:left w:val="none" w:sz="0" w:space="0" w:color="auto"/>
        <w:bottom w:val="none" w:sz="0" w:space="0" w:color="auto"/>
        <w:right w:val="none" w:sz="0" w:space="0" w:color="auto"/>
      </w:divBdr>
    </w:div>
    <w:div w:id="1784685986">
      <w:bodyDiv w:val="1"/>
      <w:marLeft w:val="0"/>
      <w:marRight w:val="0"/>
      <w:marTop w:val="0"/>
      <w:marBottom w:val="0"/>
      <w:divBdr>
        <w:top w:val="none" w:sz="0" w:space="0" w:color="auto"/>
        <w:left w:val="none" w:sz="0" w:space="0" w:color="auto"/>
        <w:bottom w:val="none" w:sz="0" w:space="0" w:color="auto"/>
        <w:right w:val="none" w:sz="0" w:space="0" w:color="auto"/>
      </w:divBdr>
      <w:divsChild>
        <w:div w:id="1009871912">
          <w:marLeft w:val="0"/>
          <w:marRight w:val="0"/>
          <w:marTop w:val="0"/>
          <w:marBottom w:val="0"/>
          <w:divBdr>
            <w:top w:val="none" w:sz="0" w:space="0" w:color="auto"/>
            <w:left w:val="none" w:sz="0" w:space="0" w:color="auto"/>
            <w:bottom w:val="none" w:sz="0" w:space="0" w:color="auto"/>
            <w:right w:val="none" w:sz="0" w:space="0" w:color="auto"/>
          </w:divBdr>
        </w:div>
        <w:div w:id="1390182188">
          <w:marLeft w:val="0"/>
          <w:marRight w:val="0"/>
          <w:marTop w:val="0"/>
          <w:marBottom w:val="0"/>
          <w:divBdr>
            <w:top w:val="none" w:sz="0" w:space="0" w:color="auto"/>
            <w:left w:val="none" w:sz="0" w:space="0" w:color="auto"/>
            <w:bottom w:val="none" w:sz="0" w:space="0" w:color="auto"/>
            <w:right w:val="none" w:sz="0" w:space="0" w:color="auto"/>
          </w:divBdr>
        </w:div>
        <w:div w:id="2066223024">
          <w:marLeft w:val="0"/>
          <w:marRight w:val="0"/>
          <w:marTop w:val="0"/>
          <w:marBottom w:val="0"/>
          <w:divBdr>
            <w:top w:val="none" w:sz="0" w:space="0" w:color="auto"/>
            <w:left w:val="none" w:sz="0" w:space="0" w:color="auto"/>
            <w:bottom w:val="none" w:sz="0" w:space="0" w:color="auto"/>
            <w:right w:val="none" w:sz="0" w:space="0" w:color="auto"/>
          </w:divBdr>
        </w:div>
      </w:divsChild>
    </w:div>
    <w:div w:id="1846284984">
      <w:bodyDiv w:val="1"/>
      <w:marLeft w:val="0"/>
      <w:marRight w:val="0"/>
      <w:marTop w:val="0"/>
      <w:marBottom w:val="0"/>
      <w:divBdr>
        <w:top w:val="none" w:sz="0" w:space="0" w:color="auto"/>
        <w:left w:val="none" w:sz="0" w:space="0" w:color="auto"/>
        <w:bottom w:val="none" w:sz="0" w:space="0" w:color="auto"/>
        <w:right w:val="none" w:sz="0" w:space="0" w:color="auto"/>
      </w:divBdr>
    </w:div>
    <w:div w:id="1869835107">
      <w:bodyDiv w:val="1"/>
      <w:marLeft w:val="0"/>
      <w:marRight w:val="0"/>
      <w:marTop w:val="0"/>
      <w:marBottom w:val="0"/>
      <w:divBdr>
        <w:top w:val="none" w:sz="0" w:space="0" w:color="auto"/>
        <w:left w:val="none" w:sz="0" w:space="0" w:color="auto"/>
        <w:bottom w:val="none" w:sz="0" w:space="0" w:color="auto"/>
        <w:right w:val="none" w:sz="0" w:space="0" w:color="auto"/>
      </w:divBdr>
    </w:div>
    <w:div w:id="1982999380">
      <w:bodyDiv w:val="1"/>
      <w:marLeft w:val="0"/>
      <w:marRight w:val="0"/>
      <w:marTop w:val="0"/>
      <w:marBottom w:val="0"/>
      <w:divBdr>
        <w:top w:val="none" w:sz="0" w:space="0" w:color="auto"/>
        <w:left w:val="none" w:sz="0" w:space="0" w:color="auto"/>
        <w:bottom w:val="none" w:sz="0" w:space="0" w:color="auto"/>
        <w:right w:val="none" w:sz="0" w:space="0" w:color="auto"/>
      </w:divBdr>
    </w:div>
    <w:div w:id="2006274884">
      <w:bodyDiv w:val="1"/>
      <w:marLeft w:val="0"/>
      <w:marRight w:val="0"/>
      <w:marTop w:val="0"/>
      <w:marBottom w:val="0"/>
      <w:divBdr>
        <w:top w:val="none" w:sz="0" w:space="0" w:color="auto"/>
        <w:left w:val="none" w:sz="0" w:space="0" w:color="auto"/>
        <w:bottom w:val="none" w:sz="0" w:space="0" w:color="auto"/>
        <w:right w:val="none" w:sz="0" w:space="0" w:color="auto"/>
      </w:divBdr>
    </w:div>
    <w:div w:id="2009021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4084E-42AA-4AE4-B08B-DDC110A5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Dixon</dc:creator>
  <cp:lastModifiedBy>Sarah Banda</cp:lastModifiedBy>
  <cp:revision>2</cp:revision>
  <cp:lastPrinted>2015-12-02T12:28:00Z</cp:lastPrinted>
  <dcterms:created xsi:type="dcterms:W3CDTF">2015-12-30T21:29:00Z</dcterms:created>
  <dcterms:modified xsi:type="dcterms:W3CDTF">2015-12-30T21:29:00Z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12/9/2015 9:56:49 AM</vt:lpwstr>
  </property>
  <property fmtid="{D5CDD505-2E9C-101B-9397-08002B2CF9AE}" pid="5" name="OriginalDocID">
    <vt:lpwstr>c52235b3-5a40-40a6-83fd-111cbd4d9914</vt:lpwstr>
  </property>
</Properties>
</file>