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3435"/>
      </w:tblGrid>
      <w:tr w:rsidR="00053C64" w:rsidRPr="0031022F" w:rsidTr="00053C6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053C64" w:rsidRPr="0031022F" w:rsidRDefault="00053C64" w:rsidP="00053C64">
            <w:pPr>
              <w:rPr>
                <w:rFonts w:ascii="Univers" w:hAnsi="Univers"/>
                <w:noProof/>
                <w:lang w:val="fr-CA"/>
              </w:rPr>
            </w:pPr>
            <w:bookmarkStart w:id="0" w:name="_GoBack"/>
            <w:bookmarkEnd w:id="0"/>
            <w:r w:rsidRPr="0031022F">
              <w:rPr>
                <w:rFonts w:ascii="Arial" w:hAnsi="Arial" w:cs="Arial"/>
                <w:b/>
                <w:noProof/>
                <w:sz w:val="27"/>
                <w:szCs w:val="27"/>
                <w:lang w:val="fr-CA"/>
              </w:rPr>
              <w:t>NATIONS UNIES</w:t>
            </w:r>
            <w:r w:rsidRPr="0031022F">
              <w:rPr>
                <w:rFonts w:ascii="Arial" w:hAnsi="Arial" w:cs="Arial"/>
                <w:b/>
                <w:noProof/>
                <w:sz w:val="27"/>
                <w:szCs w:val="27"/>
                <w:lang w:val="fr-CA"/>
              </w:rPr>
              <w:br/>
            </w:r>
          </w:p>
        </w:tc>
        <w:tc>
          <w:tcPr>
            <w:tcW w:w="4785" w:type="dxa"/>
          </w:tcPr>
          <w:p w:rsidR="00053C64" w:rsidRPr="0031022F" w:rsidRDefault="00053C64" w:rsidP="00053C64">
            <w:pPr>
              <w:rPr>
                <w:rFonts w:ascii="Univers" w:hAnsi="Univers"/>
                <w:b/>
                <w:sz w:val="27"/>
                <w:szCs w:val="27"/>
                <w:lang w:val="fr-CA"/>
              </w:rPr>
            </w:pPr>
          </w:p>
        </w:tc>
        <w:tc>
          <w:tcPr>
            <w:tcW w:w="3435" w:type="dxa"/>
          </w:tcPr>
          <w:p w:rsidR="00053C64" w:rsidRPr="0031022F" w:rsidRDefault="00053C64" w:rsidP="00053C64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fr-CA"/>
              </w:rPr>
            </w:pPr>
            <w:r w:rsidRPr="0031022F">
              <w:rPr>
                <w:rFonts w:ascii="Arial" w:hAnsi="Arial" w:cs="Arial"/>
                <w:b/>
                <w:sz w:val="64"/>
                <w:szCs w:val="64"/>
                <w:lang w:val="fr-CA"/>
              </w:rPr>
              <w:t>EP</w:t>
            </w:r>
          </w:p>
        </w:tc>
      </w:tr>
      <w:tr w:rsidR="00053C64" w:rsidRPr="0031022F" w:rsidTr="00053C6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053C64" w:rsidRPr="0031022F" w:rsidRDefault="00053C64" w:rsidP="00053C64">
            <w:pPr>
              <w:rPr>
                <w:noProof/>
                <w:sz w:val="18"/>
                <w:szCs w:val="18"/>
                <w:lang w:val="fr-CA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53C64" w:rsidRPr="0031022F" w:rsidRDefault="00053C64" w:rsidP="00053C64">
            <w:pPr>
              <w:rPr>
                <w:rFonts w:ascii="Univers" w:hAnsi="Univers"/>
                <w:b/>
                <w:sz w:val="18"/>
                <w:szCs w:val="18"/>
                <w:lang w:val="fr-CA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53C64" w:rsidRPr="0031022F" w:rsidRDefault="00053C64" w:rsidP="003C6657">
            <w:pPr>
              <w:rPr>
                <w:noProof/>
                <w:sz w:val="18"/>
                <w:szCs w:val="18"/>
                <w:lang w:val="fr-CA"/>
              </w:rPr>
            </w:pPr>
            <w:r w:rsidRPr="0031022F">
              <w:rPr>
                <w:b/>
                <w:bCs/>
                <w:sz w:val="28"/>
                <w:lang w:val="fr-CA"/>
              </w:rPr>
              <w:t>UNEP</w:t>
            </w:r>
            <w:r w:rsidRPr="0031022F">
              <w:rPr>
                <w:lang w:val="fr-CA"/>
              </w:rPr>
              <w:t>/IPBES/2/</w:t>
            </w:r>
            <w:r w:rsidR="003C6657">
              <w:rPr>
                <w:lang w:val="fr-CA"/>
              </w:rPr>
              <w:t>8</w:t>
            </w:r>
            <w:r w:rsidR="007969EE">
              <w:rPr>
                <w:rStyle w:val="FootnoteReference"/>
                <w:lang w:val="fr-CA"/>
              </w:rPr>
              <w:footnoteReference w:customMarkFollows="1" w:id="1"/>
              <w:t>*</w:t>
            </w:r>
          </w:p>
        </w:tc>
      </w:tr>
      <w:bookmarkStart w:id="1" w:name="_MON_1021710482"/>
      <w:bookmarkStart w:id="2" w:name="_MON_1021710510"/>
      <w:bookmarkEnd w:id="1"/>
      <w:bookmarkEnd w:id="2"/>
      <w:tr w:rsidR="00053C64" w:rsidRPr="0031022F" w:rsidTr="00053C64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31022F" w:rsidRDefault="00053C64" w:rsidP="00053C64">
            <w:pPr>
              <w:rPr>
                <w:noProof/>
                <w:lang w:val="fr-CA"/>
              </w:rPr>
            </w:pPr>
            <w:r w:rsidRPr="0031022F">
              <w:rPr>
                <w:noProof/>
                <w:lang w:val="fr-CA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1.2pt" o:ole="" fillcolor="window">
                  <v:imagedata r:id="rId8" o:title=""/>
                </v:shape>
                <o:OLEObject Type="Embed" ProgID="Word.Picture.8" ShapeID="_x0000_i1025" DrawAspect="Content" ObjectID="_1447920455" r:id="rId9"/>
              </w:object>
            </w:r>
            <w:r w:rsidR="003754B5" w:rsidRPr="0031022F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31022F" w:rsidRDefault="00053C64" w:rsidP="00053C64">
            <w:pPr>
              <w:spacing w:before="1200"/>
              <w:rPr>
                <w:rFonts w:ascii="Arial" w:hAnsi="Arial" w:cs="Arial"/>
                <w:b/>
                <w:sz w:val="28"/>
                <w:lang w:val="fr-CA"/>
              </w:rPr>
            </w:pPr>
            <w:r w:rsidRPr="0031022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Programme </w:t>
            </w:r>
            <w:r w:rsidRPr="0031022F">
              <w:rPr>
                <w:rFonts w:ascii="Arial" w:hAnsi="Arial" w:cs="Arial"/>
                <w:b/>
                <w:sz w:val="28"/>
                <w:szCs w:val="28"/>
                <w:lang w:val="fr-CA"/>
              </w:rPr>
              <w:br/>
              <w:t xml:space="preserve">des Nations Unies </w:t>
            </w:r>
            <w:r w:rsidRPr="0031022F">
              <w:rPr>
                <w:rFonts w:ascii="Arial" w:hAnsi="Arial" w:cs="Arial"/>
                <w:b/>
                <w:sz w:val="28"/>
                <w:szCs w:val="28"/>
                <w:lang w:val="fr-CA"/>
              </w:rPr>
              <w:br/>
              <w:t>pour l</w:t>
            </w:r>
            <w:r w:rsidR="003C6657">
              <w:rPr>
                <w:rFonts w:ascii="Arial" w:hAnsi="Arial" w:cs="Arial"/>
                <w:b/>
                <w:sz w:val="28"/>
                <w:szCs w:val="28"/>
                <w:lang w:val="fr-CA"/>
              </w:rPr>
              <w:t>’</w:t>
            </w:r>
            <w:r w:rsidRPr="0031022F">
              <w:rPr>
                <w:rFonts w:ascii="Arial" w:hAnsi="Arial" w:cs="Arial"/>
                <w:b/>
                <w:sz w:val="28"/>
                <w:szCs w:val="28"/>
                <w:lang w:val="fr-CA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31022F" w:rsidRDefault="000F69E7" w:rsidP="00053C64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Distr. : générale</w:t>
            </w:r>
            <w:r>
              <w:rPr>
                <w:lang w:val="fr-CA"/>
              </w:rPr>
              <w:br/>
              <w:t xml:space="preserve">10 </w:t>
            </w:r>
            <w:r w:rsidR="00053C64" w:rsidRPr="0031022F">
              <w:rPr>
                <w:lang w:val="fr-CA"/>
              </w:rPr>
              <w:t>septembre 2013</w:t>
            </w:r>
          </w:p>
          <w:p w:rsidR="00053C64" w:rsidRPr="0031022F" w:rsidRDefault="00053C64" w:rsidP="00053C64">
            <w:pPr>
              <w:spacing w:before="120" w:after="120"/>
              <w:rPr>
                <w:lang w:val="fr-CA"/>
              </w:rPr>
            </w:pPr>
            <w:r w:rsidRPr="0031022F">
              <w:rPr>
                <w:lang w:val="fr-CA"/>
              </w:rPr>
              <w:t>Français</w:t>
            </w:r>
            <w:r w:rsidRPr="0031022F">
              <w:rPr>
                <w:lang w:val="fr-CA"/>
              </w:rPr>
              <w:br/>
              <w:t>Original : anglais</w:t>
            </w:r>
          </w:p>
        </w:tc>
      </w:tr>
    </w:tbl>
    <w:p w:rsidR="00053C64" w:rsidRPr="0031022F" w:rsidRDefault="00053C64" w:rsidP="00053C64">
      <w:pPr>
        <w:pStyle w:val="AATitle"/>
      </w:pPr>
      <w:r w:rsidRPr="0031022F">
        <w:t>Plénière de la Plateforme intergouvernementale scientifique et politique sur la biodiversité et les services écosystémiques</w:t>
      </w:r>
    </w:p>
    <w:p w:rsidR="00053C64" w:rsidRPr="0031022F" w:rsidRDefault="00053C64" w:rsidP="00053C64">
      <w:pPr>
        <w:pStyle w:val="AATitle"/>
      </w:pPr>
      <w:r w:rsidRPr="0031022F">
        <w:t>Deuxième session</w:t>
      </w:r>
    </w:p>
    <w:p w:rsidR="00053C64" w:rsidRPr="0031022F" w:rsidRDefault="00053C64" w:rsidP="00053C64">
      <w:pPr>
        <w:pStyle w:val="AATitle"/>
        <w:rPr>
          <w:b w:val="0"/>
          <w:szCs w:val="22"/>
        </w:rPr>
      </w:pPr>
      <w:r w:rsidRPr="0031022F">
        <w:rPr>
          <w:b w:val="0"/>
          <w:szCs w:val="22"/>
        </w:rPr>
        <w:t xml:space="preserve">Antalya (Turquie), 9-14 décembre 2013 </w:t>
      </w:r>
    </w:p>
    <w:p w:rsidR="000A7562" w:rsidRPr="0031022F" w:rsidRDefault="00053C64" w:rsidP="000A7562">
      <w:pPr>
        <w:pStyle w:val="AATitle"/>
        <w:keepNext w:val="0"/>
        <w:keepLines w:val="0"/>
        <w:rPr>
          <w:b w:val="0"/>
          <w:lang w:eastAsia="ja-JP"/>
        </w:rPr>
      </w:pPr>
      <w:r w:rsidRPr="0031022F">
        <w:rPr>
          <w:b w:val="0"/>
          <w:lang w:eastAsia="ja-JP"/>
        </w:rPr>
        <w:t>Point </w:t>
      </w:r>
      <w:r w:rsidR="0031022F" w:rsidRPr="0031022F">
        <w:rPr>
          <w:b w:val="0"/>
          <w:lang w:eastAsia="ja-JP"/>
        </w:rPr>
        <w:t>6 </w:t>
      </w:r>
      <w:r w:rsidR="00267A16" w:rsidRPr="0031022F">
        <w:rPr>
          <w:b w:val="0"/>
          <w:lang w:eastAsia="ja-JP"/>
        </w:rPr>
        <w:t>a)</w:t>
      </w:r>
      <w:r w:rsidR="00EB16A2">
        <w:rPr>
          <w:b w:val="0"/>
          <w:lang w:eastAsia="ja-JP"/>
        </w:rPr>
        <w:t xml:space="preserve"> et b)</w:t>
      </w:r>
      <w:r w:rsidR="000A7562" w:rsidRPr="0031022F">
        <w:rPr>
          <w:b w:val="0"/>
          <w:lang w:eastAsia="ja-JP"/>
        </w:rPr>
        <w:t xml:space="preserve"> </w:t>
      </w:r>
      <w:r w:rsidR="0031022F" w:rsidRPr="0031022F">
        <w:rPr>
          <w:b w:val="0"/>
          <w:lang w:eastAsia="ja-JP"/>
        </w:rPr>
        <w:t>de l</w:t>
      </w:r>
      <w:r w:rsidR="003C6657">
        <w:rPr>
          <w:b w:val="0"/>
          <w:lang w:eastAsia="ja-JP"/>
        </w:rPr>
        <w:t>’</w:t>
      </w:r>
      <w:r w:rsidR="0031022F" w:rsidRPr="0031022F">
        <w:rPr>
          <w:b w:val="0"/>
          <w:lang w:eastAsia="ja-JP"/>
        </w:rPr>
        <w:t>ordre du jour provisoire</w:t>
      </w:r>
      <w:r w:rsidR="00EB16A2">
        <w:rPr>
          <w:rStyle w:val="FootnoteReference"/>
          <w:b w:val="0"/>
          <w:lang w:eastAsia="ja-JP"/>
        </w:rPr>
        <w:footnoteReference w:customMarkFollows="1" w:id="2"/>
        <w:t>**</w:t>
      </w:r>
    </w:p>
    <w:p w:rsidR="000A7562" w:rsidRPr="0031022F" w:rsidRDefault="0031022F" w:rsidP="000A7562">
      <w:pPr>
        <w:pStyle w:val="AATitle"/>
        <w:keepNext w:val="0"/>
        <w:keepLines w:val="0"/>
        <w:spacing w:before="60"/>
      </w:pPr>
      <w:r>
        <w:t>Règles et procédures régissant le fonctionnement de la Plateforme </w:t>
      </w:r>
      <w:r w:rsidR="00267A16" w:rsidRPr="0031022F">
        <w:t xml:space="preserve">: </w:t>
      </w:r>
      <w:r w:rsidR="003C6657">
        <w:t>s</w:t>
      </w:r>
      <w:r>
        <w:t>tructure régionale du Groupe d</w:t>
      </w:r>
      <w:r w:rsidR="003C6657">
        <w:t>’</w:t>
      </w:r>
      <w:r>
        <w:t>experts multidisciplinaire</w:t>
      </w:r>
      <w:r w:rsidR="00EB16A2">
        <w:t>; examen des procédures administratives régissant la sélection des membres du Groupe d’experts multidisciplinaire</w:t>
      </w:r>
    </w:p>
    <w:p w:rsidR="00C15AAE" w:rsidRPr="00C15AAE" w:rsidRDefault="00C15AAE" w:rsidP="000A7562">
      <w:pPr>
        <w:pStyle w:val="BBTitle"/>
        <w:rPr>
          <w:rFonts w:eastAsia="MS Mincho"/>
        </w:rPr>
      </w:pPr>
      <w:r w:rsidRPr="00C15AAE">
        <w:t xml:space="preserve">Structure régionale future </w:t>
      </w:r>
      <w:r>
        <w:t xml:space="preserve">éventuelle </w:t>
      </w:r>
      <w:r w:rsidRPr="00C15AAE">
        <w:t>et composition du Groupe d</w:t>
      </w:r>
      <w:r w:rsidR="003C6657">
        <w:t>’</w:t>
      </w:r>
      <w:r w:rsidRPr="00C15AAE">
        <w:t>experts multidisciplinaire</w:t>
      </w:r>
    </w:p>
    <w:p w:rsidR="000A7562" w:rsidRDefault="000A7562" w:rsidP="000A7562">
      <w:pPr>
        <w:pStyle w:val="CH2"/>
      </w:pPr>
      <w:r w:rsidRPr="00C15AAE">
        <w:tab/>
      </w:r>
      <w:r w:rsidRPr="00C15AAE">
        <w:tab/>
        <w:t xml:space="preserve">Note </w:t>
      </w:r>
      <w:r w:rsidR="00C15AAE" w:rsidRPr="00C15AAE">
        <w:t>du Secré</w:t>
      </w:r>
      <w:r w:rsidRPr="00C15AAE">
        <w:t>tariat</w:t>
      </w:r>
    </w:p>
    <w:p w:rsidR="000F69E7" w:rsidRPr="000F69E7" w:rsidRDefault="000F69E7" w:rsidP="000F69E7">
      <w:pPr>
        <w:pStyle w:val="CH1"/>
      </w:pPr>
      <w:r>
        <w:tab/>
        <w:t>I.</w:t>
      </w:r>
      <w:r>
        <w:tab/>
        <w:t>Introduction</w:t>
      </w:r>
    </w:p>
    <w:p w:rsidR="00441480" w:rsidRPr="0048694B" w:rsidRDefault="00C15AAE" w:rsidP="00D650CD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</w:pPr>
      <w:r w:rsidRPr="0048694B">
        <w:t>Dans la</w:t>
      </w:r>
      <w:r w:rsidR="00F07055" w:rsidRPr="0048694B">
        <w:t xml:space="preserve"> décision IPB</w:t>
      </w:r>
      <w:r w:rsidR="003C6657">
        <w:t>ES/1/2, la Plénière de la Plate</w:t>
      </w:r>
      <w:r w:rsidR="00F07055" w:rsidRPr="0048694B">
        <w:t>forme intergouvernementale scientifique et politique sur la biodiversité et les services écosystémiques</w:t>
      </w:r>
      <w:r w:rsidR="005074D5" w:rsidRPr="0048694B">
        <w:t xml:space="preserve"> demandait au Groupe d</w:t>
      </w:r>
      <w:r w:rsidR="003C6657">
        <w:t>’</w:t>
      </w:r>
      <w:r w:rsidR="005074D5" w:rsidRPr="0048694B">
        <w:t>experts multidisciplinaire, en collaboration avec le Bureau, de recommander, pour examen par la Plénière à sa deuxième session, la structure régionale et la composition du futur Groupe d</w:t>
      </w:r>
      <w:r w:rsidR="003C6657">
        <w:t>’</w:t>
      </w:r>
      <w:r w:rsidR="005074D5" w:rsidRPr="0048694B">
        <w:t xml:space="preserve">experts multidisciplinaire, en se fondant sur les vues et observations </w:t>
      </w:r>
      <w:r w:rsidR="007B3E21">
        <w:t>exprimées par les</w:t>
      </w:r>
      <w:r w:rsidR="0048694B">
        <w:t xml:space="preserve"> Gouvernements et autres parties prenantes </w:t>
      </w:r>
      <w:r w:rsidR="007B3E21">
        <w:t>au sujet du</w:t>
      </w:r>
      <w:r w:rsidR="005074D5" w:rsidRPr="0048694B">
        <w:t xml:space="preserve"> document d</w:t>
      </w:r>
      <w:r w:rsidR="003C6657">
        <w:t>’</w:t>
      </w:r>
      <w:r w:rsidR="005074D5" w:rsidRPr="0048694B">
        <w:t xml:space="preserve">information </w:t>
      </w:r>
      <w:r w:rsidR="007B3E21">
        <w:t>sur</w:t>
      </w:r>
      <w:r w:rsidR="005074D5" w:rsidRPr="0048694B">
        <w:t xml:space="preserve"> la structure régionale et la composition du Groupe d</w:t>
      </w:r>
      <w:r w:rsidR="003C6657">
        <w:t>’</w:t>
      </w:r>
      <w:r w:rsidR="005074D5" w:rsidRPr="0048694B">
        <w:t xml:space="preserve">experts </w:t>
      </w:r>
      <w:r w:rsidR="005074D5" w:rsidRPr="00E00D64">
        <w:t>multidisciplinaire (IPBES/1/INF/7)</w:t>
      </w:r>
      <w:r w:rsidR="0048694B" w:rsidRPr="00E00D64">
        <w:t xml:space="preserve">. </w:t>
      </w:r>
      <w:r w:rsidR="00D70C4A" w:rsidRPr="00E00D64">
        <w:t>Il</w:t>
      </w:r>
      <w:r w:rsidR="0048694B" w:rsidRPr="00E00D64">
        <w:t xml:space="preserve"> était </w:t>
      </w:r>
      <w:r w:rsidR="00D70C4A" w:rsidRPr="00E00D64">
        <w:t>en outre</w:t>
      </w:r>
      <w:r w:rsidR="0048694B" w:rsidRPr="00E00D64">
        <w:t xml:space="preserve"> </w:t>
      </w:r>
      <w:r w:rsidR="00D70C4A" w:rsidRPr="00E00D64">
        <w:t xml:space="preserve">demandé au Bureau </w:t>
      </w:r>
      <w:r w:rsidR="0048694B" w:rsidRPr="00E00D64">
        <w:t>de revoir la procédure administrative suivie pour sélectionner les membres du Groupe d</w:t>
      </w:r>
      <w:r w:rsidR="003C6657">
        <w:t>’</w:t>
      </w:r>
      <w:r w:rsidR="0048694B" w:rsidRPr="00E00D64">
        <w:t>experts multidisciplinaire provisoire, en veillant en particulier à ce que des consultations efficaces aient lieu afin de garantir l</w:t>
      </w:r>
      <w:r w:rsidR="003C6657">
        <w:t>’</w:t>
      </w:r>
      <w:r w:rsidR="0048694B" w:rsidRPr="00E00D64">
        <w:t>équilibre s</w:t>
      </w:r>
      <w:r w:rsidR="003C6657">
        <w:t>’</w:t>
      </w:r>
      <w:r w:rsidR="0048694B" w:rsidRPr="00E00D64">
        <w:t>agissant du programme de travail, et de formuler des recommandations sur la procédure de sélecti</w:t>
      </w:r>
      <w:r w:rsidR="00E00D64">
        <w:t xml:space="preserve">on des futurs membres du Groupe. </w:t>
      </w:r>
      <w:r w:rsidR="001C5E56">
        <w:t>La présente note répond à ces demandes faites par la Plénière à sa première session.</w:t>
      </w:r>
    </w:p>
    <w:p w:rsidR="00DC4836" w:rsidRPr="00DC4836" w:rsidRDefault="00E863CA" w:rsidP="00E863CA">
      <w:pPr>
        <w:pStyle w:val="CH1"/>
      </w:pPr>
      <w:r w:rsidRPr="00DC4836">
        <w:tab/>
        <w:t>I</w:t>
      </w:r>
      <w:r w:rsidR="000F69E7">
        <w:t>I.</w:t>
      </w:r>
      <w:r w:rsidRPr="00DC4836">
        <w:tab/>
      </w:r>
      <w:r w:rsidR="00DC4836" w:rsidRPr="00DC4836">
        <w:t>Contexte et examen de la procédure administrative suivie pour sélectionner les membres du Groupe d</w:t>
      </w:r>
      <w:r w:rsidR="003C6657">
        <w:t>’</w:t>
      </w:r>
      <w:r w:rsidR="00DC4836" w:rsidRPr="00DC4836">
        <w:t>experts multidisciplinaire provisoire</w:t>
      </w:r>
    </w:p>
    <w:p w:rsidR="00843540" w:rsidRPr="00634BEB" w:rsidRDefault="00634BEB" w:rsidP="00E863CA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</w:pPr>
      <w:r w:rsidRPr="00634BEB">
        <w:t xml:space="preserve">Conformément </w:t>
      </w:r>
      <w:r>
        <w:t>à l</w:t>
      </w:r>
      <w:r w:rsidR="003C6657">
        <w:t>’</w:t>
      </w:r>
      <w:r>
        <w:t xml:space="preserve">article 25 du </w:t>
      </w:r>
      <w:r w:rsidR="000F69E7">
        <w:t>r</w:t>
      </w:r>
      <w:r>
        <w:t xml:space="preserve">èglement intérieur, le </w:t>
      </w:r>
      <w:r w:rsidRPr="00DC4836">
        <w:t>Groupe d</w:t>
      </w:r>
      <w:r w:rsidR="003C6657">
        <w:t>’</w:t>
      </w:r>
      <w:r w:rsidRPr="00DC4836">
        <w:t>experts multidisciplinaire provisoire</w:t>
      </w:r>
      <w:r>
        <w:t xml:space="preserve"> se compose de cinq </w:t>
      </w:r>
      <w:r w:rsidR="007525B0">
        <w:t>experts</w:t>
      </w:r>
      <w:r>
        <w:t xml:space="preserve"> </w:t>
      </w:r>
      <w:r w:rsidR="000F69E7">
        <w:t xml:space="preserve">de chacune des cinq </w:t>
      </w:r>
      <w:r>
        <w:t>région</w:t>
      </w:r>
      <w:r w:rsidR="000F69E7">
        <w:t>s</w:t>
      </w:r>
      <w:r>
        <w:t xml:space="preserve"> </w:t>
      </w:r>
      <w:r w:rsidR="007525B0">
        <w:t>de l</w:t>
      </w:r>
      <w:r w:rsidR="003C6657">
        <w:t>’</w:t>
      </w:r>
      <w:r w:rsidR="007525B0">
        <w:t>ONU</w:t>
      </w:r>
      <w:r w:rsidR="00F31107">
        <w:t>, siégeant pour deux ans</w:t>
      </w:r>
      <w:r>
        <w:t xml:space="preserve">. </w:t>
      </w:r>
      <w:r w:rsidR="007525B0">
        <w:t xml:space="preserve">Afin de </w:t>
      </w:r>
      <w:r w:rsidR="00FC28D5" w:rsidRPr="008370D2">
        <w:t>déterminer</w:t>
      </w:r>
      <w:r w:rsidR="007525B0">
        <w:t xml:space="preserve"> la composition </w:t>
      </w:r>
      <w:r w:rsidR="008370D2">
        <w:t xml:space="preserve">actuelle </w:t>
      </w:r>
      <w:r w:rsidR="007525B0">
        <w:t xml:space="preserve">provisoire du Groupe, une liste de candidats potentiels de </w:t>
      </w:r>
      <w:r w:rsidR="007525B0">
        <w:lastRenderedPageBreak/>
        <w:t xml:space="preserve">chaque région </w:t>
      </w:r>
      <w:r w:rsidR="008370D2">
        <w:t>avait</w:t>
      </w:r>
      <w:r w:rsidR="007525B0">
        <w:t xml:space="preserve"> été transmise à la Plénière à sa première session, tenue à Bonn (Allemagne), sur la base de </w:t>
      </w:r>
      <w:r w:rsidR="00B75766">
        <w:t xml:space="preserve">nominations reçues </w:t>
      </w:r>
      <w:r w:rsidR="00A00D38">
        <w:t xml:space="preserve">de la part </w:t>
      </w:r>
      <w:r w:rsidR="00B75766">
        <w:t xml:space="preserve">des membres de la Plateforme au sein de chaque région. </w:t>
      </w:r>
      <w:r w:rsidR="002C5E71">
        <w:t>Une réunion d</w:t>
      </w:r>
      <w:r w:rsidR="003C6657">
        <w:t>’</w:t>
      </w:r>
      <w:r w:rsidR="002C5E71">
        <w:t xml:space="preserve">un jour </w:t>
      </w:r>
      <w:r w:rsidR="008370D2">
        <w:t>s</w:t>
      </w:r>
      <w:r w:rsidR="003C6657">
        <w:t>’</w:t>
      </w:r>
      <w:r w:rsidR="008370D2">
        <w:t>était</w:t>
      </w:r>
      <w:r w:rsidR="002C5E71">
        <w:t xml:space="preserve"> tenue avant la session </w:t>
      </w:r>
      <w:r w:rsidR="00302001">
        <w:t>pour permettre d</w:t>
      </w:r>
      <w:r w:rsidR="002C5E71">
        <w:t xml:space="preserve">es consultations régionales </w:t>
      </w:r>
      <w:r w:rsidR="00A00D38">
        <w:t>concernant</w:t>
      </w:r>
      <w:r w:rsidR="002C5E71">
        <w:t xml:space="preserve"> la liste de candidats </w:t>
      </w:r>
      <w:r w:rsidR="00302001">
        <w:t>ainsi que des débats entre les régions sur la composition générale du Groupe d</w:t>
      </w:r>
      <w:r w:rsidR="003C6657">
        <w:t>’</w:t>
      </w:r>
      <w:r w:rsidR="00302001">
        <w:t>experts.</w:t>
      </w:r>
    </w:p>
    <w:p w:rsidR="00B94524" w:rsidRPr="006B34F2" w:rsidRDefault="006B34F2" w:rsidP="00E863CA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 w:rsidRPr="006B34F2">
        <w:rPr>
          <w:rFonts w:cs="Calibri"/>
        </w:rPr>
        <w:t xml:space="preserve">Même si </w:t>
      </w:r>
      <w:r w:rsidR="00CD3C21">
        <w:rPr>
          <w:rFonts w:cs="Calibri"/>
        </w:rPr>
        <w:t>cette procédure a</w:t>
      </w:r>
      <w:r w:rsidR="00207780">
        <w:rPr>
          <w:rFonts w:cs="Calibri"/>
        </w:rPr>
        <w:t>vait</w:t>
      </w:r>
      <w:r w:rsidR="00CD3C21">
        <w:rPr>
          <w:rFonts w:cs="Calibri"/>
        </w:rPr>
        <w:t xml:space="preserve"> </w:t>
      </w:r>
      <w:r w:rsidR="00207780">
        <w:rPr>
          <w:rFonts w:cs="Calibri"/>
        </w:rPr>
        <w:t>stimulé</w:t>
      </w:r>
      <w:r w:rsidR="00CD3C21">
        <w:rPr>
          <w:rFonts w:cs="Calibri"/>
        </w:rPr>
        <w:t xml:space="preserve"> et facilité les débats entre les régions, </w:t>
      </w:r>
      <w:r w:rsidR="00CB069E">
        <w:rPr>
          <w:rFonts w:cs="Calibri"/>
        </w:rPr>
        <w:t xml:space="preserve">la procédure régionale se fondait principalement sur </w:t>
      </w:r>
      <w:r w:rsidR="00CD3C21">
        <w:rPr>
          <w:rFonts w:cs="Calibri"/>
        </w:rPr>
        <w:t>les intérêts sous</w:t>
      </w:r>
      <w:r w:rsidR="000F69E7">
        <w:rPr>
          <w:rFonts w:cs="Calibri"/>
        </w:rPr>
        <w:t>-</w:t>
      </w:r>
      <w:r w:rsidR="00CD3C21">
        <w:rPr>
          <w:rFonts w:cs="Calibri"/>
        </w:rPr>
        <w:t xml:space="preserve">régionaux et les </w:t>
      </w:r>
      <w:r w:rsidR="00CD3C21" w:rsidRPr="005B2E83">
        <w:rPr>
          <w:rFonts w:cs="Calibri"/>
        </w:rPr>
        <w:t>attributions</w:t>
      </w:r>
      <w:r w:rsidR="00CD3C21">
        <w:rPr>
          <w:rFonts w:cs="Calibri"/>
        </w:rPr>
        <w:t xml:space="preserve"> (de cinq </w:t>
      </w:r>
      <w:r w:rsidR="00A7237F">
        <w:rPr>
          <w:rFonts w:cs="Calibri"/>
        </w:rPr>
        <w:t>experts</w:t>
      </w:r>
      <w:r w:rsidR="00CB069E">
        <w:rPr>
          <w:rFonts w:cs="Calibri"/>
        </w:rPr>
        <w:t xml:space="preserve"> par région)</w:t>
      </w:r>
      <w:r w:rsidR="00CD3C21">
        <w:rPr>
          <w:rFonts w:cs="Calibri"/>
        </w:rPr>
        <w:t xml:space="preserve">. </w:t>
      </w:r>
      <w:r w:rsidR="008346D3">
        <w:rPr>
          <w:rFonts w:cs="Calibri"/>
        </w:rPr>
        <w:t xml:space="preserve">Étant donné </w:t>
      </w:r>
      <w:r w:rsidR="00831447">
        <w:rPr>
          <w:rFonts w:cs="Calibri"/>
        </w:rPr>
        <w:t xml:space="preserve">que </w:t>
      </w:r>
      <w:r w:rsidR="005B2E83">
        <w:rPr>
          <w:rFonts w:cs="Calibri"/>
        </w:rPr>
        <w:t xml:space="preserve">les candidatures initiales reçues </w:t>
      </w:r>
      <w:r w:rsidR="002F3B23">
        <w:rPr>
          <w:rFonts w:cs="Calibri"/>
        </w:rPr>
        <w:t>par les</w:t>
      </w:r>
      <w:r w:rsidR="005B2E83">
        <w:rPr>
          <w:rFonts w:cs="Calibri"/>
        </w:rPr>
        <w:t xml:space="preserve"> membres de la Plateforme présentaient un </w:t>
      </w:r>
      <w:r w:rsidR="00831447">
        <w:rPr>
          <w:rFonts w:cs="Calibri"/>
        </w:rPr>
        <w:t xml:space="preserve">déséquilibre </w:t>
      </w:r>
      <w:r w:rsidR="005B2E83">
        <w:rPr>
          <w:rFonts w:cs="Calibri"/>
        </w:rPr>
        <w:t xml:space="preserve">considérable </w:t>
      </w:r>
      <w:r w:rsidR="00831447">
        <w:rPr>
          <w:rFonts w:cs="Calibri"/>
        </w:rPr>
        <w:t xml:space="preserve">entre les sexes et les disciplines, </w:t>
      </w:r>
      <w:r w:rsidR="00E079C1">
        <w:rPr>
          <w:rFonts w:cs="Calibri"/>
        </w:rPr>
        <w:t>ce même déséquilibre ainsi qu</w:t>
      </w:r>
      <w:r w:rsidR="003C6657">
        <w:rPr>
          <w:rFonts w:cs="Calibri"/>
        </w:rPr>
        <w:t>’</w:t>
      </w:r>
      <w:r w:rsidR="00E079C1">
        <w:rPr>
          <w:rFonts w:cs="Calibri"/>
        </w:rPr>
        <w:t xml:space="preserve">un déséquilibre intellectuel et thématique </w:t>
      </w:r>
      <w:r w:rsidR="00943A04">
        <w:rPr>
          <w:rFonts w:cs="Calibri"/>
        </w:rPr>
        <w:t>se retrouvait</w:t>
      </w:r>
      <w:r w:rsidR="004368B0">
        <w:rPr>
          <w:rFonts w:cs="Calibri"/>
        </w:rPr>
        <w:t xml:space="preserve"> dans la plupart de</w:t>
      </w:r>
      <w:r w:rsidR="00172CC5">
        <w:rPr>
          <w:rFonts w:cs="Calibri"/>
        </w:rPr>
        <w:t>s</w:t>
      </w:r>
      <w:r w:rsidR="004368B0">
        <w:rPr>
          <w:rFonts w:cs="Calibri"/>
        </w:rPr>
        <w:t xml:space="preserve"> </w:t>
      </w:r>
      <w:r w:rsidR="00943A04">
        <w:rPr>
          <w:rFonts w:cs="Calibri"/>
        </w:rPr>
        <w:t>candidatures</w:t>
      </w:r>
      <w:r w:rsidR="00831447">
        <w:rPr>
          <w:rFonts w:cs="Calibri"/>
        </w:rPr>
        <w:t xml:space="preserve"> régionales à la première session</w:t>
      </w:r>
      <w:r w:rsidR="00943A04">
        <w:rPr>
          <w:rFonts w:cs="Calibri"/>
        </w:rPr>
        <w:t>, contrairement aux exigences</w:t>
      </w:r>
      <w:r w:rsidR="00831447">
        <w:rPr>
          <w:rFonts w:cs="Calibri"/>
        </w:rPr>
        <w:t xml:space="preserve">. </w:t>
      </w:r>
      <w:r w:rsidR="00246E85">
        <w:rPr>
          <w:rFonts w:cs="Calibri"/>
        </w:rPr>
        <w:t>Même si le Groupe d</w:t>
      </w:r>
      <w:r w:rsidR="003C6657">
        <w:rPr>
          <w:rFonts w:cs="Calibri"/>
        </w:rPr>
        <w:t>’</w:t>
      </w:r>
      <w:r w:rsidR="00246E85">
        <w:rPr>
          <w:rFonts w:cs="Calibri"/>
        </w:rPr>
        <w:t>experts provisoire comprend une considérable expertise pertinente</w:t>
      </w:r>
      <w:r w:rsidR="00172CC5">
        <w:rPr>
          <w:rFonts w:cs="Calibri"/>
        </w:rPr>
        <w:t>, la procédure de sélection de s</w:t>
      </w:r>
      <w:r w:rsidR="00246E85">
        <w:rPr>
          <w:rFonts w:cs="Calibri"/>
        </w:rPr>
        <w:t xml:space="preserve">es membres a </w:t>
      </w:r>
      <w:r w:rsidR="00B646EA">
        <w:rPr>
          <w:rFonts w:cs="Calibri"/>
        </w:rPr>
        <w:t>conduit</w:t>
      </w:r>
      <w:r w:rsidR="00246E85">
        <w:rPr>
          <w:rFonts w:cs="Calibri"/>
        </w:rPr>
        <w:t xml:space="preserve"> à un déséquilibre </w:t>
      </w:r>
      <w:r w:rsidR="00F31146">
        <w:rPr>
          <w:rFonts w:cs="Calibri"/>
        </w:rPr>
        <w:t>général du groupe</w:t>
      </w:r>
      <w:r w:rsidR="00246E85">
        <w:rPr>
          <w:rFonts w:cs="Calibri"/>
        </w:rPr>
        <w:t>, comme l</w:t>
      </w:r>
      <w:r w:rsidR="003C6657">
        <w:rPr>
          <w:rFonts w:cs="Calibri"/>
        </w:rPr>
        <w:t>’</w:t>
      </w:r>
      <w:r w:rsidR="00B646EA">
        <w:rPr>
          <w:rFonts w:cs="Calibri"/>
        </w:rPr>
        <w:t>ont</w:t>
      </w:r>
      <w:r w:rsidR="00246E85">
        <w:rPr>
          <w:rFonts w:cs="Calibri"/>
        </w:rPr>
        <w:t xml:space="preserve"> fait remarquer un certain nombre de membres de la Plateforme </w:t>
      </w:r>
      <w:r w:rsidR="00916EFE">
        <w:rPr>
          <w:rFonts w:cs="Calibri"/>
        </w:rPr>
        <w:t xml:space="preserve">au cours des débats de </w:t>
      </w:r>
      <w:r w:rsidR="00246E85">
        <w:rPr>
          <w:rFonts w:cs="Calibri"/>
        </w:rPr>
        <w:t>la première session de la Plénière.</w:t>
      </w:r>
    </w:p>
    <w:p w:rsidR="00FE2063" w:rsidRPr="00E7623E" w:rsidRDefault="001F6691" w:rsidP="000A7562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 w:rsidRPr="00E7623E">
        <w:rPr>
          <w:rFonts w:cs="Calibri"/>
        </w:rPr>
        <w:t xml:space="preserve">Consciente de cette situation, la Plénière, au paragraphe 23 de la décision IPBES/1/2, a demandé </w:t>
      </w:r>
      <w:r w:rsidR="00E7623E" w:rsidRPr="00E7623E">
        <w:rPr>
          <w:rFonts w:cs="Calibri"/>
        </w:rPr>
        <w:t xml:space="preserve">au </w:t>
      </w:r>
      <w:r w:rsidRPr="00E7623E">
        <w:rPr>
          <w:rFonts w:cs="Calibri"/>
        </w:rPr>
        <w:t>Bureau de revoir la procédure administrative suivie pour sélectionner les membres du Groupe d</w:t>
      </w:r>
      <w:r w:rsidR="003C6657">
        <w:rPr>
          <w:rFonts w:cs="Calibri"/>
        </w:rPr>
        <w:t>’</w:t>
      </w:r>
      <w:r w:rsidRPr="00E7623E">
        <w:rPr>
          <w:rFonts w:cs="Calibri"/>
        </w:rPr>
        <w:t>experts multidisciplinaire provisoire, en veillant en particulier à ce que des consultations efficaces aient lieu afin de garantir l</w:t>
      </w:r>
      <w:r w:rsidR="003C6657">
        <w:rPr>
          <w:rFonts w:cs="Calibri"/>
        </w:rPr>
        <w:t>’</w:t>
      </w:r>
      <w:r w:rsidRPr="00E7623E">
        <w:rPr>
          <w:rFonts w:cs="Calibri"/>
        </w:rPr>
        <w:t>équilibre s</w:t>
      </w:r>
      <w:r w:rsidR="003C6657">
        <w:rPr>
          <w:rFonts w:cs="Calibri"/>
        </w:rPr>
        <w:t>’</w:t>
      </w:r>
      <w:r w:rsidRPr="00E7623E">
        <w:rPr>
          <w:rFonts w:cs="Calibri"/>
        </w:rPr>
        <w:t>agissant du programme de travail, et de formuler des recommandations sur la procédure de sélection des futurs membres du Groupe d</w:t>
      </w:r>
      <w:r w:rsidR="003C6657">
        <w:rPr>
          <w:rFonts w:cs="Calibri"/>
        </w:rPr>
        <w:t>’</w:t>
      </w:r>
      <w:r w:rsidRPr="00E7623E">
        <w:rPr>
          <w:rFonts w:cs="Calibri"/>
        </w:rPr>
        <w:t>experts multidisciplinaire</w:t>
      </w:r>
      <w:r w:rsidR="00E7623E" w:rsidRPr="00E7623E">
        <w:rPr>
          <w:rFonts w:cs="Calibri"/>
        </w:rPr>
        <w:t xml:space="preserve">. </w:t>
      </w:r>
      <w:r w:rsidR="004E7321">
        <w:rPr>
          <w:rFonts w:cs="Calibri"/>
        </w:rPr>
        <w:t xml:space="preserve">Sur la base de cette révision et </w:t>
      </w:r>
      <w:r w:rsidR="00F73FA4">
        <w:rPr>
          <w:rFonts w:cs="Calibri"/>
        </w:rPr>
        <w:t>des</w:t>
      </w:r>
      <w:r w:rsidR="004E7321">
        <w:rPr>
          <w:rFonts w:cs="Calibri"/>
        </w:rPr>
        <w:t xml:space="preserve"> recommandation</w:t>
      </w:r>
      <w:r w:rsidR="00F73FA4">
        <w:rPr>
          <w:rFonts w:cs="Calibri"/>
        </w:rPr>
        <w:t>s</w:t>
      </w:r>
      <w:r w:rsidR="004E7321">
        <w:rPr>
          <w:rFonts w:cs="Calibri"/>
        </w:rPr>
        <w:t xml:space="preserve">, la section pertinente du Règlement intérieur (articles 26 à 28 sur la nomination et la sélection des </w:t>
      </w:r>
      <w:r w:rsidR="00D028F9">
        <w:rPr>
          <w:rFonts w:cs="Calibri"/>
        </w:rPr>
        <w:t>membres</w:t>
      </w:r>
      <w:r w:rsidR="004E7321">
        <w:rPr>
          <w:rFonts w:cs="Calibri"/>
        </w:rPr>
        <w:t xml:space="preserve"> du Groupe</w:t>
      </w:r>
      <w:r w:rsidR="00D028F9">
        <w:rPr>
          <w:rFonts w:cs="Calibri"/>
        </w:rPr>
        <w:t xml:space="preserve"> d</w:t>
      </w:r>
      <w:r w:rsidR="003C6657">
        <w:rPr>
          <w:rFonts w:cs="Calibri"/>
        </w:rPr>
        <w:t>’</w:t>
      </w:r>
      <w:r w:rsidR="00D028F9">
        <w:rPr>
          <w:rFonts w:cs="Calibri"/>
        </w:rPr>
        <w:t>experts</w:t>
      </w:r>
      <w:r w:rsidR="004E7321">
        <w:rPr>
          <w:rFonts w:cs="Calibri"/>
        </w:rPr>
        <w:t xml:space="preserve">) </w:t>
      </w:r>
      <w:r w:rsidR="00507914">
        <w:rPr>
          <w:rFonts w:cs="Calibri"/>
        </w:rPr>
        <w:t>pourrait</w:t>
      </w:r>
      <w:r w:rsidR="004E7321">
        <w:rPr>
          <w:rFonts w:cs="Calibri"/>
        </w:rPr>
        <w:t xml:space="preserve"> être finalisée.</w:t>
      </w:r>
    </w:p>
    <w:p w:rsidR="00D028F9" w:rsidRPr="00450B7A" w:rsidRDefault="00091D4B" w:rsidP="000A7562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 w:rsidRPr="00450B7A">
        <w:rPr>
          <w:rFonts w:cs="Calibri"/>
        </w:rPr>
        <w:t xml:space="preserve">Outre la demande faite au Bureau de revoir la procédure </w:t>
      </w:r>
      <w:r w:rsidR="00C4724B">
        <w:rPr>
          <w:rFonts w:cs="Calibri"/>
        </w:rPr>
        <w:t>de sélection des</w:t>
      </w:r>
      <w:r w:rsidRPr="00450B7A">
        <w:rPr>
          <w:rFonts w:cs="Calibri"/>
        </w:rPr>
        <w:t xml:space="preserve"> membres du Groupe, la Plénière, dans le paragraphe 20 de la décision IPBES/1/2 demandait </w:t>
      </w:r>
      <w:r w:rsidRPr="00450B7A">
        <w:t>au Groupe d</w:t>
      </w:r>
      <w:r w:rsidR="003C6657">
        <w:t>’</w:t>
      </w:r>
      <w:r w:rsidRPr="00450B7A">
        <w:t>experts multidisciplinaire, en collaboration avec le Bureau, d</w:t>
      </w:r>
      <w:r w:rsidR="003C6657">
        <w:t>’</w:t>
      </w:r>
      <w:r w:rsidRPr="00450B7A">
        <w:t>examiner le document sur la structure régionale et la composition du Groupe d</w:t>
      </w:r>
      <w:r w:rsidR="003C6657">
        <w:t>’</w:t>
      </w:r>
      <w:r w:rsidRPr="00450B7A">
        <w:t>experts (IPBES/1/INF/7) et de recommander, pour examen par la Plénière à sa deuxième session, la structure régionale et la composition du futur Groupe d</w:t>
      </w:r>
      <w:r w:rsidR="003C6657">
        <w:t>’</w:t>
      </w:r>
      <w:r w:rsidRPr="00450B7A">
        <w:t>experts multidisciplinaire.</w:t>
      </w:r>
      <w:r w:rsidR="00E91A98" w:rsidRPr="00450B7A">
        <w:t xml:space="preserve"> Le Secrétariat a actualisé le document, distribué aux premières réunions simultanées du Groupe d</w:t>
      </w:r>
      <w:r w:rsidR="003C6657">
        <w:t>’</w:t>
      </w:r>
      <w:r w:rsidR="00E91A98" w:rsidRPr="00450B7A">
        <w:t xml:space="preserve">experts et du Bureau, </w:t>
      </w:r>
      <w:r w:rsidR="00C4724B">
        <w:t>en décrivant</w:t>
      </w:r>
      <w:r w:rsidR="00063CBC" w:rsidRPr="00450B7A">
        <w:t xml:space="preserve"> des approches éventuelles pour la </w:t>
      </w:r>
      <w:r w:rsidR="00C4724B">
        <w:t>structure</w:t>
      </w:r>
      <w:r w:rsidR="00063CBC" w:rsidRPr="00450B7A">
        <w:t xml:space="preserve"> régionale du </w:t>
      </w:r>
      <w:r w:rsidR="00C4724B">
        <w:t>Groupe d</w:t>
      </w:r>
      <w:r w:rsidR="003C6657">
        <w:t>’</w:t>
      </w:r>
      <w:r w:rsidR="00C4724B">
        <w:t xml:space="preserve">experts et </w:t>
      </w:r>
      <w:r w:rsidR="00063CBC" w:rsidRPr="00450B7A">
        <w:t>en tenant compte des observations reçues pendant l</w:t>
      </w:r>
      <w:r w:rsidR="003C6657">
        <w:t>’</w:t>
      </w:r>
      <w:r w:rsidR="00063CBC" w:rsidRPr="00450B7A">
        <w:t xml:space="preserve">examen </w:t>
      </w:r>
      <w:r w:rsidR="008F53EC">
        <w:t xml:space="preserve">précédent </w:t>
      </w:r>
      <w:r w:rsidR="009D2EE2">
        <w:t>effectué</w:t>
      </w:r>
      <w:r w:rsidR="00063CBC" w:rsidRPr="00450B7A">
        <w:t xml:space="preserve"> entre la deuxième session de la réunion plénière visant à déterminer les modalités et les dispositions institutionnelles d</w:t>
      </w:r>
      <w:r w:rsidR="003C6657">
        <w:t>’</w:t>
      </w:r>
      <w:r w:rsidR="00063CBC" w:rsidRPr="00450B7A">
        <w:t>une plate-forme intergouvernementale scientifique et politique sur la biodiversité et les services écosystémiques, qui s</w:t>
      </w:r>
      <w:r w:rsidR="003C6657">
        <w:t>’</w:t>
      </w:r>
      <w:r w:rsidR="00063CBC" w:rsidRPr="00450B7A">
        <w:t xml:space="preserve">est tenue à Panama en avril 2012 et la première session de la Plénière tenue à Bonn en janvier 2013. </w:t>
      </w:r>
      <w:r w:rsidR="00450B7A" w:rsidRPr="00450B7A">
        <w:t xml:space="preserve">Un document </w:t>
      </w:r>
      <w:r w:rsidR="009D2EE2">
        <w:t>d</w:t>
      </w:r>
      <w:r w:rsidR="003C6657">
        <w:t>’</w:t>
      </w:r>
      <w:r w:rsidR="009D2EE2">
        <w:t>information</w:t>
      </w:r>
      <w:r w:rsidR="00450B7A" w:rsidRPr="00450B7A">
        <w:t xml:space="preserve"> a également été distribué, </w:t>
      </w:r>
      <w:r w:rsidR="007D6772">
        <w:t xml:space="preserve">présentant les différentes approches utilisées pour les classifications biogéographiques régionales. </w:t>
      </w:r>
    </w:p>
    <w:p w:rsidR="00654D41" w:rsidRPr="00654D41" w:rsidRDefault="00E863CA" w:rsidP="00E863CA">
      <w:pPr>
        <w:pStyle w:val="CH1"/>
      </w:pPr>
      <w:r w:rsidRPr="00654D41">
        <w:tab/>
        <w:t>II</w:t>
      </w:r>
      <w:r w:rsidR="000F69E7">
        <w:t>I</w:t>
      </w:r>
      <w:r w:rsidRPr="00654D41">
        <w:t>.</w:t>
      </w:r>
      <w:r w:rsidRPr="00654D41">
        <w:tab/>
      </w:r>
      <w:r w:rsidR="00654D41" w:rsidRPr="00654D41">
        <w:t xml:space="preserve">Recommandation </w:t>
      </w:r>
      <w:r w:rsidR="00654D41">
        <w:t>du Groupe d</w:t>
      </w:r>
      <w:r w:rsidR="003C6657">
        <w:t>’</w:t>
      </w:r>
      <w:r w:rsidR="00654D41">
        <w:t>experts multidisciplinaire</w:t>
      </w:r>
      <w:r w:rsidR="004930B7">
        <w:t xml:space="preserve"> et du Bureau pour la structure régionale et la composition du futur Groupe d</w:t>
      </w:r>
      <w:r w:rsidR="003C6657">
        <w:t>’</w:t>
      </w:r>
      <w:r w:rsidR="004930B7">
        <w:t>experts</w:t>
      </w:r>
    </w:p>
    <w:p w:rsidR="00AD10C7" w:rsidRDefault="004A36F0" w:rsidP="00E863CA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 w:rsidRPr="004A36F0">
        <w:rPr>
          <w:rFonts w:cs="Calibri"/>
        </w:rPr>
        <w:t xml:space="preserve">Au cours de leurs discussions </w:t>
      </w:r>
      <w:r>
        <w:rPr>
          <w:rFonts w:cs="Calibri"/>
        </w:rPr>
        <w:t xml:space="preserve">concernant les </w:t>
      </w:r>
      <w:r w:rsidR="003C6657">
        <w:rPr>
          <w:rFonts w:cs="Calibri"/>
        </w:rPr>
        <w:t xml:space="preserve">options possibles </w:t>
      </w:r>
      <w:r>
        <w:rPr>
          <w:rFonts w:cs="Calibri"/>
        </w:rPr>
        <w:t>pour la structure régionale et la composition du futur Groupe d</w:t>
      </w:r>
      <w:r w:rsidR="003C6657">
        <w:rPr>
          <w:rFonts w:cs="Calibri"/>
        </w:rPr>
        <w:t>’</w:t>
      </w:r>
      <w:r>
        <w:rPr>
          <w:rFonts w:cs="Calibri"/>
        </w:rPr>
        <w:t>experts, le Groupe d</w:t>
      </w:r>
      <w:r w:rsidR="003C6657">
        <w:rPr>
          <w:rFonts w:cs="Calibri"/>
        </w:rPr>
        <w:t>’</w:t>
      </w:r>
      <w:r>
        <w:rPr>
          <w:rFonts w:cs="Calibri"/>
        </w:rPr>
        <w:t xml:space="preserve">experts </w:t>
      </w:r>
      <w:r w:rsidR="00AD10C7">
        <w:rPr>
          <w:rFonts w:cs="Calibri"/>
        </w:rPr>
        <w:t>multidisciplinaire et le Bureau ont identifié plusieurs difficultés, notamment les suivantes :</w:t>
      </w:r>
    </w:p>
    <w:p w:rsidR="000A45F9" w:rsidRDefault="008E7B8F" w:rsidP="003C6657">
      <w:pPr>
        <w:pStyle w:val="Normalnumber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>Il n</w:t>
      </w:r>
      <w:r w:rsidR="003C6657">
        <w:rPr>
          <w:rFonts w:cs="Calibri"/>
        </w:rPr>
        <w:t>’</w:t>
      </w:r>
      <w:r>
        <w:rPr>
          <w:rFonts w:cs="Calibri"/>
        </w:rPr>
        <w:t xml:space="preserve">existe </w:t>
      </w:r>
      <w:r w:rsidR="00385651">
        <w:rPr>
          <w:rFonts w:cs="Calibri"/>
        </w:rPr>
        <w:t>pas de</w:t>
      </w:r>
      <w:r>
        <w:rPr>
          <w:rFonts w:cs="Calibri"/>
        </w:rPr>
        <w:t xml:space="preserve"> définition acceptée de manière universelle de</w:t>
      </w:r>
      <w:r w:rsidR="00E07047">
        <w:rPr>
          <w:rFonts w:cs="Calibri"/>
        </w:rPr>
        <w:t xml:space="preserve"> la</w:t>
      </w:r>
      <w:r>
        <w:rPr>
          <w:rFonts w:cs="Calibri"/>
        </w:rPr>
        <w:t xml:space="preserve"> répartition biogéographique régionale</w:t>
      </w:r>
      <w:r w:rsidR="00E07047">
        <w:rPr>
          <w:rFonts w:cs="Calibri"/>
        </w:rPr>
        <w:t>, ni de liste de telles régions</w:t>
      </w:r>
      <w:r>
        <w:rPr>
          <w:rFonts w:cs="Calibri"/>
        </w:rPr>
        <w:t>, et différentes approches sont utilisées dans divers forums</w:t>
      </w:r>
      <w:r w:rsidR="00385651">
        <w:rPr>
          <w:rFonts w:cs="Calibri"/>
        </w:rPr>
        <w:t>, sur la base</w:t>
      </w:r>
      <w:r w:rsidR="00E07047">
        <w:rPr>
          <w:rFonts w:cs="Calibri"/>
        </w:rPr>
        <w:t xml:space="preserve"> de différents</w:t>
      </w:r>
      <w:r w:rsidR="000A45F9">
        <w:rPr>
          <w:rFonts w:cs="Calibri"/>
        </w:rPr>
        <w:t xml:space="preserve"> taxons </w:t>
      </w:r>
      <w:r w:rsidR="00E07047">
        <w:rPr>
          <w:rFonts w:cs="Calibri"/>
        </w:rPr>
        <w:t>et</w:t>
      </w:r>
      <w:r w:rsidR="000A45F9">
        <w:rPr>
          <w:rFonts w:cs="Calibri"/>
        </w:rPr>
        <w:t xml:space="preserve"> d</w:t>
      </w:r>
      <w:r w:rsidR="003C6657">
        <w:rPr>
          <w:rFonts w:cs="Calibri"/>
        </w:rPr>
        <w:t>’</w:t>
      </w:r>
      <w:r w:rsidR="000A45F9">
        <w:rPr>
          <w:rFonts w:cs="Calibri"/>
        </w:rPr>
        <w:t>autres paramètres;</w:t>
      </w:r>
    </w:p>
    <w:p w:rsidR="004930B7" w:rsidRDefault="002D0F0E" w:rsidP="003C6657">
      <w:pPr>
        <w:pStyle w:val="Normalnumber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>Il n</w:t>
      </w:r>
      <w:r w:rsidR="003C6657">
        <w:rPr>
          <w:rFonts w:cs="Calibri"/>
        </w:rPr>
        <w:t>’</w:t>
      </w:r>
      <w:r>
        <w:rPr>
          <w:rFonts w:cs="Calibri"/>
        </w:rPr>
        <w:t>existe pas d</w:t>
      </w:r>
      <w:r w:rsidR="003C6657">
        <w:rPr>
          <w:rFonts w:cs="Calibri"/>
        </w:rPr>
        <w:t>’</w:t>
      </w:r>
      <w:r>
        <w:rPr>
          <w:rFonts w:cs="Calibri"/>
        </w:rPr>
        <w:t>interprétation commune ou d</w:t>
      </w:r>
      <w:r w:rsidR="003C6657">
        <w:rPr>
          <w:rFonts w:cs="Calibri"/>
        </w:rPr>
        <w:t>’</w:t>
      </w:r>
      <w:r>
        <w:rPr>
          <w:rFonts w:cs="Calibri"/>
        </w:rPr>
        <w:t>accord sur les facteurs tels que la biogéographie, la répartition des services écosystémiques, l</w:t>
      </w:r>
      <w:r w:rsidR="003C6657">
        <w:rPr>
          <w:rFonts w:cs="Calibri"/>
        </w:rPr>
        <w:t>’</w:t>
      </w:r>
      <w:r>
        <w:rPr>
          <w:rFonts w:cs="Calibri"/>
        </w:rPr>
        <w:t>économie, la démographie, la superficie et le nombre des pays de</w:t>
      </w:r>
      <w:r w:rsidR="000B7CDC">
        <w:rPr>
          <w:rFonts w:cs="Calibri"/>
        </w:rPr>
        <w:t>s</w:t>
      </w:r>
      <w:r>
        <w:rPr>
          <w:rFonts w:cs="Calibri"/>
        </w:rPr>
        <w:t xml:space="preserve"> différentes régions, ou </w:t>
      </w:r>
      <w:r w:rsidR="00E07047">
        <w:rPr>
          <w:rFonts w:cs="Calibri"/>
        </w:rPr>
        <w:t>l</w:t>
      </w:r>
      <w:r>
        <w:rPr>
          <w:rFonts w:cs="Calibri"/>
        </w:rPr>
        <w:t xml:space="preserve">es besoins en renforcement des capacités de celles-ci, alors que ces facteurs devraient être pris en compte </w:t>
      </w:r>
      <w:r w:rsidR="007C2B19">
        <w:rPr>
          <w:rFonts w:cs="Calibri"/>
        </w:rPr>
        <w:t>pour déterminer</w:t>
      </w:r>
      <w:r>
        <w:rPr>
          <w:rFonts w:cs="Calibri"/>
        </w:rPr>
        <w:t xml:space="preserve"> la structure régionale et la composition du Groupe d</w:t>
      </w:r>
      <w:r w:rsidR="003C6657">
        <w:rPr>
          <w:rFonts w:cs="Calibri"/>
        </w:rPr>
        <w:t>’</w:t>
      </w:r>
      <w:r>
        <w:rPr>
          <w:rFonts w:cs="Calibri"/>
        </w:rPr>
        <w:t>experts;</w:t>
      </w:r>
    </w:p>
    <w:p w:rsidR="002D0F0E" w:rsidRDefault="00793CCC" w:rsidP="003C6657">
      <w:pPr>
        <w:pStyle w:val="Normalnumber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 xml:space="preserve">Les difficultés </w:t>
      </w:r>
      <w:r w:rsidR="00AC6730">
        <w:rPr>
          <w:rFonts w:cs="Calibri"/>
        </w:rPr>
        <w:t>générales</w:t>
      </w:r>
      <w:r w:rsidR="00323164">
        <w:rPr>
          <w:rFonts w:cs="Calibri"/>
        </w:rPr>
        <w:t xml:space="preserve"> qu</w:t>
      </w:r>
      <w:r w:rsidR="003C6657">
        <w:rPr>
          <w:rFonts w:cs="Calibri"/>
        </w:rPr>
        <w:t>’</w:t>
      </w:r>
      <w:r w:rsidR="00323164">
        <w:rPr>
          <w:rFonts w:cs="Calibri"/>
        </w:rPr>
        <w:t>il y a</w:t>
      </w:r>
      <w:r w:rsidR="007025F9">
        <w:rPr>
          <w:rFonts w:cs="Calibri"/>
        </w:rPr>
        <w:t xml:space="preserve"> à </w:t>
      </w:r>
      <w:r>
        <w:rPr>
          <w:rFonts w:cs="Calibri"/>
        </w:rPr>
        <w:t>assurer un équilibre</w:t>
      </w:r>
      <w:r w:rsidR="00323164">
        <w:rPr>
          <w:rFonts w:cs="Calibri"/>
        </w:rPr>
        <w:t xml:space="preserve"> entre les différentes disciplines, les thèmes et les sexes</w:t>
      </w:r>
      <w:r>
        <w:rPr>
          <w:rFonts w:cs="Calibri"/>
        </w:rPr>
        <w:t xml:space="preserve"> </w:t>
      </w:r>
      <w:r w:rsidR="00E871E5">
        <w:rPr>
          <w:rFonts w:cs="Calibri"/>
        </w:rPr>
        <w:t>(en plus d</w:t>
      </w:r>
      <w:r w:rsidR="003C6657">
        <w:rPr>
          <w:rFonts w:cs="Calibri"/>
        </w:rPr>
        <w:t>’</w:t>
      </w:r>
      <w:r w:rsidR="00E871E5">
        <w:rPr>
          <w:rFonts w:cs="Calibri"/>
        </w:rPr>
        <w:t>un équilibre r</w:t>
      </w:r>
      <w:r w:rsidR="00D94EB9">
        <w:rPr>
          <w:rFonts w:cs="Calibri"/>
        </w:rPr>
        <w:t>égional) ne seront pas résolues si o</w:t>
      </w:r>
      <w:r w:rsidR="005D7F6C">
        <w:rPr>
          <w:rFonts w:cs="Calibri"/>
        </w:rPr>
        <w:t>n adopte</w:t>
      </w:r>
      <w:r w:rsidR="00E871E5">
        <w:rPr>
          <w:rFonts w:cs="Calibri"/>
        </w:rPr>
        <w:t xml:space="preserve"> un découpage régional différent de celui de l</w:t>
      </w:r>
      <w:r w:rsidR="003C6657">
        <w:rPr>
          <w:rFonts w:cs="Calibri"/>
        </w:rPr>
        <w:t>’</w:t>
      </w:r>
      <w:r w:rsidR="00E871E5">
        <w:rPr>
          <w:rFonts w:cs="Calibri"/>
        </w:rPr>
        <w:t>ONU, et une nouvelle structure régionale pourrait compliquer davantage l</w:t>
      </w:r>
      <w:r w:rsidR="003C6657">
        <w:rPr>
          <w:rFonts w:cs="Calibri"/>
        </w:rPr>
        <w:t>’</w:t>
      </w:r>
      <w:r w:rsidR="00E871E5">
        <w:rPr>
          <w:rFonts w:cs="Calibri"/>
        </w:rPr>
        <w:t>équilibre général entre les discipline</w:t>
      </w:r>
      <w:r w:rsidR="00471DDC">
        <w:rPr>
          <w:rFonts w:cs="Calibri"/>
        </w:rPr>
        <w:t>s</w:t>
      </w:r>
      <w:r w:rsidR="00E871E5">
        <w:rPr>
          <w:rFonts w:cs="Calibri"/>
        </w:rPr>
        <w:t xml:space="preserve"> et entre les sexes.</w:t>
      </w:r>
      <w:r w:rsidR="00F95743">
        <w:rPr>
          <w:rFonts w:cs="Calibri"/>
        </w:rPr>
        <w:t xml:space="preserve"> Ces questions sont au cœur des recommandations du Bureau concernant la procédure administrative de sélection pour garantir une composition équilibrée du futur Groupe d</w:t>
      </w:r>
      <w:r w:rsidR="003C6657">
        <w:rPr>
          <w:rFonts w:cs="Calibri"/>
        </w:rPr>
        <w:t>’</w:t>
      </w:r>
      <w:r w:rsidR="00F95743">
        <w:rPr>
          <w:rFonts w:cs="Calibri"/>
        </w:rPr>
        <w:t>experts (voir section </w:t>
      </w:r>
      <w:r w:rsidR="000F69E7">
        <w:rPr>
          <w:rFonts w:cs="Calibri"/>
        </w:rPr>
        <w:t>IV</w:t>
      </w:r>
      <w:r w:rsidR="00F95743">
        <w:rPr>
          <w:rFonts w:cs="Calibri"/>
        </w:rPr>
        <w:t>);</w:t>
      </w:r>
    </w:p>
    <w:p w:rsidR="00F95743" w:rsidRPr="00FC085B" w:rsidRDefault="00B0209C" w:rsidP="003C6657">
      <w:pPr>
        <w:pStyle w:val="Normalnumber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lastRenderedPageBreak/>
        <w:t>La réalisation des objectifs de la Plateforme nécessitera sans doute une collaboration par-delà les frontières régionales quelles qu</w:t>
      </w:r>
      <w:r w:rsidR="003C6657">
        <w:rPr>
          <w:rFonts w:cs="Calibri"/>
        </w:rPr>
        <w:t>’</w:t>
      </w:r>
      <w:r>
        <w:rPr>
          <w:rFonts w:cs="Calibri"/>
        </w:rPr>
        <w:t>elles soient</w:t>
      </w:r>
      <w:r w:rsidRPr="00FC085B">
        <w:rPr>
          <w:rFonts w:cs="Calibri"/>
        </w:rPr>
        <w:t xml:space="preserve">. En particulier, les </w:t>
      </w:r>
      <w:r w:rsidR="00111487" w:rsidRPr="00FC085B">
        <w:rPr>
          <w:rFonts w:cs="Calibri"/>
        </w:rPr>
        <w:t>activités</w:t>
      </w:r>
      <w:r w:rsidRPr="00FC085B">
        <w:rPr>
          <w:rFonts w:cs="Calibri"/>
        </w:rPr>
        <w:t xml:space="preserve"> concernant l</w:t>
      </w:r>
      <w:r w:rsidR="003C6657">
        <w:rPr>
          <w:rFonts w:cs="Calibri"/>
        </w:rPr>
        <w:t>’</w:t>
      </w:r>
      <w:r w:rsidRPr="00FC085B">
        <w:rPr>
          <w:rFonts w:cs="Calibri"/>
        </w:rPr>
        <w:t xml:space="preserve">appui aux politiques et le renforcement des capacités sont souvent </w:t>
      </w:r>
      <w:r w:rsidR="00444484" w:rsidRPr="00FC085B">
        <w:rPr>
          <w:rFonts w:cs="Calibri"/>
        </w:rPr>
        <w:t>plus pertinentes pour des</w:t>
      </w:r>
      <w:r w:rsidRPr="00FC085B">
        <w:rPr>
          <w:rFonts w:cs="Calibri"/>
        </w:rPr>
        <w:t xml:space="preserve"> régions non-biogéographiques par exemple.</w:t>
      </w:r>
    </w:p>
    <w:p w:rsidR="00B55D0B" w:rsidRPr="00CB554F" w:rsidRDefault="00C7622D" w:rsidP="003C6657">
      <w:pPr>
        <w:pStyle w:val="Normalnumber"/>
        <w:keepLines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>
        <w:rPr>
          <w:rFonts w:cs="Calibri"/>
        </w:rPr>
        <w:t>Sur la base</w:t>
      </w:r>
      <w:r w:rsidR="00CB554F" w:rsidRPr="00CB554F">
        <w:rPr>
          <w:rFonts w:cs="Calibri"/>
        </w:rPr>
        <w:t xml:space="preserve"> de ces considérations, </w:t>
      </w:r>
      <w:r>
        <w:rPr>
          <w:rFonts w:cs="Calibri"/>
        </w:rPr>
        <w:t>le Groupe d</w:t>
      </w:r>
      <w:r w:rsidR="003C6657">
        <w:rPr>
          <w:rFonts w:cs="Calibri"/>
        </w:rPr>
        <w:t>’</w:t>
      </w:r>
      <w:r>
        <w:rPr>
          <w:rFonts w:cs="Calibri"/>
        </w:rPr>
        <w:t>experts et le Bureau ont recommandé de respecter le découpage régional de l</w:t>
      </w:r>
      <w:r w:rsidR="003C6657">
        <w:rPr>
          <w:rFonts w:cs="Calibri"/>
        </w:rPr>
        <w:t>’</w:t>
      </w:r>
      <w:r>
        <w:rPr>
          <w:rFonts w:cs="Calibri"/>
        </w:rPr>
        <w:t>ONU pour la sélection des premiers m</w:t>
      </w:r>
      <w:r w:rsidR="006230CB">
        <w:rPr>
          <w:rFonts w:cs="Calibri"/>
        </w:rPr>
        <w:t>embres du Groupe d</w:t>
      </w:r>
      <w:r w:rsidR="003C6657">
        <w:rPr>
          <w:rFonts w:cs="Calibri"/>
        </w:rPr>
        <w:t>’</w:t>
      </w:r>
      <w:r w:rsidR="006230CB">
        <w:rPr>
          <w:rFonts w:cs="Calibri"/>
        </w:rPr>
        <w:t>experts et de ré</w:t>
      </w:r>
      <w:r>
        <w:rPr>
          <w:rFonts w:cs="Calibri"/>
        </w:rPr>
        <w:t xml:space="preserve">examiner la question </w:t>
      </w:r>
      <w:r w:rsidR="006230CB">
        <w:rPr>
          <w:rFonts w:cs="Calibri"/>
        </w:rPr>
        <w:t xml:space="preserve">de la structure régionale du Groupe </w:t>
      </w:r>
      <w:r>
        <w:rPr>
          <w:rFonts w:cs="Calibri"/>
        </w:rPr>
        <w:t>à la lumière de l</w:t>
      </w:r>
      <w:r w:rsidR="003C6657">
        <w:rPr>
          <w:rFonts w:cs="Calibri"/>
        </w:rPr>
        <w:t>’</w:t>
      </w:r>
      <w:r>
        <w:rPr>
          <w:rFonts w:cs="Calibri"/>
        </w:rPr>
        <w:t xml:space="preserve">expérience acquise au cours de la mise en œuvre du programme de travail initial pour 2014-2018. </w:t>
      </w:r>
      <w:r w:rsidR="00EE057F">
        <w:rPr>
          <w:rFonts w:cs="Calibri"/>
        </w:rPr>
        <w:t>En outre, le Groupe d</w:t>
      </w:r>
      <w:r w:rsidR="003C6657">
        <w:rPr>
          <w:rFonts w:cs="Calibri"/>
        </w:rPr>
        <w:t>’</w:t>
      </w:r>
      <w:r w:rsidR="00EE057F">
        <w:rPr>
          <w:rFonts w:cs="Calibri"/>
        </w:rPr>
        <w:t xml:space="preserve">experts et le Bureau estiment que travailler </w:t>
      </w:r>
      <w:r w:rsidR="00A61D9E">
        <w:rPr>
          <w:rFonts w:cs="Calibri"/>
        </w:rPr>
        <w:t>dans le cadre des</w:t>
      </w:r>
      <w:r w:rsidR="00EE057F">
        <w:rPr>
          <w:rFonts w:cs="Calibri"/>
        </w:rPr>
        <w:t xml:space="preserve"> régions de l</w:t>
      </w:r>
      <w:r w:rsidR="003C6657">
        <w:rPr>
          <w:rFonts w:cs="Calibri"/>
        </w:rPr>
        <w:t>’</w:t>
      </w:r>
      <w:r w:rsidR="00EE057F">
        <w:rPr>
          <w:rFonts w:cs="Calibri"/>
        </w:rPr>
        <w:t>ONU et par-delà les frontières de celles-ci, selon les cas, assurera</w:t>
      </w:r>
      <w:r w:rsidR="00ED5135">
        <w:rPr>
          <w:rFonts w:cs="Calibri"/>
        </w:rPr>
        <w:t>it</w:t>
      </w:r>
      <w:r w:rsidR="00EE057F">
        <w:rPr>
          <w:rFonts w:cs="Calibri"/>
        </w:rPr>
        <w:t xml:space="preserve"> des évaluations </w:t>
      </w:r>
      <w:r w:rsidR="00ED5135">
        <w:rPr>
          <w:rFonts w:cs="Calibri"/>
        </w:rPr>
        <w:t>régionales et sous-régionales cohérentes des points de vue intellectuel et biogéographique, et faciliterait la réalisation d</w:t>
      </w:r>
      <w:r w:rsidR="003C6657">
        <w:rPr>
          <w:rFonts w:cs="Calibri"/>
        </w:rPr>
        <w:t>’</w:t>
      </w:r>
      <w:r w:rsidR="00ED5135">
        <w:rPr>
          <w:rFonts w:cs="Calibri"/>
        </w:rPr>
        <w:t>autres activités liées à la mise en œuvre du programme de travail. Par exemple, une évaluation régionale effectuée dans la région Afrique ou Amérique Latine et Caraïbes pourrait inclure de 3 à 6 évaluations sous-régionales et éco-régionales au sein de la région, alors qu</w:t>
      </w:r>
      <w:r w:rsidR="003C6657">
        <w:rPr>
          <w:rFonts w:cs="Calibri"/>
        </w:rPr>
        <w:t>’</w:t>
      </w:r>
      <w:r w:rsidR="00ED5135">
        <w:rPr>
          <w:rFonts w:cs="Calibri"/>
        </w:rPr>
        <w:t xml:space="preserve">une évaluation régionale ou </w:t>
      </w:r>
      <w:r w:rsidR="003C6657">
        <w:rPr>
          <w:rFonts w:cs="Calibri"/>
        </w:rPr>
        <w:br/>
      </w:r>
      <w:r w:rsidR="00ED5135">
        <w:rPr>
          <w:rFonts w:cs="Calibri"/>
        </w:rPr>
        <w:t>sous-régionale portant sur l</w:t>
      </w:r>
      <w:r w:rsidR="003C6657">
        <w:rPr>
          <w:rFonts w:cs="Calibri"/>
        </w:rPr>
        <w:t>’</w:t>
      </w:r>
      <w:r w:rsidR="00ED5135">
        <w:rPr>
          <w:rFonts w:cs="Calibri"/>
        </w:rPr>
        <w:t>Asie du Sud-Est et l</w:t>
      </w:r>
      <w:r w:rsidR="003C6657">
        <w:rPr>
          <w:rFonts w:cs="Calibri"/>
        </w:rPr>
        <w:t>’</w:t>
      </w:r>
      <w:r w:rsidR="00ED5135">
        <w:rPr>
          <w:rFonts w:cs="Calibri"/>
        </w:rPr>
        <w:t xml:space="preserve">Océanie pourrait inclure </w:t>
      </w:r>
      <w:r w:rsidR="000F69E7">
        <w:rPr>
          <w:rFonts w:cs="Calibri"/>
        </w:rPr>
        <w:t>l’Australie et l</w:t>
      </w:r>
      <w:r w:rsidR="00ED5135">
        <w:rPr>
          <w:rFonts w:cs="Calibri"/>
        </w:rPr>
        <w:t xml:space="preserve">a </w:t>
      </w:r>
      <w:r w:rsidR="000F69E7">
        <w:rPr>
          <w:rFonts w:cs="Calibri"/>
        </w:rPr>
        <w:br/>
      </w:r>
      <w:r w:rsidR="00ED5135">
        <w:rPr>
          <w:rFonts w:cs="Calibri"/>
        </w:rPr>
        <w:t>Nouvelle</w:t>
      </w:r>
      <w:r w:rsidR="000F69E7">
        <w:rPr>
          <w:rFonts w:cs="Calibri"/>
        </w:rPr>
        <w:t>-Z</w:t>
      </w:r>
      <w:r w:rsidR="00ED5135">
        <w:rPr>
          <w:rFonts w:cs="Calibri"/>
        </w:rPr>
        <w:t xml:space="preserve">élande, bien </w:t>
      </w:r>
      <w:r w:rsidR="00CE2331">
        <w:rPr>
          <w:rFonts w:cs="Calibri"/>
        </w:rPr>
        <w:t>que</w:t>
      </w:r>
      <w:r w:rsidR="00ED5135">
        <w:rPr>
          <w:rFonts w:cs="Calibri"/>
        </w:rPr>
        <w:t xml:space="preserve"> ces pays fassent partie de la région États d</w:t>
      </w:r>
      <w:r w:rsidR="003C6657">
        <w:rPr>
          <w:rFonts w:cs="Calibri"/>
        </w:rPr>
        <w:t>’</w:t>
      </w:r>
      <w:r w:rsidR="00ED5135">
        <w:rPr>
          <w:rFonts w:cs="Calibri"/>
        </w:rPr>
        <w:t xml:space="preserve">Europe occidentale et autres États </w:t>
      </w:r>
      <w:r w:rsidR="00CE2331">
        <w:rPr>
          <w:rFonts w:cs="Calibri"/>
        </w:rPr>
        <w:t>pour ce qui est de la procédure</w:t>
      </w:r>
      <w:r w:rsidR="00ED5135">
        <w:rPr>
          <w:rFonts w:cs="Calibri"/>
        </w:rPr>
        <w:t xml:space="preserve"> de sélection de</w:t>
      </w:r>
      <w:r w:rsidR="00CE2331">
        <w:rPr>
          <w:rFonts w:cs="Calibri"/>
        </w:rPr>
        <w:t>s</w:t>
      </w:r>
      <w:r w:rsidR="00ED5135">
        <w:rPr>
          <w:rFonts w:cs="Calibri"/>
        </w:rPr>
        <w:t xml:space="preserve"> membres du Groupe d</w:t>
      </w:r>
      <w:r w:rsidR="003C6657">
        <w:rPr>
          <w:rFonts w:cs="Calibri"/>
        </w:rPr>
        <w:t>’</w:t>
      </w:r>
      <w:r w:rsidR="00ED5135">
        <w:rPr>
          <w:rFonts w:cs="Calibri"/>
        </w:rPr>
        <w:t>experts. De même, des évaluations</w:t>
      </w:r>
      <w:r w:rsidR="003629D0">
        <w:rPr>
          <w:rFonts w:cs="Calibri"/>
        </w:rPr>
        <w:t xml:space="preserve"> régionales et </w:t>
      </w:r>
      <w:r w:rsidR="00A61D9E">
        <w:rPr>
          <w:rFonts w:cs="Calibri"/>
        </w:rPr>
        <w:t>d</w:t>
      </w:r>
      <w:r w:rsidR="003C6657">
        <w:rPr>
          <w:rFonts w:cs="Calibri"/>
        </w:rPr>
        <w:t>’</w:t>
      </w:r>
      <w:r w:rsidR="003629D0">
        <w:rPr>
          <w:rFonts w:cs="Calibri"/>
        </w:rPr>
        <w:t xml:space="preserve">autres activités du programme de travail menées </w:t>
      </w:r>
      <w:r w:rsidR="00ED5135">
        <w:rPr>
          <w:rFonts w:cs="Calibri"/>
        </w:rPr>
        <w:t xml:space="preserve">en Europe pourraient </w:t>
      </w:r>
      <w:r w:rsidR="003629D0">
        <w:rPr>
          <w:rFonts w:cs="Calibri"/>
        </w:rPr>
        <w:t>amener</w:t>
      </w:r>
      <w:r w:rsidR="005943B1">
        <w:rPr>
          <w:rFonts w:cs="Calibri"/>
        </w:rPr>
        <w:t xml:space="preserve"> les régions d</w:t>
      </w:r>
      <w:r w:rsidR="003C6657">
        <w:rPr>
          <w:rFonts w:cs="Calibri"/>
        </w:rPr>
        <w:t>’</w:t>
      </w:r>
      <w:r w:rsidR="005943B1">
        <w:rPr>
          <w:rFonts w:cs="Calibri"/>
        </w:rPr>
        <w:t>Europe orientale et d</w:t>
      </w:r>
      <w:r w:rsidR="003C6657">
        <w:rPr>
          <w:rFonts w:cs="Calibri"/>
        </w:rPr>
        <w:t>’</w:t>
      </w:r>
      <w:r w:rsidR="00ED5135">
        <w:rPr>
          <w:rFonts w:cs="Calibri"/>
        </w:rPr>
        <w:t xml:space="preserve">Europe occidentale </w:t>
      </w:r>
      <w:r w:rsidR="003629D0">
        <w:rPr>
          <w:rFonts w:cs="Calibri"/>
        </w:rPr>
        <w:t>à collaborer, alors qu</w:t>
      </w:r>
      <w:r w:rsidR="003C6657">
        <w:rPr>
          <w:rFonts w:cs="Calibri"/>
        </w:rPr>
        <w:t>’</w:t>
      </w:r>
      <w:r w:rsidR="003629D0">
        <w:rPr>
          <w:rFonts w:cs="Calibri"/>
        </w:rPr>
        <w:t xml:space="preserve">elles </w:t>
      </w:r>
      <w:r w:rsidR="002863FB">
        <w:rPr>
          <w:rFonts w:cs="Calibri"/>
        </w:rPr>
        <w:t>ont chacune leurs représentants distincts au sein du Groupe d</w:t>
      </w:r>
      <w:r w:rsidR="003C6657">
        <w:rPr>
          <w:rFonts w:cs="Calibri"/>
        </w:rPr>
        <w:t>’</w:t>
      </w:r>
      <w:r w:rsidR="002863FB">
        <w:rPr>
          <w:rFonts w:cs="Calibri"/>
        </w:rPr>
        <w:t>experts</w:t>
      </w:r>
      <w:r w:rsidR="006E5A69">
        <w:rPr>
          <w:rFonts w:cs="Calibri"/>
        </w:rPr>
        <w:t>.</w:t>
      </w:r>
    </w:p>
    <w:p w:rsidR="002863FB" w:rsidRPr="002863FB" w:rsidRDefault="000F69E7" w:rsidP="00901758">
      <w:pPr>
        <w:pStyle w:val="CH1"/>
      </w:pPr>
      <w:r>
        <w:tab/>
        <w:t>IV</w:t>
      </w:r>
      <w:r w:rsidR="00901758" w:rsidRPr="002863FB">
        <w:t>.</w:t>
      </w:r>
      <w:r w:rsidR="00901758" w:rsidRPr="002863FB">
        <w:tab/>
      </w:r>
      <w:r w:rsidR="002863FB" w:rsidRPr="002863FB">
        <w:t xml:space="preserve">Recommandation du Bureau </w:t>
      </w:r>
      <w:r w:rsidR="002863FB">
        <w:t xml:space="preserve">sur la </w:t>
      </w:r>
      <w:r w:rsidR="002863FB" w:rsidRPr="002863FB">
        <w:t xml:space="preserve">procédure pour sélectionner les membres du </w:t>
      </w:r>
      <w:r w:rsidR="002863FB">
        <w:t xml:space="preserve">futur </w:t>
      </w:r>
      <w:r w:rsidR="002863FB" w:rsidRPr="002863FB">
        <w:t>Groupe d</w:t>
      </w:r>
      <w:r w:rsidR="003C6657">
        <w:t>’</w:t>
      </w:r>
      <w:r w:rsidR="002863FB" w:rsidRPr="002863FB">
        <w:t xml:space="preserve">experts multidisciplinaire </w:t>
      </w:r>
    </w:p>
    <w:p w:rsidR="005534CC" w:rsidRPr="005534CC" w:rsidRDefault="00D40ECF" w:rsidP="00901758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>
        <w:rPr>
          <w:rFonts w:cs="Calibri"/>
        </w:rPr>
        <w:t>L</w:t>
      </w:r>
      <w:r w:rsidR="003C6657">
        <w:rPr>
          <w:rFonts w:cs="Calibri"/>
        </w:rPr>
        <w:t>’</w:t>
      </w:r>
      <w:r w:rsidR="00961E44">
        <w:rPr>
          <w:rFonts w:cs="Calibri"/>
        </w:rPr>
        <w:t>objectif de l</w:t>
      </w:r>
      <w:r>
        <w:rPr>
          <w:rFonts w:cs="Calibri"/>
        </w:rPr>
        <w:t>a</w:t>
      </w:r>
      <w:r w:rsidR="005534CC" w:rsidRPr="005534CC">
        <w:rPr>
          <w:rFonts w:cs="Calibri"/>
        </w:rPr>
        <w:t xml:space="preserve"> </w:t>
      </w:r>
      <w:r w:rsidR="005534CC">
        <w:rPr>
          <w:rFonts w:cs="Calibri"/>
        </w:rPr>
        <w:t>procédure pour sélectionner les membres du Groupe d</w:t>
      </w:r>
      <w:r w:rsidR="003C6657">
        <w:rPr>
          <w:rFonts w:cs="Calibri"/>
        </w:rPr>
        <w:t>’</w:t>
      </w:r>
      <w:r w:rsidR="005534CC">
        <w:rPr>
          <w:rFonts w:cs="Calibri"/>
        </w:rPr>
        <w:t xml:space="preserve">experts devrait </w:t>
      </w:r>
      <w:r w:rsidR="00961E44">
        <w:rPr>
          <w:rFonts w:cs="Calibri"/>
        </w:rPr>
        <w:t>être d</w:t>
      </w:r>
      <w:r w:rsidR="003C6657">
        <w:rPr>
          <w:rFonts w:cs="Calibri"/>
        </w:rPr>
        <w:t>’</w:t>
      </w:r>
      <w:r w:rsidR="005534CC">
        <w:rPr>
          <w:rFonts w:cs="Calibri"/>
        </w:rPr>
        <w:t>assurer</w:t>
      </w:r>
      <w:r w:rsidR="00FF7E32">
        <w:rPr>
          <w:rFonts w:cs="Calibri"/>
        </w:rPr>
        <w:t xml:space="preserve"> </w:t>
      </w:r>
      <w:r w:rsidR="007A073A">
        <w:rPr>
          <w:rFonts w:cs="Calibri"/>
        </w:rPr>
        <w:t>une repr</w:t>
      </w:r>
      <w:r w:rsidR="00283688">
        <w:rPr>
          <w:rFonts w:cs="Calibri"/>
        </w:rPr>
        <w:t>ésentation équilibrée en termes</w:t>
      </w:r>
      <w:r w:rsidR="007A073A">
        <w:rPr>
          <w:rFonts w:cs="Calibri"/>
        </w:rPr>
        <w:t xml:space="preserve"> géographique et intellectuel, </w:t>
      </w:r>
      <w:r w:rsidR="00B85BD2">
        <w:rPr>
          <w:rFonts w:cs="Calibri"/>
        </w:rPr>
        <w:t>ainsi qu</w:t>
      </w:r>
      <w:r w:rsidR="003C6657">
        <w:rPr>
          <w:rFonts w:cs="Calibri"/>
        </w:rPr>
        <w:t>’</w:t>
      </w:r>
      <w:r w:rsidR="00B85BD2">
        <w:rPr>
          <w:rFonts w:cs="Calibri"/>
        </w:rPr>
        <w:t>un juste équilibre entre les sexes</w:t>
      </w:r>
      <w:r w:rsidR="00283688">
        <w:rPr>
          <w:rFonts w:cs="Calibri"/>
        </w:rPr>
        <w:t xml:space="preserve">, </w:t>
      </w:r>
      <w:r w:rsidR="00B85BD2">
        <w:rPr>
          <w:rFonts w:cs="Calibri"/>
        </w:rPr>
        <w:t>l</w:t>
      </w:r>
      <w:r w:rsidR="00AC5AB9">
        <w:rPr>
          <w:rFonts w:cs="Calibri"/>
        </w:rPr>
        <w:t>es différentes disciplines</w:t>
      </w:r>
      <w:r w:rsidR="00283688">
        <w:rPr>
          <w:rFonts w:cs="Calibri"/>
        </w:rPr>
        <w:t xml:space="preserve"> </w:t>
      </w:r>
      <w:r w:rsidR="00AC5AB9">
        <w:rPr>
          <w:rFonts w:cs="Calibri"/>
        </w:rPr>
        <w:t xml:space="preserve">(par ex. : sciences naturelles et sociales, économie, </w:t>
      </w:r>
      <w:r w:rsidR="00467E7E">
        <w:rPr>
          <w:rFonts w:cs="Calibri"/>
        </w:rPr>
        <w:t>savoir</w:t>
      </w:r>
      <w:r w:rsidR="00AD1C53">
        <w:rPr>
          <w:rFonts w:cs="Calibri"/>
        </w:rPr>
        <w:t>s</w:t>
      </w:r>
      <w:r w:rsidR="00AC5AB9">
        <w:rPr>
          <w:rFonts w:cs="Calibri"/>
        </w:rPr>
        <w:t xml:space="preserve"> </w:t>
      </w:r>
      <w:r w:rsidR="00AD1C53">
        <w:rPr>
          <w:rFonts w:cs="Calibri"/>
        </w:rPr>
        <w:t>locaux</w:t>
      </w:r>
      <w:r w:rsidR="00AC5AB9">
        <w:rPr>
          <w:rFonts w:cs="Calibri"/>
        </w:rPr>
        <w:t xml:space="preserve"> et </w:t>
      </w:r>
      <w:r w:rsidR="00467E7E">
        <w:rPr>
          <w:rFonts w:cs="Calibri"/>
        </w:rPr>
        <w:t xml:space="preserve">des communautés </w:t>
      </w:r>
      <w:r w:rsidR="00AC5AB9">
        <w:rPr>
          <w:rFonts w:cs="Calibri"/>
        </w:rPr>
        <w:t>autochtones)</w:t>
      </w:r>
      <w:r w:rsidR="00283688">
        <w:rPr>
          <w:rFonts w:cs="Calibri"/>
        </w:rPr>
        <w:t xml:space="preserve"> et les</w:t>
      </w:r>
      <w:r w:rsidR="00FF7E32">
        <w:rPr>
          <w:rFonts w:cs="Calibri"/>
        </w:rPr>
        <w:t xml:space="preserve"> considérations multidisciplinaires et fondées sur l</w:t>
      </w:r>
      <w:r w:rsidR="003C6657">
        <w:rPr>
          <w:rFonts w:cs="Calibri"/>
        </w:rPr>
        <w:t>’</w:t>
      </w:r>
      <w:r w:rsidR="00FF7E32">
        <w:rPr>
          <w:rFonts w:cs="Calibri"/>
        </w:rPr>
        <w:t>expérience (</w:t>
      </w:r>
      <w:r w:rsidR="00283688">
        <w:rPr>
          <w:rFonts w:cs="Calibri"/>
        </w:rPr>
        <w:t>correspondant aux</w:t>
      </w:r>
      <w:r w:rsidR="00FF7E32">
        <w:rPr>
          <w:rFonts w:cs="Calibri"/>
        </w:rPr>
        <w:t xml:space="preserve"> quatre fonctions de la Plateforme). Les recommandations </w:t>
      </w:r>
      <w:r w:rsidR="003C6657">
        <w:rPr>
          <w:rFonts w:cs="Calibri"/>
        </w:rPr>
        <w:br/>
      </w:r>
      <w:r w:rsidR="00FF7E32">
        <w:rPr>
          <w:rFonts w:cs="Calibri"/>
        </w:rPr>
        <w:t xml:space="preserve">ci-dessous ont </w:t>
      </w:r>
      <w:r w:rsidR="00961E44">
        <w:rPr>
          <w:rFonts w:cs="Calibri"/>
        </w:rPr>
        <w:t>vis</w:t>
      </w:r>
      <w:r w:rsidR="003C6657">
        <w:rPr>
          <w:rFonts w:cs="Calibri"/>
        </w:rPr>
        <w:t>é</w:t>
      </w:r>
      <w:r w:rsidR="00961E44">
        <w:rPr>
          <w:rFonts w:cs="Calibri"/>
        </w:rPr>
        <w:t xml:space="preserve"> à</w:t>
      </w:r>
      <w:r>
        <w:rPr>
          <w:rFonts w:cs="Calibri"/>
        </w:rPr>
        <w:t xml:space="preserve"> réaliser</w:t>
      </w:r>
      <w:r w:rsidR="00FF7E32">
        <w:rPr>
          <w:rFonts w:cs="Calibri"/>
        </w:rPr>
        <w:t xml:space="preserve"> cet objectif et sont conformes aux recommandations du Bureau et du Groupe </w:t>
      </w:r>
      <w:r w:rsidR="00961E44">
        <w:rPr>
          <w:rFonts w:cs="Calibri"/>
        </w:rPr>
        <w:t xml:space="preserve">de maintenir </w:t>
      </w:r>
      <w:r w:rsidR="00FF7E32">
        <w:rPr>
          <w:rFonts w:cs="Calibri"/>
        </w:rPr>
        <w:t>la composition régionale actuelle du Groupe (cinq membres par région de l</w:t>
      </w:r>
      <w:r w:rsidR="003C6657">
        <w:rPr>
          <w:rFonts w:cs="Calibri"/>
        </w:rPr>
        <w:t>’</w:t>
      </w:r>
      <w:r w:rsidR="00FF7E32">
        <w:rPr>
          <w:rFonts w:cs="Calibri"/>
        </w:rPr>
        <w:t>ONU, soit vingt-cinq membres au total), en raison des difficultés considérables qu</w:t>
      </w:r>
      <w:r w:rsidR="003C6657">
        <w:rPr>
          <w:rFonts w:cs="Calibri"/>
        </w:rPr>
        <w:t>’</w:t>
      </w:r>
      <w:r w:rsidR="00FF7E32">
        <w:rPr>
          <w:rFonts w:cs="Calibri"/>
        </w:rPr>
        <w:t>il y aurait à</w:t>
      </w:r>
      <w:r w:rsidR="009027FC">
        <w:rPr>
          <w:rFonts w:cs="Calibri"/>
        </w:rPr>
        <w:t xml:space="preserve"> modifier </w:t>
      </w:r>
      <w:r w:rsidR="00283688">
        <w:rPr>
          <w:rFonts w:cs="Calibri"/>
        </w:rPr>
        <w:t>cette structure</w:t>
      </w:r>
      <w:r w:rsidR="009027FC">
        <w:rPr>
          <w:rFonts w:cs="Calibri"/>
        </w:rPr>
        <w:t xml:space="preserve"> et de l</w:t>
      </w:r>
      <w:r w:rsidR="003C6657">
        <w:rPr>
          <w:rFonts w:cs="Calibri"/>
        </w:rPr>
        <w:t>’</w:t>
      </w:r>
      <w:r w:rsidR="009027FC">
        <w:rPr>
          <w:rFonts w:cs="Calibri"/>
        </w:rPr>
        <w:t>absence d</w:t>
      </w:r>
      <w:r w:rsidR="003C6657">
        <w:rPr>
          <w:rFonts w:cs="Calibri"/>
        </w:rPr>
        <w:t>’</w:t>
      </w:r>
      <w:r w:rsidR="009027FC">
        <w:rPr>
          <w:rFonts w:cs="Calibri"/>
        </w:rPr>
        <w:t xml:space="preserve">arguments scientifiques ou programmatiques solides qui justifieraient une restructuration. </w:t>
      </w:r>
    </w:p>
    <w:p w:rsidR="0027154C" w:rsidRPr="0027154C" w:rsidRDefault="0027154C" w:rsidP="00D650CD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 w:rsidRPr="0027154C">
        <w:rPr>
          <w:rFonts w:cs="Calibri"/>
        </w:rPr>
        <w:t>Afin de</w:t>
      </w:r>
      <w:r>
        <w:rPr>
          <w:rFonts w:cs="Calibri"/>
        </w:rPr>
        <w:t xml:space="preserve"> garantir une composition équilibrée du futur Groupe d</w:t>
      </w:r>
      <w:r w:rsidR="003C6657">
        <w:rPr>
          <w:rFonts w:cs="Calibri"/>
        </w:rPr>
        <w:t>’</w:t>
      </w:r>
      <w:r>
        <w:rPr>
          <w:rFonts w:cs="Calibri"/>
        </w:rPr>
        <w:t xml:space="preserve">experts, il est proposé que les membres du Bureau représentent chacune des régions des Nations Unies </w:t>
      </w:r>
      <w:r w:rsidR="005818CC">
        <w:rPr>
          <w:rFonts w:cs="Calibri"/>
        </w:rPr>
        <w:t>pour choisir une liste équilibrée de membres possibles du Groupe d</w:t>
      </w:r>
      <w:r w:rsidR="003C6657">
        <w:rPr>
          <w:rFonts w:cs="Calibri"/>
        </w:rPr>
        <w:t>’</w:t>
      </w:r>
      <w:r w:rsidR="005818CC">
        <w:rPr>
          <w:rFonts w:cs="Calibri"/>
        </w:rPr>
        <w:t xml:space="preserve">experts, pour examen et sélection finale par la Plénière. Les membres et observateurs de la Plateforme devraient proposer leurs listes régionales respectives de </w:t>
      </w:r>
      <w:r w:rsidR="000F7034">
        <w:rPr>
          <w:rFonts w:cs="Calibri"/>
        </w:rPr>
        <w:t xml:space="preserve">candidats éventuels, </w:t>
      </w:r>
      <w:r w:rsidR="005818CC">
        <w:rPr>
          <w:rFonts w:cs="Calibri"/>
        </w:rPr>
        <w:t xml:space="preserve">dans un délai permettant aux membres du Bureau de les examiner comme il convient. </w:t>
      </w:r>
    </w:p>
    <w:p w:rsidR="00531543" w:rsidRPr="00E94A43" w:rsidRDefault="00E94A43" w:rsidP="00901758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 w:rsidRPr="00E94A43">
        <w:rPr>
          <w:rFonts w:cs="Calibri"/>
        </w:rPr>
        <w:t xml:space="preserve">Dans un premier temps, </w:t>
      </w:r>
      <w:r>
        <w:rPr>
          <w:rFonts w:cs="Calibri"/>
        </w:rPr>
        <w:t>chaque région proposerait huit membres potentiels pour le Groupe d</w:t>
      </w:r>
      <w:r w:rsidR="003C6657">
        <w:rPr>
          <w:rFonts w:cs="Calibri"/>
        </w:rPr>
        <w:t>’</w:t>
      </w:r>
      <w:r>
        <w:rPr>
          <w:rFonts w:cs="Calibri"/>
        </w:rPr>
        <w:t xml:space="preserve">experts, en respectant un juste équilibre en termes intellectuel, thématique, de représentation des différentes disciplines et systèmes de savoir, ou encore </w:t>
      </w:r>
      <w:r w:rsidR="00B843AA">
        <w:rPr>
          <w:rFonts w:cs="Calibri"/>
        </w:rPr>
        <w:t xml:space="preserve">des hommes et des </w:t>
      </w:r>
      <w:r>
        <w:rPr>
          <w:rFonts w:cs="Calibri"/>
        </w:rPr>
        <w:t xml:space="preserve">femmes. Les candidats </w:t>
      </w:r>
      <w:r w:rsidR="00902424">
        <w:rPr>
          <w:rFonts w:cs="Calibri"/>
        </w:rPr>
        <w:t>proposés par les</w:t>
      </w:r>
      <w:r>
        <w:rPr>
          <w:rFonts w:cs="Calibri"/>
        </w:rPr>
        <w:t xml:space="preserve"> cinq régions </w:t>
      </w:r>
      <w:r w:rsidR="00902424">
        <w:rPr>
          <w:rFonts w:cs="Calibri"/>
        </w:rPr>
        <w:t>constitueraient une présélection de 40 membres potentiels. Chaque région devrait indiquer quels sont ses trois candidats préférés parmi les huit. Ces trois candidats seraient automatiquement inclus dans la liste final</w:t>
      </w:r>
      <w:r w:rsidR="00AC3573">
        <w:rPr>
          <w:rFonts w:cs="Calibri"/>
        </w:rPr>
        <w:t>e</w:t>
      </w:r>
      <w:r w:rsidR="00902424">
        <w:rPr>
          <w:rFonts w:cs="Calibri"/>
        </w:rPr>
        <w:t xml:space="preserve"> de candidats proposés</w:t>
      </w:r>
      <w:r w:rsidR="00AC3573">
        <w:rPr>
          <w:rFonts w:cs="Calibri"/>
        </w:rPr>
        <w:t xml:space="preserve"> selon la procédure d</w:t>
      </w:r>
      <w:r w:rsidR="003C6657">
        <w:rPr>
          <w:rFonts w:cs="Calibri"/>
        </w:rPr>
        <w:t>’</w:t>
      </w:r>
      <w:r w:rsidR="00AC3573">
        <w:rPr>
          <w:rFonts w:cs="Calibri"/>
        </w:rPr>
        <w:t>approbation tacite en supposant que les candidats contribuent à l</w:t>
      </w:r>
      <w:r w:rsidR="003C6657">
        <w:rPr>
          <w:rFonts w:cs="Calibri"/>
        </w:rPr>
        <w:t>’</w:t>
      </w:r>
      <w:r w:rsidR="00AC3573">
        <w:rPr>
          <w:rFonts w:cs="Calibri"/>
        </w:rPr>
        <w:t>équilibre susmentionné et que chaque candidat remplit les critères énoncés dans le Règlement intérieur concernant les membres du Groupe d</w:t>
      </w:r>
      <w:r w:rsidR="003C6657">
        <w:rPr>
          <w:rFonts w:cs="Calibri"/>
        </w:rPr>
        <w:t>’</w:t>
      </w:r>
      <w:r w:rsidR="00AC3573">
        <w:rPr>
          <w:rFonts w:cs="Calibri"/>
        </w:rPr>
        <w:t>experts, y compris celui concernant les compétences en matière de processus scientifiques et politiques. Chaque région pourra choisir sa p</w:t>
      </w:r>
      <w:r w:rsidR="00766558">
        <w:rPr>
          <w:rFonts w:cs="Calibri"/>
        </w:rPr>
        <w:t>ropr</w:t>
      </w:r>
      <w:r w:rsidR="00CC0E9D">
        <w:rPr>
          <w:rFonts w:cs="Calibri"/>
        </w:rPr>
        <w:t xml:space="preserve">e procédure de présélection, qui pourrait </w:t>
      </w:r>
      <w:r w:rsidR="00526892">
        <w:rPr>
          <w:rFonts w:cs="Calibri"/>
        </w:rPr>
        <w:t xml:space="preserve">inclure </w:t>
      </w:r>
      <w:r w:rsidR="00324A4B">
        <w:rPr>
          <w:rFonts w:cs="Calibri"/>
        </w:rPr>
        <w:t>des contacts avec l</w:t>
      </w:r>
      <w:r w:rsidR="00526892">
        <w:rPr>
          <w:rFonts w:cs="Calibri"/>
        </w:rPr>
        <w:t xml:space="preserve">es parties prenantes pour que celles-ci proposent des candidats et se conclure par une journée de consultations régionales se tenant </w:t>
      </w:r>
      <w:r w:rsidR="00324A4B">
        <w:rPr>
          <w:rFonts w:cs="Calibri"/>
        </w:rPr>
        <w:t>immédiatement avant une session de la Plénière.</w:t>
      </w:r>
    </w:p>
    <w:p w:rsidR="00B54516" w:rsidRDefault="001E291A" w:rsidP="00901758">
      <w:pPr>
        <w:pStyle w:val="Normalnumber"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>
        <w:rPr>
          <w:rFonts w:cs="Calibri"/>
        </w:rPr>
        <w:t>En demandant au besoin l</w:t>
      </w:r>
      <w:r w:rsidR="003C6657">
        <w:rPr>
          <w:rFonts w:cs="Calibri"/>
        </w:rPr>
        <w:t>’</w:t>
      </w:r>
      <w:r>
        <w:rPr>
          <w:rFonts w:cs="Calibri"/>
        </w:rPr>
        <w:t>avis des membres du Groupe d</w:t>
      </w:r>
      <w:r w:rsidR="003C6657">
        <w:rPr>
          <w:rFonts w:cs="Calibri"/>
        </w:rPr>
        <w:t>’</w:t>
      </w:r>
      <w:r>
        <w:rPr>
          <w:rFonts w:cs="Calibri"/>
        </w:rPr>
        <w:t>experts actuel, l</w:t>
      </w:r>
      <w:r w:rsidR="00AF55C7" w:rsidRPr="00AF55C7">
        <w:rPr>
          <w:rFonts w:cs="Calibri"/>
        </w:rPr>
        <w:t xml:space="preserve">e Bureau évaluerait ensuite </w:t>
      </w:r>
      <w:r>
        <w:rPr>
          <w:rFonts w:cs="Calibri"/>
        </w:rPr>
        <w:t>les points forts et faibles des quinze candidats (les trois candidats préférés de chacune des cinq régions de l</w:t>
      </w:r>
      <w:r w:rsidR="003C6657">
        <w:rPr>
          <w:rFonts w:cs="Calibri"/>
        </w:rPr>
        <w:t>’</w:t>
      </w:r>
      <w:r>
        <w:rPr>
          <w:rFonts w:cs="Calibri"/>
        </w:rPr>
        <w:t>ONU) ainsi que l</w:t>
      </w:r>
      <w:r w:rsidR="003C6657">
        <w:rPr>
          <w:rFonts w:cs="Calibri"/>
        </w:rPr>
        <w:t>’</w:t>
      </w:r>
      <w:r>
        <w:rPr>
          <w:rFonts w:cs="Calibri"/>
        </w:rPr>
        <w:t>équilibre général du groupe. Le Bureau déterminerait l</w:t>
      </w:r>
      <w:r w:rsidR="003C6657">
        <w:rPr>
          <w:rFonts w:cs="Calibri"/>
        </w:rPr>
        <w:t>’</w:t>
      </w:r>
      <w:r>
        <w:rPr>
          <w:rFonts w:cs="Calibri"/>
        </w:rPr>
        <w:t xml:space="preserve">expertise encore nécessaire </w:t>
      </w:r>
      <w:r w:rsidR="00E543E5">
        <w:rPr>
          <w:rFonts w:cs="Calibri"/>
        </w:rPr>
        <w:t xml:space="preserve">et tiendrait compte des autres considérations pertinentes pour garantir un juste équilibre intellectuel, entre les disciplines, les sexes, les thèmes et les expériences, et </w:t>
      </w:r>
      <w:r w:rsidR="00B54516">
        <w:rPr>
          <w:rFonts w:cs="Calibri"/>
        </w:rPr>
        <w:t>déciderait quels candidats restants sur les listes régionales devraient être recommandés à la Plénière pour siéger au Groupe d</w:t>
      </w:r>
      <w:r w:rsidR="003C6657">
        <w:rPr>
          <w:rFonts w:cs="Calibri"/>
        </w:rPr>
        <w:t>’</w:t>
      </w:r>
      <w:r w:rsidR="00B54516">
        <w:rPr>
          <w:rFonts w:cs="Calibri"/>
        </w:rPr>
        <w:t>experts, de manière à satisfaire les besoin</w:t>
      </w:r>
      <w:r w:rsidR="00C2534F">
        <w:rPr>
          <w:rFonts w:cs="Calibri"/>
        </w:rPr>
        <w:t>s au mieux. S</w:t>
      </w:r>
      <w:r w:rsidR="003C6657">
        <w:rPr>
          <w:rFonts w:cs="Calibri"/>
        </w:rPr>
        <w:t>’</w:t>
      </w:r>
      <w:r w:rsidR="00C2534F">
        <w:rPr>
          <w:rFonts w:cs="Calibri"/>
        </w:rPr>
        <w:t>il est évident que</w:t>
      </w:r>
      <w:r w:rsidR="00B54516">
        <w:rPr>
          <w:rFonts w:cs="Calibri"/>
        </w:rPr>
        <w:t xml:space="preserve"> les candidats ne </w:t>
      </w:r>
      <w:r w:rsidR="00C2534F">
        <w:rPr>
          <w:rFonts w:cs="Calibri"/>
        </w:rPr>
        <w:t>remplissent pas les critères pour obtenir</w:t>
      </w:r>
      <w:r w:rsidR="00B54516">
        <w:rPr>
          <w:rFonts w:cs="Calibri"/>
        </w:rPr>
        <w:t xml:space="preserve"> l</w:t>
      </w:r>
      <w:r w:rsidR="003C6657">
        <w:rPr>
          <w:rFonts w:cs="Calibri"/>
        </w:rPr>
        <w:t>’</w:t>
      </w:r>
      <w:r w:rsidR="00B54516">
        <w:rPr>
          <w:rFonts w:cs="Calibri"/>
        </w:rPr>
        <w:t>équilibre au sein du Groupe d</w:t>
      </w:r>
      <w:r w:rsidR="003C6657">
        <w:rPr>
          <w:rFonts w:cs="Calibri"/>
        </w:rPr>
        <w:t>’</w:t>
      </w:r>
      <w:r w:rsidR="00B54516">
        <w:rPr>
          <w:rFonts w:cs="Calibri"/>
        </w:rPr>
        <w:t xml:space="preserve">experts, le Bureau pourrait </w:t>
      </w:r>
      <w:r w:rsidR="00B54516">
        <w:rPr>
          <w:rFonts w:cs="Calibri"/>
        </w:rPr>
        <w:lastRenderedPageBreak/>
        <w:t>demander aux membres et observateurs d</w:t>
      </w:r>
      <w:r w:rsidR="003C6657">
        <w:rPr>
          <w:rFonts w:cs="Calibri"/>
        </w:rPr>
        <w:t>’</w:t>
      </w:r>
      <w:r w:rsidR="00B54516">
        <w:rPr>
          <w:rFonts w:cs="Calibri"/>
        </w:rPr>
        <w:t xml:space="preserve">identifier des candidats </w:t>
      </w:r>
      <w:r w:rsidR="00D26C4B">
        <w:rPr>
          <w:rFonts w:cs="Calibri"/>
        </w:rPr>
        <w:t>possédant</w:t>
      </w:r>
      <w:r w:rsidR="00B54516">
        <w:rPr>
          <w:rFonts w:cs="Calibri"/>
        </w:rPr>
        <w:t xml:space="preserve"> l</w:t>
      </w:r>
      <w:r w:rsidR="003C6657">
        <w:rPr>
          <w:rFonts w:cs="Calibri"/>
        </w:rPr>
        <w:t>’</w:t>
      </w:r>
      <w:r w:rsidR="00B54516">
        <w:rPr>
          <w:rFonts w:cs="Calibri"/>
        </w:rPr>
        <w:t xml:space="preserve">expertise </w:t>
      </w:r>
      <w:r w:rsidR="00D26C4B">
        <w:rPr>
          <w:rFonts w:cs="Calibri"/>
        </w:rPr>
        <w:t xml:space="preserve">précise </w:t>
      </w:r>
      <w:r w:rsidR="00B54516">
        <w:rPr>
          <w:rFonts w:cs="Calibri"/>
        </w:rPr>
        <w:t>nécessaire.</w:t>
      </w:r>
    </w:p>
    <w:p w:rsidR="002F3599" w:rsidRDefault="00752166" w:rsidP="003C6657">
      <w:pPr>
        <w:pStyle w:val="Normalnumber"/>
        <w:keepLines/>
        <w:numPr>
          <w:ilvl w:val="0"/>
          <w:numId w:val="8"/>
        </w:numPr>
        <w:tabs>
          <w:tab w:val="clear" w:pos="567"/>
          <w:tab w:val="num" w:pos="1134"/>
        </w:tabs>
        <w:rPr>
          <w:rFonts w:cs="Calibri"/>
        </w:rPr>
      </w:pPr>
      <w:r w:rsidRPr="00752166">
        <w:rPr>
          <w:rFonts w:cs="Calibri"/>
        </w:rPr>
        <w:t>Une fois</w:t>
      </w:r>
      <w:r>
        <w:rPr>
          <w:rFonts w:cs="Calibri"/>
        </w:rPr>
        <w:t xml:space="preserve"> que le Bureau convient d</w:t>
      </w:r>
      <w:r w:rsidR="003C6657">
        <w:rPr>
          <w:rFonts w:cs="Calibri"/>
        </w:rPr>
        <w:t>’</w:t>
      </w:r>
      <w:r>
        <w:rPr>
          <w:rFonts w:cs="Calibri"/>
        </w:rPr>
        <w:t>une liste suffisamment équilibrée de candidats issus des propositions régionales, une liste finale sera</w:t>
      </w:r>
      <w:r w:rsidR="006206DA">
        <w:rPr>
          <w:rFonts w:cs="Calibri"/>
        </w:rPr>
        <w:t>it</w:t>
      </w:r>
      <w:r>
        <w:rPr>
          <w:rFonts w:cs="Calibri"/>
        </w:rPr>
        <w:t xml:space="preserve"> transmise à la Plénière pour examen, ainsi qu</w:t>
      </w:r>
      <w:r w:rsidR="003C6657">
        <w:rPr>
          <w:rFonts w:cs="Calibri"/>
        </w:rPr>
        <w:t>’</w:t>
      </w:r>
      <w:r>
        <w:rPr>
          <w:rFonts w:cs="Calibri"/>
        </w:rPr>
        <w:t xml:space="preserve">un bref rapport du Bureau sur la procédure de sélection. </w:t>
      </w:r>
      <w:r w:rsidR="002F3599">
        <w:rPr>
          <w:rFonts w:cs="Calibri"/>
        </w:rPr>
        <w:t>Il est prévu que le Bureau sélectionne la liste finale de candidats pendant les trois premiers jours d</w:t>
      </w:r>
      <w:r w:rsidR="003C6657">
        <w:rPr>
          <w:rFonts w:cs="Calibri"/>
        </w:rPr>
        <w:t>’</w:t>
      </w:r>
      <w:r w:rsidR="002F3599">
        <w:rPr>
          <w:rFonts w:cs="Calibri"/>
        </w:rPr>
        <w:t>une session de la Plénière, pour permettre aux nouveaux membres du Groupe d</w:t>
      </w:r>
      <w:r w:rsidR="003C6657">
        <w:rPr>
          <w:rFonts w:cs="Calibri"/>
        </w:rPr>
        <w:t>’</w:t>
      </w:r>
      <w:r w:rsidR="002F3599">
        <w:rPr>
          <w:rFonts w:cs="Calibri"/>
        </w:rPr>
        <w:t>experts d</w:t>
      </w:r>
      <w:r w:rsidR="003C6657">
        <w:rPr>
          <w:rFonts w:cs="Calibri"/>
        </w:rPr>
        <w:t>’</w:t>
      </w:r>
      <w:r w:rsidR="002F3599">
        <w:rPr>
          <w:rFonts w:cs="Calibri"/>
        </w:rPr>
        <w:t>être sélectionnés avant la fin de la session.</w:t>
      </w:r>
    </w:p>
    <w:p w:rsidR="000A7562" w:rsidRPr="00B35DF7" w:rsidRDefault="000A7562" w:rsidP="00D650CD">
      <w:pPr>
        <w:pStyle w:val="Normal-pool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3237"/>
        <w:gridCol w:w="3238"/>
      </w:tblGrid>
      <w:tr w:rsidR="000A7562" w:rsidRPr="00B35DF7" w:rsidTr="00E863CA">
        <w:tc>
          <w:tcPr>
            <w:tcW w:w="3237" w:type="dxa"/>
          </w:tcPr>
          <w:p w:rsidR="000A7562" w:rsidRPr="00B35DF7" w:rsidRDefault="000A7562" w:rsidP="00D650CD">
            <w:pPr>
              <w:pStyle w:val="Normal-pool"/>
              <w:rPr>
                <w:lang w:val="fr-FR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0A7562" w:rsidRPr="00B35DF7" w:rsidRDefault="000A7562" w:rsidP="00D650CD">
            <w:pPr>
              <w:pStyle w:val="Normal-pool"/>
              <w:rPr>
                <w:lang w:val="fr-FR"/>
              </w:rPr>
            </w:pPr>
          </w:p>
        </w:tc>
        <w:tc>
          <w:tcPr>
            <w:tcW w:w="3238" w:type="dxa"/>
          </w:tcPr>
          <w:p w:rsidR="000A7562" w:rsidRPr="00B35DF7" w:rsidRDefault="000A7562" w:rsidP="00D650CD">
            <w:pPr>
              <w:pStyle w:val="Normal-pool"/>
              <w:rPr>
                <w:lang w:val="fr-FR"/>
              </w:rPr>
            </w:pPr>
          </w:p>
        </w:tc>
      </w:tr>
    </w:tbl>
    <w:p w:rsidR="000A7562" w:rsidRPr="00B35DF7" w:rsidRDefault="000A7562" w:rsidP="00D650CD">
      <w:pPr>
        <w:pStyle w:val="Normal-pool"/>
        <w:rPr>
          <w:lang w:val="fr-FR"/>
        </w:rPr>
      </w:pPr>
    </w:p>
    <w:sectPr w:rsidR="000A7562" w:rsidRPr="00B35DF7" w:rsidSect="003C66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CF" w:rsidRDefault="00985ACF" w:rsidP="000A7562">
      <w:r>
        <w:separator/>
      </w:r>
    </w:p>
  </w:endnote>
  <w:endnote w:type="continuationSeparator" w:id="0">
    <w:p w:rsidR="00985ACF" w:rsidRDefault="00985ACF" w:rsidP="000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4" w:rsidRPr="00896512" w:rsidRDefault="00961E44">
    <w:pPr>
      <w:pStyle w:val="Footer"/>
      <w:rPr>
        <w:b/>
        <w:szCs w:val="18"/>
      </w:rPr>
    </w:pPr>
    <w:r w:rsidRPr="00896512">
      <w:rPr>
        <w:b/>
        <w:szCs w:val="18"/>
      </w:rPr>
      <w:fldChar w:fldCharType="begin"/>
    </w:r>
    <w:r w:rsidRPr="00896512">
      <w:rPr>
        <w:b/>
        <w:szCs w:val="18"/>
      </w:rPr>
      <w:instrText xml:space="preserve"> PAGE   \* MERGEFORMAT </w:instrText>
    </w:r>
    <w:r w:rsidRPr="00896512">
      <w:rPr>
        <w:b/>
        <w:szCs w:val="18"/>
      </w:rPr>
      <w:fldChar w:fldCharType="separate"/>
    </w:r>
    <w:r w:rsidR="003754B5">
      <w:rPr>
        <w:b/>
        <w:noProof/>
        <w:szCs w:val="18"/>
      </w:rPr>
      <w:t>4</w:t>
    </w:r>
    <w:r w:rsidRPr="00896512">
      <w:rPr>
        <w:b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4" w:rsidRPr="00896512" w:rsidRDefault="00961E44" w:rsidP="00896512">
    <w:pPr>
      <w:pStyle w:val="Footer"/>
      <w:jc w:val="right"/>
      <w:rPr>
        <w:b/>
      </w:rPr>
    </w:pPr>
    <w:r w:rsidRPr="00896512">
      <w:rPr>
        <w:b/>
      </w:rPr>
      <w:fldChar w:fldCharType="begin"/>
    </w:r>
    <w:r w:rsidRPr="00896512">
      <w:rPr>
        <w:b/>
      </w:rPr>
      <w:instrText xml:space="preserve"> PAGE   \* MERGEFORMAT </w:instrText>
    </w:r>
    <w:r w:rsidRPr="00896512">
      <w:rPr>
        <w:b/>
      </w:rPr>
      <w:fldChar w:fldCharType="separate"/>
    </w:r>
    <w:r w:rsidR="003754B5">
      <w:rPr>
        <w:b/>
        <w:noProof/>
      </w:rPr>
      <w:t>3</w:t>
    </w:r>
    <w:r w:rsidRPr="00896512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4" w:rsidRDefault="00EB16A2" w:rsidP="00901758">
    <w:pPr>
      <w:pStyle w:val="Footer"/>
      <w:tabs>
        <w:tab w:val="clear" w:pos="4320"/>
        <w:tab w:val="clear" w:pos="8640"/>
        <w:tab w:val="left" w:pos="624"/>
      </w:tabs>
    </w:pPr>
    <w:r>
      <w:t>K1354138</w:t>
    </w:r>
    <w:r w:rsidR="00961E44">
      <w:tab/>
    </w:r>
    <w:r>
      <w:t>0212</w:t>
    </w:r>
    <w:r w:rsidR="00961E44"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CF" w:rsidRDefault="00985ACF" w:rsidP="00D650CD">
      <w:pPr>
        <w:spacing w:after="120"/>
        <w:ind w:left="624"/>
      </w:pPr>
      <w:r>
        <w:separator/>
      </w:r>
    </w:p>
  </w:footnote>
  <w:footnote w:type="continuationSeparator" w:id="0">
    <w:p w:rsidR="00985ACF" w:rsidRDefault="00985ACF" w:rsidP="000A7562">
      <w:r>
        <w:continuationSeparator/>
      </w:r>
    </w:p>
  </w:footnote>
  <w:footnote w:id="1">
    <w:p w:rsidR="007969EE" w:rsidRPr="007969EE" w:rsidRDefault="007969EE">
      <w:pPr>
        <w:pStyle w:val="FootnoteText"/>
        <w:rPr>
          <w:lang w:val="fr-FR"/>
        </w:rPr>
      </w:pPr>
      <w:r>
        <w:rPr>
          <w:rStyle w:val="FootnoteReference"/>
        </w:rPr>
        <w:t>*</w:t>
      </w:r>
      <w:r>
        <w:t xml:space="preserve"> </w:t>
      </w:r>
      <w:r w:rsidR="00EB16A2">
        <w:t xml:space="preserve"> </w:t>
      </w:r>
      <w:r>
        <w:t>Nouveau tirage pour raisons techniques.</w:t>
      </w:r>
    </w:p>
  </w:footnote>
  <w:footnote w:id="2">
    <w:p w:rsidR="00EB16A2" w:rsidRPr="00EB16A2" w:rsidRDefault="00EB16A2">
      <w:pPr>
        <w:pStyle w:val="FootnoteText"/>
        <w:rPr>
          <w:lang w:val="fr-FR"/>
        </w:rPr>
      </w:pPr>
      <w:r>
        <w:rPr>
          <w:rStyle w:val="FootnoteReference"/>
        </w:rPr>
        <w:t>**</w:t>
      </w:r>
      <w:r>
        <w:t xml:space="preserve"> </w:t>
      </w:r>
      <w:r w:rsidRPr="00D650CD">
        <w:rPr>
          <w:szCs w:val="18"/>
        </w:rPr>
        <w:t>IPBES/</w:t>
      </w:r>
      <w:r w:rsidRPr="00D650CD">
        <w:rPr>
          <w:szCs w:val="18"/>
          <w:lang w:eastAsia="ja-JP"/>
        </w:rPr>
        <w:t>2/1.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4" w:rsidRPr="000A7562" w:rsidRDefault="00961E44">
    <w:pPr>
      <w:pStyle w:val="Header"/>
      <w:rPr>
        <w:szCs w:val="18"/>
      </w:rPr>
    </w:pPr>
    <w:r w:rsidRPr="000A7562">
      <w:rPr>
        <w:szCs w:val="18"/>
      </w:rPr>
      <w:t>IPBES</w:t>
    </w:r>
    <w:r w:rsidRPr="000A7562">
      <w:rPr>
        <w:szCs w:val="18"/>
        <w:lang w:eastAsia="ja-JP"/>
      </w:rPr>
      <w:t>/2/8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4" w:rsidRPr="00901758" w:rsidRDefault="00961E44" w:rsidP="00901758">
    <w:pPr>
      <w:pStyle w:val="Header"/>
      <w:jc w:val="right"/>
      <w:rPr>
        <w:szCs w:val="18"/>
      </w:rPr>
    </w:pPr>
    <w:r w:rsidRPr="000A7562">
      <w:rPr>
        <w:szCs w:val="18"/>
      </w:rPr>
      <w:t>IPBES</w:t>
    </w:r>
    <w:r w:rsidRPr="000A7562">
      <w:rPr>
        <w:szCs w:val="18"/>
        <w:lang w:eastAsia="ja-JP"/>
      </w:rPr>
      <w:t>/2/8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4" w:rsidRDefault="00961E44" w:rsidP="0089651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3AE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13C5C"/>
    <w:multiLevelType w:val="hybridMultilevel"/>
    <w:tmpl w:val="B57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0EE5"/>
    <w:multiLevelType w:val="hybridMultilevel"/>
    <w:tmpl w:val="2864F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5B21D1"/>
    <w:multiLevelType w:val="hybridMultilevel"/>
    <w:tmpl w:val="A3BE4A60"/>
    <w:lvl w:ilvl="0" w:tplc="D7AED58A">
      <w:start w:val="1"/>
      <w:numFmt w:val="lowerLetter"/>
      <w:lvlText w:val="%1)"/>
      <w:lvlJc w:val="left"/>
      <w:pPr>
        <w:ind w:left="238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7" w:hanging="360"/>
      </w:pPr>
    </w:lvl>
    <w:lvl w:ilvl="2" w:tplc="0409001B" w:tentative="1">
      <w:start w:val="1"/>
      <w:numFmt w:val="lowerRoman"/>
      <w:lvlText w:val="%3."/>
      <w:lvlJc w:val="right"/>
      <w:pPr>
        <w:ind w:left="3627" w:hanging="180"/>
      </w:pPr>
    </w:lvl>
    <w:lvl w:ilvl="3" w:tplc="0409000F" w:tentative="1">
      <w:start w:val="1"/>
      <w:numFmt w:val="decimal"/>
      <w:lvlText w:val="%4."/>
      <w:lvlJc w:val="left"/>
      <w:pPr>
        <w:ind w:left="4347" w:hanging="360"/>
      </w:pPr>
    </w:lvl>
    <w:lvl w:ilvl="4" w:tplc="04090019" w:tentative="1">
      <w:start w:val="1"/>
      <w:numFmt w:val="lowerLetter"/>
      <w:lvlText w:val="%5."/>
      <w:lvlJc w:val="left"/>
      <w:pPr>
        <w:ind w:left="5067" w:hanging="360"/>
      </w:pPr>
    </w:lvl>
    <w:lvl w:ilvl="5" w:tplc="0409001B" w:tentative="1">
      <w:start w:val="1"/>
      <w:numFmt w:val="lowerRoman"/>
      <w:lvlText w:val="%6."/>
      <w:lvlJc w:val="right"/>
      <w:pPr>
        <w:ind w:left="5787" w:hanging="180"/>
      </w:pPr>
    </w:lvl>
    <w:lvl w:ilvl="6" w:tplc="0409000F" w:tentative="1">
      <w:start w:val="1"/>
      <w:numFmt w:val="decimal"/>
      <w:lvlText w:val="%7."/>
      <w:lvlJc w:val="left"/>
      <w:pPr>
        <w:ind w:left="6507" w:hanging="360"/>
      </w:pPr>
    </w:lvl>
    <w:lvl w:ilvl="7" w:tplc="04090019" w:tentative="1">
      <w:start w:val="1"/>
      <w:numFmt w:val="lowerLetter"/>
      <w:lvlText w:val="%8."/>
      <w:lvlJc w:val="left"/>
      <w:pPr>
        <w:ind w:left="7227" w:hanging="360"/>
      </w:pPr>
    </w:lvl>
    <w:lvl w:ilvl="8" w:tplc="040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6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62291BF8"/>
    <w:multiLevelType w:val="multilevel"/>
    <w:tmpl w:val="F4ACF36E"/>
    <w:numStyleLink w:val="Normallist"/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62"/>
    <w:rsid w:val="00005783"/>
    <w:rsid w:val="00005F61"/>
    <w:rsid w:val="00011C9F"/>
    <w:rsid w:val="00024142"/>
    <w:rsid w:val="000368B6"/>
    <w:rsid w:val="00053C64"/>
    <w:rsid w:val="0006160B"/>
    <w:rsid w:val="00063CBC"/>
    <w:rsid w:val="00070C08"/>
    <w:rsid w:val="00087086"/>
    <w:rsid w:val="00091D4B"/>
    <w:rsid w:val="000A45F9"/>
    <w:rsid w:val="000A7562"/>
    <w:rsid w:val="000B7CDC"/>
    <w:rsid w:val="000F30FD"/>
    <w:rsid w:val="000F69E7"/>
    <w:rsid w:val="000F7034"/>
    <w:rsid w:val="00111487"/>
    <w:rsid w:val="00157639"/>
    <w:rsid w:val="00172CC5"/>
    <w:rsid w:val="00180E96"/>
    <w:rsid w:val="001C5E56"/>
    <w:rsid w:val="001E291A"/>
    <w:rsid w:val="001F6691"/>
    <w:rsid w:val="00207780"/>
    <w:rsid w:val="00240259"/>
    <w:rsid w:val="00246E85"/>
    <w:rsid w:val="00253717"/>
    <w:rsid w:val="00267A16"/>
    <w:rsid w:val="0027154C"/>
    <w:rsid w:val="0027208A"/>
    <w:rsid w:val="002765F0"/>
    <w:rsid w:val="00283688"/>
    <w:rsid w:val="002863FB"/>
    <w:rsid w:val="002C5E71"/>
    <w:rsid w:val="002D0F0E"/>
    <w:rsid w:val="002F3599"/>
    <w:rsid w:val="002F3656"/>
    <w:rsid w:val="002F3B23"/>
    <w:rsid w:val="00302001"/>
    <w:rsid w:val="0031022F"/>
    <w:rsid w:val="0031744A"/>
    <w:rsid w:val="00323164"/>
    <w:rsid w:val="00324A4B"/>
    <w:rsid w:val="003629D0"/>
    <w:rsid w:val="003754B5"/>
    <w:rsid w:val="00385651"/>
    <w:rsid w:val="003C6657"/>
    <w:rsid w:val="003E76F0"/>
    <w:rsid w:val="004368B0"/>
    <w:rsid w:val="00440599"/>
    <w:rsid w:val="00441480"/>
    <w:rsid w:val="00444484"/>
    <w:rsid w:val="00450B7A"/>
    <w:rsid w:val="00467E7E"/>
    <w:rsid w:val="00471DDC"/>
    <w:rsid w:val="00473B66"/>
    <w:rsid w:val="0048694B"/>
    <w:rsid w:val="004930B7"/>
    <w:rsid w:val="004A36F0"/>
    <w:rsid w:val="004C5FE6"/>
    <w:rsid w:val="004D7031"/>
    <w:rsid w:val="004E7321"/>
    <w:rsid w:val="004F0BA2"/>
    <w:rsid w:val="005074D5"/>
    <w:rsid w:val="00507914"/>
    <w:rsid w:val="00526892"/>
    <w:rsid w:val="00531543"/>
    <w:rsid w:val="00547E8A"/>
    <w:rsid w:val="005534CC"/>
    <w:rsid w:val="00562CFE"/>
    <w:rsid w:val="0056514F"/>
    <w:rsid w:val="005818CC"/>
    <w:rsid w:val="005943B1"/>
    <w:rsid w:val="005A66F6"/>
    <w:rsid w:val="005B2E83"/>
    <w:rsid w:val="005B3257"/>
    <w:rsid w:val="005D7F6C"/>
    <w:rsid w:val="006206DA"/>
    <w:rsid w:val="006230CB"/>
    <w:rsid w:val="00626212"/>
    <w:rsid w:val="00627EF6"/>
    <w:rsid w:val="00631ECE"/>
    <w:rsid w:val="00632100"/>
    <w:rsid w:val="00633DC8"/>
    <w:rsid w:val="00634BEB"/>
    <w:rsid w:val="006539EC"/>
    <w:rsid w:val="00654D41"/>
    <w:rsid w:val="00655818"/>
    <w:rsid w:val="00680249"/>
    <w:rsid w:val="00682FE8"/>
    <w:rsid w:val="00691118"/>
    <w:rsid w:val="006B34F2"/>
    <w:rsid w:val="006D7D2F"/>
    <w:rsid w:val="006E5A69"/>
    <w:rsid w:val="006E7930"/>
    <w:rsid w:val="007025F9"/>
    <w:rsid w:val="00752166"/>
    <w:rsid w:val="007525B0"/>
    <w:rsid w:val="00766558"/>
    <w:rsid w:val="00773C5E"/>
    <w:rsid w:val="00787076"/>
    <w:rsid w:val="007873F6"/>
    <w:rsid w:val="00787C67"/>
    <w:rsid w:val="00793CCC"/>
    <w:rsid w:val="007969EE"/>
    <w:rsid w:val="007A073A"/>
    <w:rsid w:val="007A2C8F"/>
    <w:rsid w:val="007B17E9"/>
    <w:rsid w:val="007B3E21"/>
    <w:rsid w:val="007B71CD"/>
    <w:rsid w:val="007C2B19"/>
    <w:rsid w:val="007D6772"/>
    <w:rsid w:val="007F1F4B"/>
    <w:rsid w:val="00810A59"/>
    <w:rsid w:val="00831447"/>
    <w:rsid w:val="008334EC"/>
    <w:rsid w:val="008346D3"/>
    <w:rsid w:val="008370D2"/>
    <w:rsid w:val="00843540"/>
    <w:rsid w:val="008452C3"/>
    <w:rsid w:val="00881CFA"/>
    <w:rsid w:val="00896001"/>
    <w:rsid w:val="00896512"/>
    <w:rsid w:val="008A3671"/>
    <w:rsid w:val="008B0C31"/>
    <w:rsid w:val="008E7B8F"/>
    <w:rsid w:val="008F53EC"/>
    <w:rsid w:val="00901758"/>
    <w:rsid w:val="00902424"/>
    <w:rsid w:val="009027FC"/>
    <w:rsid w:val="0090799A"/>
    <w:rsid w:val="00916EFE"/>
    <w:rsid w:val="0092446B"/>
    <w:rsid w:val="00943A04"/>
    <w:rsid w:val="009565EB"/>
    <w:rsid w:val="00961E44"/>
    <w:rsid w:val="0098191C"/>
    <w:rsid w:val="00985ACF"/>
    <w:rsid w:val="009B6640"/>
    <w:rsid w:val="009D1CA4"/>
    <w:rsid w:val="009D2EE2"/>
    <w:rsid w:val="00A00D38"/>
    <w:rsid w:val="00A61D9E"/>
    <w:rsid w:val="00A7237F"/>
    <w:rsid w:val="00A942CC"/>
    <w:rsid w:val="00AC1193"/>
    <w:rsid w:val="00AC3573"/>
    <w:rsid w:val="00AC5AB9"/>
    <w:rsid w:val="00AC6730"/>
    <w:rsid w:val="00AD10C7"/>
    <w:rsid w:val="00AD1C53"/>
    <w:rsid w:val="00AF55C7"/>
    <w:rsid w:val="00AF5749"/>
    <w:rsid w:val="00AF63E2"/>
    <w:rsid w:val="00B0209C"/>
    <w:rsid w:val="00B1732F"/>
    <w:rsid w:val="00B35DF7"/>
    <w:rsid w:val="00B54516"/>
    <w:rsid w:val="00B55D0B"/>
    <w:rsid w:val="00B646EA"/>
    <w:rsid w:val="00B75766"/>
    <w:rsid w:val="00B843AA"/>
    <w:rsid w:val="00B85BD2"/>
    <w:rsid w:val="00B94524"/>
    <w:rsid w:val="00BA39B4"/>
    <w:rsid w:val="00BE23E8"/>
    <w:rsid w:val="00C15AAE"/>
    <w:rsid w:val="00C2534F"/>
    <w:rsid w:val="00C4724B"/>
    <w:rsid w:val="00C70F15"/>
    <w:rsid w:val="00C7622D"/>
    <w:rsid w:val="00CA5FC2"/>
    <w:rsid w:val="00CA736B"/>
    <w:rsid w:val="00CB069E"/>
    <w:rsid w:val="00CB4FB7"/>
    <w:rsid w:val="00CB554F"/>
    <w:rsid w:val="00CC0E9D"/>
    <w:rsid w:val="00CD3C21"/>
    <w:rsid w:val="00CD639A"/>
    <w:rsid w:val="00CE2331"/>
    <w:rsid w:val="00CF7116"/>
    <w:rsid w:val="00D028F9"/>
    <w:rsid w:val="00D26C4B"/>
    <w:rsid w:val="00D2794D"/>
    <w:rsid w:val="00D40ECF"/>
    <w:rsid w:val="00D55E8F"/>
    <w:rsid w:val="00D650CD"/>
    <w:rsid w:val="00D70C4A"/>
    <w:rsid w:val="00D70E44"/>
    <w:rsid w:val="00D712AD"/>
    <w:rsid w:val="00D94EB9"/>
    <w:rsid w:val="00DB10E7"/>
    <w:rsid w:val="00DC4836"/>
    <w:rsid w:val="00DD08E8"/>
    <w:rsid w:val="00DF1D16"/>
    <w:rsid w:val="00E00D64"/>
    <w:rsid w:val="00E03F26"/>
    <w:rsid w:val="00E06785"/>
    <w:rsid w:val="00E07047"/>
    <w:rsid w:val="00E079C1"/>
    <w:rsid w:val="00E128C5"/>
    <w:rsid w:val="00E543E5"/>
    <w:rsid w:val="00E65C86"/>
    <w:rsid w:val="00E7623E"/>
    <w:rsid w:val="00E863CA"/>
    <w:rsid w:val="00E871E5"/>
    <w:rsid w:val="00E91A98"/>
    <w:rsid w:val="00E94A43"/>
    <w:rsid w:val="00EB16A2"/>
    <w:rsid w:val="00EB4011"/>
    <w:rsid w:val="00EC4FC0"/>
    <w:rsid w:val="00ED5135"/>
    <w:rsid w:val="00EE057F"/>
    <w:rsid w:val="00EE663C"/>
    <w:rsid w:val="00F07055"/>
    <w:rsid w:val="00F31107"/>
    <w:rsid w:val="00F31146"/>
    <w:rsid w:val="00F54150"/>
    <w:rsid w:val="00F73FA4"/>
    <w:rsid w:val="00F95743"/>
    <w:rsid w:val="00FB3A9B"/>
    <w:rsid w:val="00FC085B"/>
    <w:rsid w:val="00FC28D5"/>
    <w:rsid w:val="00FD3911"/>
    <w:rsid w:val="00FE206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7E8D5-304A-4285-BCF2-971B7C8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table of figures" w:semiHidden="1" w:unhideWhenUsed="1"/>
    <w:lsdException w:name="footnote reference" w:semiHidden="1" w:unhideWhenUsed="1"/>
    <w:lsdException w:name="annotation reference" w:uiPriority="99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57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3C6657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3C6657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3C6657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3C6657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C6657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C6657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C6657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C6657"/>
    <w:pPr>
      <w:keepNext/>
      <w:widowControl w:val="0"/>
      <w:numPr>
        <w:numId w:val="13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C6657"/>
    <w:pPr>
      <w:keepNext/>
      <w:widowControl w:val="0"/>
      <w:numPr>
        <w:numId w:val="14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unhideWhenUsed/>
    <w:rsid w:val="003C66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6657"/>
  </w:style>
  <w:style w:type="table" w:customStyle="1" w:styleId="AATable">
    <w:name w:val="AA_Table"/>
    <w:basedOn w:val="TableNormal"/>
    <w:semiHidden/>
    <w:rsid w:val="003C6657"/>
    <w:rPr>
      <w:rFonts w:eastAsia="Times New Roman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3C6657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3C6657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C6657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3C6657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3C6657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3C6657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3C665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3C665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3C665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rsid w:val="003C6657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rsid w:val="00FB3A9B"/>
    <w:rPr>
      <w:rFonts w:eastAsia="Times New Roman"/>
      <w:sz w:val="18"/>
      <w:lang w:eastAsia="en-US"/>
    </w:rPr>
  </w:style>
  <w:style w:type="paragraph" w:customStyle="1" w:styleId="Footerpool">
    <w:name w:val="Footer_pool"/>
    <w:basedOn w:val="Normal"/>
    <w:next w:val="Normal"/>
    <w:semiHidden/>
    <w:rsid w:val="003C665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3C6657"/>
    <w:rPr>
      <w:rFonts w:ascii="Arial" w:eastAsia="Times New Roman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3C6657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Footer-pool">
    <w:name w:val="Footer-pool"/>
    <w:basedOn w:val="Normal-pool"/>
    <w:next w:val="Normal-pool"/>
    <w:rsid w:val="003C665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semiHidden/>
    <w:rsid w:val="003C6657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3C6657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semiHidden/>
    <w:rsid w:val="00FB3A9B"/>
    <w:rPr>
      <w:rFonts w:eastAsia="Times New Roman"/>
      <w:sz w:val="18"/>
      <w:lang w:val="fr-CA" w:eastAsia="en-US"/>
    </w:rPr>
  </w:style>
  <w:style w:type="paragraph" w:styleId="Header">
    <w:name w:val="header"/>
    <w:basedOn w:val="Normal"/>
    <w:link w:val="HeaderChar"/>
    <w:rsid w:val="003C665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EthylHeader Char"/>
    <w:link w:val="Header"/>
    <w:rsid w:val="00FB3A9B"/>
    <w:rPr>
      <w:rFonts w:eastAsia="Times New Roman"/>
      <w:b/>
      <w:sz w:val="18"/>
      <w:lang w:eastAsia="en-US"/>
    </w:rPr>
  </w:style>
  <w:style w:type="paragraph" w:customStyle="1" w:styleId="Headerpool">
    <w:name w:val="Header_pool"/>
    <w:basedOn w:val="Normal"/>
    <w:next w:val="Normal"/>
    <w:semiHidden/>
    <w:rsid w:val="003C665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C665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rsid w:val="00FB3A9B"/>
    <w:rPr>
      <w:rFonts w:eastAsia="Times New Roman"/>
      <w:b/>
      <w:sz w:val="28"/>
      <w:lang w:eastAsia="en-US"/>
    </w:rPr>
  </w:style>
  <w:style w:type="character" w:customStyle="1" w:styleId="Heading2Char">
    <w:name w:val="Heading 2 Char"/>
    <w:link w:val="Heading2"/>
    <w:rsid w:val="00FB3A9B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FB3A9B"/>
    <w:rPr>
      <w:rFonts w:eastAsia="Times New Roman"/>
      <w:b/>
      <w:lang w:eastAsia="en-US"/>
    </w:rPr>
  </w:style>
  <w:style w:type="character" w:customStyle="1" w:styleId="Heading4Char">
    <w:name w:val="Heading 4 Char"/>
    <w:link w:val="Heading4"/>
    <w:rsid w:val="00FB3A9B"/>
    <w:rPr>
      <w:rFonts w:eastAsia="Times New Roman"/>
      <w:b/>
      <w:lang w:eastAsia="en-US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/>
      <w:b/>
      <w:sz w:val="24"/>
      <w:lang w:eastAsia="en-US"/>
    </w:rPr>
  </w:style>
  <w:style w:type="character" w:customStyle="1" w:styleId="Heading6Char">
    <w:name w:val="Heading 6 Char"/>
    <w:link w:val="Heading6"/>
    <w:rsid w:val="00FB3A9B"/>
    <w:rPr>
      <w:rFonts w:eastAsia="Times New Roman"/>
      <w:b/>
      <w:bCs/>
      <w:sz w:val="24"/>
      <w:lang w:eastAsia="en-US"/>
    </w:rPr>
  </w:style>
  <w:style w:type="character" w:customStyle="1" w:styleId="Heading7Char">
    <w:name w:val="Heading 7 Char"/>
    <w:link w:val="Heading7"/>
    <w:rsid w:val="00FB3A9B"/>
    <w:rPr>
      <w:rFonts w:eastAsia="Times New Roman"/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FB3A9B"/>
    <w:rPr>
      <w:rFonts w:eastAsia="Times New Roman"/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FB3A9B"/>
    <w:rPr>
      <w:rFonts w:eastAsia="Times New Roman"/>
      <w:snapToGrid w:val="0"/>
      <w:u w:val="single"/>
      <w:lang w:val="en-US" w:eastAsia="en-US"/>
    </w:rPr>
  </w:style>
  <w:style w:type="character" w:styleId="Hyperlink">
    <w:name w:val="Hyperlink"/>
    <w:semiHidden/>
    <w:rsid w:val="003C6657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C6657"/>
    <w:pPr>
      <w:numPr>
        <w:numId w:val="15"/>
      </w:numPr>
    </w:pPr>
  </w:style>
  <w:style w:type="paragraph" w:customStyle="1" w:styleId="NormalNonumber">
    <w:name w:val="Normal_No_number"/>
    <w:basedOn w:val="Normalpool"/>
    <w:rsid w:val="003C6657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3C6657"/>
    <w:pPr>
      <w:numPr>
        <w:numId w:val="16"/>
      </w:numPr>
      <w:spacing w:after="120"/>
    </w:pPr>
  </w:style>
  <w:style w:type="character" w:styleId="PageNumber">
    <w:name w:val="page number"/>
    <w:semiHidden/>
    <w:rsid w:val="003C6657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3C6657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table" w:customStyle="1" w:styleId="Tabledocright">
    <w:name w:val="Table_doc_right"/>
    <w:basedOn w:val="TableNormal"/>
    <w:rsid w:val="003C6657"/>
    <w:pPr>
      <w:spacing w:before="40" w:after="40"/>
    </w:pPr>
    <w:rPr>
      <w:rFonts w:eastAsia="Times New Roman"/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3C6657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3C6657"/>
    <w:rPr>
      <w:bCs w:val="0"/>
    </w:rPr>
  </w:style>
  <w:style w:type="paragraph" w:styleId="TOC1">
    <w:name w:val="toc 1"/>
    <w:basedOn w:val="Normalpool"/>
    <w:next w:val="Normalpool"/>
    <w:rsid w:val="003C6657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C6657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C6657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C6657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C6657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C6657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C6657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C6657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C6657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3C6657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3C6657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Normal-poolChar">
    <w:name w:val="Normal-pool Char"/>
    <w:link w:val="Normal-pool"/>
    <w:rsid w:val="000A7562"/>
    <w:rPr>
      <w:rFonts w:eastAsia="Times New Roman"/>
      <w:lang w:val="fr-CA" w:eastAsia="en-US"/>
    </w:rPr>
  </w:style>
  <w:style w:type="paragraph" w:styleId="ColorfulList-Accent1">
    <w:name w:val="Colorful List Accent 1"/>
    <w:basedOn w:val="Normal"/>
    <w:uiPriority w:val="34"/>
    <w:qFormat/>
    <w:rsid w:val="000A7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A7562"/>
    <w:rPr>
      <w:sz w:val="16"/>
      <w:szCs w:val="16"/>
    </w:rPr>
  </w:style>
  <w:style w:type="character" w:customStyle="1" w:styleId="NormalnumberChar">
    <w:name w:val="Normal_number Char"/>
    <w:link w:val="Normalnumber"/>
    <w:locked/>
    <w:rsid w:val="00E863CA"/>
    <w:rPr>
      <w:rFonts w:eastAsia="Times New Roman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FBD1-9AE8-469A-9802-AD470D8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Mwanza</dc:creator>
  <cp:keywords/>
  <cp:lastModifiedBy>Rohan Shanbhag</cp:lastModifiedBy>
  <cp:revision>2</cp:revision>
  <cp:lastPrinted>2013-09-29T17:31:00Z</cp:lastPrinted>
  <dcterms:created xsi:type="dcterms:W3CDTF">2013-12-07T08:21:00Z</dcterms:created>
  <dcterms:modified xsi:type="dcterms:W3CDTF">2013-12-07T08:21:00Z</dcterms:modified>
</cp:coreProperties>
</file>