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74FE9" w:rsidRPr="009C2953" w14:paraId="29553CBA" w14:textId="77777777" w:rsidTr="00774FE9">
        <w:trPr>
          <w:trHeight w:val="850"/>
        </w:trPr>
        <w:tc>
          <w:tcPr>
            <w:tcW w:w="1559" w:type="dxa"/>
            <w:shd w:val="clear" w:color="auto" w:fill="auto"/>
          </w:tcPr>
          <w:p w14:paraId="3E217096" w14:textId="5D34D46A" w:rsidR="00774FE9" w:rsidRPr="009C2953" w:rsidRDefault="00774FE9" w:rsidP="00774FE9">
            <w:pPr>
              <w:pStyle w:val="AUnitedNations"/>
            </w:pPr>
            <w:r w:rsidRPr="009C2953">
              <w:t xml:space="preserve">NATIONS </w:t>
            </w:r>
            <w:r w:rsidRPr="009C2953">
              <w:br/>
              <w:t>UNIES</w:t>
            </w:r>
          </w:p>
        </w:tc>
        <w:tc>
          <w:tcPr>
            <w:tcW w:w="6520" w:type="dxa"/>
            <w:shd w:val="clear" w:color="auto" w:fill="auto"/>
          </w:tcPr>
          <w:p w14:paraId="23E90DD9" w14:textId="306DE1AE" w:rsidR="00774FE9" w:rsidRPr="009C2953" w:rsidRDefault="00774FE9" w:rsidP="00774FE9">
            <w:pPr>
              <w:pStyle w:val="Normal-pool"/>
            </w:pPr>
            <w:r w:rsidRPr="009C2953">
              <w:rPr>
                <w:noProof/>
                <w:lang w:eastAsia="fr-FR"/>
                <w14:ligatures w14:val="standardContextual"/>
              </w:rPr>
              <w:drawing>
                <wp:anchor distT="0" distB="0" distL="114300" distR="114300" simplePos="0" relativeHeight="251658240" behindDoc="0" locked="0" layoutInCell="1" allowOverlap="1" wp14:anchorId="0277973F" wp14:editId="13D99BA0">
                  <wp:simplePos x="0" y="0"/>
                  <wp:positionH relativeFrom="column">
                    <wp:posOffset>3175</wp:posOffset>
                  </wp:positionH>
                  <wp:positionV relativeFrom="paragraph">
                    <wp:posOffset>-4445</wp:posOffset>
                  </wp:positionV>
                  <wp:extent cx="4003040" cy="405130"/>
                  <wp:effectExtent l="0" t="0" r="0" b="0"/>
                  <wp:wrapNone/>
                  <wp:docPr id="897271967" name="Picture 89727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7196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EC51220" w14:textId="77777777" w:rsidR="00774FE9" w:rsidRPr="009C2953" w:rsidRDefault="00774FE9" w:rsidP="00774FE9">
            <w:pPr>
              <w:pStyle w:val="Normal-pool"/>
            </w:pPr>
          </w:p>
        </w:tc>
      </w:tr>
    </w:tbl>
    <w:p w14:paraId="60161BF0" w14:textId="77777777" w:rsidR="00774FE9" w:rsidRPr="009C2953" w:rsidRDefault="00774FE9" w:rsidP="00774FE9">
      <w:pPr>
        <w:pStyle w:val="ASpacer"/>
      </w:pPr>
    </w:p>
    <w:tbl>
      <w:tblPr>
        <w:tblW w:w="9496" w:type="dxa"/>
        <w:tblLook w:val="0000" w:firstRow="0" w:lastRow="0" w:firstColumn="0" w:lastColumn="0" w:noHBand="0" w:noVBand="0"/>
      </w:tblPr>
      <w:tblGrid>
        <w:gridCol w:w="6945"/>
        <w:gridCol w:w="2551"/>
      </w:tblGrid>
      <w:tr w:rsidR="00774FE9" w:rsidRPr="009C2953" w14:paraId="37E95A8F" w14:textId="77777777" w:rsidTr="00774FE9">
        <w:trPr>
          <w:trHeight w:val="340"/>
        </w:trPr>
        <w:tc>
          <w:tcPr>
            <w:tcW w:w="3657" w:type="pct"/>
            <w:shd w:val="clear" w:color="auto" w:fill="auto"/>
            <w:vAlign w:val="bottom"/>
          </w:tcPr>
          <w:p w14:paraId="38AA8C9D" w14:textId="77777777" w:rsidR="00774FE9" w:rsidRPr="009C2953" w:rsidRDefault="00774FE9" w:rsidP="00774FE9">
            <w:pPr>
              <w:pStyle w:val="Normal-pool"/>
            </w:pPr>
          </w:p>
        </w:tc>
        <w:tc>
          <w:tcPr>
            <w:tcW w:w="1343" w:type="pct"/>
            <w:shd w:val="clear" w:color="auto" w:fill="auto"/>
            <w:noWrap/>
            <w:vAlign w:val="bottom"/>
          </w:tcPr>
          <w:p w14:paraId="01E13636" w14:textId="5CB6DE6A" w:rsidR="00774FE9" w:rsidRPr="009C2953" w:rsidRDefault="00774FE9" w:rsidP="00774FE9">
            <w:pPr>
              <w:pStyle w:val="ASymbol"/>
            </w:pPr>
            <w:r w:rsidRPr="009C2953">
              <w:rPr>
                <w:b/>
                <w:sz w:val="28"/>
              </w:rPr>
              <w:t>IPBES</w:t>
            </w:r>
            <w:r w:rsidRPr="009C2953">
              <w:t>/</w:t>
            </w:r>
            <w:bookmarkStart w:id="0" w:name="Symbol1A"/>
            <w:r w:rsidRPr="009C2953">
              <w:t>10</w:t>
            </w:r>
            <w:bookmarkStart w:id="1" w:name="Symbol1B"/>
            <w:bookmarkEnd w:id="0"/>
            <w:r w:rsidRPr="009C2953">
              <w:t>/</w:t>
            </w:r>
            <w:r w:rsidR="003A4DB3" w:rsidRPr="009C2953">
              <w:t>1</w:t>
            </w:r>
            <w:r w:rsidR="00EC2484" w:rsidRPr="009C2953">
              <w:t>2</w:t>
            </w:r>
            <w:bookmarkEnd w:id="1"/>
          </w:p>
        </w:tc>
      </w:tr>
    </w:tbl>
    <w:p w14:paraId="7E1963FD" w14:textId="77777777" w:rsidR="00774FE9" w:rsidRPr="009C2953" w:rsidRDefault="00774FE9" w:rsidP="00774FE9">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74FE9" w:rsidRPr="009C2953" w14:paraId="16C0508F" w14:textId="77777777" w:rsidTr="00774FE9">
        <w:trPr>
          <w:trHeight w:val="2098"/>
        </w:trPr>
        <w:tc>
          <w:tcPr>
            <w:tcW w:w="2126" w:type="dxa"/>
            <w:shd w:val="clear" w:color="auto" w:fill="auto"/>
          </w:tcPr>
          <w:p w14:paraId="696F80FB" w14:textId="1A090E71" w:rsidR="00774FE9" w:rsidRPr="009C2953" w:rsidRDefault="00774FE9" w:rsidP="00774FE9">
            <w:pPr>
              <w:pStyle w:val="ALogo"/>
            </w:pPr>
            <w:r w:rsidRPr="009C2953">
              <w:rPr>
                <w:noProof/>
                <w:lang w:eastAsia="fr-FR"/>
                <w14:ligatures w14:val="standardContextual"/>
              </w:rPr>
              <w:drawing>
                <wp:inline distT="0" distB="0" distL="0" distR="0" wp14:anchorId="687BBED1" wp14:editId="09109F59">
                  <wp:extent cx="1116610" cy="518644"/>
                  <wp:effectExtent l="0" t="0" r="7620" b="0"/>
                  <wp:docPr id="1281192225" name="Picture 1281192225"/>
                  <wp:cNvGraphicFramePr/>
                  <a:graphic xmlns:a="http://schemas.openxmlformats.org/drawingml/2006/main">
                    <a:graphicData uri="http://schemas.openxmlformats.org/drawingml/2006/picture">
                      <pic:pic xmlns:pic="http://schemas.openxmlformats.org/drawingml/2006/picture">
                        <pic:nvPicPr>
                          <pic:cNvPr id="1281192225" name=""/>
                          <pic:cNvPicPr/>
                        </pic:nvPicPr>
                        <pic:blipFill>
                          <a:blip r:embed="rId11">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9C2953">
              <w:t xml:space="preserve"> </w:t>
            </w:r>
          </w:p>
          <w:p w14:paraId="2DA273E8" w14:textId="63DE7D08" w:rsidR="00774FE9" w:rsidRPr="009C2953" w:rsidRDefault="00774FE9" w:rsidP="00774FE9">
            <w:pPr>
              <w:pStyle w:val="ALogo"/>
            </w:pPr>
          </w:p>
        </w:tc>
        <w:tc>
          <w:tcPr>
            <w:tcW w:w="4819" w:type="dxa"/>
            <w:shd w:val="clear" w:color="auto" w:fill="auto"/>
          </w:tcPr>
          <w:p w14:paraId="4C456592" w14:textId="54A61E32" w:rsidR="00774FE9" w:rsidRPr="009C2953" w:rsidRDefault="00774FE9" w:rsidP="00774FE9">
            <w:pPr>
              <w:pStyle w:val="AConvName"/>
            </w:pPr>
            <w:r w:rsidRPr="009C2953">
              <w:t xml:space="preserve">Plateforme intergouvernementale </w:t>
            </w:r>
            <w:r w:rsidRPr="009C2953">
              <w:br/>
              <w:t>scientifique et politique sur</w:t>
            </w:r>
            <w:r w:rsidR="00F34644" w:rsidRPr="009C2953">
              <w:t xml:space="preserve"> la </w:t>
            </w:r>
            <w:r w:rsidRPr="009C2953">
              <w:br/>
              <w:t>biodiversité et</w:t>
            </w:r>
            <w:r w:rsidR="00F34644" w:rsidRPr="009C2953">
              <w:t xml:space="preserve"> les </w:t>
            </w:r>
            <w:r w:rsidRPr="009C2953">
              <w:t xml:space="preserve">services </w:t>
            </w:r>
            <w:r w:rsidRPr="009C2953">
              <w:br/>
              <w:t>écosystémiques</w:t>
            </w:r>
          </w:p>
        </w:tc>
        <w:tc>
          <w:tcPr>
            <w:tcW w:w="2551" w:type="dxa"/>
            <w:shd w:val="clear" w:color="auto" w:fill="auto"/>
          </w:tcPr>
          <w:p w14:paraId="3BE57139" w14:textId="4FA9396A" w:rsidR="00774FE9" w:rsidRPr="009C2953" w:rsidRDefault="00774FE9" w:rsidP="00774FE9">
            <w:pPr>
              <w:pStyle w:val="AText"/>
            </w:pPr>
            <w:proofErr w:type="spellStart"/>
            <w:r w:rsidRPr="009C2953">
              <w:t>Distr</w:t>
            </w:r>
            <w:proofErr w:type="spellEnd"/>
            <w:r w:rsidRPr="009C2953">
              <w:t xml:space="preserve">. </w:t>
            </w:r>
            <w:proofErr w:type="gramStart"/>
            <w:r w:rsidR="003A4DB3" w:rsidRPr="009C2953">
              <w:t>générale</w:t>
            </w:r>
            <w:proofErr w:type="gramEnd"/>
            <w:r w:rsidRPr="009C2953">
              <w:t xml:space="preserve"> </w:t>
            </w:r>
          </w:p>
          <w:p w14:paraId="06DF3533" w14:textId="24BE5D52" w:rsidR="00774FE9" w:rsidRPr="009C2953" w:rsidRDefault="003A4DB3" w:rsidP="00774FE9">
            <w:pPr>
              <w:pStyle w:val="AText0"/>
            </w:pPr>
            <w:r w:rsidRPr="009C2953">
              <w:t>5 septembre 2023</w:t>
            </w:r>
            <w:r w:rsidR="00774FE9" w:rsidRPr="009C2953">
              <w:t xml:space="preserve"> </w:t>
            </w:r>
          </w:p>
          <w:p w14:paraId="1D566729" w14:textId="6828C1BD" w:rsidR="00774FE9" w:rsidRPr="009C2953" w:rsidRDefault="00774FE9" w:rsidP="00774FE9">
            <w:pPr>
              <w:pStyle w:val="AText"/>
            </w:pPr>
            <w:bookmarkStart w:id="2" w:name="DistributionLang"/>
            <w:r w:rsidRPr="009C2953">
              <w:t xml:space="preserve">Français </w:t>
            </w:r>
            <w:r w:rsidRPr="009C2953">
              <w:br/>
              <w:t>Original : anglais</w:t>
            </w:r>
            <w:bookmarkEnd w:id="2"/>
          </w:p>
        </w:tc>
      </w:tr>
    </w:tbl>
    <w:p w14:paraId="3C100B40" w14:textId="77777777" w:rsidR="00774FE9" w:rsidRPr="009C2953" w:rsidRDefault="00774FE9" w:rsidP="00774FE9">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74FE9" w:rsidRPr="009C2953" w14:paraId="1467BF09" w14:textId="77777777" w:rsidTr="00774FE9">
        <w:trPr>
          <w:trHeight w:val="57"/>
        </w:trPr>
        <w:tc>
          <w:tcPr>
            <w:tcW w:w="4734" w:type="dxa"/>
            <w:shd w:val="clear" w:color="auto" w:fill="auto"/>
          </w:tcPr>
          <w:p w14:paraId="0E5DA76B" w14:textId="6AFD2F47" w:rsidR="00774FE9" w:rsidRPr="009C2953" w:rsidRDefault="00774FE9" w:rsidP="00774FE9">
            <w:pPr>
              <w:pStyle w:val="AATitle"/>
            </w:pPr>
            <w:bookmarkStart w:id="3" w:name="CorNot1Text"/>
            <w:r w:rsidRPr="009C2953">
              <w:t>Plénière de</w:t>
            </w:r>
            <w:r w:rsidR="00F34644" w:rsidRPr="009C2953">
              <w:t xml:space="preserve"> la </w:t>
            </w:r>
            <w:r w:rsidRPr="009C2953">
              <w:t xml:space="preserve">Plateforme intergouvernementale </w:t>
            </w:r>
            <w:r w:rsidRPr="009C2953">
              <w:br/>
              <w:t>scientifique et politique sur</w:t>
            </w:r>
            <w:r w:rsidR="00F34644" w:rsidRPr="009C2953">
              <w:t xml:space="preserve"> la </w:t>
            </w:r>
            <w:r w:rsidRPr="009C2953">
              <w:t xml:space="preserve">biodiversité et </w:t>
            </w:r>
            <w:r w:rsidRPr="009C2953">
              <w:br/>
              <w:t xml:space="preserve">les services écosystémiques </w:t>
            </w:r>
          </w:p>
          <w:p w14:paraId="1D5290E0" w14:textId="46F9A129" w:rsidR="00774FE9" w:rsidRPr="009C2953" w:rsidRDefault="00774FE9" w:rsidP="00774FE9">
            <w:pPr>
              <w:pStyle w:val="AATitle"/>
            </w:pPr>
            <w:r w:rsidRPr="009C2953">
              <w:t>Dixième session</w:t>
            </w:r>
            <w:bookmarkEnd w:id="3"/>
            <w:r w:rsidRPr="009C2953">
              <w:t xml:space="preserve"> </w:t>
            </w:r>
          </w:p>
          <w:p w14:paraId="3CFA8161" w14:textId="39CE73A4" w:rsidR="00774FE9" w:rsidRPr="009C2953" w:rsidRDefault="00774FE9" w:rsidP="003A4DB3">
            <w:pPr>
              <w:pStyle w:val="AATitle1"/>
            </w:pPr>
            <w:bookmarkStart w:id="4" w:name="CorNot1VenueDate"/>
            <w:r w:rsidRPr="009C2953">
              <w:t>Bonn (Allemagne), 28 août–2 septembre 2023</w:t>
            </w:r>
            <w:bookmarkEnd w:id="4"/>
            <w:r w:rsidRPr="009C2953">
              <w:t xml:space="preserve"> </w:t>
            </w:r>
          </w:p>
        </w:tc>
        <w:tc>
          <w:tcPr>
            <w:tcW w:w="4762" w:type="dxa"/>
            <w:shd w:val="clear" w:color="auto" w:fill="auto"/>
          </w:tcPr>
          <w:p w14:paraId="714237E8" w14:textId="77777777" w:rsidR="00774FE9" w:rsidRPr="009C2953" w:rsidRDefault="00774FE9" w:rsidP="00774FE9">
            <w:pPr>
              <w:pStyle w:val="Normal-pool"/>
            </w:pPr>
          </w:p>
        </w:tc>
      </w:tr>
    </w:tbl>
    <w:p w14:paraId="136B5AFB" w14:textId="585FF3A2" w:rsidR="00607B78" w:rsidRPr="009C2953" w:rsidRDefault="00607B78" w:rsidP="00607B78">
      <w:pPr>
        <w:pStyle w:val="BBTitle"/>
      </w:pPr>
      <w:r w:rsidRPr="009C2953">
        <w:t>Rapport de</w:t>
      </w:r>
      <w:r w:rsidR="00F34644" w:rsidRPr="009C2953">
        <w:t xml:space="preserve"> la </w:t>
      </w:r>
      <w:r w:rsidRPr="009C2953">
        <w:t>Plénière de</w:t>
      </w:r>
      <w:r w:rsidR="00F34644" w:rsidRPr="009C2953">
        <w:t xml:space="preserve"> la </w:t>
      </w:r>
      <w:r w:rsidRPr="009C2953">
        <w:t>Plateforme intergouvernementale scientifique et politique sur</w:t>
      </w:r>
      <w:r w:rsidR="00F34644" w:rsidRPr="009C2953">
        <w:t xml:space="preserve"> la </w:t>
      </w:r>
      <w:r w:rsidRPr="009C2953">
        <w:t>biodiversité et</w:t>
      </w:r>
      <w:r w:rsidR="00F34644" w:rsidRPr="009C2953">
        <w:t xml:space="preserve"> les </w:t>
      </w:r>
      <w:r w:rsidRPr="009C2953">
        <w:t>services écosystémiques sur</w:t>
      </w:r>
      <w:r w:rsidR="00F34644" w:rsidRPr="009C2953">
        <w:t xml:space="preserve"> les </w:t>
      </w:r>
      <w:r w:rsidRPr="009C2953">
        <w:t>travaux de</w:t>
      </w:r>
      <w:r w:rsidR="00F34644" w:rsidRPr="009C2953">
        <w:t xml:space="preserve"> sa </w:t>
      </w:r>
      <w:r w:rsidRPr="009C2953">
        <w:t>dixième session</w:t>
      </w:r>
    </w:p>
    <w:p w14:paraId="188E1133" w14:textId="3630EE90" w:rsidR="00607B78" w:rsidRPr="009C2953" w:rsidRDefault="00607B78" w:rsidP="00607B78">
      <w:pPr>
        <w:pStyle w:val="CH1"/>
        <w:tabs>
          <w:tab w:val="left" w:pos="709"/>
        </w:tabs>
      </w:pPr>
      <w:bookmarkStart w:id="5" w:name="_Hlk66723497"/>
      <w:r w:rsidRPr="009C2953">
        <w:tab/>
        <w:t>I.</w:t>
      </w:r>
      <w:r w:rsidRPr="009C2953">
        <w:tab/>
        <w:t>Ouverture de</w:t>
      </w:r>
      <w:r w:rsidR="00F34644" w:rsidRPr="009C2953">
        <w:t xml:space="preserve"> la </w:t>
      </w:r>
      <w:r w:rsidRPr="009C2953">
        <w:t>session</w:t>
      </w:r>
    </w:p>
    <w:p w14:paraId="7C8DAAA9" w14:textId="10412A3E" w:rsidR="00641CA6" w:rsidRPr="009C2953" w:rsidRDefault="00641CA6" w:rsidP="00641CA6">
      <w:pPr>
        <w:pStyle w:val="Normalnumber"/>
        <w:numPr>
          <w:ilvl w:val="0"/>
          <w:numId w:val="2"/>
        </w:numPr>
        <w:rPr>
          <w:lang w:val="fr-FR"/>
        </w:rPr>
      </w:pPr>
      <w:r w:rsidRPr="009C2953">
        <w:rPr>
          <w:lang w:val="fr-FR"/>
        </w:rPr>
        <w:t>La dixième session de</w:t>
      </w:r>
      <w:r w:rsidR="00F34644" w:rsidRPr="009C2953">
        <w:rPr>
          <w:lang w:val="fr-FR"/>
        </w:rPr>
        <w:t xml:space="preserve"> la </w:t>
      </w:r>
      <w:r w:rsidRPr="009C2953">
        <w:rPr>
          <w:lang w:val="fr-FR"/>
        </w:rPr>
        <w:t>Plénière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F34644" w:rsidRPr="009C2953">
        <w:rPr>
          <w:lang w:val="fr-FR"/>
        </w:rPr>
        <w:t xml:space="preserve"> les </w:t>
      </w:r>
      <w:r w:rsidRPr="009C2953">
        <w:rPr>
          <w:lang w:val="fr-FR"/>
        </w:rPr>
        <w:t>services écosystémiques (IPBES) s</w:t>
      </w:r>
      <w:r w:rsidR="00EA2966" w:rsidRPr="009C2953">
        <w:rPr>
          <w:lang w:val="fr-FR"/>
        </w:rPr>
        <w:t>’</w:t>
      </w:r>
      <w:r w:rsidRPr="009C2953">
        <w:rPr>
          <w:lang w:val="fr-FR"/>
        </w:rPr>
        <w:t xml:space="preserve">est tenue au World </w:t>
      </w:r>
      <w:proofErr w:type="spellStart"/>
      <w:r w:rsidRPr="009C2953">
        <w:rPr>
          <w:lang w:val="fr-FR"/>
        </w:rPr>
        <w:t>Conference</w:t>
      </w:r>
      <w:proofErr w:type="spellEnd"/>
      <w:r w:rsidRPr="009C2953">
        <w:rPr>
          <w:lang w:val="fr-FR"/>
        </w:rPr>
        <w:t xml:space="preserve"> Centre Bonn (Allemagne) du 28 août au 2 septembre 2023.</w:t>
      </w:r>
    </w:p>
    <w:p w14:paraId="16D30D8F" w14:textId="693DC4F0" w:rsidR="00641CA6" w:rsidRPr="009C2953" w:rsidRDefault="00641CA6" w:rsidP="00641CA6">
      <w:pPr>
        <w:pStyle w:val="Normalnumber"/>
        <w:numPr>
          <w:ilvl w:val="0"/>
          <w:numId w:val="2"/>
        </w:numPr>
        <w:rPr>
          <w:lang w:val="fr-FR"/>
        </w:rPr>
      </w:pPr>
      <w:r w:rsidRPr="009C2953">
        <w:rPr>
          <w:lang w:val="fr-FR"/>
        </w:rPr>
        <w:t>Après</w:t>
      </w:r>
      <w:r w:rsidR="00F34644" w:rsidRPr="009C2953">
        <w:rPr>
          <w:lang w:val="fr-FR"/>
        </w:rPr>
        <w:t xml:space="preserve"> un </w:t>
      </w:r>
      <w:r w:rsidRPr="009C2953">
        <w:rPr>
          <w:lang w:val="fr-FR"/>
        </w:rPr>
        <w:t>spectacle de musique,</w:t>
      </w:r>
      <w:r w:rsidR="00F34644" w:rsidRPr="009C2953">
        <w:rPr>
          <w:lang w:val="fr-FR"/>
        </w:rPr>
        <w:t xml:space="preserve"> la </w:t>
      </w:r>
      <w:r w:rsidRPr="009C2953">
        <w:rPr>
          <w:lang w:val="fr-FR"/>
        </w:rPr>
        <w:t>session a été ouverte à 10 h</w:t>
      </w:r>
      <w:r w:rsidR="00632E85" w:rsidRPr="009C2953">
        <w:rPr>
          <w:lang w:val="fr-FR"/>
        </w:rPr>
        <w:t xml:space="preserve">eures </w:t>
      </w:r>
      <w:r w:rsidRPr="009C2953">
        <w:rPr>
          <w:lang w:val="fr-FR"/>
        </w:rPr>
        <w:t>par</w:t>
      </w:r>
      <w:r w:rsidR="00F34644" w:rsidRPr="009C2953">
        <w:rPr>
          <w:lang w:val="fr-FR"/>
        </w:rPr>
        <w:t xml:space="preserve"> la </w:t>
      </w:r>
      <w:r w:rsidRPr="009C2953">
        <w:rPr>
          <w:lang w:val="fr-FR"/>
        </w:rPr>
        <w:t>Présidente de l</w:t>
      </w:r>
      <w:r w:rsidR="00EA2966" w:rsidRPr="009C2953">
        <w:rPr>
          <w:lang w:val="fr-FR"/>
        </w:rPr>
        <w:t>’</w:t>
      </w:r>
      <w:r w:rsidRPr="009C2953">
        <w:rPr>
          <w:lang w:val="fr-FR"/>
        </w:rPr>
        <w:t xml:space="preserve">IPBES, Mme Ana María Hernández </w:t>
      </w:r>
      <w:proofErr w:type="spellStart"/>
      <w:r w:rsidRPr="009C2953">
        <w:rPr>
          <w:lang w:val="fr-FR"/>
        </w:rPr>
        <w:t>Salgar</w:t>
      </w:r>
      <w:proofErr w:type="spellEnd"/>
      <w:r w:rsidRPr="009C2953">
        <w:rPr>
          <w:lang w:val="fr-FR"/>
        </w:rPr>
        <w:t>, qui a souhaité</w:t>
      </w:r>
      <w:r w:rsidR="00F34644" w:rsidRPr="009C2953">
        <w:rPr>
          <w:lang w:val="fr-FR"/>
        </w:rPr>
        <w:t xml:space="preserve"> la </w:t>
      </w:r>
      <w:r w:rsidRPr="009C2953">
        <w:rPr>
          <w:lang w:val="fr-FR"/>
        </w:rPr>
        <w:t>bienvenue</w:t>
      </w:r>
      <w:r w:rsidR="00F34644" w:rsidRPr="009C2953">
        <w:rPr>
          <w:lang w:val="fr-FR"/>
        </w:rPr>
        <w:t xml:space="preserve"> aux </w:t>
      </w:r>
      <w:r w:rsidRPr="009C2953">
        <w:rPr>
          <w:lang w:val="fr-FR"/>
        </w:rPr>
        <w:t>participantes et</w:t>
      </w:r>
      <w:r w:rsidR="00F34644" w:rsidRPr="009C2953">
        <w:rPr>
          <w:lang w:val="fr-FR"/>
        </w:rPr>
        <w:t xml:space="preserve"> aux </w:t>
      </w:r>
      <w:r w:rsidRPr="009C2953">
        <w:rPr>
          <w:lang w:val="fr-FR"/>
        </w:rPr>
        <w:t>participants.</w:t>
      </w:r>
    </w:p>
    <w:p w14:paraId="6027183C" w14:textId="0A42A188" w:rsidR="00607B78" w:rsidRPr="009C2953" w:rsidRDefault="00607B78" w:rsidP="008731A8">
      <w:pPr>
        <w:pStyle w:val="Normalnumber"/>
        <w:numPr>
          <w:ilvl w:val="0"/>
          <w:numId w:val="2"/>
        </w:numPr>
        <w:rPr>
          <w:lang w:val="fr-FR"/>
        </w:rPr>
      </w:pPr>
      <w:r w:rsidRPr="009C2953">
        <w:rPr>
          <w:lang w:val="fr-FR"/>
        </w:rPr>
        <w:t>Des déclarations liminaires ont été prononcées par Mme Anne Larigauderie, Secrétaire exécutive de l</w:t>
      </w:r>
      <w:r w:rsidR="00EA2966" w:rsidRPr="009C2953">
        <w:rPr>
          <w:lang w:val="fr-FR"/>
        </w:rPr>
        <w:t>’</w:t>
      </w:r>
      <w:r w:rsidRPr="009C2953">
        <w:rPr>
          <w:lang w:val="fr-FR"/>
        </w:rPr>
        <w:t xml:space="preserve">IPBES ; M. Kyle Powys Whyte, </w:t>
      </w:r>
      <w:r w:rsidR="006C4140" w:rsidRPr="009C2953">
        <w:rPr>
          <w:lang w:val="fr-FR"/>
        </w:rPr>
        <w:t>E</w:t>
      </w:r>
      <w:r w:rsidRPr="009C2953">
        <w:rPr>
          <w:lang w:val="fr-FR"/>
        </w:rPr>
        <w:t>nvoyé scientifique pour</w:t>
      </w:r>
      <w:r w:rsidR="00F34644" w:rsidRPr="009C2953">
        <w:rPr>
          <w:lang w:val="fr-FR"/>
        </w:rPr>
        <w:t xml:space="preserve"> les </w:t>
      </w:r>
      <w:r w:rsidRPr="009C2953">
        <w:rPr>
          <w:lang w:val="fr-FR"/>
        </w:rPr>
        <w:t>savoirs autochtones</w:t>
      </w:r>
      <w:r w:rsidR="00956307" w:rsidRPr="009C2953">
        <w:rPr>
          <w:lang w:val="fr-FR"/>
        </w:rPr>
        <w:t> </w:t>
      </w:r>
      <w:r w:rsidRPr="009C2953">
        <w:rPr>
          <w:lang w:val="fr-FR"/>
        </w:rPr>
        <w:t>(États-Unis d</w:t>
      </w:r>
      <w:r w:rsidR="00EA2966" w:rsidRPr="009C2953">
        <w:rPr>
          <w:lang w:val="fr-FR"/>
        </w:rPr>
        <w:t>’</w:t>
      </w:r>
      <w:r w:rsidRPr="009C2953">
        <w:rPr>
          <w:lang w:val="fr-FR"/>
        </w:rPr>
        <w:t>Amérique) ; Mme Bettina Hoffmann, Secrétaire d</w:t>
      </w:r>
      <w:r w:rsidR="00EA2966" w:rsidRPr="009C2953">
        <w:rPr>
          <w:lang w:val="fr-FR"/>
        </w:rPr>
        <w:t>’</w:t>
      </w:r>
      <w:r w:rsidRPr="009C2953">
        <w:rPr>
          <w:lang w:val="fr-FR"/>
        </w:rPr>
        <w:t>État parlementaire au</w:t>
      </w:r>
      <w:r w:rsidR="00956307" w:rsidRPr="009C2953">
        <w:rPr>
          <w:lang w:val="fr-FR"/>
        </w:rPr>
        <w:t> </w:t>
      </w:r>
      <w:r w:rsidRPr="009C2953">
        <w:rPr>
          <w:lang w:val="fr-FR"/>
        </w:rPr>
        <w:t>Ministère fédéral de l</w:t>
      </w:r>
      <w:r w:rsidR="00EA2966" w:rsidRPr="009C2953">
        <w:rPr>
          <w:lang w:val="fr-FR"/>
        </w:rPr>
        <w:t>’</w:t>
      </w:r>
      <w:r w:rsidRPr="009C2953">
        <w:rPr>
          <w:lang w:val="fr-FR"/>
        </w:rPr>
        <w:t>environnement, de</w:t>
      </w:r>
      <w:r w:rsidR="00F34644" w:rsidRPr="009C2953">
        <w:rPr>
          <w:lang w:val="fr-FR"/>
        </w:rPr>
        <w:t xml:space="preserve"> la </w:t>
      </w:r>
      <w:r w:rsidRPr="009C2953">
        <w:rPr>
          <w:lang w:val="fr-FR"/>
        </w:rPr>
        <w:t>protection de</w:t>
      </w:r>
      <w:r w:rsidR="00F34644" w:rsidRPr="009C2953">
        <w:rPr>
          <w:lang w:val="fr-FR"/>
        </w:rPr>
        <w:t xml:space="preserve"> la </w:t>
      </w:r>
      <w:r w:rsidRPr="009C2953">
        <w:rPr>
          <w:lang w:val="fr-FR"/>
        </w:rPr>
        <w:t>nature, de</w:t>
      </w:r>
      <w:r w:rsidR="00F34644" w:rsidRPr="009C2953">
        <w:rPr>
          <w:lang w:val="fr-FR"/>
        </w:rPr>
        <w:t xml:space="preserve"> la </w:t>
      </w:r>
      <w:r w:rsidRPr="009C2953">
        <w:rPr>
          <w:lang w:val="fr-FR"/>
        </w:rPr>
        <w:t>sûreté nucléaire et de</w:t>
      </w:r>
      <w:r w:rsidR="00F34644" w:rsidRPr="009C2953">
        <w:rPr>
          <w:lang w:val="fr-FR"/>
        </w:rPr>
        <w:t xml:space="preserve"> la </w:t>
      </w:r>
      <w:r w:rsidRPr="009C2953">
        <w:rPr>
          <w:lang w:val="fr-FR"/>
        </w:rPr>
        <w:t>protection</w:t>
      </w:r>
      <w:r w:rsidR="00D24DC1" w:rsidRPr="009C2953">
        <w:rPr>
          <w:lang w:val="fr-FR"/>
        </w:rPr>
        <w:t xml:space="preserve"> des </w:t>
      </w:r>
      <w:r w:rsidRPr="009C2953">
        <w:rPr>
          <w:lang w:val="fr-FR"/>
        </w:rPr>
        <w:t xml:space="preserve">consommateurs (Allemagne) ; M. Hans </w:t>
      </w:r>
      <w:proofErr w:type="spellStart"/>
      <w:r w:rsidRPr="009C2953">
        <w:rPr>
          <w:lang w:val="fr-FR"/>
        </w:rPr>
        <w:t>Thurstrup</w:t>
      </w:r>
      <w:proofErr w:type="spellEnd"/>
      <w:r w:rsidRPr="009C2953">
        <w:rPr>
          <w:lang w:val="fr-FR"/>
        </w:rPr>
        <w:t xml:space="preserve">, </w:t>
      </w:r>
      <w:r w:rsidR="0071009C" w:rsidRPr="009C2953">
        <w:rPr>
          <w:lang w:val="fr-FR"/>
        </w:rPr>
        <w:t>C</w:t>
      </w:r>
      <w:r w:rsidRPr="009C2953">
        <w:rPr>
          <w:lang w:val="fr-FR"/>
        </w:rPr>
        <w:t>hef de</w:t>
      </w:r>
      <w:r w:rsidR="00F34644" w:rsidRPr="009C2953">
        <w:rPr>
          <w:lang w:val="fr-FR"/>
        </w:rPr>
        <w:t xml:space="preserve"> la </w:t>
      </w:r>
      <w:r w:rsidRPr="009C2953">
        <w:rPr>
          <w:lang w:val="fr-FR"/>
        </w:rPr>
        <w:t>section</w:t>
      </w:r>
      <w:r w:rsidR="00D24DC1" w:rsidRPr="009C2953">
        <w:rPr>
          <w:lang w:val="fr-FR"/>
        </w:rPr>
        <w:t xml:space="preserve"> des </w:t>
      </w:r>
      <w:r w:rsidRPr="009C2953">
        <w:rPr>
          <w:lang w:val="fr-FR"/>
        </w:rPr>
        <w:t>réseaux du</w:t>
      </w:r>
      <w:r w:rsidR="00956307" w:rsidRPr="009C2953">
        <w:rPr>
          <w:lang w:val="fr-FR"/>
        </w:rPr>
        <w:t> </w:t>
      </w:r>
      <w:r w:rsidRPr="009C2953">
        <w:rPr>
          <w:lang w:val="fr-FR"/>
        </w:rPr>
        <w:t>Programme sur l</w:t>
      </w:r>
      <w:r w:rsidR="00EA2966" w:rsidRPr="009C2953">
        <w:rPr>
          <w:lang w:val="fr-FR"/>
        </w:rPr>
        <w:t>’</w:t>
      </w:r>
      <w:r w:rsidRPr="009C2953">
        <w:rPr>
          <w:lang w:val="fr-FR"/>
        </w:rPr>
        <w:t>Homme et</w:t>
      </w:r>
      <w:r w:rsidR="00F34644" w:rsidRPr="009C2953">
        <w:rPr>
          <w:lang w:val="fr-FR"/>
        </w:rPr>
        <w:t xml:space="preserve"> la </w:t>
      </w:r>
      <w:r w:rsidRPr="009C2953">
        <w:rPr>
          <w:lang w:val="fr-FR"/>
        </w:rPr>
        <w:t>biosphère de l</w:t>
      </w:r>
      <w:r w:rsidR="00EA2966" w:rsidRPr="009C2953">
        <w:rPr>
          <w:lang w:val="fr-FR"/>
        </w:rPr>
        <w:t>’</w:t>
      </w:r>
      <w:r w:rsidRPr="009C2953">
        <w:rPr>
          <w:lang w:val="fr-FR"/>
        </w:rPr>
        <w:t>Organisation</w:t>
      </w:r>
      <w:r w:rsidR="00D24DC1" w:rsidRPr="009C2953">
        <w:rPr>
          <w:lang w:val="fr-FR"/>
        </w:rPr>
        <w:t xml:space="preserve"> des </w:t>
      </w:r>
      <w:r w:rsidRPr="009C2953">
        <w:rPr>
          <w:lang w:val="fr-FR"/>
        </w:rPr>
        <w:t>Nations Unies pour l</w:t>
      </w:r>
      <w:r w:rsidR="00EA2966" w:rsidRPr="009C2953">
        <w:rPr>
          <w:lang w:val="fr-FR"/>
        </w:rPr>
        <w:t>’</w:t>
      </w:r>
      <w:r w:rsidRPr="009C2953">
        <w:rPr>
          <w:lang w:val="fr-FR"/>
        </w:rPr>
        <w:t>éducation,</w:t>
      </w:r>
      <w:r w:rsidR="00F34644" w:rsidRPr="009C2953">
        <w:rPr>
          <w:lang w:val="fr-FR"/>
        </w:rPr>
        <w:t xml:space="preserve"> la </w:t>
      </w:r>
      <w:r w:rsidRPr="009C2953">
        <w:rPr>
          <w:lang w:val="fr-FR"/>
        </w:rPr>
        <w:t>science et</w:t>
      </w:r>
      <w:r w:rsidR="00F34644" w:rsidRPr="009C2953">
        <w:rPr>
          <w:lang w:val="fr-FR"/>
        </w:rPr>
        <w:t xml:space="preserve"> la </w:t>
      </w:r>
      <w:r w:rsidRPr="009C2953">
        <w:rPr>
          <w:lang w:val="fr-FR"/>
        </w:rPr>
        <w:t>culture (UNESCO), s</w:t>
      </w:r>
      <w:r w:rsidR="00EA2966" w:rsidRPr="009C2953">
        <w:rPr>
          <w:lang w:val="fr-FR"/>
        </w:rPr>
        <w:t>’</w:t>
      </w:r>
      <w:r w:rsidRPr="009C2953">
        <w:rPr>
          <w:lang w:val="fr-FR"/>
        </w:rPr>
        <w:t>exprimant au nom</w:t>
      </w:r>
      <w:r w:rsidR="00D24DC1" w:rsidRPr="009C2953">
        <w:rPr>
          <w:lang w:val="fr-FR"/>
        </w:rPr>
        <w:t xml:space="preserve"> des </w:t>
      </w:r>
      <w:r w:rsidRPr="009C2953">
        <w:rPr>
          <w:lang w:val="fr-FR"/>
        </w:rPr>
        <w:t>quatre organisations</w:t>
      </w:r>
      <w:r w:rsidR="00D24DC1" w:rsidRPr="009C2953">
        <w:rPr>
          <w:lang w:val="fr-FR"/>
        </w:rPr>
        <w:t xml:space="preserve"> des </w:t>
      </w:r>
      <w:r w:rsidRPr="009C2953">
        <w:rPr>
          <w:lang w:val="fr-FR"/>
        </w:rPr>
        <w:t>Nations</w:t>
      </w:r>
      <w:r w:rsidR="00956307" w:rsidRPr="009C2953">
        <w:rPr>
          <w:lang w:val="fr-FR"/>
        </w:rPr>
        <w:t> </w:t>
      </w:r>
      <w:r w:rsidRPr="009C2953">
        <w:rPr>
          <w:lang w:val="fr-FR"/>
        </w:rPr>
        <w:t>Unies qui soutiennent l</w:t>
      </w:r>
      <w:r w:rsidR="00EA2966" w:rsidRPr="009C2953">
        <w:rPr>
          <w:lang w:val="fr-FR"/>
        </w:rPr>
        <w:t>’</w:t>
      </w:r>
      <w:r w:rsidRPr="009C2953">
        <w:rPr>
          <w:lang w:val="fr-FR"/>
        </w:rPr>
        <w:t>IPBES, à savoir l</w:t>
      </w:r>
      <w:r w:rsidR="00EA2966" w:rsidRPr="009C2953">
        <w:rPr>
          <w:lang w:val="fr-FR"/>
        </w:rPr>
        <w:t>’</w:t>
      </w:r>
      <w:r w:rsidRPr="009C2953">
        <w:rPr>
          <w:lang w:val="fr-FR"/>
        </w:rPr>
        <w:t>Organisation</w:t>
      </w:r>
      <w:r w:rsidR="00D24DC1" w:rsidRPr="009C2953">
        <w:rPr>
          <w:lang w:val="fr-FR"/>
        </w:rPr>
        <w:t xml:space="preserve"> des </w:t>
      </w:r>
      <w:r w:rsidRPr="009C2953">
        <w:rPr>
          <w:lang w:val="fr-FR"/>
        </w:rPr>
        <w:t>Nations Unies pour l</w:t>
      </w:r>
      <w:r w:rsidR="00EA2966" w:rsidRPr="009C2953">
        <w:rPr>
          <w:lang w:val="fr-FR"/>
        </w:rPr>
        <w:t>’</w:t>
      </w:r>
      <w:r w:rsidRPr="009C2953">
        <w:rPr>
          <w:lang w:val="fr-FR"/>
        </w:rPr>
        <w:t>alimentation et l</w:t>
      </w:r>
      <w:r w:rsidR="00EA2966" w:rsidRPr="009C2953">
        <w:rPr>
          <w:lang w:val="fr-FR"/>
        </w:rPr>
        <w:t>’</w:t>
      </w:r>
      <w:r w:rsidRPr="009C2953">
        <w:rPr>
          <w:lang w:val="fr-FR"/>
        </w:rPr>
        <w:t>agriculture (FAO),</w:t>
      </w:r>
      <w:r w:rsidR="00F34644" w:rsidRPr="009C2953">
        <w:rPr>
          <w:lang w:val="fr-FR"/>
        </w:rPr>
        <w:t xml:space="preserve"> le </w:t>
      </w:r>
      <w:r w:rsidRPr="009C2953">
        <w:rPr>
          <w:lang w:val="fr-FR"/>
        </w:rPr>
        <w:t>Programme</w:t>
      </w:r>
      <w:r w:rsidR="00D24DC1" w:rsidRPr="009C2953">
        <w:rPr>
          <w:lang w:val="fr-FR"/>
        </w:rPr>
        <w:t xml:space="preserve"> des </w:t>
      </w:r>
      <w:r w:rsidRPr="009C2953">
        <w:rPr>
          <w:lang w:val="fr-FR"/>
        </w:rPr>
        <w:t>Nations Unies pour</w:t>
      </w:r>
      <w:r w:rsidR="00F34644" w:rsidRPr="009C2953">
        <w:rPr>
          <w:lang w:val="fr-FR"/>
        </w:rPr>
        <w:t xml:space="preserve"> le </w:t>
      </w:r>
      <w:r w:rsidRPr="009C2953">
        <w:rPr>
          <w:lang w:val="fr-FR"/>
        </w:rPr>
        <w:t>développement (PNUD),</w:t>
      </w:r>
      <w:r w:rsidR="00F34644" w:rsidRPr="009C2953">
        <w:rPr>
          <w:lang w:val="fr-FR"/>
        </w:rPr>
        <w:t xml:space="preserve"> le </w:t>
      </w:r>
      <w:r w:rsidRPr="009C2953">
        <w:rPr>
          <w:lang w:val="fr-FR"/>
        </w:rPr>
        <w:t>Programme</w:t>
      </w:r>
      <w:r w:rsidR="00D24DC1" w:rsidRPr="009C2953">
        <w:rPr>
          <w:lang w:val="fr-FR"/>
        </w:rPr>
        <w:t xml:space="preserve"> des </w:t>
      </w:r>
      <w:r w:rsidRPr="009C2953">
        <w:rPr>
          <w:lang w:val="fr-FR"/>
        </w:rPr>
        <w:t>Nations</w:t>
      </w:r>
      <w:r w:rsidR="000D47E2" w:rsidRPr="009C2953">
        <w:rPr>
          <w:lang w:val="fr-FR"/>
        </w:rPr>
        <w:t> </w:t>
      </w:r>
      <w:r w:rsidRPr="009C2953">
        <w:rPr>
          <w:lang w:val="fr-FR"/>
        </w:rPr>
        <w:t>Unies pour l</w:t>
      </w:r>
      <w:r w:rsidR="00EA2966" w:rsidRPr="009C2953">
        <w:rPr>
          <w:lang w:val="fr-FR"/>
        </w:rPr>
        <w:t>’</w:t>
      </w:r>
      <w:r w:rsidRPr="009C2953">
        <w:rPr>
          <w:lang w:val="fr-FR"/>
        </w:rPr>
        <w:t>environnement (PNUE) et l</w:t>
      </w:r>
      <w:r w:rsidR="00EA2966" w:rsidRPr="009C2953">
        <w:rPr>
          <w:lang w:val="fr-FR"/>
        </w:rPr>
        <w:t>’</w:t>
      </w:r>
      <w:r w:rsidRPr="009C2953">
        <w:rPr>
          <w:lang w:val="fr-FR"/>
        </w:rPr>
        <w:t>UNESCO ; ainsi que par</w:t>
      </w:r>
      <w:r w:rsidR="00F34644" w:rsidRPr="009C2953">
        <w:rPr>
          <w:lang w:val="fr-FR"/>
        </w:rPr>
        <w:t xml:space="preserve"> la </w:t>
      </w:r>
      <w:r w:rsidRPr="009C2953">
        <w:rPr>
          <w:lang w:val="fr-FR"/>
        </w:rPr>
        <w:t xml:space="preserve">Présidente </w:t>
      </w:r>
      <w:proofErr w:type="gramStart"/>
      <w:r w:rsidRPr="009C2953">
        <w:rPr>
          <w:lang w:val="fr-FR"/>
        </w:rPr>
        <w:t>de</w:t>
      </w:r>
      <w:proofErr w:type="gramEnd"/>
      <w:r w:rsidR="000D47E2" w:rsidRPr="009C2953">
        <w:rPr>
          <w:lang w:val="fr-FR"/>
        </w:rPr>
        <w:t> </w:t>
      </w:r>
      <w:r w:rsidRPr="009C2953">
        <w:rPr>
          <w:lang w:val="fr-FR"/>
        </w:rPr>
        <w:t>l</w:t>
      </w:r>
      <w:r w:rsidR="00EA2966" w:rsidRPr="009C2953">
        <w:rPr>
          <w:lang w:val="fr-FR"/>
        </w:rPr>
        <w:t>’</w:t>
      </w:r>
      <w:r w:rsidRPr="009C2953">
        <w:rPr>
          <w:lang w:val="fr-FR"/>
        </w:rPr>
        <w:t>IPBES.</w:t>
      </w:r>
    </w:p>
    <w:p w14:paraId="56D9AF41" w14:textId="679749F6" w:rsidR="00607B78" w:rsidRPr="009C2953" w:rsidRDefault="00607B78" w:rsidP="008731A8">
      <w:pPr>
        <w:pStyle w:val="Normalnumber"/>
        <w:numPr>
          <w:ilvl w:val="0"/>
          <w:numId w:val="2"/>
        </w:numPr>
        <w:rPr>
          <w:lang w:val="fr-FR"/>
        </w:rPr>
      </w:pPr>
      <w:r w:rsidRPr="009C2953">
        <w:rPr>
          <w:lang w:val="fr-FR"/>
        </w:rPr>
        <w:t>Dans</w:t>
      </w:r>
      <w:r w:rsidR="00F34644" w:rsidRPr="009C2953">
        <w:rPr>
          <w:lang w:val="fr-FR"/>
        </w:rPr>
        <w:t xml:space="preserve"> son </w:t>
      </w:r>
      <w:r w:rsidRPr="009C2953">
        <w:rPr>
          <w:lang w:val="fr-FR"/>
        </w:rPr>
        <w:t>allocution, Mme Larigauderie, souhaitant</w:t>
      </w:r>
      <w:r w:rsidR="00F34644" w:rsidRPr="009C2953">
        <w:rPr>
          <w:lang w:val="fr-FR"/>
        </w:rPr>
        <w:t xml:space="preserve"> la </w:t>
      </w:r>
      <w:r w:rsidRPr="009C2953">
        <w:rPr>
          <w:lang w:val="fr-FR"/>
        </w:rPr>
        <w:t>bienvenue</w:t>
      </w:r>
      <w:r w:rsidR="00F34644" w:rsidRPr="009C2953">
        <w:rPr>
          <w:lang w:val="fr-FR"/>
        </w:rPr>
        <w:t xml:space="preserve"> aux </w:t>
      </w:r>
      <w:r w:rsidRPr="009C2953">
        <w:rPr>
          <w:lang w:val="fr-FR"/>
        </w:rPr>
        <w:t>participantes et participants à</w:t>
      </w:r>
      <w:r w:rsidR="00F34644" w:rsidRPr="009C2953">
        <w:rPr>
          <w:lang w:val="fr-FR"/>
        </w:rPr>
        <w:t xml:space="preserve"> la </w:t>
      </w:r>
      <w:r w:rsidRPr="009C2953">
        <w:rPr>
          <w:lang w:val="fr-FR"/>
        </w:rPr>
        <w:t>dixième session de</w:t>
      </w:r>
      <w:r w:rsidR="00F34644" w:rsidRPr="009C2953">
        <w:rPr>
          <w:lang w:val="fr-FR"/>
        </w:rPr>
        <w:t xml:space="preserve"> la </w:t>
      </w:r>
      <w:r w:rsidRPr="009C2953">
        <w:rPr>
          <w:lang w:val="fr-FR"/>
        </w:rPr>
        <w:t>plénière, a rappelé</w:t>
      </w:r>
      <w:r w:rsidR="00F34644" w:rsidRPr="009C2953">
        <w:rPr>
          <w:lang w:val="fr-FR"/>
        </w:rPr>
        <w:t xml:space="preserve"> les </w:t>
      </w:r>
      <w:r w:rsidRPr="009C2953">
        <w:rPr>
          <w:lang w:val="fr-FR"/>
        </w:rPr>
        <w:t>faits nouveaux intervenus depuis</w:t>
      </w:r>
      <w:r w:rsidR="00F34644" w:rsidRPr="009C2953">
        <w:rPr>
          <w:lang w:val="fr-FR"/>
        </w:rPr>
        <w:t xml:space="preserve"> la </w:t>
      </w:r>
      <w:r w:rsidRPr="009C2953">
        <w:rPr>
          <w:lang w:val="fr-FR"/>
        </w:rPr>
        <w:t>neuvième session, notamment l</w:t>
      </w:r>
      <w:r w:rsidR="00EA2966" w:rsidRPr="009C2953">
        <w:rPr>
          <w:lang w:val="fr-FR"/>
        </w:rPr>
        <w:t>’</w:t>
      </w:r>
      <w:r w:rsidRPr="009C2953">
        <w:rPr>
          <w:lang w:val="fr-FR"/>
        </w:rPr>
        <w:t>adoption du Cadre mondial de</w:t>
      </w:r>
      <w:r w:rsidR="00F34644" w:rsidRPr="009C2953">
        <w:rPr>
          <w:lang w:val="fr-FR"/>
        </w:rPr>
        <w:t xml:space="preserve"> la </w:t>
      </w:r>
      <w:r w:rsidRPr="009C2953">
        <w:rPr>
          <w:lang w:val="fr-FR"/>
        </w:rPr>
        <w:t>biodiversité de Kunming-Montréal par</w:t>
      </w:r>
      <w:r w:rsidR="00F34644" w:rsidRPr="009C2953">
        <w:rPr>
          <w:lang w:val="fr-FR"/>
        </w:rPr>
        <w:t xml:space="preserve"> la </w:t>
      </w:r>
      <w:r w:rsidRPr="009C2953">
        <w:rPr>
          <w:lang w:val="fr-FR"/>
        </w:rPr>
        <w:t>Conférence</w:t>
      </w:r>
      <w:r w:rsidR="00D24DC1" w:rsidRPr="009C2953">
        <w:rPr>
          <w:lang w:val="fr-FR"/>
        </w:rPr>
        <w:t xml:space="preserve"> des </w:t>
      </w:r>
      <w:r w:rsidRPr="009C2953">
        <w:rPr>
          <w:lang w:val="fr-FR"/>
        </w:rPr>
        <w:t>Parties à</w:t>
      </w:r>
      <w:r w:rsidR="00F34644" w:rsidRPr="009C2953">
        <w:rPr>
          <w:lang w:val="fr-FR"/>
        </w:rPr>
        <w:t xml:space="preserve"> la </w:t>
      </w:r>
      <w:r w:rsidRPr="009C2953">
        <w:rPr>
          <w:lang w:val="fr-FR"/>
        </w:rPr>
        <w:t>Convention sur</w:t>
      </w:r>
      <w:r w:rsidR="00F34644" w:rsidRPr="009C2953">
        <w:rPr>
          <w:lang w:val="fr-FR"/>
        </w:rPr>
        <w:t xml:space="preserve"> la </w:t>
      </w:r>
      <w:r w:rsidRPr="009C2953">
        <w:rPr>
          <w:lang w:val="fr-FR"/>
        </w:rPr>
        <w:t>diversité biologique, à</w:t>
      </w:r>
      <w:r w:rsidR="00F34644" w:rsidRPr="009C2953">
        <w:rPr>
          <w:lang w:val="fr-FR"/>
        </w:rPr>
        <w:t xml:space="preserve"> sa </w:t>
      </w:r>
      <w:r w:rsidRPr="009C2953">
        <w:rPr>
          <w:lang w:val="fr-FR"/>
        </w:rPr>
        <w:t>quinzième réunion, en</w:t>
      </w:r>
      <w:r w:rsidR="00740478" w:rsidRPr="009C2953">
        <w:rPr>
          <w:lang w:val="fr-FR"/>
        </w:rPr>
        <w:t> </w:t>
      </w:r>
      <w:r w:rsidRPr="009C2953">
        <w:rPr>
          <w:lang w:val="fr-FR"/>
        </w:rPr>
        <w:t>décembre 2022. L</w:t>
      </w:r>
      <w:r w:rsidR="00EA2966" w:rsidRPr="009C2953">
        <w:rPr>
          <w:lang w:val="fr-FR"/>
        </w:rPr>
        <w:t>’</w:t>
      </w:r>
      <w:r w:rsidRPr="009C2953">
        <w:rPr>
          <w:lang w:val="fr-FR"/>
        </w:rPr>
        <w:t>IPBES avait été</w:t>
      </w:r>
      <w:r w:rsidR="00F34644" w:rsidRPr="009C2953">
        <w:rPr>
          <w:lang w:val="fr-FR"/>
        </w:rPr>
        <w:t xml:space="preserve"> une </w:t>
      </w:r>
      <w:r w:rsidRPr="009C2953">
        <w:rPr>
          <w:lang w:val="fr-FR"/>
        </w:rPr>
        <w:t>source essentielle de connaissances pour</w:t>
      </w:r>
      <w:r w:rsidR="00F34644" w:rsidRPr="009C2953">
        <w:rPr>
          <w:lang w:val="fr-FR"/>
        </w:rPr>
        <w:t xml:space="preserve"> le </w:t>
      </w:r>
      <w:r w:rsidRPr="009C2953">
        <w:rPr>
          <w:lang w:val="fr-FR"/>
        </w:rPr>
        <w:t>nouveau Cadre et contribuerait largement à éclairer</w:t>
      </w:r>
      <w:r w:rsidR="00F34644" w:rsidRPr="009C2953">
        <w:rPr>
          <w:lang w:val="fr-FR"/>
        </w:rPr>
        <w:t xml:space="preserve"> sa </w:t>
      </w:r>
      <w:r w:rsidRPr="009C2953">
        <w:rPr>
          <w:lang w:val="fr-FR"/>
        </w:rPr>
        <w:t>mise en œuvre.</w:t>
      </w:r>
      <w:r w:rsidR="00F34644" w:rsidRPr="009C2953">
        <w:rPr>
          <w:lang w:val="fr-FR"/>
        </w:rPr>
        <w:t xml:space="preserve"> Les </w:t>
      </w:r>
      <w:r w:rsidRPr="009C2953">
        <w:rPr>
          <w:lang w:val="fr-FR"/>
        </w:rPr>
        <w:t>nouveaux travaux demandés à l</w:t>
      </w:r>
      <w:r w:rsidR="00EA2966" w:rsidRPr="009C2953">
        <w:rPr>
          <w:lang w:val="fr-FR"/>
        </w:rPr>
        <w:t>’</w:t>
      </w:r>
      <w:r w:rsidRPr="009C2953">
        <w:rPr>
          <w:lang w:val="fr-FR"/>
        </w:rPr>
        <w:t>IPBES par</w:t>
      </w:r>
      <w:r w:rsidR="00F34644" w:rsidRPr="009C2953">
        <w:rPr>
          <w:lang w:val="fr-FR"/>
        </w:rPr>
        <w:t xml:space="preserve"> la </w:t>
      </w:r>
      <w:r w:rsidRPr="009C2953">
        <w:rPr>
          <w:lang w:val="fr-FR"/>
        </w:rPr>
        <w:t>Conférence</w:t>
      </w:r>
      <w:r w:rsidR="00D24DC1" w:rsidRPr="009C2953">
        <w:rPr>
          <w:lang w:val="fr-FR"/>
        </w:rPr>
        <w:t xml:space="preserve"> des </w:t>
      </w:r>
      <w:r w:rsidRPr="009C2953">
        <w:rPr>
          <w:lang w:val="fr-FR"/>
        </w:rPr>
        <w:t>Parties seraient examinés à</w:t>
      </w:r>
      <w:r w:rsidR="00F34644" w:rsidRPr="009C2953">
        <w:rPr>
          <w:lang w:val="fr-FR"/>
        </w:rPr>
        <w:t xml:space="preserve"> la </w:t>
      </w:r>
      <w:r w:rsidRPr="009C2953">
        <w:rPr>
          <w:lang w:val="fr-FR"/>
        </w:rPr>
        <w:t>réunion en cours, de même que</w:t>
      </w:r>
      <w:r w:rsidR="00F34644" w:rsidRPr="009C2953">
        <w:rPr>
          <w:lang w:val="fr-FR"/>
        </w:rPr>
        <w:t xml:space="preserve"> les </w:t>
      </w:r>
      <w:r w:rsidRPr="009C2953">
        <w:rPr>
          <w:lang w:val="fr-FR"/>
        </w:rPr>
        <w:t>demandes</w:t>
      </w:r>
      <w:r w:rsidR="00D24DC1" w:rsidRPr="009C2953">
        <w:rPr>
          <w:lang w:val="fr-FR"/>
        </w:rPr>
        <w:t xml:space="preserve"> des </w:t>
      </w:r>
      <w:r w:rsidRPr="009C2953">
        <w:rPr>
          <w:lang w:val="fr-FR"/>
        </w:rPr>
        <w:t>membres de l</w:t>
      </w:r>
      <w:r w:rsidR="00EA2966" w:rsidRPr="009C2953">
        <w:rPr>
          <w:lang w:val="fr-FR"/>
        </w:rPr>
        <w:t>’</w:t>
      </w:r>
      <w:r w:rsidRPr="009C2953">
        <w:rPr>
          <w:lang w:val="fr-FR"/>
        </w:rPr>
        <w:t>IPBES et</w:t>
      </w:r>
      <w:r w:rsidR="00F34644" w:rsidRPr="009C2953">
        <w:rPr>
          <w:lang w:val="fr-FR"/>
        </w:rPr>
        <w:t xml:space="preserve"> les </w:t>
      </w:r>
      <w:r w:rsidRPr="009C2953">
        <w:rPr>
          <w:lang w:val="fr-FR"/>
        </w:rPr>
        <w:t>contributions et suggestions</w:t>
      </w:r>
      <w:r w:rsidR="00D24DC1" w:rsidRPr="009C2953">
        <w:rPr>
          <w:lang w:val="fr-FR"/>
        </w:rPr>
        <w:t xml:space="preserve"> des </w:t>
      </w:r>
      <w:r w:rsidRPr="009C2953">
        <w:rPr>
          <w:lang w:val="fr-FR"/>
        </w:rPr>
        <w:t>parties prenantes. En outre,</w:t>
      </w:r>
      <w:r w:rsidR="00F34644" w:rsidRPr="009C2953">
        <w:rPr>
          <w:lang w:val="fr-FR"/>
        </w:rPr>
        <w:t xml:space="preserve"> le </w:t>
      </w:r>
      <w:r w:rsidRPr="009C2953">
        <w:rPr>
          <w:lang w:val="fr-FR"/>
        </w:rPr>
        <w:t>rapport d</w:t>
      </w:r>
      <w:r w:rsidR="00EA2966" w:rsidRPr="009C2953">
        <w:rPr>
          <w:lang w:val="fr-FR"/>
        </w:rPr>
        <w:t>’</w:t>
      </w:r>
      <w:r w:rsidRPr="009C2953">
        <w:rPr>
          <w:lang w:val="fr-FR"/>
        </w:rPr>
        <w:t>évaluation</w:t>
      </w:r>
      <w:r w:rsidR="00D24DC1" w:rsidRPr="009C2953">
        <w:rPr>
          <w:lang w:val="fr-FR"/>
        </w:rPr>
        <w:t xml:space="preserve"> des </w:t>
      </w:r>
      <w:r w:rsidRPr="009C2953">
        <w:rPr>
          <w:lang w:val="fr-FR"/>
        </w:rPr>
        <w:t>diverses valeurs de</w:t>
      </w:r>
      <w:r w:rsidR="00F34644" w:rsidRPr="009C2953">
        <w:rPr>
          <w:lang w:val="fr-FR"/>
        </w:rPr>
        <w:t xml:space="preserve"> la </w:t>
      </w:r>
      <w:r w:rsidRPr="009C2953">
        <w:rPr>
          <w:lang w:val="fr-FR"/>
        </w:rPr>
        <w:t>nature et de</w:t>
      </w:r>
      <w:r w:rsidR="00F34644" w:rsidRPr="009C2953">
        <w:rPr>
          <w:lang w:val="fr-FR"/>
        </w:rPr>
        <w:t xml:space="preserve"> leur </w:t>
      </w:r>
      <w:r w:rsidRPr="009C2953">
        <w:rPr>
          <w:lang w:val="fr-FR"/>
        </w:rPr>
        <w:t>estimation et</w:t>
      </w:r>
      <w:r w:rsidR="00F34644" w:rsidRPr="009C2953">
        <w:rPr>
          <w:lang w:val="fr-FR"/>
        </w:rPr>
        <w:t xml:space="preserve"> le </w:t>
      </w:r>
      <w:r w:rsidRPr="009C2953">
        <w:rPr>
          <w:lang w:val="fr-FR"/>
        </w:rPr>
        <w:t>rapport d</w:t>
      </w:r>
      <w:r w:rsidR="00EA2966" w:rsidRPr="009C2953">
        <w:rPr>
          <w:lang w:val="fr-FR"/>
        </w:rPr>
        <w:t>’</w:t>
      </w:r>
      <w:r w:rsidRPr="009C2953">
        <w:rPr>
          <w:lang w:val="fr-FR"/>
        </w:rPr>
        <w:t>évaluation sur l</w:t>
      </w:r>
      <w:r w:rsidR="00EA2966" w:rsidRPr="009C2953">
        <w:rPr>
          <w:lang w:val="fr-FR"/>
        </w:rPr>
        <w:t>’</w:t>
      </w:r>
      <w:r w:rsidRPr="009C2953">
        <w:rPr>
          <w:lang w:val="fr-FR"/>
        </w:rPr>
        <w:t>utilisation durable</w:t>
      </w:r>
      <w:r w:rsidR="00D24DC1" w:rsidRPr="009C2953">
        <w:rPr>
          <w:lang w:val="fr-FR"/>
        </w:rPr>
        <w:t xml:space="preserve"> des </w:t>
      </w:r>
      <w:r w:rsidRPr="009C2953">
        <w:rPr>
          <w:lang w:val="fr-FR"/>
        </w:rPr>
        <w:t>espèces sauvages, approuvés à</w:t>
      </w:r>
      <w:r w:rsidR="00F34644" w:rsidRPr="009C2953">
        <w:rPr>
          <w:lang w:val="fr-FR"/>
        </w:rPr>
        <w:t xml:space="preserve"> la </w:t>
      </w:r>
      <w:r w:rsidRPr="009C2953">
        <w:rPr>
          <w:lang w:val="fr-FR"/>
        </w:rPr>
        <w:t>neuvième session de</w:t>
      </w:r>
      <w:r w:rsidR="00F34644" w:rsidRPr="009C2953">
        <w:rPr>
          <w:lang w:val="fr-FR"/>
        </w:rPr>
        <w:t xml:space="preserve"> la </w:t>
      </w:r>
      <w:r w:rsidRPr="009C2953">
        <w:rPr>
          <w:lang w:val="fr-FR"/>
        </w:rPr>
        <w:t>Plénière, avaient déjà commencé à éclairer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Ainsi,</w:t>
      </w:r>
      <w:r w:rsidR="00F34644" w:rsidRPr="009C2953">
        <w:rPr>
          <w:lang w:val="fr-FR"/>
        </w:rPr>
        <w:t xml:space="preserve"> la </w:t>
      </w:r>
      <w:r w:rsidRPr="009C2953">
        <w:rPr>
          <w:lang w:val="fr-FR"/>
        </w:rPr>
        <w:t>Conférence</w:t>
      </w:r>
      <w:r w:rsidR="00D24DC1" w:rsidRPr="009C2953">
        <w:rPr>
          <w:lang w:val="fr-FR"/>
        </w:rPr>
        <w:t xml:space="preserve"> des </w:t>
      </w:r>
      <w:r w:rsidRPr="009C2953">
        <w:rPr>
          <w:lang w:val="fr-FR"/>
        </w:rPr>
        <w:t>Parties à</w:t>
      </w:r>
      <w:r w:rsidR="00F34644" w:rsidRPr="009C2953">
        <w:rPr>
          <w:lang w:val="fr-FR"/>
        </w:rPr>
        <w:t xml:space="preserve"> la </w:t>
      </w:r>
      <w:r w:rsidRPr="009C2953">
        <w:rPr>
          <w:lang w:val="fr-FR"/>
        </w:rPr>
        <w:t>Convention sur</w:t>
      </w:r>
      <w:r w:rsidR="00F34644" w:rsidRPr="009C2953">
        <w:rPr>
          <w:lang w:val="fr-FR"/>
        </w:rPr>
        <w:t xml:space="preserve"> le </w:t>
      </w:r>
      <w:r w:rsidRPr="009C2953">
        <w:rPr>
          <w:lang w:val="fr-FR"/>
        </w:rPr>
        <w:t>commerce international</w:t>
      </w:r>
      <w:r w:rsidR="00D24DC1" w:rsidRPr="009C2953">
        <w:rPr>
          <w:lang w:val="fr-FR"/>
        </w:rPr>
        <w:t xml:space="preserve"> des </w:t>
      </w:r>
      <w:r w:rsidRPr="009C2953">
        <w:rPr>
          <w:lang w:val="fr-FR"/>
        </w:rPr>
        <w:t>espèces de faune et de flore sauvages menacées d</w:t>
      </w:r>
      <w:r w:rsidR="00EA2966" w:rsidRPr="009C2953">
        <w:rPr>
          <w:lang w:val="fr-FR"/>
        </w:rPr>
        <w:t>’</w:t>
      </w:r>
      <w:r w:rsidRPr="009C2953">
        <w:rPr>
          <w:lang w:val="fr-FR"/>
        </w:rPr>
        <w:t>extinction se penchait actuellement sur ce dernier rapport et, à</w:t>
      </w:r>
      <w:r w:rsidR="00F34644" w:rsidRPr="009C2953">
        <w:rPr>
          <w:lang w:val="fr-FR"/>
        </w:rPr>
        <w:t xml:space="preserve"> sa </w:t>
      </w:r>
      <w:r w:rsidRPr="009C2953">
        <w:rPr>
          <w:lang w:val="fr-FR"/>
        </w:rPr>
        <w:t>vingtième réunion, en 2025, elle examinerait officiellement</w:t>
      </w:r>
      <w:r w:rsidR="00F34644" w:rsidRPr="009C2953">
        <w:rPr>
          <w:lang w:val="fr-FR"/>
        </w:rPr>
        <w:t xml:space="preserve"> les </w:t>
      </w:r>
      <w:r w:rsidRPr="009C2953">
        <w:rPr>
          <w:lang w:val="fr-FR"/>
        </w:rPr>
        <w:t>recommandations qui en découlent. De même, l</w:t>
      </w:r>
      <w:r w:rsidR="00EA2966" w:rsidRPr="009C2953">
        <w:rPr>
          <w:lang w:val="fr-FR"/>
        </w:rPr>
        <w:t>’</w:t>
      </w:r>
      <w:r w:rsidRPr="009C2953">
        <w:rPr>
          <w:lang w:val="fr-FR"/>
        </w:rPr>
        <w:t>Organe subsidiaire chargé de fournir</w:t>
      </w:r>
      <w:r w:rsidR="00D24DC1" w:rsidRPr="009C2953">
        <w:rPr>
          <w:lang w:val="fr-FR"/>
        </w:rPr>
        <w:t xml:space="preserve"> des </w:t>
      </w:r>
      <w:r w:rsidRPr="009C2953">
        <w:rPr>
          <w:lang w:val="fr-FR"/>
        </w:rPr>
        <w:t>avis scientifiques, techniques et technologiques de</w:t>
      </w:r>
      <w:r w:rsidR="00F34644" w:rsidRPr="009C2953">
        <w:rPr>
          <w:lang w:val="fr-FR"/>
        </w:rPr>
        <w:t xml:space="preserve"> la </w:t>
      </w:r>
      <w:r w:rsidRPr="009C2953">
        <w:rPr>
          <w:lang w:val="fr-FR"/>
        </w:rPr>
        <w:t>Convention sur</w:t>
      </w:r>
      <w:r w:rsidR="00F34644" w:rsidRPr="009C2953">
        <w:rPr>
          <w:lang w:val="fr-FR"/>
        </w:rPr>
        <w:t xml:space="preserve"> la </w:t>
      </w:r>
      <w:r w:rsidRPr="009C2953">
        <w:rPr>
          <w:lang w:val="fr-FR"/>
        </w:rPr>
        <w:t>diversité biologique, à</w:t>
      </w:r>
      <w:r w:rsidR="00085988" w:rsidRPr="009C2953">
        <w:rPr>
          <w:lang w:val="fr-FR"/>
        </w:rPr>
        <w:t> </w:t>
      </w:r>
      <w:r w:rsidR="00F34644" w:rsidRPr="009C2953">
        <w:rPr>
          <w:lang w:val="fr-FR"/>
        </w:rPr>
        <w:t>sa </w:t>
      </w:r>
      <w:r w:rsidRPr="009C2953">
        <w:rPr>
          <w:lang w:val="fr-FR"/>
        </w:rPr>
        <w:t>vingt</w:t>
      </w:r>
      <w:r w:rsidR="00740478" w:rsidRPr="009C2953">
        <w:rPr>
          <w:lang w:val="fr-FR"/>
        </w:rPr>
        <w:noBreakHyphen/>
      </w:r>
      <w:r w:rsidRPr="009C2953">
        <w:rPr>
          <w:lang w:val="fr-FR"/>
        </w:rPr>
        <w:t>cinquième réunion, préparerait</w:t>
      </w:r>
      <w:r w:rsidR="00D24DC1" w:rsidRPr="009C2953">
        <w:rPr>
          <w:lang w:val="fr-FR"/>
        </w:rPr>
        <w:t xml:space="preserve"> des </w:t>
      </w:r>
      <w:r w:rsidRPr="009C2953">
        <w:rPr>
          <w:lang w:val="fr-FR"/>
        </w:rPr>
        <w:t>recommandations concernant l</w:t>
      </w:r>
      <w:r w:rsidR="00EA2966" w:rsidRPr="009C2953">
        <w:rPr>
          <w:lang w:val="fr-FR"/>
        </w:rPr>
        <w:t>’</w:t>
      </w:r>
      <w:r w:rsidRPr="009C2953">
        <w:rPr>
          <w:lang w:val="fr-FR"/>
        </w:rPr>
        <w:t>utilisation</w:t>
      </w:r>
      <w:r w:rsidR="00D24DC1" w:rsidRPr="009C2953">
        <w:rPr>
          <w:lang w:val="fr-FR"/>
        </w:rPr>
        <w:t xml:space="preserve"> </w:t>
      </w:r>
      <w:r w:rsidR="00D24DC1" w:rsidRPr="009C2953">
        <w:rPr>
          <w:lang w:val="fr-FR"/>
        </w:rPr>
        <w:lastRenderedPageBreak/>
        <w:t>des </w:t>
      </w:r>
      <w:r w:rsidRPr="009C2953">
        <w:rPr>
          <w:lang w:val="fr-FR"/>
        </w:rPr>
        <w:t>deux</w:t>
      </w:r>
      <w:r w:rsidR="00740478" w:rsidRPr="009C2953">
        <w:rPr>
          <w:lang w:val="fr-FR"/>
        </w:rPr>
        <w:t> </w:t>
      </w:r>
      <w:r w:rsidRPr="009C2953">
        <w:rPr>
          <w:lang w:val="fr-FR"/>
        </w:rPr>
        <w:t>rapports ainsi que celle du rapport sur</w:t>
      </w:r>
      <w:r w:rsidR="00F34644" w:rsidRPr="009C2953">
        <w:rPr>
          <w:lang w:val="fr-FR"/>
        </w:rPr>
        <w:t xml:space="preserve"> les </w:t>
      </w:r>
      <w:r w:rsidRPr="009C2953">
        <w:rPr>
          <w:lang w:val="fr-FR"/>
        </w:rPr>
        <w:t>espèces exotiques envahissantes, qui serait étudié</w:t>
      </w:r>
      <w:r w:rsidR="00DE48DE" w:rsidRPr="009C2953">
        <w:rPr>
          <w:lang w:val="fr-FR"/>
        </w:rPr>
        <w:t> </w:t>
      </w:r>
      <w:r w:rsidRPr="009C2953">
        <w:rPr>
          <w:lang w:val="fr-FR"/>
        </w:rPr>
        <w:t>à</w:t>
      </w:r>
      <w:r w:rsidR="00D30320" w:rsidRPr="009C2953">
        <w:rPr>
          <w:lang w:val="fr-FR"/>
        </w:rPr>
        <w:t> </w:t>
      </w:r>
      <w:r w:rsidR="00F34644" w:rsidRPr="009C2953">
        <w:rPr>
          <w:lang w:val="fr-FR"/>
        </w:rPr>
        <w:t>la </w:t>
      </w:r>
      <w:r w:rsidRPr="009C2953">
        <w:rPr>
          <w:lang w:val="fr-FR"/>
        </w:rPr>
        <w:t>réunion en cours, pour examen par</w:t>
      </w:r>
      <w:r w:rsidR="00F34644" w:rsidRPr="009C2953">
        <w:rPr>
          <w:lang w:val="fr-FR"/>
        </w:rPr>
        <w:t xml:space="preserve"> la </w:t>
      </w:r>
      <w:r w:rsidRPr="009C2953">
        <w:rPr>
          <w:lang w:val="fr-FR"/>
        </w:rPr>
        <w:t>Conférence</w:t>
      </w:r>
      <w:r w:rsidR="00D24DC1" w:rsidRPr="009C2953">
        <w:rPr>
          <w:lang w:val="fr-FR"/>
        </w:rPr>
        <w:t xml:space="preserve"> des </w:t>
      </w:r>
      <w:r w:rsidRPr="009C2953">
        <w:rPr>
          <w:lang w:val="fr-FR"/>
        </w:rPr>
        <w:t>Parties, à</w:t>
      </w:r>
      <w:r w:rsidR="00F34644" w:rsidRPr="009C2953">
        <w:rPr>
          <w:lang w:val="fr-FR"/>
        </w:rPr>
        <w:t xml:space="preserve"> sa </w:t>
      </w:r>
      <w:r w:rsidRPr="009C2953">
        <w:rPr>
          <w:lang w:val="fr-FR"/>
        </w:rPr>
        <w:t>seizième réunion. En</w:t>
      </w:r>
      <w:r w:rsidR="00740478" w:rsidRPr="009C2953">
        <w:rPr>
          <w:lang w:val="fr-FR"/>
        </w:rPr>
        <w:t> </w:t>
      </w:r>
      <w:r w:rsidRPr="009C2953">
        <w:rPr>
          <w:lang w:val="fr-FR"/>
        </w:rPr>
        <w:t>outre,</w:t>
      </w:r>
      <w:r w:rsidR="00740478" w:rsidRPr="009C2953">
        <w:rPr>
          <w:lang w:val="fr-FR"/>
        </w:rPr>
        <w:t> </w:t>
      </w:r>
      <w:r w:rsidRPr="009C2953">
        <w:rPr>
          <w:lang w:val="fr-FR"/>
        </w:rPr>
        <w:t>depuis</w:t>
      </w:r>
      <w:r w:rsidR="00F34644" w:rsidRPr="009C2953">
        <w:rPr>
          <w:lang w:val="fr-FR"/>
        </w:rPr>
        <w:t xml:space="preserve"> la </w:t>
      </w:r>
      <w:r w:rsidRPr="009C2953">
        <w:rPr>
          <w:lang w:val="fr-FR"/>
        </w:rPr>
        <w:t>neuvième session, l</w:t>
      </w:r>
      <w:r w:rsidR="00EA2966" w:rsidRPr="009C2953">
        <w:rPr>
          <w:lang w:val="fr-FR"/>
        </w:rPr>
        <w:t>’</w:t>
      </w:r>
      <w:r w:rsidRPr="009C2953">
        <w:rPr>
          <w:lang w:val="fr-FR"/>
        </w:rPr>
        <w:t>IPBES avait reçu, conjointement avec</w:t>
      </w:r>
      <w:r w:rsidR="00F34644" w:rsidRPr="009C2953">
        <w:rPr>
          <w:lang w:val="fr-FR"/>
        </w:rPr>
        <w:t xml:space="preserve"> le </w:t>
      </w:r>
      <w:r w:rsidRPr="009C2953">
        <w:rPr>
          <w:lang w:val="fr-FR"/>
        </w:rPr>
        <w:t>Groupe d</w:t>
      </w:r>
      <w:r w:rsidR="00EA2966" w:rsidRPr="009C2953">
        <w:rPr>
          <w:lang w:val="fr-FR"/>
        </w:rPr>
        <w:t>’</w:t>
      </w:r>
      <w:r w:rsidRPr="009C2953">
        <w:rPr>
          <w:lang w:val="fr-FR"/>
        </w:rPr>
        <w:t>experts intergouvernemental sur l</w:t>
      </w:r>
      <w:r w:rsidR="00EA2966" w:rsidRPr="009C2953">
        <w:rPr>
          <w:lang w:val="fr-FR"/>
        </w:rPr>
        <w:t>’</w:t>
      </w:r>
      <w:r w:rsidRPr="009C2953">
        <w:rPr>
          <w:lang w:val="fr-FR"/>
        </w:rPr>
        <w:t>évolution du climat (GIEC),</w:t>
      </w:r>
      <w:r w:rsidR="00F34644" w:rsidRPr="009C2953">
        <w:rPr>
          <w:lang w:val="fr-FR"/>
        </w:rPr>
        <w:t xml:space="preserve"> le </w:t>
      </w:r>
      <w:r w:rsidRPr="009C2953">
        <w:rPr>
          <w:lang w:val="fr-FR"/>
        </w:rPr>
        <w:t>Prix Gulbenkian pour l</w:t>
      </w:r>
      <w:r w:rsidR="00EA2966" w:rsidRPr="009C2953">
        <w:rPr>
          <w:lang w:val="fr-FR"/>
        </w:rPr>
        <w:t>’</w:t>
      </w:r>
      <w:r w:rsidRPr="009C2953">
        <w:rPr>
          <w:lang w:val="fr-FR"/>
        </w:rPr>
        <w:t>humanité 2022 pour</w:t>
      </w:r>
      <w:r w:rsidR="00D30320" w:rsidRPr="009C2953">
        <w:rPr>
          <w:lang w:val="fr-FR"/>
        </w:rPr>
        <w:t> </w:t>
      </w:r>
      <w:r w:rsidR="00F34644" w:rsidRPr="009C2953">
        <w:rPr>
          <w:lang w:val="fr-FR"/>
        </w:rPr>
        <w:t>son </w:t>
      </w:r>
      <w:r w:rsidRPr="009C2953">
        <w:rPr>
          <w:lang w:val="fr-FR"/>
        </w:rPr>
        <w:t>travail sur</w:t>
      </w:r>
      <w:r w:rsidR="00F34644" w:rsidRPr="009C2953">
        <w:rPr>
          <w:lang w:val="fr-FR"/>
        </w:rPr>
        <w:t xml:space="preserve"> la </w:t>
      </w:r>
      <w:r w:rsidRPr="009C2953">
        <w:rPr>
          <w:lang w:val="fr-FR"/>
        </w:rPr>
        <w:t>biodiversité et</w:t>
      </w:r>
      <w:r w:rsidR="00F34644" w:rsidRPr="009C2953">
        <w:rPr>
          <w:lang w:val="fr-FR"/>
        </w:rPr>
        <w:t xml:space="preserve"> les </w:t>
      </w:r>
      <w:r w:rsidRPr="009C2953">
        <w:rPr>
          <w:lang w:val="fr-FR"/>
        </w:rPr>
        <w:t>changements climatiques.</w:t>
      </w:r>
      <w:r w:rsidR="00F34644" w:rsidRPr="009C2953">
        <w:rPr>
          <w:lang w:val="fr-FR"/>
        </w:rPr>
        <w:t xml:space="preserve"> La </w:t>
      </w:r>
      <w:r w:rsidRPr="009C2953">
        <w:rPr>
          <w:lang w:val="fr-FR"/>
        </w:rPr>
        <w:t>Plateforme avait également accueilli</w:t>
      </w:r>
      <w:r w:rsidR="00740478" w:rsidRPr="009C2953">
        <w:rPr>
          <w:lang w:val="fr-FR"/>
        </w:rPr>
        <w:t> </w:t>
      </w:r>
      <w:r w:rsidRPr="009C2953">
        <w:rPr>
          <w:lang w:val="fr-FR"/>
        </w:rPr>
        <w:t>4 nouveaux membres, ce qui portait</w:t>
      </w:r>
      <w:r w:rsidR="00F34644" w:rsidRPr="009C2953">
        <w:rPr>
          <w:lang w:val="fr-FR"/>
        </w:rPr>
        <w:t xml:space="preserve"> le </w:t>
      </w:r>
      <w:r w:rsidRPr="009C2953">
        <w:rPr>
          <w:lang w:val="fr-FR"/>
        </w:rPr>
        <w:t>nombre total de membres à 143.</w:t>
      </w:r>
    </w:p>
    <w:p w14:paraId="78253B4F" w14:textId="47D9A79B" w:rsidR="00607B78" w:rsidRPr="009C2953" w:rsidRDefault="00607B78" w:rsidP="008731A8">
      <w:pPr>
        <w:pStyle w:val="Normalnumber"/>
        <w:numPr>
          <w:ilvl w:val="0"/>
          <w:numId w:val="2"/>
        </w:numPr>
        <w:rPr>
          <w:lang w:val="fr-FR"/>
        </w:rPr>
      </w:pPr>
      <w:r w:rsidRPr="009C2953">
        <w:rPr>
          <w:lang w:val="fr-FR"/>
        </w:rPr>
        <w:t>Pour conclure, Mme Larigauderie a remercié toutes</w:t>
      </w:r>
      <w:r w:rsidR="00F34644" w:rsidRPr="009C2953">
        <w:rPr>
          <w:lang w:val="fr-FR"/>
        </w:rPr>
        <w:t xml:space="preserve"> les </w:t>
      </w:r>
      <w:r w:rsidRPr="009C2953">
        <w:rPr>
          <w:lang w:val="fr-FR"/>
        </w:rPr>
        <w:t>personnes qui avaient contribué à</w:t>
      </w:r>
      <w:r w:rsidR="00740478" w:rsidRPr="009C2953">
        <w:rPr>
          <w:lang w:val="fr-FR"/>
        </w:rPr>
        <w:t> </w:t>
      </w:r>
      <w:r w:rsidRPr="009C2953">
        <w:rPr>
          <w:lang w:val="fr-FR"/>
        </w:rPr>
        <w:t>l</w:t>
      </w:r>
      <w:r w:rsidR="00EA2966" w:rsidRPr="009C2953">
        <w:rPr>
          <w:lang w:val="fr-FR"/>
        </w:rPr>
        <w:t>’</w:t>
      </w:r>
      <w:r w:rsidRPr="009C2953">
        <w:rPr>
          <w:lang w:val="fr-FR"/>
        </w:rPr>
        <w:t>IPBES depuis</w:t>
      </w:r>
      <w:r w:rsidR="00F34644" w:rsidRPr="009C2953">
        <w:rPr>
          <w:lang w:val="fr-FR"/>
        </w:rPr>
        <w:t xml:space="preserve"> la </w:t>
      </w:r>
      <w:r w:rsidRPr="009C2953">
        <w:rPr>
          <w:lang w:val="fr-FR"/>
        </w:rPr>
        <w:t>session précédente, ainsi que toutes celles qui participaient à</w:t>
      </w:r>
      <w:r w:rsidR="00F34644" w:rsidRPr="009C2953">
        <w:rPr>
          <w:lang w:val="fr-FR"/>
        </w:rPr>
        <w:t xml:space="preserve"> la </w:t>
      </w:r>
      <w:r w:rsidRPr="009C2953">
        <w:rPr>
          <w:lang w:val="fr-FR"/>
        </w:rPr>
        <w:t>session en cours. Elle a exprimé</w:t>
      </w:r>
      <w:r w:rsidR="00F34644" w:rsidRPr="009C2953">
        <w:rPr>
          <w:lang w:val="fr-FR"/>
        </w:rPr>
        <w:t xml:space="preserve"> sa </w:t>
      </w:r>
      <w:r w:rsidRPr="009C2953">
        <w:rPr>
          <w:lang w:val="fr-FR"/>
        </w:rPr>
        <w:t>gratitude à</w:t>
      </w:r>
      <w:r w:rsidR="00F34644" w:rsidRPr="009C2953">
        <w:rPr>
          <w:lang w:val="fr-FR"/>
        </w:rPr>
        <w:t xml:space="preserve"> la </w:t>
      </w:r>
      <w:r w:rsidRPr="009C2953">
        <w:rPr>
          <w:lang w:val="fr-FR"/>
        </w:rPr>
        <w:t>chorale d</w:t>
      </w:r>
      <w:r w:rsidR="00EA2966" w:rsidRPr="009C2953">
        <w:rPr>
          <w:lang w:val="fr-FR"/>
        </w:rPr>
        <w:t>’</w:t>
      </w:r>
      <w:r w:rsidRPr="009C2953">
        <w:rPr>
          <w:lang w:val="fr-FR"/>
        </w:rPr>
        <w:t>enfants et de jeunes de Bonn et à</w:t>
      </w:r>
      <w:r w:rsidR="00F34644" w:rsidRPr="009C2953">
        <w:rPr>
          <w:lang w:val="fr-FR"/>
        </w:rPr>
        <w:t xml:space="preserve"> sa </w:t>
      </w:r>
      <w:r w:rsidRPr="009C2953">
        <w:rPr>
          <w:lang w:val="fr-FR"/>
        </w:rPr>
        <w:t xml:space="preserve">chef, Ekaterina </w:t>
      </w:r>
      <w:proofErr w:type="spellStart"/>
      <w:r w:rsidRPr="009C2953">
        <w:rPr>
          <w:lang w:val="fr-FR"/>
        </w:rPr>
        <w:t>Klewitz</w:t>
      </w:r>
      <w:proofErr w:type="spellEnd"/>
      <w:r w:rsidRPr="009C2953">
        <w:rPr>
          <w:lang w:val="fr-FR"/>
        </w:rPr>
        <w:t>, pour</w:t>
      </w:r>
      <w:r w:rsidR="00F34644" w:rsidRPr="009C2953">
        <w:rPr>
          <w:lang w:val="fr-FR"/>
        </w:rPr>
        <w:t xml:space="preserve"> leur </w:t>
      </w:r>
      <w:r w:rsidRPr="009C2953">
        <w:rPr>
          <w:lang w:val="fr-FR"/>
        </w:rPr>
        <w:t>prestation musicale, et a remercié</w:t>
      </w:r>
      <w:r w:rsidR="00F34644" w:rsidRPr="009C2953">
        <w:rPr>
          <w:lang w:val="fr-FR"/>
        </w:rPr>
        <w:t xml:space="preserve"> le </w:t>
      </w:r>
      <w:r w:rsidRPr="009C2953">
        <w:rPr>
          <w:lang w:val="fr-FR"/>
        </w:rPr>
        <w:t>Gouvernement</w:t>
      </w:r>
      <w:r w:rsidR="00D24DC1" w:rsidRPr="009C2953">
        <w:rPr>
          <w:lang w:val="fr-FR"/>
        </w:rPr>
        <w:t xml:space="preserve"> des </w:t>
      </w:r>
      <w:r w:rsidRPr="009C2953">
        <w:rPr>
          <w:lang w:val="fr-FR"/>
        </w:rPr>
        <w:t>États-Unis d</w:t>
      </w:r>
      <w:r w:rsidR="00EA2966" w:rsidRPr="009C2953">
        <w:rPr>
          <w:lang w:val="fr-FR"/>
        </w:rPr>
        <w:t>’</w:t>
      </w:r>
      <w:r w:rsidRPr="009C2953">
        <w:rPr>
          <w:lang w:val="fr-FR"/>
        </w:rPr>
        <w:t>accueillir</w:t>
      </w:r>
      <w:r w:rsidR="00F34644" w:rsidRPr="009C2953">
        <w:rPr>
          <w:lang w:val="fr-FR"/>
        </w:rPr>
        <w:t xml:space="preserve"> la </w:t>
      </w:r>
      <w:r w:rsidRPr="009C2953">
        <w:rPr>
          <w:lang w:val="fr-FR"/>
        </w:rPr>
        <w:t>session et</w:t>
      </w:r>
      <w:r w:rsidR="00D30320" w:rsidRPr="009C2953">
        <w:rPr>
          <w:lang w:val="fr-FR"/>
        </w:rPr>
        <w:t> </w:t>
      </w:r>
      <w:r w:rsidR="00F34644" w:rsidRPr="009C2953">
        <w:rPr>
          <w:lang w:val="fr-FR"/>
        </w:rPr>
        <w:t>le </w:t>
      </w:r>
      <w:r w:rsidRPr="009C2953">
        <w:rPr>
          <w:lang w:val="fr-FR"/>
        </w:rPr>
        <w:t>Gouvernement allemand de continuer à héberger</w:t>
      </w:r>
      <w:r w:rsidR="00F34644" w:rsidRPr="009C2953">
        <w:rPr>
          <w:lang w:val="fr-FR"/>
        </w:rPr>
        <w:t xml:space="preserve"> le </w:t>
      </w:r>
      <w:r w:rsidRPr="009C2953">
        <w:rPr>
          <w:lang w:val="fr-FR"/>
        </w:rPr>
        <w:t>secrétariat de l</w:t>
      </w:r>
      <w:r w:rsidR="00EA2966" w:rsidRPr="009C2953">
        <w:rPr>
          <w:lang w:val="fr-FR"/>
        </w:rPr>
        <w:t>’</w:t>
      </w:r>
      <w:r w:rsidRPr="009C2953">
        <w:rPr>
          <w:lang w:val="fr-FR"/>
        </w:rPr>
        <w:t>IPBES. Elle a souhaité</w:t>
      </w:r>
      <w:r w:rsidR="00D30320" w:rsidRPr="009C2953">
        <w:rPr>
          <w:lang w:val="fr-FR"/>
        </w:rPr>
        <w:t xml:space="preserve"> </w:t>
      </w:r>
      <w:r w:rsidR="00F34644" w:rsidRPr="009C2953">
        <w:rPr>
          <w:lang w:val="fr-FR"/>
        </w:rPr>
        <w:t>aux </w:t>
      </w:r>
      <w:r w:rsidRPr="009C2953">
        <w:rPr>
          <w:lang w:val="fr-FR"/>
        </w:rPr>
        <w:t>participantes et participants</w:t>
      </w:r>
      <w:r w:rsidR="00F34644" w:rsidRPr="009C2953">
        <w:rPr>
          <w:lang w:val="fr-FR"/>
        </w:rPr>
        <w:t xml:space="preserve"> une </w:t>
      </w:r>
      <w:r w:rsidRPr="009C2953">
        <w:rPr>
          <w:lang w:val="fr-FR"/>
        </w:rPr>
        <w:t>réunion fructueuse.</w:t>
      </w:r>
    </w:p>
    <w:p w14:paraId="476138B7" w14:textId="6374FA2B" w:rsidR="00607B78" w:rsidRPr="009C2953" w:rsidRDefault="00607B78" w:rsidP="008731A8">
      <w:pPr>
        <w:pStyle w:val="Normalnumber"/>
        <w:numPr>
          <w:ilvl w:val="0"/>
          <w:numId w:val="2"/>
        </w:numPr>
        <w:rPr>
          <w:lang w:val="fr-FR"/>
        </w:rPr>
      </w:pPr>
      <w:r w:rsidRPr="009C2953">
        <w:rPr>
          <w:lang w:val="fr-FR"/>
        </w:rPr>
        <w:t>Dans</w:t>
      </w:r>
      <w:r w:rsidR="00F34644" w:rsidRPr="009C2953">
        <w:rPr>
          <w:lang w:val="fr-FR"/>
        </w:rPr>
        <w:t xml:space="preserve"> sa </w:t>
      </w:r>
      <w:r w:rsidRPr="009C2953">
        <w:rPr>
          <w:lang w:val="fr-FR"/>
        </w:rPr>
        <w:t>déclaration, M. Powys Whyte a expliqué qu</w:t>
      </w:r>
      <w:r w:rsidR="00EA2966" w:rsidRPr="009C2953">
        <w:rPr>
          <w:lang w:val="fr-FR"/>
        </w:rPr>
        <w:t>’</w:t>
      </w:r>
      <w:r w:rsidRPr="009C2953">
        <w:rPr>
          <w:lang w:val="fr-FR"/>
        </w:rPr>
        <w:t>il était citoyen</w:t>
      </w:r>
      <w:r w:rsidR="00D24DC1" w:rsidRPr="009C2953">
        <w:rPr>
          <w:lang w:val="fr-FR"/>
        </w:rPr>
        <w:t xml:space="preserve"> des </w:t>
      </w:r>
      <w:r w:rsidRPr="009C2953">
        <w:rPr>
          <w:lang w:val="fr-FR"/>
        </w:rPr>
        <w:t>États-Unis, pays hôte de</w:t>
      </w:r>
      <w:r w:rsidR="00F34644" w:rsidRPr="009C2953">
        <w:rPr>
          <w:lang w:val="fr-FR"/>
        </w:rPr>
        <w:t xml:space="preserve"> la </w:t>
      </w:r>
      <w:r w:rsidRPr="009C2953">
        <w:rPr>
          <w:lang w:val="fr-FR"/>
        </w:rPr>
        <w:t>dixième session, et membre de</w:t>
      </w:r>
      <w:r w:rsidR="00F34644" w:rsidRPr="009C2953">
        <w:rPr>
          <w:lang w:val="fr-FR"/>
        </w:rPr>
        <w:t xml:space="preserve"> la </w:t>
      </w:r>
      <w:r w:rsidRPr="009C2953">
        <w:rPr>
          <w:lang w:val="fr-FR"/>
        </w:rPr>
        <w:t>Citizen Potawatomi Nation,</w:t>
      </w:r>
      <w:r w:rsidR="00F34644" w:rsidRPr="009C2953">
        <w:rPr>
          <w:lang w:val="fr-FR"/>
        </w:rPr>
        <w:t xml:space="preserve"> un </w:t>
      </w:r>
      <w:r w:rsidRPr="009C2953">
        <w:rPr>
          <w:lang w:val="fr-FR"/>
        </w:rPr>
        <w:t>peuple autochtone fort d</w:t>
      </w:r>
      <w:r w:rsidR="00EA2966" w:rsidRPr="009C2953">
        <w:rPr>
          <w:lang w:val="fr-FR"/>
        </w:rPr>
        <w:t>’</w:t>
      </w:r>
      <w:r w:rsidRPr="009C2953">
        <w:rPr>
          <w:lang w:val="fr-FR"/>
        </w:rPr>
        <w:t>une</w:t>
      </w:r>
      <w:r w:rsidR="00740478" w:rsidRPr="009C2953">
        <w:rPr>
          <w:lang w:val="fr-FR"/>
        </w:rPr>
        <w:t> </w:t>
      </w:r>
      <w:r w:rsidRPr="009C2953">
        <w:rPr>
          <w:lang w:val="fr-FR"/>
        </w:rPr>
        <w:t>longue tradition de protection de l</w:t>
      </w:r>
      <w:r w:rsidR="00EA2966" w:rsidRPr="009C2953">
        <w:rPr>
          <w:lang w:val="fr-FR"/>
        </w:rPr>
        <w:t>’</w:t>
      </w:r>
      <w:r w:rsidRPr="009C2953">
        <w:rPr>
          <w:lang w:val="fr-FR"/>
        </w:rPr>
        <w:t>environnement.</w:t>
      </w:r>
      <w:r w:rsidR="00F34644" w:rsidRPr="009C2953">
        <w:rPr>
          <w:lang w:val="fr-FR"/>
        </w:rPr>
        <w:t xml:space="preserve"> Les </w:t>
      </w:r>
      <w:r w:rsidRPr="009C2953">
        <w:rPr>
          <w:lang w:val="fr-FR"/>
        </w:rPr>
        <w:t>nations tribales comme</w:t>
      </w:r>
      <w:r w:rsidR="00F34644" w:rsidRPr="009C2953">
        <w:rPr>
          <w:lang w:val="fr-FR"/>
        </w:rPr>
        <w:t xml:space="preserve"> la </w:t>
      </w:r>
      <w:r w:rsidRPr="009C2953">
        <w:rPr>
          <w:lang w:val="fr-FR"/>
        </w:rPr>
        <w:t>sienne avaient cultivé</w:t>
      </w:r>
      <w:r w:rsidR="00F34644" w:rsidRPr="009C2953">
        <w:rPr>
          <w:lang w:val="fr-FR"/>
        </w:rPr>
        <w:t xml:space="preserve"> les </w:t>
      </w:r>
      <w:r w:rsidRPr="009C2953">
        <w:rPr>
          <w:lang w:val="fr-FR"/>
        </w:rPr>
        <w:t>systèmes rigoureux de savoirs autochtones et locaux de</w:t>
      </w:r>
      <w:r w:rsidR="00F34644" w:rsidRPr="009C2953">
        <w:rPr>
          <w:lang w:val="fr-FR"/>
        </w:rPr>
        <w:t xml:space="preserve"> leur</w:t>
      </w:r>
      <w:r w:rsidRPr="009C2953">
        <w:rPr>
          <w:lang w:val="fr-FR"/>
        </w:rPr>
        <w:t>s communautés,</w:t>
      </w:r>
      <w:r w:rsidR="00F34644" w:rsidRPr="009C2953">
        <w:rPr>
          <w:lang w:val="fr-FR"/>
        </w:rPr>
        <w:t xml:space="preserve"> y </w:t>
      </w:r>
      <w:r w:rsidRPr="009C2953">
        <w:rPr>
          <w:lang w:val="fr-FR"/>
        </w:rPr>
        <w:t>compris</w:t>
      </w:r>
      <w:r w:rsidR="00D24DC1" w:rsidRPr="009C2953">
        <w:rPr>
          <w:lang w:val="fr-FR"/>
        </w:rPr>
        <w:t xml:space="preserve"> des </w:t>
      </w:r>
      <w:r w:rsidRPr="009C2953">
        <w:rPr>
          <w:lang w:val="fr-FR"/>
        </w:rPr>
        <w:t>institutions solides d</w:t>
      </w:r>
      <w:r w:rsidR="00EA2966" w:rsidRPr="009C2953">
        <w:rPr>
          <w:lang w:val="fr-FR"/>
        </w:rPr>
        <w:t>’</w:t>
      </w:r>
      <w:r w:rsidRPr="009C2953">
        <w:rPr>
          <w:lang w:val="fr-FR"/>
        </w:rPr>
        <w:t>examen par</w:t>
      </w:r>
      <w:r w:rsidR="00F34644" w:rsidRPr="009C2953">
        <w:rPr>
          <w:lang w:val="fr-FR"/>
        </w:rPr>
        <w:t xml:space="preserve"> les </w:t>
      </w:r>
      <w:r w:rsidRPr="009C2953">
        <w:rPr>
          <w:lang w:val="fr-FR"/>
        </w:rPr>
        <w:t>pairs et</w:t>
      </w:r>
      <w:r w:rsidR="00F34644" w:rsidRPr="009C2953">
        <w:rPr>
          <w:lang w:val="fr-FR"/>
        </w:rPr>
        <w:t xml:space="preserve"> la </w:t>
      </w:r>
      <w:r w:rsidRPr="009C2953">
        <w:rPr>
          <w:lang w:val="fr-FR"/>
        </w:rPr>
        <w:t>communauté,</w:t>
      </w:r>
      <w:r w:rsidR="00D24DC1" w:rsidRPr="009C2953">
        <w:rPr>
          <w:lang w:val="fr-FR"/>
        </w:rPr>
        <w:t xml:space="preserve"> des </w:t>
      </w:r>
      <w:r w:rsidRPr="009C2953">
        <w:rPr>
          <w:lang w:val="fr-FR"/>
        </w:rPr>
        <w:t>méthodes de conservation et de</w:t>
      </w:r>
      <w:r w:rsidR="00DE48DE" w:rsidRPr="009C2953">
        <w:rPr>
          <w:lang w:val="fr-FR"/>
        </w:rPr>
        <w:t> </w:t>
      </w:r>
      <w:r w:rsidRPr="009C2953">
        <w:rPr>
          <w:lang w:val="fr-FR"/>
        </w:rPr>
        <w:t>transfert</w:t>
      </w:r>
      <w:r w:rsidR="00D24DC1" w:rsidRPr="009C2953">
        <w:rPr>
          <w:lang w:val="fr-FR"/>
        </w:rPr>
        <w:t xml:space="preserve"> des </w:t>
      </w:r>
      <w:r w:rsidRPr="009C2953">
        <w:rPr>
          <w:lang w:val="fr-FR"/>
        </w:rPr>
        <w:t>connaissances et</w:t>
      </w:r>
      <w:r w:rsidR="00D24DC1" w:rsidRPr="009C2953">
        <w:rPr>
          <w:lang w:val="fr-FR"/>
        </w:rPr>
        <w:t xml:space="preserve"> des </w:t>
      </w:r>
      <w:r w:rsidRPr="009C2953">
        <w:rPr>
          <w:lang w:val="fr-FR"/>
        </w:rPr>
        <w:t>stratégies d</w:t>
      </w:r>
      <w:r w:rsidR="00EA2966" w:rsidRPr="009C2953">
        <w:rPr>
          <w:lang w:val="fr-FR"/>
        </w:rPr>
        <w:t>’</w:t>
      </w:r>
      <w:r w:rsidRPr="009C2953">
        <w:rPr>
          <w:lang w:val="fr-FR"/>
        </w:rPr>
        <w:t>utilisation</w:t>
      </w:r>
      <w:r w:rsidR="00D24DC1" w:rsidRPr="009C2953">
        <w:rPr>
          <w:lang w:val="fr-FR"/>
        </w:rPr>
        <w:t xml:space="preserve"> des </w:t>
      </w:r>
      <w:r w:rsidRPr="009C2953">
        <w:rPr>
          <w:lang w:val="fr-FR"/>
        </w:rPr>
        <w:t>connaissances autochtones et locales pour</w:t>
      </w:r>
      <w:r w:rsidR="00DE48DE" w:rsidRPr="009C2953">
        <w:rPr>
          <w:lang w:val="fr-FR"/>
        </w:rPr>
        <w:t> </w:t>
      </w:r>
      <w:r w:rsidRPr="009C2953">
        <w:rPr>
          <w:lang w:val="fr-FR"/>
        </w:rPr>
        <w:t>éclairer</w:t>
      </w:r>
      <w:r w:rsidR="00F34644" w:rsidRPr="009C2953">
        <w:rPr>
          <w:lang w:val="fr-FR"/>
        </w:rPr>
        <w:t xml:space="preserve"> la </w:t>
      </w:r>
      <w:r w:rsidRPr="009C2953">
        <w:rPr>
          <w:lang w:val="fr-FR"/>
        </w:rPr>
        <w:t>gouvernance et l</w:t>
      </w:r>
      <w:r w:rsidR="00EA2966" w:rsidRPr="009C2953">
        <w:rPr>
          <w:lang w:val="fr-FR"/>
        </w:rPr>
        <w:t>’</w:t>
      </w:r>
      <w:r w:rsidRPr="009C2953">
        <w:rPr>
          <w:lang w:val="fr-FR"/>
        </w:rPr>
        <w:t>élaboration de politiques.</w:t>
      </w:r>
      <w:r w:rsidR="00F34644" w:rsidRPr="009C2953">
        <w:rPr>
          <w:lang w:val="fr-FR"/>
        </w:rPr>
        <w:t xml:space="preserve"> Elles </w:t>
      </w:r>
      <w:r w:rsidRPr="009C2953">
        <w:rPr>
          <w:lang w:val="fr-FR"/>
        </w:rPr>
        <w:t>avaient créé</w:t>
      </w:r>
      <w:r w:rsidR="00D24DC1" w:rsidRPr="009C2953">
        <w:rPr>
          <w:lang w:val="fr-FR"/>
        </w:rPr>
        <w:t xml:space="preserve"> des </w:t>
      </w:r>
      <w:r w:rsidRPr="009C2953">
        <w:rPr>
          <w:lang w:val="fr-FR"/>
        </w:rPr>
        <w:t>départements</w:t>
      </w:r>
      <w:r w:rsidR="00D24DC1" w:rsidRPr="009C2953">
        <w:rPr>
          <w:lang w:val="fr-FR"/>
        </w:rPr>
        <w:t xml:space="preserve"> des </w:t>
      </w:r>
      <w:r w:rsidRPr="009C2953">
        <w:rPr>
          <w:lang w:val="fr-FR"/>
        </w:rPr>
        <w:t>ressources naturelles et de l</w:t>
      </w:r>
      <w:r w:rsidR="00EA2966" w:rsidRPr="009C2953">
        <w:rPr>
          <w:lang w:val="fr-FR"/>
        </w:rPr>
        <w:t>’</w:t>
      </w:r>
      <w:r w:rsidRPr="009C2953">
        <w:rPr>
          <w:lang w:val="fr-FR"/>
        </w:rPr>
        <w:t>environnement et embauché du personnel scientifique qualifié. Ces</w:t>
      </w:r>
      <w:r w:rsidR="00740478" w:rsidRPr="009C2953">
        <w:rPr>
          <w:lang w:val="fr-FR"/>
        </w:rPr>
        <w:t> </w:t>
      </w:r>
      <w:r w:rsidRPr="009C2953">
        <w:rPr>
          <w:lang w:val="fr-FR"/>
        </w:rPr>
        <w:t>spécialistes avaient mené</w:t>
      </w:r>
      <w:r w:rsidR="00D24DC1" w:rsidRPr="009C2953">
        <w:rPr>
          <w:lang w:val="fr-FR"/>
        </w:rPr>
        <w:t xml:space="preserve"> des </w:t>
      </w:r>
      <w:r w:rsidRPr="009C2953">
        <w:rPr>
          <w:lang w:val="fr-FR"/>
        </w:rPr>
        <w:t>travaux de recherche dans</w:t>
      </w:r>
      <w:r w:rsidR="00F34644" w:rsidRPr="009C2953">
        <w:rPr>
          <w:lang w:val="fr-FR"/>
        </w:rPr>
        <w:t xml:space="preserve"> le </w:t>
      </w:r>
      <w:r w:rsidRPr="009C2953">
        <w:rPr>
          <w:lang w:val="fr-FR"/>
        </w:rPr>
        <w:t>respect</w:t>
      </w:r>
      <w:r w:rsidR="00D24DC1" w:rsidRPr="009C2953">
        <w:rPr>
          <w:lang w:val="fr-FR"/>
        </w:rPr>
        <w:t xml:space="preserve"> des </w:t>
      </w:r>
      <w:r w:rsidRPr="009C2953">
        <w:rPr>
          <w:lang w:val="fr-FR"/>
        </w:rPr>
        <w:t>normes scientifiques, en</w:t>
      </w:r>
      <w:r w:rsidR="00740478" w:rsidRPr="009C2953">
        <w:rPr>
          <w:lang w:val="fr-FR"/>
        </w:rPr>
        <w:t> </w:t>
      </w:r>
      <w:r w:rsidRPr="009C2953">
        <w:rPr>
          <w:lang w:val="fr-FR"/>
        </w:rPr>
        <w:t>faisant appel à</w:t>
      </w:r>
      <w:r w:rsidR="00D24DC1" w:rsidRPr="009C2953">
        <w:rPr>
          <w:lang w:val="fr-FR"/>
        </w:rPr>
        <w:t xml:space="preserve"> des </w:t>
      </w:r>
      <w:r w:rsidRPr="009C2953">
        <w:rPr>
          <w:lang w:val="fr-FR"/>
        </w:rPr>
        <w:t>techniques de conservation et d</w:t>
      </w:r>
      <w:r w:rsidR="00EA2966" w:rsidRPr="009C2953">
        <w:rPr>
          <w:lang w:val="fr-FR"/>
        </w:rPr>
        <w:t>’</w:t>
      </w:r>
      <w:r w:rsidRPr="009C2953">
        <w:rPr>
          <w:lang w:val="fr-FR"/>
        </w:rPr>
        <w:t>adaptation</w:t>
      </w:r>
      <w:r w:rsidR="00F34644" w:rsidRPr="009C2953">
        <w:rPr>
          <w:lang w:val="fr-FR"/>
        </w:rPr>
        <w:t xml:space="preserve"> aux </w:t>
      </w:r>
      <w:r w:rsidRPr="009C2953">
        <w:rPr>
          <w:lang w:val="fr-FR"/>
        </w:rPr>
        <w:t>changements climatiques scientifiquement justifiables, publié</w:t>
      </w:r>
      <w:r w:rsidR="00D24DC1" w:rsidRPr="009C2953">
        <w:rPr>
          <w:lang w:val="fr-FR"/>
        </w:rPr>
        <w:t xml:space="preserve"> des </w:t>
      </w:r>
      <w:r w:rsidRPr="009C2953">
        <w:rPr>
          <w:lang w:val="fr-FR"/>
        </w:rPr>
        <w:t>articles dans</w:t>
      </w:r>
      <w:r w:rsidR="00D24DC1" w:rsidRPr="009C2953">
        <w:rPr>
          <w:lang w:val="fr-FR"/>
        </w:rPr>
        <w:t xml:space="preserve"> des </w:t>
      </w:r>
      <w:r w:rsidRPr="009C2953">
        <w:rPr>
          <w:lang w:val="fr-FR"/>
        </w:rPr>
        <w:t>revues scientifiques et trouvé</w:t>
      </w:r>
      <w:r w:rsidR="00D24DC1" w:rsidRPr="009C2953">
        <w:rPr>
          <w:lang w:val="fr-FR"/>
        </w:rPr>
        <w:t xml:space="preserve"> des </w:t>
      </w:r>
      <w:r w:rsidRPr="009C2953">
        <w:rPr>
          <w:lang w:val="fr-FR"/>
        </w:rPr>
        <w:t>moyens d</w:t>
      </w:r>
      <w:r w:rsidR="00EA2966" w:rsidRPr="009C2953">
        <w:rPr>
          <w:lang w:val="fr-FR"/>
        </w:rPr>
        <w:t>’</w:t>
      </w:r>
      <w:r w:rsidRPr="009C2953">
        <w:rPr>
          <w:lang w:val="fr-FR"/>
        </w:rPr>
        <w:t>aider</w:t>
      </w:r>
      <w:r w:rsidR="00F34644" w:rsidRPr="009C2953">
        <w:rPr>
          <w:lang w:val="fr-FR"/>
        </w:rPr>
        <w:t xml:space="preserve"> les </w:t>
      </w:r>
      <w:r w:rsidRPr="009C2953">
        <w:rPr>
          <w:lang w:val="fr-FR"/>
        </w:rPr>
        <w:t>étudiants et étudiantes de</w:t>
      </w:r>
      <w:r w:rsidR="00F34644" w:rsidRPr="009C2953">
        <w:rPr>
          <w:lang w:val="fr-FR"/>
        </w:rPr>
        <w:t xml:space="preserve"> leur</w:t>
      </w:r>
      <w:r w:rsidRPr="009C2953">
        <w:rPr>
          <w:lang w:val="fr-FR"/>
        </w:rPr>
        <w:t>s communautés à obtenir</w:t>
      </w:r>
      <w:r w:rsidR="00D24DC1" w:rsidRPr="009C2953">
        <w:rPr>
          <w:lang w:val="fr-FR"/>
        </w:rPr>
        <w:t xml:space="preserve"> des </w:t>
      </w:r>
      <w:r w:rsidRPr="009C2953">
        <w:rPr>
          <w:lang w:val="fr-FR"/>
        </w:rPr>
        <w:t>diplômes scientifiques. Il était impératif que</w:t>
      </w:r>
      <w:r w:rsidR="00F34644" w:rsidRPr="009C2953">
        <w:rPr>
          <w:lang w:val="fr-FR"/>
        </w:rPr>
        <w:t xml:space="preserve"> les </w:t>
      </w:r>
      <w:r w:rsidRPr="009C2953">
        <w:rPr>
          <w:lang w:val="fr-FR"/>
        </w:rPr>
        <w:t>populations autochtones et</w:t>
      </w:r>
      <w:r w:rsidR="00F34644" w:rsidRPr="009C2953">
        <w:rPr>
          <w:lang w:val="fr-FR"/>
        </w:rPr>
        <w:t xml:space="preserve"> les </w:t>
      </w:r>
      <w:r w:rsidRPr="009C2953">
        <w:rPr>
          <w:lang w:val="fr-FR"/>
        </w:rPr>
        <w:t>communautés locales puissent institutionnaliser ces</w:t>
      </w:r>
      <w:r w:rsidR="00740478" w:rsidRPr="009C2953">
        <w:rPr>
          <w:lang w:val="fr-FR"/>
        </w:rPr>
        <w:t> </w:t>
      </w:r>
      <w:r w:rsidRPr="009C2953">
        <w:rPr>
          <w:lang w:val="fr-FR"/>
        </w:rPr>
        <w:t>systèmes de connaissances. Cette démarche allait au-delà de</w:t>
      </w:r>
      <w:r w:rsidR="00F34644" w:rsidRPr="009C2953">
        <w:rPr>
          <w:lang w:val="fr-FR"/>
        </w:rPr>
        <w:t xml:space="preserve"> la </w:t>
      </w:r>
      <w:r w:rsidRPr="009C2953">
        <w:rPr>
          <w:lang w:val="fr-FR"/>
        </w:rPr>
        <w:t>simple consultation ou inclusion</w:t>
      </w:r>
      <w:r w:rsidR="00D24DC1" w:rsidRPr="009C2953">
        <w:rPr>
          <w:lang w:val="fr-FR"/>
        </w:rPr>
        <w:t xml:space="preserve"> des </w:t>
      </w:r>
      <w:r w:rsidRPr="009C2953">
        <w:rPr>
          <w:lang w:val="fr-FR"/>
        </w:rPr>
        <w:t>peuples autochtones dans</w:t>
      </w:r>
      <w:r w:rsidR="00F34644" w:rsidRPr="009C2953">
        <w:rPr>
          <w:lang w:val="fr-FR"/>
        </w:rPr>
        <w:t xml:space="preserve"> le </w:t>
      </w:r>
      <w:r w:rsidRPr="009C2953">
        <w:rPr>
          <w:lang w:val="fr-FR"/>
        </w:rPr>
        <w:t>cadre de processus tiers ou d</w:t>
      </w:r>
      <w:r w:rsidR="00EA2966" w:rsidRPr="009C2953">
        <w:rPr>
          <w:lang w:val="fr-FR"/>
        </w:rPr>
        <w:t>’</w:t>
      </w:r>
      <w:r w:rsidRPr="009C2953">
        <w:rPr>
          <w:lang w:val="fr-FR"/>
        </w:rPr>
        <w:t>appels à contributions ou à informations. Pour parvenir à cette institutionnalisation, il était nécessaire de soutenir</w:t>
      </w:r>
      <w:r w:rsidR="00F34644" w:rsidRPr="009C2953">
        <w:rPr>
          <w:lang w:val="fr-FR"/>
        </w:rPr>
        <w:t xml:space="preserve"> les </w:t>
      </w:r>
      <w:r w:rsidRPr="009C2953">
        <w:rPr>
          <w:lang w:val="fr-FR"/>
        </w:rPr>
        <w:t>organisations d</w:t>
      </w:r>
      <w:r w:rsidR="00EA2966" w:rsidRPr="009C2953">
        <w:rPr>
          <w:lang w:val="fr-FR"/>
        </w:rPr>
        <w:t>’</w:t>
      </w:r>
      <w:r w:rsidRPr="009C2953">
        <w:rPr>
          <w:lang w:val="fr-FR"/>
        </w:rPr>
        <w:t>éduca</w:t>
      </w:r>
      <w:r w:rsidR="006C4140" w:rsidRPr="009C2953">
        <w:rPr>
          <w:lang w:val="fr-FR"/>
        </w:rPr>
        <w:t>tion et de recherche qui formaient</w:t>
      </w:r>
      <w:r w:rsidR="00F34644" w:rsidRPr="009C2953">
        <w:rPr>
          <w:lang w:val="fr-FR"/>
        </w:rPr>
        <w:t xml:space="preserve"> les </w:t>
      </w:r>
      <w:r w:rsidRPr="009C2953">
        <w:rPr>
          <w:lang w:val="fr-FR"/>
        </w:rPr>
        <w:t>jeunes scientifiques autochtones, d</w:t>
      </w:r>
      <w:r w:rsidR="00EA2966" w:rsidRPr="009C2953">
        <w:rPr>
          <w:lang w:val="fr-FR"/>
        </w:rPr>
        <w:t>’</w:t>
      </w:r>
      <w:r w:rsidRPr="009C2953">
        <w:rPr>
          <w:lang w:val="fr-FR"/>
        </w:rPr>
        <w:t>encourager</w:t>
      </w:r>
      <w:r w:rsidR="00F34644" w:rsidRPr="009C2953">
        <w:rPr>
          <w:lang w:val="fr-FR"/>
        </w:rPr>
        <w:t xml:space="preserve"> les </w:t>
      </w:r>
      <w:r w:rsidRPr="009C2953">
        <w:rPr>
          <w:lang w:val="fr-FR"/>
        </w:rPr>
        <w:t>formes d</w:t>
      </w:r>
      <w:r w:rsidR="00EA2966" w:rsidRPr="009C2953">
        <w:rPr>
          <w:lang w:val="fr-FR"/>
        </w:rPr>
        <w:t>’</w:t>
      </w:r>
      <w:r w:rsidRPr="009C2953">
        <w:rPr>
          <w:lang w:val="fr-FR"/>
        </w:rPr>
        <w:t>examen par</w:t>
      </w:r>
      <w:r w:rsidR="00F34644" w:rsidRPr="009C2953">
        <w:rPr>
          <w:lang w:val="fr-FR"/>
        </w:rPr>
        <w:t xml:space="preserve"> les </w:t>
      </w:r>
      <w:r w:rsidRPr="009C2953">
        <w:rPr>
          <w:lang w:val="fr-FR"/>
        </w:rPr>
        <w:t>pairs pratiquées par</w:t>
      </w:r>
      <w:r w:rsidR="00F34644" w:rsidRPr="009C2953">
        <w:rPr>
          <w:lang w:val="fr-FR"/>
        </w:rPr>
        <w:t xml:space="preserve"> les </w:t>
      </w:r>
      <w:r w:rsidRPr="009C2953">
        <w:rPr>
          <w:lang w:val="fr-FR"/>
        </w:rPr>
        <w:t>populations autochtones, de renforcer</w:t>
      </w:r>
      <w:r w:rsidR="00F34644" w:rsidRPr="009C2953">
        <w:rPr>
          <w:lang w:val="fr-FR"/>
        </w:rPr>
        <w:t xml:space="preserve"> les </w:t>
      </w:r>
      <w:r w:rsidRPr="009C2953">
        <w:rPr>
          <w:lang w:val="fr-FR"/>
        </w:rPr>
        <w:t>programmes de bonne intendance et</w:t>
      </w:r>
      <w:r w:rsidR="00F34644" w:rsidRPr="009C2953">
        <w:rPr>
          <w:lang w:val="fr-FR"/>
        </w:rPr>
        <w:t xml:space="preserve"> les </w:t>
      </w:r>
      <w:r w:rsidRPr="009C2953">
        <w:rPr>
          <w:lang w:val="fr-FR"/>
        </w:rPr>
        <w:t>départements de l</w:t>
      </w:r>
      <w:r w:rsidR="00EA2966" w:rsidRPr="009C2953">
        <w:rPr>
          <w:lang w:val="fr-FR"/>
        </w:rPr>
        <w:t>’</w:t>
      </w:r>
      <w:r w:rsidRPr="009C2953">
        <w:rPr>
          <w:lang w:val="fr-FR"/>
        </w:rPr>
        <w:t>environnement dirigés par</w:t>
      </w:r>
      <w:r w:rsidR="00F34644" w:rsidRPr="009C2953">
        <w:rPr>
          <w:lang w:val="fr-FR"/>
        </w:rPr>
        <w:t xml:space="preserve"> les </w:t>
      </w:r>
      <w:r w:rsidRPr="009C2953">
        <w:rPr>
          <w:lang w:val="fr-FR"/>
        </w:rPr>
        <w:t>peuples autochtones et de faire en sorte que</w:t>
      </w:r>
      <w:r w:rsidR="00F34644" w:rsidRPr="009C2953">
        <w:rPr>
          <w:lang w:val="fr-FR"/>
        </w:rPr>
        <w:t xml:space="preserve"> les </w:t>
      </w:r>
      <w:r w:rsidRPr="009C2953">
        <w:rPr>
          <w:lang w:val="fr-FR"/>
        </w:rPr>
        <w:t>peuples autochtones soient considérés comme</w:t>
      </w:r>
      <w:r w:rsidR="00D24DC1" w:rsidRPr="009C2953">
        <w:rPr>
          <w:lang w:val="fr-FR"/>
        </w:rPr>
        <w:t xml:space="preserve"> des </w:t>
      </w:r>
      <w:r w:rsidRPr="009C2953">
        <w:rPr>
          <w:lang w:val="fr-FR"/>
        </w:rPr>
        <w:t>acteurs régionaux et</w:t>
      </w:r>
      <w:r w:rsidR="00D24DC1" w:rsidRPr="009C2953">
        <w:rPr>
          <w:lang w:val="fr-FR"/>
        </w:rPr>
        <w:t xml:space="preserve"> des </w:t>
      </w:r>
      <w:r w:rsidRPr="009C2953">
        <w:rPr>
          <w:lang w:val="fr-FR"/>
        </w:rPr>
        <w:t>chefs de file dans</w:t>
      </w:r>
      <w:r w:rsidR="00F34644" w:rsidRPr="009C2953">
        <w:rPr>
          <w:lang w:val="fr-FR"/>
        </w:rPr>
        <w:t xml:space="preserve"> les </w:t>
      </w:r>
      <w:r w:rsidRPr="009C2953">
        <w:rPr>
          <w:lang w:val="fr-FR"/>
        </w:rPr>
        <w:t>mouvements et</w:t>
      </w:r>
      <w:r w:rsidR="00F34644" w:rsidRPr="009C2953">
        <w:rPr>
          <w:lang w:val="fr-FR"/>
        </w:rPr>
        <w:t xml:space="preserve"> les </w:t>
      </w:r>
      <w:r w:rsidRPr="009C2953">
        <w:rPr>
          <w:lang w:val="fr-FR"/>
        </w:rPr>
        <w:t>programmes de conservation.</w:t>
      </w:r>
    </w:p>
    <w:p w14:paraId="77C9976C" w14:textId="213EBF36" w:rsidR="00607B78" w:rsidRPr="009C2953" w:rsidRDefault="00607B78" w:rsidP="008731A8">
      <w:pPr>
        <w:pStyle w:val="Normalnumber"/>
        <w:numPr>
          <w:ilvl w:val="0"/>
          <w:numId w:val="2"/>
        </w:numPr>
        <w:rPr>
          <w:lang w:val="fr-FR"/>
        </w:rPr>
      </w:pPr>
      <w:r w:rsidRPr="009C2953">
        <w:rPr>
          <w:lang w:val="fr-FR"/>
        </w:rPr>
        <w:t>M. Powys Whyte a présenté de nombreux rapports et documents d</w:t>
      </w:r>
      <w:r w:rsidR="00EA2966" w:rsidRPr="009C2953">
        <w:rPr>
          <w:lang w:val="fr-FR"/>
        </w:rPr>
        <w:t>’</w:t>
      </w:r>
      <w:r w:rsidRPr="009C2953">
        <w:rPr>
          <w:lang w:val="fr-FR"/>
        </w:rPr>
        <w:t>orientation sur</w:t>
      </w:r>
      <w:r w:rsidR="00F34644" w:rsidRPr="009C2953">
        <w:rPr>
          <w:lang w:val="fr-FR"/>
        </w:rPr>
        <w:t xml:space="preserve"> la </w:t>
      </w:r>
      <w:r w:rsidRPr="009C2953">
        <w:rPr>
          <w:lang w:val="fr-FR"/>
        </w:rPr>
        <w:t>question publiés régulièrement par</w:t>
      </w:r>
      <w:r w:rsidR="00F34644" w:rsidRPr="009C2953">
        <w:rPr>
          <w:lang w:val="fr-FR"/>
        </w:rPr>
        <w:t xml:space="preserve"> son </w:t>
      </w:r>
      <w:r w:rsidRPr="009C2953">
        <w:rPr>
          <w:lang w:val="fr-FR"/>
        </w:rPr>
        <w:t>gouvernement, notamment</w:t>
      </w:r>
      <w:r w:rsidR="00F34644" w:rsidRPr="009C2953">
        <w:rPr>
          <w:lang w:val="fr-FR"/>
        </w:rPr>
        <w:t xml:space="preserve"> le </w:t>
      </w:r>
      <w:r w:rsidRPr="009C2953">
        <w:rPr>
          <w:lang w:val="fr-FR"/>
        </w:rPr>
        <w:t>rapport intitulé « </w:t>
      </w:r>
      <w:proofErr w:type="spellStart"/>
      <w:r w:rsidRPr="009C2953">
        <w:rPr>
          <w:lang w:val="fr-FR"/>
        </w:rPr>
        <w:t>Status</w:t>
      </w:r>
      <w:proofErr w:type="spellEnd"/>
      <w:r w:rsidRPr="009C2953">
        <w:rPr>
          <w:lang w:val="fr-FR"/>
        </w:rPr>
        <w:t xml:space="preserve"> of </w:t>
      </w:r>
      <w:proofErr w:type="spellStart"/>
      <w:r w:rsidRPr="009C2953">
        <w:rPr>
          <w:lang w:val="fr-FR"/>
        </w:rPr>
        <w:t>Tribes</w:t>
      </w:r>
      <w:proofErr w:type="spellEnd"/>
      <w:r w:rsidRPr="009C2953">
        <w:rPr>
          <w:lang w:val="fr-FR"/>
        </w:rPr>
        <w:t xml:space="preserve"> and</w:t>
      </w:r>
      <w:r w:rsidR="009967AC" w:rsidRPr="009C2953">
        <w:rPr>
          <w:lang w:val="fr-FR"/>
        </w:rPr>
        <w:t> </w:t>
      </w:r>
      <w:proofErr w:type="spellStart"/>
      <w:r w:rsidRPr="009C2953">
        <w:rPr>
          <w:lang w:val="fr-FR"/>
        </w:rPr>
        <w:t>Climate</w:t>
      </w:r>
      <w:proofErr w:type="spellEnd"/>
      <w:r w:rsidRPr="009C2953">
        <w:rPr>
          <w:lang w:val="fr-FR"/>
        </w:rPr>
        <w:t xml:space="preserve"> Change », qui décri</w:t>
      </w:r>
      <w:r w:rsidR="00A068F8" w:rsidRPr="009C2953">
        <w:rPr>
          <w:lang w:val="fr-FR"/>
        </w:rPr>
        <w:t xml:space="preserve">vait </w:t>
      </w:r>
      <w:r w:rsidRPr="009C2953">
        <w:rPr>
          <w:lang w:val="fr-FR"/>
        </w:rPr>
        <w:t>de nombreux projets et programmes menés par</w:t>
      </w:r>
      <w:r w:rsidR="00D24DC1" w:rsidRPr="009C2953">
        <w:rPr>
          <w:lang w:val="fr-FR"/>
        </w:rPr>
        <w:t xml:space="preserve"> des </w:t>
      </w:r>
      <w:r w:rsidRPr="009C2953">
        <w:rPr>
          <w:lang w:val="fr-FR"/>
        </w:rPr>
        <w:t>peuples autochtones sur</w:t>
      </w:r>
      <w:r w:rsidR="00D24DC1" w:rsidRPr="009C2953">
        <w:rPr>
          <w:lang w:val="fr-FR"/>
        </w:rPr>
        <w:t xml:space="preserve"> des </w:t>
      </w:r>
      <w:r w:rsidRPr="009C2953">
        <w:rPr>
          <w:lang w:val="fr-FR"/>
        </w:rPr>
        <w:t>thèmes également abordés par l</w:t>
      </w:r>
      <w:r w:rsidR="00EA2966" w:rsidRPr="009C2953">
        <w:rPr>
          <w:lang w:val="fr-FR"/>
        </w:rPr>
        <w:t>’</w:t>
      </w:r>
      <w:r w:rsidRPr="009C2953">
        <w:rPr>
          <w:lang w:val="fr-FR"/>
        </w:rPr>
        <w:t>IPBES, tels que</w:t>
      </w:r>
      <w:r w:rsidR="00F34644" w:rsidRPr="009C2953">
        <w:rPr>
          <w:lang w:val="fr-FR"/>
        </w:rPr>
        <w:t xml:space="preserve"> les </w:t>
      </w:r>
      <w:r w:rsidRPr="009C2953">
        <w:rPr>
          <w:lang w:val="fr-FR"/>
        </w:rPr>
        <w:t>pollinisateurs et</w:t>
      </w:r>
      <w:r w:rsidR="00F34644" w:rsidRPr="009C2953">
        <w:rPr>
          <w:lang w:val="fr-FR"/>
        </w:rPr>
        <w:t xml:space="preserve"> les </w:t>
      </w:r>
      <w:r w:rsidRPr="009C2953">
        <w:rPr>
          <w:lang w:val="fr-FR"/>
        </w:rPr>
        <w:t>espèces envahissantes ;</w:t>
      </w:r>
      <w:r w:rsidR="00F34644" w:rsidRPr="009C2953">
        <w:rPr>
          <w:lang w:val="fr-FR"/>
        </w:rPr>
        <w:t xml:space="preserve"> le </w:t>
      </w:r>
      <w:r w:rsidRPr="009C2953">
        <w:rPr>
          <w:lang w:val="fr-FR"/>
        </w:rPr>
        <w:t xml:space="preserve">rapport intitulé « Guidance for </w:t>
      </w:r>
      <w:proofErr w:type="spellStart"/>
      <w:r w:rsidRPr="009C2953">
        <w:rPr>
          <w:lang w:val="fr-FR"/>
        </w:rPr>
        <w:t>federal</w:t>
      </w:r>
      <w:proofErr w:type="spellEnd"/>
      <w:r w:rsidRPr="009C2953">
        <w:rPr>
          <w:lang w:val="fr-FR"/>
        </w:rPr>
        <w:t xml:space="preserve"> </w:t>
      </w:r>
      <w:proofErr w:type="spellStart"/>
      <w:r w:rsidRPr="009C2953">
        <w:rPr>
          <w:lang w:val="fr-FR"/>
        </w:rPr>
        <w:t>departments</w:t>
      </w:r>
      <w:proofErr w:type="spellEnd"/>
      <w:r w:rsidRPr="009C2953">
        <w:rPr>
          <w:lang w:val="fr-FR"/>
        </w:rPr>
        <w:t xml:space="preserve"> and </w:t>
      </w:r>
      <w:proofErr w:type="spellStart"/>
      <w:r w:rsidRPr="009C2953">
        <w:rPr>
          <w:lang w:val="fr-FR"/>
        </w:rPr>
        <w:t>agencies</w:t>
      </w:r>
      <w:proofErr w:type="spellEnd"/>
      <w:r w:rsidRPr="009C2953">
        <w:rPr>
          <w:lang w:val="fr-FR"/>
        </w:rPr>
        <w:t xml:space="preserve"> on </w:t>
      </w:r>
      <w:proofErr w:type="spellStart"/>
      <w:r w:rsidRPr="009C2953">
        <w:rPr>
          <w:lang w:val="fr-FR"/>
        </w:rPr>
        <w:t>Indigenous</w:t>
      </w:r>
      <w:proofErr w:type="spellEnd"/>
      <w:r w:rsidRPr="009C2953">
        <w:rPr>
          <w:lang w:val="fr-FR"/>
        </w:rPr>
        <w:t xml:space="preserve"> </w:t>
      </w:r>
      <w:proofErr w:type="spellStart"/>
      <w:r w:rsidRPr="009C2953">
        <w:rPr>
          <w:lang w:val="fr-FR"/>
        </w:rPr>
        <w:t>knowledge</w:t>
      </w:r>
      <w:proofErr w:type="spellEnd"/>
      <w:r w:rsidRPr="009C2953">
        <w:rPr>
          <w:lang w:val="fr-FR"/>
        </w:rPr>
        <w:t> », qui met</w:t>
      </w:r>
      <w:r w:rsidR="00A068F8" w:rsidRPr="009C2953">
        <w:rPr>
          <w:lang w:val="fr-FR"/>
        </w:rPr>
        <w:t>tait</w:t>
      </w:r>
      <w:r w:rsidRPr="009C2953">
        <w:rPr>
          <w:lang w:val="fr-FR"/>
        </w:rPr>
        <w:t xml:space="preserve"> l</w:t>
      </w:r>
      <w:r w:rsidR="00EA2966" w:rsidRPr="009C2953">
        <w:rPr>
          <w:lang w:val="fr-FR"/>
        </w:rPr>
        <w:t>’</w:t>
      </w:r>
      <w:r w:rsidRPr="009C2953">
        <w:rPr>
          <w:lang w:val="fr-FR"/>
        </w:rPr>
        <w:t>accent sur l</w:t>
      </w:r>
      <w:r w:rsidR="00EA2966" w:rsidRPr="009C2953">
        <w:rPr>
          <w:lang w:val="fr-FR"/>
        </w:rPr>
        <w:t>’</w:t>
      </w:r>
      <w:r w:rsidRPr="009C2953">
        <w:rPr>
          <w:lang w:val="fr-FR"/>
        </w:rPr>
        <w:t>intégration</w:t>
      </w:r>
      <w:r w:rsidR="00D24DC1" w:rsidRPr="009C2953">
        <w:rPr>
          <w:lang w:val="fr-FR"/>
        </w:rPr>
        <w:t xml:space="preserve"> des </w:t>
      </w:r>
      <w:r w:rsidRPr="009C2953">
        <w:rPr>
          <w:lang w:val="fr-FR"/>
        </w:rPr>
        <w:t>savoirs autochtones dans divers aspects</w:t>
      </w:r>
      <w:r w:rsidR="00D24DC1" w:rsidRPr="009C2953">
        <w:rPr>
          <w:lang w:val="fr-FR"/>
        </w:rPr>
        <w:t xml:space="preserve"> des </w:t>
      </w:r>
      <w:r w:rsidRPr="009C2953">
        <w:rPr>
          <w:lang w:val="fr-FR"/>
        </w:rPr>
        <w:t>travaux menés au niveau fédéral,</w:t>
      </w:r>
      <w:r w:rsidR="00F34644" w:rsidRPr="009C2953">
        <w:rPr>
          <w:lang w:val="fr-FR"/>
        </w:rPr>
        <w:t xml:space="preserve"> y </w:t>
      </w:r>
      <w:r w:rsidRPr="009C2953">
        <w:rPr>
          <w:lang w:val="fr-FR"/>
        </w:rPr>
        <w:t>compris</w:t>
      </w:r>
      <w:r w:rsidR="00F34644" w:rsidRPr="009C2953">
        <w:rPr>
          <w:lang w:val="fr-FR"/>
        </w:rPr>
        <w:t xml:space="preserve"> la </w:t>
      </w:r>
      <w:r w:rsidRPr="009C2953">
        <w:rPr>
          <w:lang w:val="fr-FR"/>
        </w:rPr>
        <w:t>recherche et l</w:t>
      </w:r>
      <w:r w:rsidR="00EA2966" w:rsidRPr="009C2953">
        <w:rPr>
          <w:lang w:val="fr-FR"/>
        </w:rPr>
        <w:t>’</w:t>
      </w:r>
      <w:r w:rsidRPr="009C2953">
        <w:rPr>
          <w:lang w:val="fr-FR"/>
        </w:rPr>
        <w:t>élaboration de réglementations ; et</w:t>
      </w:r>
      <w:r w:rsidR="009967AC" w:rsidRPr="009C2953">
        <w:rPr>
          <w:lang w:val="fr-FR"/>
        </w:rPr>
        <w:t> </w:t>
      </w:r>
      <w:r w:rsidRPr="009C2953">
        <w:rPr>
          <w:lang w:val="fr-FR"/>
        </w:rPr>
        <w:t>l</w:t>
      </w:r>
      <w:r w:rsidR="00EA2966" w:rsidRPr="009C2953">
        <w:rPr>
          <w:lang w:val="fr-FR"/>
        </w:rPr>
        <w:t>’</w:t>
      </w:r>
      <w:r w:rsidRPr="009C2953">
        <w:rPr>
          <w:lang w:val="fr-FR"/>
        </w:rPr>
        <w:t>évaluation nationale du climat qui, depuis 2000, compren</w:t>
      </w:r>
      <w:r w:rsidR="00A068F8" w:rsidRPr="009C2953">
        <w:rPr>
          <w:lang w:val="fr-FR"/>
        </w:rPr>
        <w:t>ait</w:t>
      </w:r>
      <w:r w:rsidR="00F34644" w:rsidRPr="009C2953">
        <w:rPr>
          <w:lang w:val="fr-FR"/>
        </w:rPr>
        <w:t xml:space="preserve"> un </w:t>
      </w:r>
      <w:r w:rsidRPr="009C2953">
        <w:rPr>
          <w:lang w:val="fr-FR"/>
        </w:rPr>
        <w:t>chapitre sur</w:t>
      </w:r>
      <w:r w:rsidR="00F34644" w:rsidRPr="009C2953">
        <w:rPr>
          <w:lang w:val="fr-FR"/>
        </w:rPr>
        <w:t xml:space="preserve"> les </w:t>
      </w:r>
      <w:r w:rsidRPr="009C2953">
        <w:rPr>
          <w:lang w:val="fr-FR"/>
        </w:rPr>
        <w:t>tribus et</w:t>
      </w:r>
      <w:r w:rsidR="00F34644" w:rsidRPr="009C2953">
        <w:rPr>
          <w:lang w:val="fr-FR"/>
        </w:rPr>
        <w:t xml:space="preserve"> les </w:t>
      </w:r>
      <w:r w:rsidRPr="009C2953">
        <w:rPr>
          <w:lang w:val="fr-FR"/>
        </w:rPr>
        <w:t>peuples autochtones rédigé par</w:t>
      </w:r>
      <w:r w:rsidR="00F34644" w:rsidRPr="009C2953">
        <w:rPr>
          <w:lang w:val="fr-FR"/>
        </w:rPr>
        <w:t xml:space="preserve"> une </w:t>
      </w:r>
      <w:r w:rsidRPr="009C2953">
        <w:rPr>
          <w:lang w:val="fr-FR"/>
        </w:rPr>
        <w:t>équipe composée principalement de scientifiques autochtones et de</w:t>
      </w:r>
      <w:r w:rsidR="009967AC" w:rsidRPr="009C2953">
        <w:rPr>
          <w:lang w:val="fr-FR"/>
        </w:rPr>
        <w:t> </w:t>
      </w:r>
      <w:r w:rsidRPr="009C2953">
        <w:rPr>
          <w:lang w:val="fr-FR"/>
        </w:rPr>
        <w:t>détenteurs et détentrices de savoirs autochtones. Pendant</w:t>
      </w:r>
      <w:r w:rsidR="00D24DC1" w:rsidRPr="009C2953">
        <w:rPr>
          <w:lang w:val="fr-FR"/>
        </w:rPr>
        <w:t xml:space="preserve"> des </w:t>
      </w:r>
      <w:r w:rsidRPr="009C2953">
        <w:rPr>
          <w:lang w:val="fr-FR"/>
        </w:rPr>
        <w:t>années,</w:t>
      </w:r>
      <w:r w:rsidR="00F34644" w:rsidRPr="009C2953">
        <w:rPr>
          <w:lang w:val="fr-FR"/>
        </w:rPr>
        <w:t xml:space="preserve"> les </w:t>
      </w:r>
      <w:r w:rsidRPr="009C2953">
        <w:rPr>
          <w:lang w:val="fr-FR"/>
        </w:rPr>
        <w:t>programmes de bonne intendance de l</w:t>
      </w:r>
      <w:r w:rsidR="00EA2966" w:rsidRPr="009C2953">
        <w:rPr>
          <w:lang w:val="fr-FR"/>
        </w:rPr>
        <w:t>’</w:t>
      </w:r>
      <w:r w:rsidRPr="009C2953">
        <w:rPr>
          <w:lang w:val="fr-FR"/>
        </w:rPr>
        <w:t>environnement gérés par</w:t>
      </w:r>
      <w:r w:rsidR="00F34644" w:rsidRPr="009C2953">
        <w:rPr>
          <w:lang w:val="fr-FR"/>
        </w:rPr>
        <w:t xml:space="preserve"> les </w:t>
      </w:r>
      <w:r w:rsidRPr="009C2953">
        <w:rPr>
          <w:lang w:val="fr-FR"/>
        </w:rPr>
        <w:t>tribus avaient fonctionné avec</w:t>
      </w:r>
      <w:r w:rsidR="00D24DC1" w:rsidRPr="009C2953">
        <w:rPr>
          <w:lang w:val="fr-FR"/>
        </w:rPr>
        <w:t xml:space="preserve"> des </w:t>
      </w:r>
      <w:r w:rsidRPr="009C2953">
        <w:rPr>
          <w:lang w:val="fr-FR"/>
        </w:rPr>
        <w:t>budgets limités et</w:t>
      </w:r>
      <w:r w:rsidR="00D30320" w:rsidRPr="009C2953">
        <w:rPr>
          <w:lang w:val="fr-FR"/>
        </w:rPr>
        <w:t> </w:t>
      </w:r>
      <w:r w:rsidRPr="009C2953">
        <w:rPr>
          <w:lang w:val="fr-FR"/>
        </w:rPr>
        <w:t>dépendu</w:t>
      </w:r>
      <w:r w:rsidR="00D24DC1" w:rsidRPr="009C2953">
        <w:rPr>
          <w:lang w:val="fr-FR"/>
        </w:rPr>
        <w:t xml:space="preserve"> des </w:t>
      </w:r>
      <w:r w:rsidRPr="009C2953">
        <w:rPr>
          <w:lang w:val="fr-FR"/>
        </w:rPr>
        <w:t>initiatives individuelles et collectives.</w:t>
      </w:r>
      <w:r w:rsidR="00F34644" w:rsidRPr="009C2953">
        <w:rPr>
          <w:lang w:val="fr-FR"/>
        </w:rPr>
        <w:t xml:space="preserve"> Le </w:t>
      </w:r>
      <w:r w:rsidRPr="009C2953">
        <w:rPr>
          <w:lang w:val="fr-FR"/>
        </w:rPr>
        <w:t>Gouvernement</w:t>
      </w:r>
      <w:r w:rsidR="00D24DC1" w:rsidRPr="009C2953">
        <w:rPr>
          <w:lang w:val="fr-FR"/>
        </w:rPr>
        <w:t xml:space="preserve"> des </w:t>
      </w:r>
      <w:r w:rsidRPr="009C2953">
        <w:rPr>
          <w:lang w:val="fr-FR"/>
        </w:rPr>
        <w:t>États-Unis avait toutefois</w:t>
      </w:r>
      <w:r w:rsidR="00D30320" w:rsidRPr="009C2953">
        <w:rPr>
          <w:lang w:val="fr-FR"/>
        </w:rPr>
        <w:t xml:space="preserve"> </w:t>
      </w:r>
      <w:r w:rsidRPr="009C2953">
        <w:rPr>
          <w:lang w:val="fr-FR"/>
        </w:rPr>
        <w:t>promis</w:t>
      </w:r>
      <w:r w:rsidR="00D24DC1" w:rsidRPr="009C2953">
        <w:rPr>
          <w:lang w:val="fr-FR"/>
        </w:rPr>
        <w:t xml:space="preserve"> des </w:t>
      </w:r>
      <w:r w:rsidRPr="009C2953">
        <w:rPr>
          <w:lang w:val="fr-FR"/>
        </w:rPr>
        <w:t>moyens financiers et</w:t>
      </w:r>
      <w:r w:rsidR="00D24DC1" w:rsidRPr="009C2953">
        <w:rPr>
          <w:lang w:val="fr-FR"/>
        </w:rPr>
        <w:t xml:space="preserve"> des </w:t>
      </w:r>
      <w:r w:rsidRPr="009C2953">
        <w:rPr>
          <w:lang w:val="fr-FR"/>
        </w:rPr>
        <w:t>politiques sans précédent pour soutenir</w:t>
      </w:r>
      <w:r w:rsidR="00F34644" w:rsidRPr="009C2953">
        <w:rPr>
          <w:lang w:val="fr-FR"/>
        </w:rPr>
        <w:t xml:space="preserve"> les </w:t>
      </w:r>
      <w:r w:rsidRPr="009C2953">
        <w:rPr>
          <w:lang w:val="fr-FR"/>
        </w:rPr>
        <w:t>programmes en matière de conservation, d</w:t>
      </w:r>
      <w:r w:rsidR="00EA2966" w:rsidRPr="009C2953">
        <w:rPr>
          <w:lang w:val="fr-FR"/>
        </w:rPr>
        <w:t>’</w:t>
      </w:r>
      <w:r w:rsidRPr="009C2953">
        <w:rPr>
          <w:lang w:val="fr-FR"/>
        </w:rPr>
        <w:t>énergie, de protection de l</w:t>
      </w:r>
      <w:r w:rsidR="00EA2966" w:rsidRPr="009C2953">
        <w:rPr>
          <w:lang w:val="fr-FR"/>
        </w:rPr>
        <w:t>’</w:t>
      </w:r>
      <w:r w:rsidRPr="009C2953">
        <w:rPr>
          <w:lang w:val="fr-FR"/>
        </w:rPr>
        <w:t>environnement et d</w:t>
      </w:r>
      <w:r w:rsidR="00EA2966" w:rsidRPr="009C2953">
        <w:rPr>
          <w:lang w:val="fr-FR"/>
        </w:rPr>
        <w:t>’</w:t>
      </w:r>
      <w:r w:rsidRPr="009C2953">
        <w:rPr>
          <w:lang w:val="fr-FR"/>
        </w:rPr>
        <w:t>adaptation</w:t>
      </w:r>
      <w:r w:rsidR="00F34644" w:rsidRPr="009C2953">
        <w:rPr>
          <w:lang w:val="fr-FR"/>
        </w:rPr>
        <w:t xml:space="preserve"> aux </w:t>
      </w:r>
      <w:r w:rsidRPr="009C2953">
        <w:rPr>
          <w:lang w:val="fr-FR"/>
        </w:rPr>
        <w:t>changements climatiques menés par</w:t>
      </w:r>
      <w:r w:rsidR="00F34644" w:rsidRPr="009C2953">
        <w:rPr>
          <w:lang w:val="fr-FR"/>
        </w:rPr>
        <w:t xml:space="preserve"> les </w:t>
      </w:r>
      <w:r w:rsidRPr="009C2953">
        <w:rPr>
          <w:lang w:val="fr-FR"/>
        </w:rPr>
        <w:t>nations tribales.</w:t>
      </w:r>
    </w:p>
    <w:p w14:paraId="0BC30D5D" w14:textId="14CE380E" w:rsidR="00607B78" w:rsidRPr="009C2953" w:rsidRDefault="00607B78" w:rsidP="008731A8">
      <w:pPr>
        <w:pStyle w:val="Normalnumber"/>
        <w:numPr>
          <w:ilvl w:val="0"/>
          <w:numId w:val="2"/>
        </w:numPr>
        <w:rPr>
          <w:lang w:val="fr-FR"/>
        </w:rPr>
      </w:pPr>
      <w:r w:rsidRPr="009C2953">
        <w:rPr>
          <w:lang w:val="fr-FR"/>
        </w:rPr>
        <w:t>En conclusion, il a indiqué que</w:t>
      </w:r>
      <w:r w:rsidR="00F34644" w:rsidRPr="009C2953">
        <w:rPr>
          <w:lang w:val="fr-FR"/>
        </w:rPr>
        <w:t xml:space="preserve"> le </w:t>
      </w:r>
      <w:r w:rsidR="00FA5974" w:rsidRPr="009C2953">
        <w:rPr>
          <w:lang w:val="fr-FR"/>
        </w:rPr>
        <w:t>D</w:t>
      </w:r>
      <w:r w:rsidRPr="009C2953">
        <w:rPr>
          <w:lang w:val="fr-FR"/>
        </w:rPr>
        <w:t>épartement d</w:t>
      </w:r>
      <w:r w:rsidR="00EA2966" w:rsidRPr="009C2953">
        <w:rPr>
          <w:lang w:val="fr-FR"/>
        </w:rPr>
        <w:t>’</w:t>
      </w:r>
      <w:r w:rsidRPr="009C2953">
        <w:rPr>
          <w:lang w:val="fr-FR"/>
        </w:rPr>
        <w:t>État</w:t>
      </w:r>
      <w:r w:rsidR="00D24DC1" w:rsidRPr="009C2953">
        <w:rPr>
          <w:lang w:val="fr-FR"/>
        </w:rPr>
        <w:t xml:space="preserve"> des </w:t>
      </w:r>
      <w:r w:rsidRPr="009C2953">
        <w:rPr>
          <w:lang w:val="fr-FR"/>
        </w:rPr>
        <w:t>États-Unis organiserait deux débats sur</w:t>
      </w:r>
      <w:r w:rsidR="00F34644" w:rsidRPr="009C2953">
        <w:rPr>
          <w:lang w:val="fr-FR"/>
        </w:rPr>
        <w:t xml:space="preserve"> les </w:t>
      </w:r>
      <w:r w:rsidRPr="009C2953">
        <w:rPr>
          <w:lang w:val="fr-FR"/>
        </w:rPr>
        <w:t>savoirs autochtones et locaux à</w:t>
      </w:r>
      <w:r w:rsidR="00F34644" w:rsidRPr="009C2953">
        <w:rPr>
          <w:lang w:val="fr-FR"/>
        </w:rPr>
        <w:t xml:space="preserve"> la </w:t>
      </w:r>
      <w:r w:rsidRPr="009C2953">
        <w:rPr>
          <w:lang w:val="fr-FR"/>
        </w:rPr>
        <w:t>session en cours, dans</w:t>
      </w:r>
      <w:r w:rsidR="00F34644" w:rsidRPr="009C2953">
        <w:rPr>
          <w:lang w:val="fr-FR"/>
        </w:rPr>
        <w:t xml:space="preserve"> le </w:t>
      </w:r>
      <w:r w:rsidRPr="009C2953">
        <w:rPr>
          <w:lang w:val="fr-FR"/>
        </w:rPr>
        <w:t>but d</w:t>
      </w:r>
      <w:r w:rsidR="00EA2966" w:rsidRPr="009C2953">
        <w:rPr>
          <w:lang w:val="fr-FR"/>
        </w:rPr>
        <w:t>’</w:t>
      </w:r>
      <w:r w:rsidRPr="009C2953">
        <w:rPr>
          <w:lang w:val="fr-FR"/>
        </w:rPr>
        <w:t>échanger</w:t>
      </w:r>
      <w:r w:rsidR="00D24DC1" w:rsidRPr="009C2953">
        <w:rPr>
          <w:lang w:val="fr-FR"/>
        </w:rPr>
        <w:t xml:space="preserve"> des </w:t>
      </w:r>
      <w:r w:rsidRPr="009C2953">
        <w:rPr>
          <w:lang w:val="fr-FR"/>
        </w:rPr>
        <w:t>idées sur</w:t>
      </w:r>
      <w:r w:rsidR="00F34644" w:rsidRPr="009C2953">
        <w:rPr>
          <w:lang w:val="fr-FR"/>
        </w:rPr>
        <w:t xml:space="preserve"> la </w:t>
      </w:r>
      <w:r w:rsidRPr="009C2953">
        <w:rPr>
          <w:lang w:val="fr-FR"/>
        </w:rPr>
        <w:t>manière dont l</w:t>
      </w:r>
      <w:r w:rsidR="00EA2966" w:rsidRPr="009C2953">
        <w:rPr>
          <w:lang w:val="fr-FR"/>
        </w:rPr>
        <w:t>’</w:t>
      </w:r>
      <w:r w:rsidRPr="009C2953">
        <w:rPr>
          <w:lang w:val="fr-FR"/>
        </w:rPr>
        <w:t>IPBES pourrait améliorer</w:t>
      </w:r>
      <w:r w:rsidR="00F34644" w:rsidRPr="009C2953">
        <w:rPr>
          <w:lang w:val="fr-FR"/>
        </w:rPr>
        <w:t xml:space="preserve"> son </w:t>
      </w:r>
      <w:r w:rsidRPr="009C2953">
        <w:rPr>
          <w:lang w:val="fr-FR"/>
        </w:rPr>
        <w:t>approche actuelle et accroître</w:t>
      </w:r>
      <w:r w:rsidR="00F34644" w:rsidRPr="009C2953">
        <w:rPr>
          <w:lang w:val="fr-FR"/>
        </w:rPr>
        <w:t xml:space="preserve"> la </w:t>
      </w:r>
      <w:r w:rsidRPr="009C2953">
        <w:rPr>
          <w:lang w:val="fr-FR"/>
        </w:rPr>
        <w:t>participation de divers peuples autochtones qui assument de longue date</w:t>
      </w:r>
      <w:r w:rsidR="00D24DC1" w:rsidRPr="009C2953">
        <w:rPr>
          <w:lang w:val="fr-FR"/>
        </w:rPr>
        <w:t xml:space="preserve"> des </w:t>
      </w:r>
      <w:r w:rsidRPr="009C2953">
        <w:rPr>
          <w:lang w:val="fr-FR"/>
        </w:rPr>
        <w:t>responsabilités de chef de file, afin d</w:t>
      </w:r>
      <w:r w:rsidR="00EA2966" w:rsidRPr="009C2953">
        <w:rPr>
          <w:lang w:val="fr-FR"/>
        </w:rPr>
        <w:t>’</w:t>
      </w:r>
      <w:r w:rsidRPr="009C2953">
        <w:rPr>
          <w:lang w:val="fr-FR"/>
        </w:rPr>
        <w:t>intégrer davantage</w:t>
      </w:r>
      <w:r w:rsidR="00F34644" w:rsidRPr="009C2953">
        <w:rPr>
          <w:lang w:val="fr-FR"/>
        </w:rPr>
        <w:t xml:space="preserve"> les </w:t>
      </w:r>
      <w:r w:rsidRPr="009C2953">
        <w:rPr>
          <w:lang w:val="fr-FR"/>
        </w:rPr>
        <w:t>valeurs,</w:t>
      </w:r>
      <w:r w:rsidR="00F34644" w:rsidRPr="009C2953">
        <w:rPr>
          <w:lang w:val="fr-FR"/>
        </w:rPr>
        <w:t xml:space="preserve"> les </w:t>
      </w:r>
      <w:r w:rsidRPr="009C2953">
        <w:rPr>
          <w:lang w:val="fr-FR"/>
        </w:rPr>
        <w:t>méthodes et</w:t>
      </w:r>
      <w:r w:rsidR="00F34644" w:rsidRPr="009C2953">
        <w:rPr>
          <w:lang w:val="fr-FR"/>
        </w:rPr>
        <w:t xml:space="preserve"> les </w:t>
      </w:r>
      <w:r w:rsidRPr="009C2953">
        <w:rPr>
          <w:lang w:val="fr-FR"/>
        </w:rPr>
        <w:t>processus autochtones dans</w:t>
      </w:r>
      <w:r w:rsidR="00F34644" w:rsidRPr="009C2953">
        <w:rPr>
          <w:lang w:val="fr-FR"/>
        </w:rPr>
        <w:t xml:space="preserve"> la </w:t>
      </w:r>
      <w:r w:rsidRPr="009C2953">
        <w:rPr>
          <w:lang w:val="fr-FR"/>
        </w:rPr>
        <w:t>Plateforme.</w:t>
      </w:r>
    </w:p>
    <w:p w14:paraId="54E45777" w14:textId="65455784" w:rsidR="00607B78" w:rsidRPr="009C2953" w:rsidRDefault="00607B78" w:rsidP="008731A8">
      <w:pPr>
        <w:pStyle w:val="Normalnumber"/>
        <w:numPr>
          <w:ilvl w:val="0"/>
          <w:numId w:val="2"/>
        </w:numPr>
        <w:rPr>
          <w:lang w:val="fr-FR"/>
        </w:rPr>
      </w:pPr>
      <w:r w:rsidRPr="009C2953">
        <w:rPr>
          <w:lang w:val="fr-FR"/>
        </w:rPr>
        <w:t>Dans</w:t>
      </w:r>
      <w:r w:rsidR="00F34644" w:rsidRPr="009C2953">
        <w:rPr>
          <w:lang w:val="fr-FR"/>
        </w:rPr>
        <w:t xml:space="preserve"> sa </w:t>
      </w:r>
      <w:r w:rsidRPr="009C2953">
        <w:rPr>
          <w:lang w:val="fr-FR"/>
        </w:rPr>
        <w:t>déclaration liminaire, Mme Hoffman a souhaité</w:t>
      </w:r>
      <w:r w:rsidR="00F34644" w:rsidRPr="009C2953">
        <w:rPr>
          <w:lang w:val="fr-FR"/>
        </w:rPr>
        <w:t xml:space="preserve"> aux </w:t>
      </w:r>
      <w:r w:rsidRPr="009C2953">
        <w:rPr>
          <w:lang w:val="fr-FR"/>
        </w:rPr>
        <w:t>participantes et</w:t>
      </w:r>
      <w:r w:rsidR="00F34644" w:rsidRPr="009C2953">
        <w:rPr>
          <w:lang w:val="fr-FR"/>
        </w:rPr>
        <w:t xml:space="preserve"> aux </w:t>
      </w:r>
      <w:r w:rsidRPr="009C2953">
        <w:rPr>
          <w:lang w:val="fr-FR"/>
        </w:rPr>
        <w:t>participants</w:t>
      </w:r>
      <w:r w:rsidR="00F34644" w:rsidRPr="009C2953">
        <w:rPr>
          <w:lang w:val="fr-FR"/>
        </w:rPr>
        <w:t xml:space="preserve"> la </w:t>
      </w:r>
      <w:r w:rsidRPr="009C2953">
        <w:rPr>
          <w:lang w:val="fr-FR"/>
        </w:rPr>
        <w:t>bienvenue à Bonn. Évoquant l</w:t>
      </w:r>
      <w:r w:rsidR="00EA2966" w:rsidRPr="009C2953">
        <w:rPr>
          <w:lang w:val="fr-FR"/>
        </w:rPr>
        <w:t>’</w:t>
      </w:r>
      <w:r w:rsidRPr="009C2953">
        <w:rPr>
          <w:lang w:val="fr-FR"/>
        </w:rPr>
        <w:t>adoption du Cadre mondial de</w:t>
      </w:r>
      <w:r w:rsidR="00F34644" w:rsidRPr="009C2953">
        <w:rPr>
          <w:lang w:val="fr-FR"/>
        </w:rPr>
        <w:t xml:space="preserve"> la </w:t>
      </w:r>
      <w:r w:rsidRPr="009C2953">
        <w:rPr>
          <w:lang w:val="fr-FR"/>
        </w:rPr>
        <w:t>biodiversité de Kunming-Montréal, qui constituait</w:t>
      </w:r>
      <w:r w:rsidR="00F34644" w:rsidRPr="009C2953">
        <w:rPr>
          <w:lang w:val="fr-FR"/>
        </w:rPr>
        <w:t xml:space="preserve"> une </w:t>
      </w:r>
      <w:r w:rsidRPr="009C2953">
        <w:rPr>
          <w:lang w:val="fr-FR"/>
        </w:rPr>
        <w:t>étape importante pour</w:t>
      </w:r>
      <w:r w:rsidR="00F34644" w:rsidRPr="009C2953">
        <w:rPr>
          <w:lang w:val="fr-FR"/>
        </w:rPr>
        <w:t xml:space="preserve"> la </w:t>
      </w:r>
      <w:r w:rsidRPr="009C2953">
        <w:rPr>
          <w:lang w:val="fr-FR"/>
        </w:rPr>
        <w:t>protection de</w:t>
      </w:r>
      <w:r w:rsidR="00F34644" w:rsidRPr="009C2953">
        <w:rPr>
          <w:lang w:val="fr-FR"/>
        </w:rPr>
        <w:t xml:space="preserve"> la </w:t>
      </w:r>
      <w:r w:rsidRPr="009C2953">
        <w:rPr>
          <w:lang w:val="fr-FR"/>
        </w:rPr>
        <w:t xml:space="preserve">biodiversité, elle a </w:t>
      </w:r>
      <w:r w:rsidR="006C4140" w:rsidRPr="009C2953">
        <w:rPr>
          <w:lang w:val="fr-FR"/>
        </w:rPr>
        <w:t xml:space="preserve">indiqué </w:t>
      </w:r>
      <w:r w:rsidRPr="009C2953">
        <w:rPr>
          <w:lang w:val="fr-FR"/>
        </w:rPr>
        <w:t>que</w:t>
      </w:r>
      <w:r w:rsidR="00F34644" w:rsidRPr="009C2953">
        <w:rPr>
          <w:lang w:val="fr-FR"/>
        </w:rPr>
        <w:t xml:space="preserve"> les </w:t>
      </w:r>
      <w:r w:rsidRPr="009C2953">
        <w:rPr>
          <w:lang w:val="fr-FR"/>
        </w:rPr>
        <w:t>conclusions de l</w:t>
      </w:r>
      <w:r w:rsidR="00EA2966" w:rsidRPr="009C2953">
        <w:rPr>
          <w:lang w:val="fr-FR"/>
        </w:rPr>
        <w:t>’</w:t>
      </w:r>
      <w:r w:rsidRPr="009C2953">
        <w:rPr>
          <w:lang w:val="fr-FR"/>
        </w:rPr>
        <w:t>IPBES avaient joué</w:t>
      </w:r>
      <w:r w:rsidR="00F34644" w:rsidRPr="009C2953">
        <w:rPr>
          <w:lang w:val="fr-FR"/>
        </w:rPr>
        <w:t xml:space="preserve"> un </w:t>
      </w:r>
      <w:r w:rsidRPr="009C2953">
        <w:rPr>
          <w:lang w:val="fr-FR"/>
        </w:rPr>
        <w:t>rôle clé à cet égard.</w:t>
      </w:r>
      <w:r w:rsidR="00F34644" w:rsidRPr="009C2953">
        <w:rPr>
          <w:lang w:val="fr-FR"/>
        </w:rPr>
        <w:t xml:space="preserve"> Le </w:t>
      </w:r>
      <w:r w:rsidRPr="009C2953">
        <w:rPr>
          <w:lang w:val="fr-FR"/>
        </w:rPr>
        <w:t>Cadre abordait</w:t>
      </w:r>
      <w:r w:rsidR="00F34644" w:rsidRPr="009C2953">
        <w:rPr>
          <w:lang w:val="fr-FR"/>
        </w:rPr>
        <w:t xml:space="preserve"> les </w:t>
      </w:r>
      <w:r w:rsidRPr="009C2953">
        <w:rPr>
          <w:lang w:val="fr-FR"/>
        </w:rPr>
        <w:t>principaux facteurs de perte de biodiversité mis en évidence dans</w:t>
      </w:r>
      <w:r w:rsidR="00F34644" w:rsidRPr="009C2953">
        <w:rPr>
          <w:lang w:val="fr-FR"/>
        </w:rPr>
        <w:t xml:space="preserve"> le </w:t>
      </w:r>
      <w:r w:rsidRPr="009C2953">
        <w:rPr>
          <w:lang w:val="fr-FR"/>
        </w:rPr>
        <w:t>Rapport de l</w:t>
      </w:r>
      <w:r w:rsidR="00EA2966" w:rsidRPr="009C2953">
        <w:rPr>
          <w:lang w:val="fr-FR"/>
        </w:rPr>
        <w:t>’</w:t>
      </w:r>
      <w:r w:rsidRPr="009C2953">
        <w:rPr>
          <w:lang w:val="fr-FR"/>
        </w:rPr>
        <w:t>évaluation mondiale de</w:t>
      </w:r>
      <w:r w:rsidR="00F34644" w:rsidRPr="009C2953">
        <w:rPr>
          <w:lang w:val="fr-FR"/>
        </w:rPr>
        <w:t xml:space="preserve"> la </w:t>
      </w:r>
      <w:r w:rsidRPr="009C2953">
        <w:rPr>
          <w:lang w:val="fr-FR"/>
        </w:rPr>
        <w:t>biodiversité et</w:t>
      </w:r>
      <w:r w:rsidR="00D24DC1" w:rsidRPr="009C2953">
        <w:rPr>
          <w:lang w:val="fr-FR"/>
        </w:rPr>
        <w:t xml:space="preserve"> des </w:t>
      </w:r>
      <w:r w:rsidRPr="009C2953">
        <w:rPr>
          <w:lang w:val="fr-FR"/>
        </w:rPr>
        <w:t>services écosystémiques de 2019. Parmi ces facteurs, on pouvait citer</w:t>
      </w:r>
      <w:r w:rsidR="00F34644" w:rsidRPr="009C2953">
        <w:rPr>
          <w:lang w:val="fr-FR"/>
        </w:rPr>
        <w:t xml:space="preserve"> les </w:t>
      </w:r>
      <w:r w:rsidRPr="009C2953">
        <w:rPr>
          <w:lang w:val="fr-FR"/>
        </w:rPr>
        <w:t>espèces exotiques envahissantes,</w:t>
      </w:r>
      <w:r w:rsidR="00F34644" w:rsidRPr="009C2953">
        <w:rPr>
          <w:lang w:val="fr-FR"/>
        </w:rPr>
        <w:t xml:space="preserve"> un </w:t>
      </w:r>
      <w:r w:rsidRPr="009C2953">
        <w:rPr>
          <w:lang w:val="fr-FR"/>
        </w:rPr>
        <w:t>sujet que</w:t>
      </w:r>
      <w:r w:rsidR="00F34644" w:rsidRPr="009C2953">
        <w:rPr>
          <w:lang w:val="fr-FR"/>
        </w:rPr>
        <w:t xml:space="preserve"> la </w:t>
      </w:r>
      <w:r w:rsidRPr="009C2953">
        <w:rPr>
          <w:lang w:val="fr-FR"/>
        </w:rPr>
        <w:t>Plénière examinerait à</w:t>
      </w:r>
      <w:r w:rsidR="00F34644" w:rsidRPr="009C2953">
        <w:rPr>
          <w:lang w:val="fr-FR"/>
        </w:rPr>
        <w:t xml:space="preserve"> la </w:t>
      </w:r>
      <w:r w:rsidRPr="009C2953">
        <w:rPr>
          <w:lang w:val="fr-FR"/>
        </w:rPr>
        <w:t>session en cours.</w:t>
      </w:r>
      <w:r w:rsidR="00F34644" w:rsidRPr="009C2953">
        <w:rPr>
          <w:lang w:val="fr-FR"/>
        </w:rPr>
        <w:t xml:space="preserve"> La </w:t>
      </w:r>
      <w:r w:rsidRPr="009C2953">
        <w:rPr>
          <w:lang w:val="fr-FR"/>
        </w:rPr>
        <w:t xml:space="preserve">prévention </w:t>
      </w:r>
      <w:r w:rsidRPr="009C2953">
        <w:rPr>
          <w:lang w:val="fr-FR"/>
        </w:rPr>
        <w:lastRenderedPageBreak/>
        <w:t>et</w:t>
      </w:r>
      <w:r w:rsidR="00D30320" w:rsidRPr="009C2953">
        <w:rPr>
          <w:lang w:val="fr-FR"/>
        </w:rPr>
        <w:t> </w:t>
      </w:r>
      <w:r w:rsidR="00F34644" w:rsidRPr="009C2953">
        <w:rPr>
          <w:lang w:val="fr-FR"/>
        </w:rPr>
        <w:t>la </w:t>
      </w:r>
      <w:r w:rsidRPr="009C2953">
        <w:rPr>
          <w:lang w:val="fr-FR"/>
        </w:rPr>
        <w:t>gestion étaient essentielles pour lutter contre</w:t>
      </w:r>
      <w:r w:rsidR="00F34644" w:rsidRPr="009C2953">
        <w:rPr>
          <w:lang w:val="fr-FR"/>
        </w:rPr>
        <w:t xml:space="preserve"> leur</w:t>
      </w:r>
      <w:r w:rsidRPr="009C2953">
        <w:rPr>
          <w:lang w:val="fr-FR"/>
        </w:rPr>
        <w:t>s effets néfastes, comme</w:t>
      </w:r>
      <w:r w:rsidR="00F34644" w:rsidRPr="009C2953">
        <w:rPr>
          <w:lang w:val="fr-FR"/>
        </w:rPr>
        <w:t xml:space="preserve"> le </w:t>
      </w:r>
      <w:r w:rsidRPr="009C2953">
        <w:rPr>
          <w:lang w:val="fr-FR"/>
        </w:rPr>
        <w:t>reconnaissait</w:t>
      </w:r>
      <w:r w:rsidR="00F34644" w:rsidRPr="009C2953">
        <w:rPr>
          <w:lang w:val="fr-FR"/>
        </w:rPr>
        <w:t xml:space="preserve"> le </w:t>
      </w:r>
      <w:r w:rsidRPr="009C2953">
        <w:rPr>
          <w:lang w:val="fr-FR"/>
        </w:rPr>
        <w:t>Règlement n</w:t>
      </w:r>
      <w:r w:rsidRPr="009C2953">
        <w:rPr>
          <w:vertAlign w:val="superscript"/>
          <w:lang w:val="fr-FR"/>
        </w:rPr>
        <w:t>o</w:t>
      </w:r>
      <w:r w:rsidRPr="009C2953">
        <w:rPr>
          <w:lang w:val="fr-FR"/>
        </w:rPr>
        <w:t> 1143/2014 du Parlement européen et du Conseil relatif à</w:t>
      </w:r>
      <w:r w:rsidR="00F34644" w:rsidRPr="009C2953">
        <w:rPr>
          <w:lang w:val="fr-FR"/>
        </w:rPr>
        <w:t xml:space="preserve"> la </w:t>
      </w:r>
      <w:r w:rsidRPr="009C2953">
        <w:rPr>
          <w:lang w:val="fr-FR"/>
        </w:rPr>
        <w:t>prévention et à</w:t>
      </w:r>
      <w:r w:rsidR="00F34644" w:rsidRPr="009C2953">
        <w:rPr>
          <w:lang w:val="fr-FR"/>
        </w:rPr>
        <w:t xml:space="preserve"> la </w:t>
      </w:r>
      <w:r w:rsidRPr="009C2953">
        <w:rPr>
          <w:lang w:val="fr-FR"/>
        </w:rPr>
        <w:t>gestion de l</w:t>
      </w:r>
      <w:r w:rsidR="00EA2966" w:rsidRPr="009C2953">
        <w:rPr>
          <w:lang w:val="fr-FR"/>
        </w:rPr>
        <w:t>’</w:t>
      </w:r>
      <w:r w:rsidRPr="009C2953">
        <w:rPr>
          <w:lang w:val="fr-FR"/>
        </w:rPr>
        <w:t>introduction et de</w:t>
      </w:r>
      <w:r w:rsidR="00F34644" w:rsidRPr="009C2953">
        <w:rPr>
          <w:lang w:val="fr-FR"/>
        </w:rPr>
        <w:t xml:space="preserve"> la </w:t>
      </w:r>
      <w:r w:rsidRPr="009C2953">
        <w:rPr>
          <w:lang w:val="fr-FR"/>
        </w:rPr>
        <w:t>propagation</w:t>
      </w:r>
      <w:r w:rsidR="00D24DC1" w:rsidRPr="009C2953">
        <w:rPr>
          <w:lang w:val="fr-FR"/>
        </w:rPr>
        <w:t xml:space="preserve"> des </w:t>
      </w:r>
      <w:r w:rsidRPr="009C2953">
        <w:rPr>
          <w:lang w:val="fr-FR"/>
        </w:rPr>
        <w:t>espèces exotiques envahissantes. L</w:t>
      </w:r>
      <w:r w:rsidR="00EA2966" w:rsidRPr="009C2953">
        <w:rPr>
          <w:lang w:val="fr-FR"/>
        </w:rPr>
        <w:t>’</w:t>
      </w:r>
      <w:r w:rsidRPr="009C2953">
        <w:rPr>
          <w:lang w:val="fr-FR"/>
        </w:rPr>
        <w:t>Allemagne soutenait</w:t>
      </w:r>
      <w:r w:rsidR="00F34644" w:rsidRPr="009C2953">
        <w:rPr>
          <w:lang w:val="fr-FR"/>
        </w:rPr>
        <w:t xml:space="preserve"> la </w:t>
      </w:r>
      <w:r w:rsidRPr="009C2953">
        <w:rPr>
          <w:lang w:val="fr-FR"/>
        </w:rPr>
        <w:t>mise en œuvre du règlement en menant</w:t>
      </w:r>
      <w:r w:rsidR="00D24DC1" w:rsidRPr="009C2953">
        <w:rPr>
          <w:lang w:val="fr-FR"/>
        </w:rPr>
        <w:t xml:space="preserve"> des </w:t>
      </w:r>
      <w:r w:rsidRPr="009C2953">
        <w:rPr>
          <w:lang w:val="fr-FR"/>
        </w:rPr>
        <w:t>projets de recherche, en élaborant</w:t>
      </w:r>
      <w:r w:rsidR="00D24DC1" w:rsidRPr="009C2953">
        <w:rPr>
          <w:lang w:val="fr-FR"/>
        </w:rPr>
        <w:t xml:space="preserve"> des </w:t>
      </w:r>
      <w:r w:rsidRPr="009C2953">
        <w:rPr>
          <w:lang w:val="fr-FR"/>
        </w:rPr>
        <w:t>recommandations pour</w:t>
      </w:r>
      <w:r w:rsidR="00F34644" w:rsidRPr="009C2953">
        <w:rPr>
          <w:lang w:val="fr-FR"/>
        </w:rPr>
        <w:t xml:space="preserve"> la </w:t>
      </w:r>
      <w:r w:rsidRPr="009C2953">
        <w:rPr>
          <w:lang w:val="fr-FR"/>
        </w:rPr>
        <w:t>gestion</w:t>
      </w:r>
      <w:r w:rsidR="00D24DC1" w:rsidRPr="009C2953">
        <w:rPr>
          <w:lang w:val="fr-FR"/>
        </w:rPr>
        <w:t xml:space="preserve"> des </w:t>
      </w:r>
      <w:r w:rsidRPr="009C2953">
        <w:rPr>
          <w:lang w:val="fr-FR"/>
        </w:rPr>
        <w:t>espèces exotiques envahissantes omniprésentes et en organisant</w:t>
      </w:r>
      <w:r w:rsidR="00D24DC1" w:rsidRPr="009C2953">
        <w:rPr>
          <w:lang w:val="fr-FR"/>
        </w:rPr>
        <w:t xml:space="preserve"> des </w:t>
      </w:r>
      <w:r w:rsidRPr="009C2953">
        <w:rPr>
          <w:lang w:val="fr-FR"/>
        </w:rPr>
        <w:t>conférences pour favoriser</w:t>
      </w:r>
      <w:r w:rsidR="00F34644" w:rsidRPr="009C2953">
        <w:rPr>
          <w:lang w:val="fr-FR"/>
        </w:rPr>
        <w:t xml:space="preserve"> les </w:t>
      </w:r>
      <w:r w:rsidRPr="009C2953">
        <w:rPr>
          <w:lang w:val="fr-FR"/>
        </w:rPr>
        <w:t>échanges intersectoriels. Néanmoins, il était nécessaire d</w:t>
      </w:r>
      <w:r w:rsidR="00EA2966" w:rsidRPr="009C2953">
        <w:rPr>
          <w:lang w:val="fr-FR"/>
        </w:rPr>
        <w:t>’</w:t>
      </w:r>
      <w:r w:rsidRPr="009C2953">
        <w:rPr>
          <w:lang w:val="fr-FR"/>
        </w:rPr>
        <w:t>adopter</w:t>
      </w:r>
      <w:r w:rsidR="00F34644" w:rsidRPr="009C2953">
        <w:rPr>
          <w:lang w:val="fr-FR"/>
        </w:rPr>
        <w:t xml:space="preserve"> une </w:t>
      </w:r>
      <w:r w:rsidRPr="009C2953">
        <w:rPr>
          <w:lang w:val="fr-FR"/>
        </w:rPr>
        <w:t>approche globale pour prévenir et contrôler l</w:t>
      </w:r>
      <w:r w:rsidR="00EA2966" w:rsidRPr="009C2953">
        <w:rPr>
          <w:lang w:val="fr-FR"/>
        </w:rPr>
        <w:t>’</w:t>
      </w:r>
      <w:r w:rsidRPr="009C2953">
        <w:rPr>
          <w:lang w:val="fr-FR"/>
        </w:rPr>
        <w:t>introduction et</w:t>
      </w:r>
      <w:r w:rsidR="00F34644" w:rsidRPr="009C2953">
        <w:rPr>
          <w:lang w:val="fr-FR"/>
        </w:rPr>
        <w:t xml:space="preserve"> la </w:t>
      </w:r>
      <w:r w:rsidRPr="009C2953">
        <w:rPr>
          <w:lang w:val="fr-FR"/>
        </w:rPr>
        <w:t>propagation</w:t>
      </w:r>
      <w:r w:rsidR="00D24DC1" w:rsidRPr="009C2953">
        <w:rPr>
          <w:lang w:val="fr-FR"/>
        </w:rPr>
        <w:t xml:space="preserve"> des </w:t>
      </w:r>
      <w:r w:rsidRPr="009C2953">
        <w:rPr>
          <w:lang w:val="fr-FR"/>
        </w:rPr>
        <w:t>espèces exotiques envahissantes et réduire au minimum</w:t>
      </w:r>
      <w:r w:rsidR="00F34644" w:rsidRPr="009C2953">
        <w:rPr>
          <w:lang w:val="fr-FR"/>
        </w:rPr>
        <w:t xml:space="preserve"> leur </w:t>
      </w:r>
      <w:r w:rsidRPr="009C2953">
        <w:rPr>
          <w:lang w:val="fr-FR"/>
        </w:rPr>
        <w:t>impact sur l</w:t>
      </w:r>
      <w:r w:rsidR="00EA2966" w:rsidRPr="009C2953">
        <w:rPr>
          <w:lang w:val="fr-FR"/>
        </w:rPr>
        <w:t>’</w:t>
      </w:r>
      <w:r w:rsidRPr="009C2953">
        <w:rPr>
          <w:lang w:val="fr-FR"/>
        </w:rPr>
        <w:t>environnement.</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de</w:t>
      </w:r>
      <w:r w:rsidR="009967AC" w:rsidRPr="009C2953">
        <w:rPr>
          <w:lang w:val="fr-FR"/>
        </w:rPr>
        <w:t> </w:t>
      </w:r>
      <w:r w:rsidRPr="009C2953">
        <w:rPr>
          <w:lang w:val="fr-FR"/>
        </w:rPr>
        <w:t>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et de</w:t>
      </w:r>
      <w:r w:rsidR="00F34644" w:rsidRPr="009C2953">
        <w:rPr>
          <w:lang w:val="fr-FR"/>
        </w:rPr>
        <w:t xml:space="preserve"> la </w:t>
      </w:r>
      <w:r w:rsidRPr="009C2953">
        <w:rPr>
          <w:lang w:val="fr-FR"/>
        </w:rPr>
        <w:t>lutte contre</w:t>
      </w:r>
      <w:r w:rsidR="00F34644" w:rsidRPr="009C2953">
        <w:rPr>
          <w:lang w:val="fr-FR"/>
        </w:rPr>
        <w:t xml:space="preserve"> leur </w:t>
      </w:r>
      <w:r w:rsidRPr="009C2953">
        <w:rPr>
          <w:lang w:val="fr-FR"/>
        </w:rPr>
        <w:t>prolifération constituait</w:t>
      </w:r>
      <w:r w:rsidR="00F34644" w:rsidRPr="009C2953">
        <w:rPr>
          <w:lang w:val="fr-FR"/>
        </w:rPr>
        <w:t xml:space="preserve"> une </w:t>
      </w:r>
      <w:r w:rsidRPr="009C2953">
        <w:rPr>
          <w:lang w:val="fr-FR"/>
        </w:rPr>
        <w:t>base importante et scientifiquement fondée permettant d</w:t>
      </w:r>
      <w:r w:rsidR="00EA2966" w:rsidRPr="009C2953">
        <w:rPr>
          <w:lang w:val="fr-FR"/>
        </w:rPr>
        <w:t>’</w:t>
      </w:r>
      <w:r w:rsidRPr="009C2953">
        <w:rPr>
          <w:lang w:val="fr-FR"/>
        </w:rPr>
        <w:t>éclairer</w:t>
      </w:r>
      <w:r w:rsidR="00F34644" w:rsidRPr="009C2953">
        <w:rPr>
          <w:lang w:val="fr-FR"/>
        </w:rPr>
        <w:t xml:space="preserve"> les </w:t>
      </w:r>
      <w:r w:rsidRPr="009C2953">
        <w:rPr>
          <w:lang w:val="fr-FR"/>
        </w:rPr>
        <w:t>prises de</w:t>
      </w:r>
      <w:r w:rsidR="009967AC" w:rsidRPr="009C2953">
        <w:rPr>
          <w:lang w:val="fr-FR"/>
        </w:rPr>
        <w:t> </w:t>
      </w:r>
      <w:r w:rsidRPr="009C2953">
        <w:rPr>
          <w:lang w:val="fr-FR"/>
        </w:rPr>
        <w:t>décisions.</w:t>
      </w:r>
    </w:p>
    <w:p w14:paraId="56FC504A" w14:textId="6E4B94F8" w:rsidR="00607B78" w:rsidRPr="009C2953" w:rsidRDefault="00607B78" w:rsidP="008731A8">
      <w:pPr>
        <w:pStyle w:val="Normalnumber"/>
        <w:numPr>
          <w:ilvl w:val="0"/>
          <w:numId w:val="2"/>
        </w:numPr>
        <w:rPr>
          <w:lang w:val="fr-FR"/>
        </w:rPr>
      </w:pPr>
      <w:r w:rsidRPr="009C2953">
        <w:rPr>
          <w:lang w:val="fr-FR"/>
        </w:rPr>
        <w:t>Soulignant</w:t>
      </w:r>
      <w:r w:rsidR="00F34644" w:rsidRPr="009C2953">
        <w:rPr>
          <w:lang w:val="fr-FR"/>
        </w:rPr>
        <w:t xml:space="preserve"> le </w:t>
      </w:r>
      <w:r w:rsidRPr="009C2953">
        <w:rPr>
          <w:lang w:val="fr-FR"/>
        </w:rPr>
        <w:t>travail du Gouvernement allemand dans</w:t>
      </w:r>
      <w:r w:rsidR="00F34644" w:rsidRPr="009C2953">
        <w:rPr>
          <w:lang w:val="fr-FR"/>
        </w:rPr>
        <w:t xml:space="preserve"> le </w:t>
      </w:r>
      <w:r w:rsidRPr="009C2953">
        <w:rPr>
          <w:lang w:val="fr-FR"/>
        </w:rPr>
        <w:t>domaine de</w:t>
      </w:r>
      <w:r w:rsidR="00F34644" w:rsidRPr="009C2953">
        <w:rPr>
          <w:lang w:val="fr-FR"/>
        </w:rPr>
        <w:t xml:space="preserve"> la </w:t>
      </w:r>
      <w:r w:rsidRPr="009C2953">
        <w:rPr>
          <w:lang w:val="fr-FR"/>
        </w:rPr>
        <w:t>biodiversité, elle a déclaré que l</w:t>
      </w:r>
      <w:r w:rsidR="00EA2966" w:rsidRPr="009C2953">
        <w:rPr>
          <w:lang w:val="fr-FR"/>
        </w:rPr>
        <w:t>’</w:t>
      </w:r>
      <w:r w:rsidRPr="009C2953">
        <w:rPr>
          <w:lang w:val="fr-FR"/>
        </w:rPr>
        <w:t>Allemagne était en train de mettre à jour</w:t>
      </w:r>
      <w:r w:rsidR="00F34644" w:rsidRPr="009C2953">
        <w:rPr>
          <w:lang w:val="fr-FR"/>
        </w:rPr>
        <w:t xml:space="preserve"> sa </w:t>
      </w:r>
      <w:r w:rsidRPr="009C2953">
        <w:rPr>
          <w:lang w:val="fr-FR"/>
        </w:rPr>
        <w:t>stratégie nationale en matière de biodiversité et qu</w:t>
      </w:r>
      <w:r w:rsidR="00EA2966" w:rsidRPr="009C2953">
        <w:rPr>
          <w:lang w:val="fr-FR"/>
        </w:rPr>
        <w:t>’</w:t>
      </w:r>
      <w:r w:rsidRPr="009C2953">
        <w:rPr>
          <w:lang w:val="fr-FR"/>
        </w:rPr>
        <w:t>elle œuvrait également au niveau mondial. Par l</w:t>
      </w:r>
      <w:r w:rsidR="00EA2966" w:rsidRPr="009C2953">
        <w:rPr>
          <w:lang w:val="fr-FR"/>
        </w:rPr>
        <w:t>’</w:t>
      </w:r>
      <w:r w:rsidRPr="009C2953">
        <w:rPr>
          <w:lang w:val="fr-FR"/>
        </w:rPr>
        <w:t>intermédiaire de l</w:t>
      </w:r>
      <w:r w:rsidR="00EA2966" w:rsidRPr="009C2953">
        <w:rPr>
          <w:lang w:val="fr-FR"/>
        </w:rPr>
        <w:t>’</w:t>
      </w:r>
      <w:r w:rsidRPr="009C2953">
        <w:rPr>
          <w:lang w:val="fr-FR"/>
        </w:rPr>
        <w:t>Initiative internationale pour</w:t>
      </w:r>
      <w:r w:rsidR="00F34644" w:rsidRPr="009C2953">
        <w:rPr>
          <w:lang w:val="fr-FR"/>
        </w:rPr>
        <w:t xml:space="preserve"> le </w:t>
      </w:r>
      <w:r w:rsidRPr="009C2953">
        <w:rPr>
          <w:lang w:val="fr-FR"/>
        </w:rPr>
        <w:t>climat, qui facilitait</w:t>
      </w:r>
      <w:r w:rsidR="00D24DC1" w:rsidRPr="009C2953">
        <w:rPr>
          <w:lang w:val="fr-FR"/>
        </w:rPr>
        <w:t xml:space="preserve"> des </w:t>
      </w:r>
      <w:r w:rsidRPr="009C2953">
        <w:rPr>
          <w:lang w:val="fr-FR"/>
        </w:rPr>
        <w:t>projets de préservation de</w:t>
      </w:r>
      <w:r w:rsidR="00F34644" w:rsidRPr="009C2953">
        <w:rPr>
          <w:lang w:val="fr-FR"/>
        </w:rPr>
        <w:t xml:space="preserve"> la </w:t>
      </w:r>
      <w:r w:rsidRPr="009C2953">
        <w:rPr>
          <w:lang w:val="fr-FR"/>
        </w:rPr>
        <w:t>biodiversité, de lutte contre</w:t>
      </w:r>
      <w:r w:rsidR="00F34644" w:rsidRPr="009C2953">
        <w:rPr>
          <w:lang w:val="fr-FR"/>
        </w:rPr>
        <w:t xml:space="preserve"> les </w:t>
      </w:r>
      <w:r w:rsidRPr="009C2953">
        <w:rPr>
          <w:lang w:val="fr-FR"/>
        </w:rPr>
        <w:t>changements climatiques et d</w:t>
      </w:r>
      <w:r w:rsidR="00EA2966" w:rsidRPr="009C2953">
        <w:rPr>
          <w:lang w:val="fr-FR"/>
        </w:rPr>
        <w:t>’</w:t>
      </w:r>
      <w:r w:rsidRPr="009C2953">
        <w:rPr>
          <w:lang w:val="fr-FR"/>
        </w:rPr>
        <w:t>adaptation</w:t>
      </w:r>
      <w:r w:rsidR="00F34644" w:rsidRPr="009C2953">
        <w:rPr>
          <w:lang w:val="fr-FR"/>
        </w:rPr>
        <w:t xml:space="preserve"> aux </w:t>
      </w:r>
      <w:r w:rsidRPr="009C2953">
        <w:rPr>
          <w:lang w:val="fr-FR"/>
        </w:rPr>
        <w:t>changements climatiques dans</w:t>
      </w:r>
      <w:r w:rsidR="00F34644" w:rsidRPr="009C2953">
        <w:rPr>
          <w:lang w:val="fr-FR"/>
        </w:rPr>
        <w:t xml:space="preserve"> les </w:t>
      </w:r>
      <w:r w:rsidRPr="009C2953">
        <w:rPr>
          <w:lang w:val="fr-FR"/>
        </w:rPr>
        <w:t>pays partenaires,</w:t>
      </w:r>
      <w:r w:rsidR="00F34644" w:rsidRPr="009C2953">
        <w:rPr>
          <w:lang w:val="fr-FR"/>
        </w:rPr>
        <w:t xml:space="preserve"> son </w:t>
      </w:r>
      <w:r w:rsidRPr="009C2953">
        <w:rPr>
          <w:lang w:val="fr-FR"/>
        </w:rPr>
        <w:t>pays avait soutenu, depuis 2008, plus de 350 initiatives en faveur de</w:t>
      </w:r>
      <w:r w:rsidR="00F34644" w:rsidRPr="009C2953">
        <w:rPr>
          <w:lang w:val="fr-FR"/>
        </w:rPr>
        <w:t xml:space="preserve"> la </w:t>
      </w:r>
      <w:r w:rsidRPr="009C2953">
        <w:rPr>
          <w:lang w:val="fr-FR"/>
        </w:rPr>
        <w:t>biodiversité pour</w:t>
      </w:r>
      <w:r w:rsidR="00F34644" w:rsidRPr="009C2953">
        <w:rPr>
          <w:lang w:val="fr-FR"/>
        </w:rPr>
        <w:t xml:space="preserve"> un </w:t>
      </w:r>
      <w:r w:rsidRPr="009C2953">
        <w:rPr>
          <w:lang w:val="fr-FR"/>
        </w:rPr>
        <w:t>montant supérieur à</w:t>
      </w:r>
      <w:r w:rsidR="009967AC" w:rsidRPr="009C2953">
        <w:rPr>
          <w:lang w:val="fr-FR"/>
        </w:rPr>
        <w:t> </w:t>
      </w:r>
      <w:r w:rsidRPr="009C2953">
        <w:rPr>
          <w:lang w:val="fr-FR"/>
        </w:rPr>
        <w:t>1,6 milliard d</w:t>
      </w:r>
      <w:r w:rsidR="00EA2966" w:rsidRPr="009C2953">
        <w:rPr>
          <w:lang w:val="fr-FR"/>
        </w:rPr>
        <w:t>’</w:t>
      </w:r>
      <w:r w:rsidRPr="009C2953">
        <w:rPr>
          <w:lang w:val="fr-FR"/>
        </w:rPr>
        <w:t>euros. À partir de 2025, l</w:t>
      </w:r>
      <w:r w:rsidR="00EA2966" w:rsidRPr="009C2953">
        <w:rPr>
          <w:lang w:val="fr-FR"/>
        </w:rPr>
        <w:t>’</w:t>
      </w:r>
      <w:r w:rsidRPr="009C2953">
        <w:rPr>
          <w:lang w:val="fr-FR"/>
        </w:rPr>
        <w:t>Allemagne porterait à 1,5 milliard d</w:t>
      </w:r>
      <w:r w:rsidR="00EA2966" w:rsidRPr="009C2953">
        <w:rPr>
          <w:lang w:val="fr-FR"/>
        </w:rPr>
        <w:t>’</w:t>
      </w:r>
      <w:r w:rsidRPr="009C2953">
        <w:rPr>
          <w:lang w:val="fr-FR"/>
        </w:rPr>
        <w:t>euros par an</w:t>
      </w:r>
      <w:r w:rsidR="00F34644" w:rsidRPr="009C2953">
        <w:rPr>
          <w:lang w:val="fr-FR"/>
        </w:rPr>
        <w:t xml:space="preserve"> son </w:t>
      </w:r>
      <w:r w:rsidRPr="009C2953">
        <w:rPr>
          <w:lang w:val="fr-FR"/>
        </w:rPr>
        <w:t>financement dans ce domaine.</w:t>
      </w:r>
    </w:p>
    <w:p w14:paraId="28A0FB7B" w14:textId="5662B4B5" w:rsidR="00607B78" w:rsidRPr="009C2953" w:rsidRDefault="00607B78" w:rsidP="008731A8">
      <w:pPr>
        <w:pStyle w:val="Normalnumber"/>
        <w:numPr>
          <w:ilvl w:val="0"/>
          <w:numId w:val="2"/>
        </w:numPr>
        <w:rPr>
          <w:lang w:val="fr-FR"/>
        </w:rPr>
      </w:pPr>
      <w:r w:rsidRPr="009C2953">
        <w:rPr>
          <w:lang w:val="fr-FR"/>
        </w:rPr>
        <w:t>Dans</w:t>
      </w:r>
      <w:r w:rsidR="00F34644" w:rsidRPr="009C2953">
        <w:rPr>
          <w:lang w:val="fr-FR"/>
        </w:rPr>
        <w:t xml:space="preserve"> sa </w:t>
      </w:r>
      <w:r w:rsidRPr="009C2953">
        <w:rPr>
          <w:lang w:val="fr-FR"/>
        </w:rPr>
        <w:t>déclaration, M. </w:t>
      </w:r>
      <w:proofErr w:type="spellStart"/>
      <w:r w:rsidRPr="009C2953">
        <w:rPr>
          <w:lang w:val="fr-FR"/>
        </w:rPr>
        <w:t>Thurstrup</w:t>
      </w:r>
      <w:proofErr w:type="spellEnd"/>
      <w:r w:rsidRPr="009C2953">
        <w:rPr>
          <w:lang w:val="fr-FR"/>
        </w:rPr>
        <w:t xml:space="preserve"> a </w:t>
      </w:r>
      <w:r w:rsidR="007768F4" w:rsidRPr="009C2953">
        <w:rPr>
          <w:lang w:val="fr-FR"/>
        </w:rPr>
        <w:t>fait observer</w:t>
      </w:r>
      <w:r w:rsidR="007768F4" w:rsidRPr="009C2953">
        <w:rPr>
          <w:b/>
          <w:lang w:val="fr-FR"/>
        </w:rPr>
        <w:t xml:space="preserve"> </w:t>
      </w:r>
      <w:r w:rsidRPr="009C2953">
        <w:rPr>
          <w:lang w:val="fr-FR"/>
        </w:rPr>
        <w:t>que</w:t>
      </w:r>
      <w:r w:rsidR="00F34644" w:rsidRPr="009C2953">
        <w:rPr>
          <w:lang w:val="fr-FR"/>
        </w:rPr>
        <w:t xml:space="preserve"> la </w:t>
      </w:r>
      <w:r w:rsidRPr="009C2953">
        <w:rPr>
          <w:lang w:val="fr-FR"/>
        </w:rPr>
        <w:t>période écoulée depuis</w:t>
      </w:r>
      <w:r w:rsidR="00F34644" w:rsidRPr="009C2953">
        <w:rPr>
          <w:lang w:val="fr-FR"/>
        </w:rPr>
        <w:t xml:space="preserve"> la </w:t>
      </w:r>
      <w:r w:rsidRPr="009C2953">
        <w:rPr>
          <w:lang w:val="fr-FR"/>
        </w:rPr>
        <w:t>neuvième</w:t>
      </w:r>
      <w:r w:rsidR="00EE5B9C" w:rsidRPr="009C2953">
        <w:rPr>
          <w:lang w:val="fr-FR"/>
        </w:rPr>
        <w:t> </w:t>
      </w:r>
      <w:r w:rsidRPr="009C2953">
        <w:rPr>
          <w:lang w:val="fr-FR"/>
        </w:rPr>
        <w:t>session de</w:t>
      </w:r>
      <w:r w:rsidR="00F34644" w:rsidRPr="009C2953">
        <w:rPr>
          <w:lang w:val="fr-FR"/>
        </w:rPr>
        <w:t xml:space="preserve"> la </w:t>
      </w:r>
      <w:r w:rsidRPr="009C2953">
        <w:rPr>
          <w:lang w:val="fr-FR"/>
        </w:rPr>
        <w:t>Plénière avait été décisive pour</w:t>
      </w:r>
      <w:r w:rsidR="00F34644" w:rsidRPr="009C2953">
        <w:rPr>
          <w:lang w:val="fr-FR"/>
        </w:rPr>
        <w:t xml:space="preserve"> la </w:t>
      </w:r>
      <w:r w:rsidRPr="009C2953">
        <w:rPr>
          <w:lang w:val="fr-FR"/>
        </w:rPr>
        <w:t>nature, avec l</w:t>
      </w:r>
      <w:r w:rsidR="00EA2966" w:rsidRPr="009C2953">
        <w:rPr>
          <w:lang w:val="fr-FR"/>
        </w:rPr>
        <w:t>’</w:t>
      </w:r>
      <w:r w:rsidRPr="009C2953">
        <w:rPr>
          <w:lang w:val="fr-FR"/>
        </w:rPr>
        <w:t>adoption du Cadre mondial de</w:t>
      </w:r>
      <w:r w:rsidR="00F34644" w:rsidRPr="009C2953">
        <w:rPr>
          <w:lang w:val="fr-FR"/>
        </w:rPr>
        <w:t xml:space="preserve"> la </w:t>
      </w:r>
      <w:r w:rsidRPr="009C2953">
        <w:rPr>
          <w:lang w:val="fr-FR"/>
        </w:rPr>
        <w:t>biodiversité de Kunming-Montréal, qui avait fait date et dont</w:t>
      </w:r>
      <w:r w:rsidR="00F34644" w:rsidRPr="009C2953">
        <w:rPr>
          <w:lang w:val="fr-FR"/>
        </w:rPr>
        <w:t xml:space="preserve"> la </w:t>
      </w:r>
      <w:r w:rsidRPr="009C2953">
        <w:rPr>
          <w:lang w:val="fr-FR"/>
        </w:rPr>
        <w:t>négociation avait été soutenue par</w:t>
      </w:r>
      <w:r w:rsidR="00F34644" w:rsidRPr="009C2953">
        <w:rPr>
          <w:lang w:val="fr-FR"/>
        </w:rPr>
        <w:t xml:space="preserve"> les </w:t>
      </w:r>
      <w:r w:rsidRPr="009C2953">
        <w:rPr>
          <w:lang w:val="fr-FR"/>
        </w:rPr>
        <w:t>quatre partenaires</w:t>
      </w:r>
      <w:r w:rsidR="00D24DC1" w:rsidRPr="009C2953">
        <w:rPr>
          <w:lang w:val="fr-FR"/>
        </w:rPr>
        <w:t xml:space="preserve"> des </w:t>
      </w:r>
      <w:r w:rsidRPr="009C2953">
        <w:rPr>
          <w:lang w:val="fr-FR"/>
        </w:rPr>
        <w:t>Nations Unies et éclairée par</w:t>
      </w:r>
      <w:r w:rsidR="00F34644" w:rsidRPr="009C2953">
        <w:rPr>
          <w:lang w:val="fr-FR"/>
        </w:rPr>
        <w:t xml:space="preserve"> les </w:t>
      </w:r>
      <w:r w:rsidRPr="009C2953">
        <w:rPr>
          <w:lang w:val="fr-FR"/>
        </w:rPr>
        <w:t>évaluations de l</w:t>
      </w:r>
      <w:r w:rsidR="00EA2966" w:rsidRPr="009C2953">
        <w:rPr>
          <w:lang w:val="fr-FR"/>
        </w:rPr>
        <w:t>’</w:t>
      </w:r>
      <w:r w:rsidRPr="009C2953">
        <w:rPr>
          <w:lang w:val="fr-FR"/>
        </w:rPr>
        <w:t>IPBES.</w:t>
      </w:r>
      <w:r w:rsidR="00F34644" w:rsidRPr="009C2953">
        <w:rPr>
          <w:lang w:val="fr-FR"/>
        </w:rPr>
        <w:t xml:space="preserve"> Les </w:t>
      </w:r>
      <w:r w:rsidRPr="009C2953">
        <w:rPr>
          <w:lang w:val="fr-FR"/>
        </w:rPr>
        <w:t>partenaires</w:t>
      </w:r>
      <w:r w:rsidR="00D24DC1" w:rsidRPr="009C2953">
        <w:rPr>
          <w:lang w:val="fr-FR"/>
        </w:rPr>
        <w:t xml:space="preserve"> des </w:t>
      </w:r>
      <w:r w:rsidRPr="009C2953">
        <w:rPr>
          <w:lang w:val="fr-FR"/>
        </w:rPr>
        <w:t>Nations Unies apportaient</w:t>
      </w:r>
      <w:r w:rsidR="00F34644" w:rsidRPr="009C2953">
        <w:rPr>
          <w:lang w:val="fr-FR"/>
        </w:rPr>
        <w:t xml:space="preserve"> leur </w:t>
      </w:r>
      <w:r w:rsidRPr="009C2953">
        <w:rPr>
          <w:lang w:val="fr-FR"/>
        </w:rPr>
        <w:t>appui</w:t>
      </w:r>
      <w:r w:rsidR="00F34644" w:rsidRPr="009C2953">
        <w:rPr>
          <w:lang w:val="fr-FR"/>
        </w:rPr>
        <w:t xml:space="preserve"> aux </w:t>
      </w:r>
      <w:r w:rsidRPr="009C2953">
        <w:rPr>
          <w:lang w:val="fr-FR"/>
        </w:rPr>
        <w:t>Parties dans</w:t>
      </w:r>
      <w:r w:rsidR="00F34644" w:rsidRPr="009C2953">
        <w:rPr>
          <w:lang w:val="fr-FR"/>
        </w:rPr>
        <w:t xml:space="preserve"> leur </w:t>
      </w:r>
      <w:r w:rsidRPr="009C2953">
        <w:rPr>
          <w:lang w:val="fr-FR"/>
        </w:rPr>
        <w:t>mise en œuvre du Cadre, notamment</w:t>
      </w:r>
      <w:r w:rsidR="005B0E3A" w:rsidRPr="009C2953">
        <w:rPr>
          <w:lang w:val="fr-FR"/>
        </w:rPr>
        <w:t xml:space="preserve"> </w:t>
      </w:r>
      <w:r w:rsidRPr="009C2953">
        <w:rPr>
          <w:lang w:val="fr-FR"/>
        </w:rPr>
        <w:t>en</w:t>
      </w:r>
      <w:r w:rsidR="009967AC" w:rsidRPr="009C2953">
        <w:rPr>
          <w:lang w:val="fr-FR"/>
        </w:rPr>
        <w:t> </w:t>
      </w:r>
      <w:r w:rsidRPr="009C2953">
        <w:rPr>
          <w:lang w:val="fr-FR"/>
        </w:rPr>
        <w:t>menant au niveau mondial</w:t>
      </w:r>
      <w:r w:rsidR="00D24DC1" w:rsidRPr="009C2953">
        <w:rPr>
          <w:lang w:val="fr-FR"/>
        </w:rPr>
        <w:t xml:space="preserve"> des </w:t>
      </w:r>
      <w:r w:rsidRPr="009C2953">
        <w:rPr>
          <w:lang w:val="fr-FR"/>
        </w:rPr>
        <w:t>actions destinées à mettre au point</w:t>
      </w:r>
      <w:r w:rsidR="00D24DC1" w:rsidRPr="009C2953">
        <w:rPr>
          <w:lang w:val="fr-FR"/>
        </w:rPr>
        <w:t xml:space="preserve"> des </w:t>
      </w:r>
      <w:r w:rsidRPr="009C2953">
        <w:rPr>
          <w:lang w:val="fr-FR"/>
        </w:rPr>
        <w:t>indicateurs de suivi.</w:t>
      </w:r>
      <w:r w:rsidR="005B0E3A" w:rsidRPr="009C2953">
        <w:rPr>
          <w:lang w:val="fr-FR"/>
        </w:rPr>
        <w:t xml:space="preserve"> </w:t>
      </w:r>
      <w:r w:rsidR="00F34644" w:rsidRPr="009C2953">
        <w:rPr>
          <w:lang w:val="fr-FR"/>
        </w:rPr>
        <w:t>Les </w:t>
      </w:r>
      <w:r w:rsidRPr="009C2953">
        <w:rPr>
          <w:lang w:val="fr-FR"/>
        </w:rPr>
        <w:t>quatre partenaires accueillaient favorablement</w:t>
      </w:r>
      <w:r w:rsidR="00F34644" w:rsidRPr="009C2953">
        <w:rPr>
          <w:lang w:val="fr-FR"/>
        </w:rPr>
        <w:t xml:space="preserve"> la </w:t>
      </w:r>
      <w:r w:rsidRPr="009C2953">
        <w:rPr>
          <w:lang w:val="fr-FR"/>
        </w:rPr>
        <w:t>nouvelle évaluation</w:t>
      </w:r>
      <w:r w:rsidR="00D24DC1" w:rsidRPr="009C2953">
        <w:rPr>
          <w:lang w:val="fr-FR"/>
        </w:rPr>
        <w:t xml:space="preserve"> des </w:t>
      </w:r>
      <w:r w:rsidRPr="009C2953">
        <w:rPr>
          <w:lang w:val="fr-FR"/>
        </w:rPr>
        <w:t>espèces exotiques envahissantes de l</w:t>
      </w:r>
      <w:r w:rsidR="00EA2966" w:rsidRPr="009C2953">
        <w:rPr>
          <w:lang w:val="fr-FR"/>
        </w:rPr>
        <w:t>’</w:t>
      </w:r>
      <w:r w:rsidRPr="009C2953">
        <w:rPr>
          <w:lang w:val="fr-FR"/>
        </w:rPr>
        <w:t>IPBES, dont</w:t>
      </w:r>
      <w:r w:rsidR="00F34644" w:rsidRPr="009C2953">
        <w:rPr>
          <w:lang w:val="fr-FR"/>
        </w:rPr>
        <w:t xml:space="preserve"> les </w:t>
      </w:r>
      <w:r w:rsidRPr="009C2953">
        <w:rPr>
          <w:lang w:val="fr-FR"/>
        </w:rPr>
        <w:t>conclusions s</w:t>
      </w:r>
      <w:r w:rsidR="00EA2966" w:rsidRPr="009C2953">
        <w:rPr>
          <w:lang w:val="fr-FR"/>
        </w:rPr>
        <w:t>’</w:t>
      </w:r>
      <w:r w:rsidRPr="009C2953">
        <w:rPr>
          <w:lang w:val="fr-FR"/>
        </w:rPr>
        <w:t>avéreraient cruciales pour nombre de</w:t>
      </w:r>
      <w:r w:rsidR="00F34644" w:rsidRPr="009C2953">
        <w:rPr>
          <w:lang w:val="fr-FR"/>
        </w:rPr>
        <w:t xml:space="preserve"> leur</w:t>
      </w:r>
      <w:r w:rsidRPr="009C2953">
        <w:rPr>
          <w:lang w:val="fr-FR"/>
        </w:rPr>
        <w:t>s activités.</w:t>
      </w:r>
    </w:p>
    <w:p w14:paraId="42DC53EF" w14:textId="3AAD1F9F" w:rsidR="00607B78" w:rsidRPr="009C2953" w:rsidRDefault="00607B78" w:rsidP="008731A8">
      <w:pPr>
        <w:pStyle w:val="Normalnumber"/>
        <w:numPr>
          <w:ilvl w:val="0"/>
          <w:numId w:val="2"/>
        </w:numPr>
        <w:rPr>
          <w:lang w:val="fr-FR"/>
        </w:rPr>
      </w:pPr>
      <w:r w:rsidRPr="009C2953">
        <w:rPr>
          <w:lang w:val="fr-FR"/>
        </w:rPr>
        <w:t>Les partenaires ont réaffirmé</w:t>
      </w:r>
      <w:r w:rsidR="00F34644" w:rsidRPr="009C2953">
        <w:rPr>
          <w:lang w:val="fr-FR"/>
        </w:rPr>
        <w:t xml:space="preserve"> leur </w:t>
      </w:r>
      <w:r w:rsidRPr="009C2953">
        <w:rPr>
          <w:lang w:val="fr-FR"/>
        </w:rPr>
        <w:t>engagement à soutenir</w:t>
      </w:r>
      <w:r w:rsidR="00F34644" w:rsidRPr="009C2953">
        <w:rPr>
          <w:lang w:val="fr-FR"/>
        </w:rPr>
        <w:t xml:space="preserve"> la </w:t>
      </w:r>
      <w:r w:rsidRPr="009C2953">
        <w:rPr>
          <w:lang w:val="fr-FR"/>
        </w:rPr>
        <w:t>Plateforme et</w:t>
      </w:r>
      <w:r w:rsidR="00F34644" w:rsidRPr="009C2953">
        <w:rPr>
          <w:lang w:val="fr-FR"/>
        </w:rPr>
        <w:t xml:space="preserve"> sa </w:t>
      </w:r>
      <w:r w:rsidRPr="009C2953">
        <w:rPr>
          <w:lang w:val="fr-FR"/>
        </w:rPr>
        <w:t>mission.</w:t>
      </w:r>
      <w:r w:rsidR="00F34644" w:rsidRPr="009C2953">
        <w:rPr>
          <w:lang w:val="fr-FR"/>
        </w:rPr>
        <w:t xml:space="preserve"> La </w:t>
      </w:r>
      <w:r w:rsidRPr="009C2953">
        <w:rPr>
          <w:lang w:val="fr-FR"/>
        </w:rPr>
        <w:t>FAO</w:t>
      </w:r>
      <w:r w:rsidR="00EB56AA" w:rsidRPr="009C2953">
        <w:rPr>
          <w:lang w:val="fr-FR"/>
        </w:rPr>
        <w:t> </w:t>
      </w:r>
      <w:r w:rsidRPr="009C2953">
        <w:rPr>
          <w:lang w:val="fr-FR"/>
        </w:rPr>
        <w:t>mettait à disposition</w:t>
      </w:r>
      <w:r w:rsidR="00D24DC1" w:rsidRPr="009C2953">
        <w:rPr>
          <w:lang w:val="fr-FR"/>
        </w:rPr>
        <w:t xml:space="preserve"> des </w:t>
      </w:r>
      <w:r w:rsidRPr="009C2953">
        <w:rPr>
          <w:lang w:val="fr-FR"/>
        </w:rPr>
        <w:t>auteur(</w:t>
      </w:r>
      <w:proofErr w:type="spellStart"/>
      <w:r w:rsidRPr="009C2953">
        <w:rPr>
          <w:lang w:val="fr-FR"/>
        </w:rPr>
        <w:t>rice</w:t>
      </w:r>
      <w:proofErr w:type="spellEnd"/>
      <w:r w:rsidRPr="009C2953">
        <w:rPr>
          <w:lang w:val="fr-FR"/>
        </w:rPr>
        <w:t>)s et</w:t>
      </w:r>
      <w:r w:rsidR="00D24DC1" w:rsidRPr="009C2953">
        <w:rPr>
          <w:lang w:val="fr-FR"/>
        </w:rPr>
        <w:t xml:space="preserve"> des </w:t>
      </w:r>
      <w:r w:rsidRPr="009C2953">
        <w:rPr>
          <w:lang w:val="fr-FR"/>
        </w:rPr>
        <w:t>données pour</w:t>
      </w:r>
      <w:r w:rsidR="00F34644" w:rsidRPr="009C2953">
        <w:rPr>
          <w:lang w:val="fr-FR"/>
        </w:rPr>
        <w:t xml:space="preserve"> les </w:t>
      </w:r>
      <w:r w:rsidRPr="009C2953">
        <w:rPr>
          <w:lang w:val="fr-FR"/>
        </w:rPr>
        <w:t>évaluations de l</w:t>
      </w:r>
      <w:r w:rsidR="00EA2966" w:rsidRPr="009C2953">
        <w:rPr>
          <w:lang w:val="fr-FR"/>
        </w:rPr>
        <w:t>’</w:t>
      </w:r>
      <w:r w:rsidRPr="009C2953">
        <w:rPr>
          <w:lang w:val="fr-FR"/>
        </w:rPr>
        <w:t>IPBES, produisait</w:t>
      </w:r>
      <w:r w:rsidR="00D24DC1" w:rsidRPr="009C2953">
        <w:rPr>
          <w:lang w:val="fr-FR"/>
        </w:rPr>
        <w:t xml:space="preserve"> des </w:t>
      </w:r>
      <w:r w:rsidRPr="009C2953">
        <w:rPr>
          <w:lang w:val="fr-FR"/>
        </w:rPr>
        <w:t>publications clés et fournissait</w:t>
      </w:r>
      <w:r w:rsidR="00F34644" w:rsidRPr="009C2953">
        <w:rPr>
          <w:lang w:val="fr-FR"/>
        </w:rPr>
        <w:t xml:space="preserve"> un </w:t>
      </w:r>
      <w:r w:rsidRPr="009C2953">
        <w:rPr>
          <w:lang w:val="fr-FR"/>
        </w:rPr>
        <w:t>accès gratuit à 22 bases de données majeures,</w:t>
      </w:r>
      <w:r w:rsidR="00F34644" w:rsidRPr="009C2953">
        <w:rPr>
          <w:lang w:val="fr-FR"/>
        </w:rPr>
        <w:t xml:space="preserve"> y </w:t>
      </w:r>
      <w:r w:rsidRPr="009C2953">
        <w:rPr>
          <w:lang w:val="fr-FR"/>
        </w:rPr>
        <w:t>compris</w:t>
      </w:r>
      <w:r w:rsidR="00F34644" w:rsidRPr="009C2953">
        <w:rPr>
          <w:lang w:val="fr-FR"/>
        </w:rPr>
        <w:t xml:space="preserve"> la </w:t>
      </w:r>
      <w:r w:rsidRPr="009C2953">
        <w:rPr>
          <w:lang w:val="fr-FR"/>
        </w:rPr>
        <w:t>base de données statistiques FAOSTAT.</w:t>
      </w:r>
      <w:r w:rsidR="00F34644" w:rsidRPr="009C2953">
        <w:rPr>
          <w:lang w:val="fr-FR"/>
        </w:rPr>
        <w:t xml:space="preserve"> Le </w:t>
      </w:r>
      <w:r w:rsidRPr="009C2953">
        <w:rPr>
          <w:lang w:val="fr-FR"/>
        </w:rPr>
        <w:t>PNUD soutenait</w:t>
      </w:r>
      <w:r w:rsidR="00F34644" w:rsidRPr="009C2953">
        <w:rPr>
          <w:lang w:val="fr-FR"/>
        </w:rPr>
        <w:t xml:space="preserve"> les </w:t>
      </w:r>
      <w:r w:rsidRPr="009C2953">
        <w:rPr>
          <w:lang w:val="fr-FR"/>
        </w:rPr>
        <w:t>travaux de l</w:t>
      </w:r>
      <w:r w:rsidR="00EA2966" w:rsidRPr="009C2953">
        <w:rPr>
          <w:lang w:val="fr-FR"/>
        </w:rPr>
        <w:t>’</w:t>
      </w:r>
      <w:r w:rsidRPr="009C2953">
        <w:rPr>
          <w:lang w:val="fr-FR"/>
        </w:rPr>
        <w:t>équipe spéciale sur</w:t>
      </w:r>
      <w:r w:rsidR="00F34644" w:rsidRPr="009C2953">
        <w:rPr>
          <w:lang w:val="fr-FR"/>
        </w:rPr>
        <w:t xml:space="preserve"> le </w:t>
      </w:r>
      <w:r w:rsidRPr="009C2953">
        <w:rPr>
          <w:lang w:val="fr-FR"/>
        </w:rPr>
        <w:t>renforcement</w:t>
      </w:r>
      <w:r w:rsidR="00D24DC1" w:rsidRPr="009C2953">
        <w:rPr>
          <w:lang w:val="fr-FR"/>
        </w:rPr>
        <w:t xml:space="preserve"> des </w:t>
      </w:r>
      <w:r w:rsidRPr="009C2953">
        <w:rPr>
          <w:lang w:val="fr-FR"/>
        </w:rPr>
        <w:t>capacités de l</w:t>
      </w:r>
      <w:r w:rsidR="00EA2966" w:rsidRPr="009C2953">
        <w:rPr>
          <w:lang w:val="fr-FR"/>
        </w:rPr>
        <w:t>’</w:t>
      </w:r>
      <w:r w:rsidRPr="009C2953">
        <w:rPr>
          <w:lang w:val="fr-FR"/>
        </w:rPr>
        <w:t>IPBES et, en étroite collaboration avec</w:t>
      </w:r>
      <w:r w:rsidR="00D24DC1" w:rsidRPr="009C2953">
        <w:rPr>
          <w:lang w:val="fr-FR"/>
        </w:rPr>
        <w:t xml:space="preserve"> des </w:t>
      </w:r>
      <w:r w:rsidRPr="009C2953">
        <w:rPr>
          <w:lang w:val="fr-FR"/>
        </w:rPr>
        <w:t>partenaires du monde entier, continuerait à gérer</w:t>
      </w:r>
      <w:r w:rsidR="00F34644" w:rsidRPr="009C2953">
        <w:rPr>
          <w:lang w:val="fr-FR"/>
        </w:rPr>
        <w:t xml:space="preserve"> le </w:t>
      </w:r>
      <w:r w:rsidRPr="009C2953">
        <w:rPr>
          <w:lang w:val="fr-FR"/>
        </w:rPr>
        <w:t>Réseau sur</w:t>
      </w:r>
      <w:r w:rsidR="00F34644" w:rsidRPr="009C2953">
        <w:rPr>
          <w:lang w:val="fr-FR"/>
        </w:rPr>
        <w:t xml:space="preserve"> la </w:t>
      </w:r>
      <w:r w:rsidRPr="009C2953">
        <w:rPr>
          <w:lang w:val="fr-FR"/>
        </w:rPr>
        <w:t>biodiversité et</w:t>
      </w:r>
      <w:r w:rsidR="00F34644" w:rsidRPr="009C2953">
        <w:rPr>
          <w:lang w:val="fr-FR"/>
        </w:rPr>
        <w:t xml:space="preserve"> les </w:t>
      </w:r>
      <w:r w:rsidRPr="009C2953">
        <w:rPr>
          <w:lang w:val="fr-FR"/>
        </w:rPr>
        <w:t>services écosystémiques afin de faciliter l</w:t>
      </w:r>
      <w:r w:rsidR="00EA2966" w:rsidRPr="009C2953">
        <w:rPr>
          <w:lang w:val="fr-FR"/>
        </w:rPr>
        <w:t>’</w:t>
      </w:r>
      <w:r w:rsidRPr="009C2953">
        <w:rPr>
          <w:lang w:val="fr-FR"/>
        </w:rPr>
        <w:t>adoption</w:t>
      </w:r>
      <w:r w:rsidR="00D24DC1" w:rsidRPr="009C2953">
        <w:rPr>
          <w:lang w:val="fr-FR"/>
        </w:rPr>
        <w:t xml:space="preserve"> des </w:t>
      </w:r>
      <w:r w:rsidRPr="009C2953">
        <w:rPr>
          <w:lang w:val="fr-FR"/>
        </w:rPr>
        <w:t>évaluations de l</w:t>
      </w:r>
      <w:r w:rsidR="00EA2966" w:rsidRPr="009C2953">
        <w:rPr>
          <w:lang w:val="fr-FR"/>
        </w:rPr>
        <w:t>’</w:t>
      </w:r>
      <w:r w:rsidRPr="009C2953">
        <w:rPr>
          <w:lang w:val="fr-FR"/>
        </w:rPr>
        <w:t>IPBES et d</w:t>
      </w:r>
      <w:r w:rsidR="00EA2966" w:rsidRPr="009C2953">
        <w:rPr>
          <w:lang w:val="fr-FR"/>
        </w:rPr>
        <w:t>’</w:t>
      </w:r>
      <w:r w:rsidRPr="009C2953">
        <w:rPr>
          <w:lang w:val="fr-FR"/>
        </w:rPr>
        <w:t>autres outils d</w:t>
      </w:r>
      <w:r w:rsidR="00EA2966" w:rsidRPr="009C2953">
        <w:rPr>
          <w:lang w:val="fr-FR"/>
        </w:rPr>
        <w:t>’</w:t>
      </w:r>
      <w:r w:rsidRPr="009C2953">
        <w:rPr>
          <w:lang w:val="fr-FR"/>
        </w:rPr>
        <w:t>orientation.</w:t>
      </w:r>
      <w:r w:rsidR="00F34644" w:rsidRPr="009C2953">
        <w:rPr>
          <w:lang w:val="fr-FR"/>
        </w:rPr>
        <w:t xml:space="preserve"> Le </w:t>
      </w:r>
      <w:r w:rsidRPr="009C2953">
        <w:rPr>
          <w:lang w:val="fr-FR"/>
        </w:rPr>
        <w:t>PNUE était fier d</w:t>
      </w:r>
      <w:r w:rsidR="00EA2966" w:rsidRPr="009C2953">
        <w:rPr>
          <w:lang w:val="fr-FR"/>
        </w:rPr>
        <w:t>’</w:t>
      </w:r>
      <w:r w:rsidRPr="009C2953">
        <w:rPr>
          <w:lang w:val="fr-FR"/>
        </w:rPr>
        <w:t>accueillir</w:t>
      </w:r>
      <w:r w:rsidR="00F34644" w:rsidRPr="009C2953">
        <w:rPr>
          <w:lang w:val="fr-FR"/>
        </w:rPr>
        <w:t xml:space="preserve"> le </w:t>
      </w:r>
      <w:r w:rsidRPr="009C2953">
        <w:rPr>
          <w:lang w:val="fr-FR"/>
        </w:rPr>
        <w:t>secrétariat de l</w:t>
      </w:r>
      <w:r w:rsidR="00EA2966" w:rsidRPr="009C2953">
        <w:rPr>
          <w:lang w:val="fr-FR"/>
        </w:rPr>
        <w:t>’</w:t>
      </w:r>
      <w:r w:rsidRPr="009C2953">
        <w:rPr>
          <w:lang w:val="fr-FR"/>
        </w:rPr>
        <w:t>IPBES et d</w:t>
      </w:r>
      <w:r w:rsidR="00EA2966" w:rsidRPr="009C2953">
        <w:rPr>
          <w:lang w:val="fr-FR"/>
        </w:rPr>
        <w:t>’</w:t>
      </w:r>
      <w:r w:rsidRPr="009C2953">
        <w:rPr>
          <w:lang w:val="fr-FR"/>
        </w:rPr>
        <w:t>apporter</w:t>
      </w:r>
      <w:r w:rsidR="00F34644" w:rsidRPr="009C2953">
        <w:rPr>
          <w:lang w:val="fr-FR"/>
        </w:rPr>
        <w:t xml:space="preserve"> un </w:t>
      </w:r>
      <w:r w:rsidRPr="009C2953">
        <w:rPr>
          <w:lang w:val="fr-FR"/>
        </w:rPr>
        <w:t>soutien technique par l</w:t>
      </w:r>
      <w:r w:rsidR="00EA2966" w:rsidRPr="009C2953">
        <w:rPr>
          <w:lang w:val="fr-FR"/>
        </w:rPr>
        <w:t>’</w:t>
      </w:r>
      <w:r w:rsidRPr="009C2953">
        <w:rPr>
          <w:lang w:val="fr-FR"/>
        </w:rPr>
        <w:t>intermédiaire du Centre mondial de surveillance pour</w:t>
      </w:r>
      <w:r w:rsidR="00F34644" w:rsidRPr="009C2953">
        <w:rPr>
          <w:lang w:val="fr-FR"/>
        </w:rPr>
        <w:t xml:space="preserve"> la </w:t>
      </w:r>
      <w:r w:rsidRPr="009C2953">
        <w:rPr>
          <w:lang w:val="fr-FR"/>
        </w:rPr>
        <w:t>conservation.</w:t>
      </w:r>
      <w:r w:rsidR="00F34644" w:rsidRPr="009C2953">
        <w:rPr>
          <w:lang w:val="fr-FR"/>
        </w:rPr>
        <w:t xml:space="preserve"> Le </w:t>
      </w:r>
      <w:r w:rsidRPr="009C2953">
        <w:rPr>
          <w:lang w:val="fr-FR"/>
        </w:rPr>
        <w:t>Centre, à travers l</w:t>
      </w:r>
      <w:r w:rsidR="00EA2966" w:rsidRPr="009C2953">
        <w:rPr>
          <w:lang w:val="fr-FR"/>
        </w:rPr>
        <w:t>’</w:t>
      </w:r>
      <w:r w:rsidRPr="009C2953">
        <w:rPr>
          <w:lang w:val="fr-FR"/>
        </w:rPr>
        <w:t>Initiative NEA (évaluations nationales</w:t>
      </w:r>
      <w:r w:rsidR="00D24DC1" w:rsidRPr="009C2953">
        <w:rPr>
          <w:lang w:val="fr-FR"/>
        </w:rPr>
        <w:t xml:space="preserve"> des </w:t>
      </w:r>
      <w:r w:rsidRPr="009C2953">
        <w:rPr>
          <w:lang w:val="fr-FR"/>
        </w:rPr>
        <w:t>écosystèmes) qu</w:t>
      </w:r>
      <w:r w:rsidR="00EA2966" w:rsidRPr="009C2953">
        <w:rPr>
          <w:lang w:val="fr-FR"/>
        </w:rPr>
        <w:t>’</w:t>
      </w:r>
      <w:r w:rsidRPr="009C2953">
        <w:rPr>
          <w:lang w:val="fr-FR"/>
        </w:rPr>
        <w:t>il héberge, aidait</w:t>
      </w:r>
      <w:r w:rsidR="00F34644" w:rsidRPr="009C2953">
        <w:rPr>
          <w:lang w:val="fr-FR"/>
        </w:rPr>
        <w:t xml:space="preserve"> les </w:t>
      </w:r>
      <w:r w:rsidRPr="009C2953">
        <w:rPr>
          <w:lang w:val="fr-FR"/>
        </w:rPr>
        <w:t>États à entreprendre</w:t>
      </w:r>
      <w:r w:rsidR="00D24DC1" w:rsidRPr="009C2953">
        <w:rPr>
          <w:lang w:val="fr-FR"/>
        </w:rPr>
        <w:t xml:space="preserve"> des </w:t>
      </w:r>
      <w:r w:rsidRPr="009C2953">
        <w:rPr>
          <w:lang w:val="fr-FR"/>
        </w:rPr>
        <w:t>évaluations s</w:t>
      </w:r>
      <w:r w:rsidR="00EA2966" w:rsidRPr="009C2953">
        <w:rPr>
          <w:lang w:val="fr-FR"/>
        </w:rPr>
        <w:t>’</w:t>
      </w:r>
      <w:r w:rsidRPr="009C2953">
        <w:rPr>
          <w:lang w:val="fr-FR"/>
        </w:rPr>
        <w:t>appuyant sur</w:t>
      </w:r>
      <w:r w:rsidR="00F34644" w:rsidRPr="009C2953">
        <w:rPr>
          <w:lang w:val="fr-FR"/>
        </w:rPr>
        <w:t xml:space="preserve"> le </w:t>
      </w:r>
      <w:r w:rsidRPr="009C2953">
        <w:rPr>
          <w:lang w:val="fr-FR"/>
        </w:rPr>
        <w:t>cadre conceptuel et</w:t>
      </w:r>
      <w:r w:rsidR="00F34644" w:rsidRPr="009C2953">
        <w:rPr>
          <w:lang w:val="fr-FR"/>
        </w:rPr>
        <w:t xml:space="preserve"> le </w:t>
      </w:r>
      <w:r w:rsidRPr="009C2953">
        <w:rPr>
          <w:lang w:val="fr-FR"/>
        </w:rPr>
        <w:t>processus d</w:t>
      </w:r>
      <w:r w:rsidR="00EA2966" w:rsidRPr="009C2953">
        <w:rPr>
          <w:lang w:val="fr-FR"/>
        </w:rPr>
        <w:t>’</w:t>
      </w:r>
      <w:r w:rsidRPr="009C2953">
        <w:rPr>
          <w:lang w:val="fr-FR"/>
        </w:rPr>
        <w:t>évaluation de l</w:t>
      </w:r>
      <w:r w:rsidR="00EA2966" w:rsidRPr="009C2953">
        <w:rPr>
          <w:lang w:val="fr-FR"/>
        </w:rPr>
        <w:t>’</w:t>
      </w:r>
      <w:r w:rsidRPr="009C2953">
        <w:rPr>
          <w:lang w:val="fr-FR"/>
        </w:rPr>
        <w:t>IPBES et à mettre en place</w:t>
      </w:r>
      <w:r w:rsidR="00D24DC1" w:rsidRPr="009C2953">
        <w:rPr>
          <w:lang w:val="fr-FR"/>
        </w:rPr>
        <w:t xml:space="preserve"> des </w:t>
      </w:r>
      <w:r w:rsidRPr="009C2953">
        <w:rPr>
          <w:lang w:val="fr-FR"/>
        </w:rPr>
        <w:t xml:space="preserve">plateformes </w:t>
      </w:r>
      <w:r w:rsidR="00A9779B" w:rsidRPr="009C2953">
        <w:rPr>
          <w:lang w:val="fr-FR"/>
        </w:rPr>
        <w:t>sur l</w:t>
      </w:r>
      <w:r w:rsidR="00EA2966" w:rsidRPr="009C2953">
        <w:rPr>
          <w:lang w:val="fr-FR"/>
        </w:rPr>
        <w:t>’</w:t>
      </w:r>
      <w:r w:rsidR="00A9779B" w:rsidRPr="009C2953">
        <w:rPr>
          <w:lang w:val="fr-FR"/>
        </w:rPr>
        <w:t xml:space="preserve">interface </w:t>
      </w:r>
      <w:r w:rsidRPr="009C2953">
        <w:rPr>
          <w:lang w:val="fr-FR"/>
        </w:rPr>
        <w:t>science</w:t>
      </w:r>
      <w:r w:rsidRPr="009C2953">
        <w:rPr>
          <w:lang w:val="fr-FR"/>
        </w:rPr>
        <w:noBreakHyphen/>
        <w:t>politiques, en collaboration avec</w:t>
      </w:r>
      <w:r w:rsidR="00F34644" w:rsidRPr="009C2953">
        <w:rPr>
          <w:lang w:val="fr-FR"/>
        </w:rPr>
        <w:t xml:space="preserve"> le </w:t>
      </w:r>
      <w:r w:rsidRPr="009C2953">
        <w:rPr>
          <w:lang w:val="fr-FR"/>
        </w:rPr>
        <w:t>PNUD et l</w:t>
      </w:r>
      <w:r w:rsidR="00EA2966" w:rsidRPr="009C2953">
        <w:rPr>
          <w:lang w:val="fr-FR"/>
        </w:rPr>
        <w:t>’</w:t>
      </w:r>
      <w:r w:rsidRPr="009C2953">
        <w:rPr>
          <w:lang w:val="fr-FR"/>
        </w:rPr>
        <w:t>UNESCO. L</w:t>
      </w:r>
      <w:r w:rsidR="00EA2966" w:rsidRPr="009C2953">
        <w:rPr>
          <w:lang w:val="fr-FR"/>
        </w:rPr>
        <w:t>’</w:t>
      </w:r>
      <w:r w:rsidRPr="009C2953">
        <w:rPr>
          <w:lang w:val="fr-FR"/>
        </w:rPr>
        <w:t>UNESCO était déterminée à sauvegarder</w:t>
      </w:r>
      <w:r w:rsidR="00F34644" w:rsidRPr="009C2953">
        <w:rPr>
          <w:lang w:val="fr-FR"/>
        </w:rPr>
        <w:t xml:space="preserve"> les </w:t>
      </w:r>
      <w:r w:rsidRPr="009C2953">
        <w:rPr>
          <w:lang w:val="fr-FR"/>
        </w:rPr>
        <w:t>patrimoines culturel et naturel, qui sont interdépendants, grâce à</w:t>
      </w:r>
      <w:r w:rsidR="00D24DC1" w:rsidRPr="009C2953">
        <w:rPr>
          <w:lang w:val="fr-FR"/>
        </w:rPr>
        <w:t xml:space="preserve"> des </w:t>
      </w:r>
      <w:r w:rsidRPr="009C2953">
        <w:rPr>
          <w:lang w:val="fr-FR"/>
        </w:rPr>
        <w:t>mécanismes tels</w:t>
      </w:r>
      <w:r w:rsidR="00A2351E" w:rsidRPr="009C2953">
        <w:rPr>
          <w:lang w:val="fr-FR"/>
        </w:rPr>
        <w:t> </w:t>
      </w:r>
      <w:r w:rsidRPr="009C2953">
        <w:rPr>
          <w:lang w:val="fr-FR"/>
        </w:rPr>
        <w:t>que</w:t>
      </w:r>
      <w:r w:rsidR="00F34644" w:rsidRPr="009C2953">
        <w:rPr>
          <w:lang w:val="fr-FR"/>
        </w:rPr>
        <w:t xml:space="preserve"> le </w:t>
      </w:r>
      <w:r w:rsidRPr="009C2953">
        <w:rPr>
          <w:lang w:val="fr-FR"/>
        </w:rPr>
        <w:t>Programme sur l</w:t>
      </w:r>
      <w:r w:rsidR="00EA2966" w:rsidRPr="009C2953">
        <w:rPr>
          <w:lang w:val="fr-FR"/>
        </w:rPr>
        <w:t>’</w:t>
      </w:r>
      <w:r w:rsidRPr="009C2953">
        <w:rPr>
          <w:lang w:val="fr-FR"/>
        </w:rPr>
        <w:t>Homme et</w:t>
      </w:r>
      <w:r w:rsidR="00F34644" w:rsidRPr="009C2953">
        <w:rPr>
          <w:lang w:val="fr-FR"/>
        </w:rPr>
        <w:t xml:space="preserve"> la </w:t>
      </w:r>
      <w:r w:rsidRPr="009C2953">
        <w:rPr>
          <w:lang w:val="fr-FR"/>
        </w:rPr>
        <w:t>biosphère et</w:t>
      </w:r>
      <w:r w:rsidR="00F34644" w:rsidRPr="009C2953">
        <w:rPr>
          <w:lang w:val="fr-FR"/>
        </w:rPr>
        <w:t xml:space="preserve"> la </w:t>
      </w:r>
      <w:r w:rsidRPr="009C2953">
        <w:rPr>
          <w:lang w:val="fr-FR"/>
        </w:rPr>
        <w:t>Convention pour</w:t>
      </w:r>
      <w:r w:rsidR="00F34644" w:rsidRPr="009C2953">
        <w:rPr>
          <w:lang w:val="fr-FR"/>
        </w:rPr>
        <w:t xml:space="preserve"> la </w:t>
      </w:r>
      <w:r w:rsidRPr="009C2953">
        <w:rPr>
          <w:lang w:val="fr-FR"/>
        </w:rPr>
        <w:t>protection du</w:t>
      </w:r>
      <w:r w:rsidR="00EB56AA" w:rsidRPr="009C2953">
        <w:rPr>
          <w:lang w:val="fr-FR"/>
        </w:rPr>
        <w:t> </w:t>
      </w:r>
      <w:r w:rsidRPr="009C2953">
        <w:rPr>
          <w:lang w:val="fr-FR"/>
        </w:rPr>
        <w:t>patrimoine mondial, culturel et naturel.</w:t>
      </w:r>
      <w:r w:rsidR="00F34644" w:rsidRPr="009C2953">
        <w:rPr>
          <w:lang w:val="fr-FR"/>
        </w:rPr>
        <w:t xml:space="preserve"> Le </w:t>
      </w:r>
      <w:r w:rsidRPr="009C2953">
        <w:rPr>
          <w:lang w:val="fr-FR"/>
        </w:rPr>
        <w:t>Programme LINKS (Systèmes de savoirs</w:t>
      </w:r>
      <w:r w:rsidR="00AF615F" w:rsidRPr="009C2953">
        <w:rPr>
          <w:lang w:val="fr-FR"/>
        </w:rPr>
        <w:t xml:space="preserve"> </w:t>
      </w:r>
      <w:r w:rsidRPr="009C2953">
        <w:rPr>
          <w:lang w:val="fr-FR"/>
        </w:rPr>
        <w:t>locaux et autochtones) de</w:t>
      </w:r>
      <w:r w:rsidR="00A2351E" w:rsidRPr="009C2953">
        <w:rPr>
          <w:lang w:val="fr-FR"/>
        </w:rPr>
        <w:t> </w:t>
      </w:r>
      <w:r w:rsidRPr="009C2953">
        <w:rPr>
          <w:lang w:val="fr-FR"/>
        </w:rPr>
        <w:t>l</w:t>
      </w:r>
      <w:r w:rsidR="00EA2966" w:rsidRPr="009C2953">
        <w:rPr>
          <w:lang w:val="fr-FR"/>
        </w:rPr>
        <w:t>’</w:t>
      </w:r>
      <w:r w:rsidRPr="009C2953">
        <w:rPr>
          <w:lang w:val="fr-FR"/>
        </w:rPr>
        <w:t>UNESCO accueillait</w:t>
      </w:r>
      <w:r w:rsidR="00F34644" w:rsidRPr="009C2953">
        <w:rPr>
          <w:lang w:val="fr-FR"/>
        </w:rPr>
        <w:t xml:space="preserve"> le </w:t>
      </w:r>
      <w:r w:rsidRPr="009C2953">
        <w:rPr>
          <w:lang w:val="fr-FR"/>
        </w:rPr>
        <w:t>groupe d</w:t>
      </w:r>
      <w:r w:rsidR="00EA2966" w:rsidRPr="009C2953">
        <w:rPr>
          <w:lang w:val="fr-FR"/>
        </w:rPr>
        <w:t>’</w:t>
      </w:r>
      <w:r w:rsidRPr="009C2953">
        <w:rPr>
          <w:lang w:val="fr-FR"/>
        </w:rPr>
        <w:t>appui technique sur</w:t>
      </w:r>
      <w:r w:rsidR="00F34644" w:rsidRPr="009C2953">
        <w:rPr>
          <w:lang w:val="fr-FR"/>
        </w:rPr>
        <w:t xml:space="preserve"> les </w:t>
      </w:r>
      <w:r w:rsidRPr="009C2953">
        <w:rPr>
          <w:lang w:val="fr-FR"/>
        </w:rPr>
        <w:t>savoirs autochtones et locaux de l</w:t>
      </w:r>
      <w:r w:rsidR="00EA2966" w:rsidRPr="009C2953">
        <w:rPr>
          <w:lang w:val="fr-FR"/>
        </w:rPr>
        <w:t>’</w:t>
      </w:r>
      <w:r w:rsidRPr="009C2953">
        <w:rPr>
          <w:lang w:val="fr-FR"/>
        </w:rPr>
        <w:t>IPBES, qui apportait</w:t>
      </w:r>
      <w:r w:rsidR="00F34644" w:rsidRPr="009C2953">
        <w:rPr>
          <w:lang w:val="fr-FR"/>
        </w:rPr>
        <w:t xml:space="preserve"> son </w:t>
      </w:r>
      <w:r w:rsidRPr="009C2953">
        <w:rPr>
          <w:lang w:val="fr-FR"/>
        </w:rPr>
        <w:t>soutien à l</w:t>
      </w:r>
      <w:r w:rsidR="00EA2966" w:rsidRPr="009C2953">
        <w:rPr>
          <w:lang w:val="fr-FR"/>
        </w:rPr>
        <w:t>’</w:t>
      </w:r>
      <w:r w:rsidRPr="009C2953">
        <w:rPr>
          <w:lang w:val="fr-FR"/>
        </w:rPr>
        <w:t>équipe spéciale sur</w:t>
      </w:r>
      <w:r w:rsidR="00F34644" w:rsidRPr="009C2953">
        <w:rPr>
          <w:lang w:val="fr-FR"/>
        </w:rPr>
        <w:t xml:space="preserve"> les </w:t>
      </w:r>
      <w:r w:rsidRPr="009C2953">
        <w:rPr>
          <w:lang w:val="fr-FR"/>
        </w:rPr>
        <w:t>savoirs autochtones et locaux de l</w:t>
      </w:r>
      <w:r w:rsidR="00EA2966" w:rsidRPr="009C2953">
        <w:rPr>
          <w:lang w:val="fr-FR"/>
        </w:rPr>
        <w:t>’</w:t>
      </w:r>
      <w:r w:rsidRPr="009C2953">
        <w:rPr>
          <w:lang w:val="fr-FR"/>
        </w:rPr>
        <w:t>IPBES ainsi qu</w:t>
      </w:r>
      <w:r w:rsidR="00EA2966" w:rsidRPr="009C2953">
        <w:rPr>
          <w:lang w:val="fr-FR"/>
        </w:rPr>
        <w:t>’</w:t>
      </w:r>
      <w:r w:rsidRPr="009C2953">
        <w:rPr>
          <w:lang w:val="fr-FR"/>
        </w:rPr>
        <w:t>aux auteurs et autrices dans</w:t>
      </w:r>
      <w:r w:rsidR="00107282" w:rsidRPr="009C2953">
        <w:rPr>
          <w:lang w:val="fr-FR"/>
        </w:rPr>
        <w:t xml:space="preserve"> leurs </w:t>
      </w:r>
      <w:r w:rsidRPr="009C2953">
        <w:rPr>
          <w:lang w:val="fr-FR"/>
        </w:rPr>
        <w:t>travaux portant sur</w:t>
      </w:r>
      <w:r w:rsidR="00F34644" w:rsidRPr="009C2953">
        <w:rPr>
          <w:lang w:val="fr-FR"/>
        </w:rPr>
        <w:t xml:space="preserve"> les </w:t>
      </w:r>
      <w:r w:rsidRPr="009C2953">
        <w:rPr>
          <w:lang w:val="fr-FR"/>
        </w:rPr>
        <w:t>savoirs autochtones et locaux dans</w:t>
      </w:r>
      <w:r w:rsidR="00F34644" w:rsidRPr="009C2953">
        <w:rPr>
          <w:lang w:val="fr-FR"/>
        </w:rPr>
        <w:t xml:space="preserve"> le </w:t>
      </w:r>
      <w:r w:rsidRPr="009C2953">
        <w:rPr>
          <w:lang w:val="fr-FR"/>
        </w:rPr>
        <w:t>cadre</w:t>
      </w:r>
      <w:r w:rsidR="00D24DC1" w:rsidRPr="009C2953">
        <w:rPr>
          <w:lang w:val="fr-FR"/>
        </w:rPr>
        <w:t xml:space="preserve"> des </w:t>
      </w:r>
      <w:r w:rsidRPr="009C2953">
        <w:rPr>
          <w:lang w:val="fr-FR"/>
        </w:rPr>
        <w:t>évaluations de l</w:t>
      </w:r>
      <w:r w:rsidR="00EA2966" w:rsidRPr="009C2953">
        <w:rPr>
          <w:lang w:val="fr-FR"/>
        </w:rPr>
        <w:t>’</w:t>
      </w:r>
      <w:r w:rsidRPr="009C2953">
        <w:rPr>
          <w:lang w:val="fr-FR"/>
        </w:rPr>
        <w:t>IPBES.</w:t>
      </w:r>
      <w:r w:rsidR="00F34644" w:rsidRPr="009C2953">
        <w:rPr>
          <w:lang w:val="fr-FR"/>
        </w:rPr>
        <w:t xml:space="preserve"> Les </w:t>
      </w:r>
      <w:r w:rsidRPr="009C2953">
        <w:rPr>
          <w:lang w:val="fr-FR"/>
        </w:rPr>
        <w:t>quatre partenaires</w:t>
      </w:r>
      <w:r w:rsidR="00D24DC1" w:rsidRPr="009C2953">
        <w:rPr>
          <w:lang w:val="fr-FR"/>
        </w:rPr>
        <w:t xml:space="preserve"> des </w:t>
      </w:r>
      <w:r w:rsidRPr="009C2953">
        <w:rPr>
          <w:lang w:val="fr-FR"/>
        </w:rPr>
        <w:t>Nations Unies s</w:t>
      </w:r>
      <w:r w:rsidR="00EA2966" w:rsidRPr="009C2953">
        <w:rPr>
          <w:lang w:val="fr-FR"/>
        </w:rPr>
        <w:t>’</w:t>
      </w:r>
      <w:r w:rsidRPr="009C2953">
        <w:rPr>
          <w:lang w:val="fr-FR"/>
        </w:rPr>
        <w:t>employaient à intensifier</w:t>
      </w:r>
      <w:r w:rsidR="00107282" w:rsidRPr="009C2953">
        <w:rPr>
          <w:lang w:val="fr-FR"/>
        </w:rPr>
        <w:t xml:space="preserve"> leurs </w:t>
      </w:r>
      <w:r w:rsidRPr="009C2953">
        <w:rPr>
          <w:lang w:val="fr-FR"/>
        </w:rPr>
        <w:t>efforts en matière d</w:t>
      </w:r>
      <w:r w:rsidR="00EA2966" w:rsidRPr="009C2953">
        <w:rPr>
          <w:lang w:val="fr-FR"/>
        </w:rPr>
        <w:t>’</w:t>
      </w:r>
      <w:r w:rsidRPr="009C2953">
        <w:rPr>
          <w:lang w:val="fr-FR"/>
        </w:rPr>
        <w:t>accès libre et gratuit à</w:t>
      </w:r>
      <w:r w:rsidR="00D24DC1" w:rsidRPr="009C2953">
        <w:rPr>
          <w:lang w:val="fr-FR"/>
        </w:rPr>
        <w:t xml:space="preserve"> des </w:t>
      </w:r>
      <w:r w:rsidRPr="009C2953">
        <w:rPr>
          <w:lang w:val="fr-FR"/>
        </w:rPr>
        <w:t>ressources et</w:t>
      </w:r>
      <w:r w:rsidR="00D24DC1" w:rsidRPr="009C2953">
        <w:rPr>
          <w:lang w:val="fr-FR"/>
        </w:rPr>
        <w:t xml:space="preserve"> des </w:t>
      </w:r>
      <w:r w:rsidRPr="009C2953">
        <w:rPr>
          <w:lang w:val="fr-FR"/>
        </w:rPr>
        <w:t>bases de données en</w:t>
      </w:r>
      <w:r w:rsidR="00A2351E" w:rsidRPr="009C2953">
        <w:rPr>
          <w:lang w:val="fr-FR"/>
        </w:rPr>
        <w:t> </w:t>
      </w:r>
      <w:r w:rsidRPr="009C2953">
        <w:rPr>
          <w:lang w:val="fr-FR"/>
        </w:rPr>
        <w:t>ligne afin d</w:t>
      </w:r>
      <w:r w:rsidR="00EA2966" w:rsidRPr="009C2953">
        <w:rPr>
          <w:lang w:val="fr-FR"/>
        </w:rPr>
        <w:t>’</w:t>
      </w:r>
      <w:r w:rsidRPr="009C2953">
        <w:rPr>
          <w:lang w:val="fr-FR"/>
        </w:rPr>
        <w:t>aider</w:t>
      </w:r>
      <w:r w:rsidR="00F34644" w:rsidRPr="009C2953">
        <w:rPr>
          <w:lang w:val="fr-FR"/>
        </w:rPr>
        <w:t xml:space="preserve"> les </w:t>
      </w:r>
      <w:r w:rsidRPr="009C2953">
        <w:rPr>
          <w:lang w:val="fr-FR"/>
        </w:rPr>
        <w:t>gouvernements à respecter</w:t>
      </w:r>
      <w:r w:rsidR="00107282" w:rsidRPr="009C2953">
        <w:rPr>
          <w:lang w:val="fr-FR"/>
        </w:rPr>
        <w:t xml:space="preserve"> leurs </w:t>
      </w:r>
      <w:r w:rsidRPr="009C2953">
        <w:rPr>
          <w:lang w:val="fr-FR"/>
        </w:rPr>
        <w:t>engagements en faveur de</w:t>
      </w:r>
      <w:r w:rsidR="00F34644" w:rsidRPr="009C2953">
        <w:rPr>
          <w:lang w:val="fr-FR"/>
        </w:rPr>
        <w:t xml:space="preserve"> la </w:t>
      </w:r>
      <w:r w:rsidRPr="009C2953">
        <w:rPr>
          <w:lang w:val="fr-FR"/>
        </w:rPr>
        <w:t>biodiversité et de faciliter</w:t>
      </w:r>
      <w:r w:rsidR="00F34644" w:rsidRPr="009C2953">
        <w:rPr>
          <w:lang w:val="fr-FR"/>
        </w:rPr>
        <w:t xml:space="preserve"> les </w:t>
      </w:r>
      <w:r w:rsidRPr="009C2953">
        <w:rPr>
          <w:lang w:val="fr-FR"/>
        </w:rPr>
        <w:t>évaluations de l</w:t>
      </w:r>
      <w:r w:rsidR="00EA2966" w:rsidRPr="009C2953">
        <w:rPr>
          <w:lang w:val="fr-FR"/>
        </w:rPr>
        <w:t>’</w:t>
      </w:r>
      <w:r w:rsidRPr="009C2953">
        <w:rPr>
          <w:lang w:val="fr-FR"/>
        </w:rPr>
        <w:t>IPBES.</w:t>
      </w:r>
    </w:p>
    <w:p w14:paraId="198CBEC9" w14:textId="3ED6BAA1" w:rsidR="00607B78" w:rsidRPr="009C2953" w:rsidRDefault="00607B78" w:rsidP="008731A8">
      <w:pPr>
        <w:pStyle w:val="Normalnumber"/>
        <w:numPr>
          <w:ilvl w:val="0"/>
          <w:numId w:val="2"/>
        </w:numPr>
        <w:rPr>
          <w:lang w:val="fr-FR"/>
        </w:rPr>
      </w:pPr>
      <w:r w:rsidRPr="009C2953">
        <w:rPr>
          <w:lang w:val="fr-FR"/>
        </w:rPr>
        <w:t xml:space="preserve">Mme Hernandez </w:t>
      </w:r>
      <w:proofErr w:type="spellStart"/>
      <w:r w:rsidRPr="009C2953">
        <w:rPr>
          <w:lang w:val="fr-FR"/>
        </w:rPr>
        <w:t>Salgar</w:t>
      </w:r>
      <w:proofErr w:type="spellEnd"/>
      <w:r w:rsidRPr="009C2953">
        <w:rPr>
          <w:lang w:val="fr-FR"/>
        </w:rPr>
        <w:t xml:space="preserve"> a commencé</w:t>
      </w:r>
      <w:r w:rsidR="00F34644" w:rsidRPr="009C2953">
        <w:rPr>
          <w:lang w:val="fr-FR"/>
        </w:rPr>
        <w:t xml:space="preserve"> sa </w:t>
      </w:r>
      <w:r w:rsidRPr="009C2953">
        <w:rPr>
          <w:lang w:val="fr-FR"/>
        </w:rPr>
        <w:t>déclaration liminaire en citant John Muir, naturaliste américain né en Écosse et cofondateur de l</w:t>
      </w:r>
      <w:r w:rsidR="00EA2966" w:rsidRPr="009C2953">
        <w:rPr>
          <w:lang w:val="fr-FR"/>
        </w:rPr>
        <w:t>’</w:t>
      </w:r>
      <w:r w:rsidRPr="009C2953">
        <w:rPr>
          <w:lang w:val="fr-FR"/>
        </w:rPr>
        <w:t>organisation de protection de l</w:t>
      </w:r>
      <w:r w:rsidR="00EA2966" w:rsidRPr="009C2953">
        <w:rPr>
          <w:lang w:val="fr-FR"/>
        </w:rPr>
        <w:t>’</w:t>
      </w:r>
      <w:r w:rsidRPr="009C2953">
        <w:rPr>
          <w:lang w:val="fr-FR"/>
        </w:rPr>
        <w:t>environnement Sierra Club, qui avait déclaré : « À chaque marche dans</w:t>
      </w:r>
      <w:r w:rsidR="00F34644" w:rsidRPr="009C2953">
        <w:rPr>
          <w:lang w:val="fr-FR"/>
        </w:rPr>
        <w:t xml:space="preserve"> la </w:t>
      </w:r>
      <w:r w:rsidRPr="009C2953">
        <w:rPr>
          <w:lang w:val="fr-FR"/>
        </w:rPr>
        <w:t>nature, on reçoit bien plus que ce qu</w:t>
      </w:r>
      <w:r w:rsidR="00EA2966" w:rsidRPr="009C2953">
        <w:rPr>
          <w:lang w:val="fr-FR"/>
        </w:rPr>
        <w:t>’</w:t>
      </w:r>
      <w:r w:rsidRPr="009C2953">
        <w:rPr>
          <w:lang w:val="fr-FR"/>
        </w:rPr>
        <w:t>on cherche ». Faisant</w:t>
      </w:r>
      <w:r w:rsidR="00F34644" w:rsidRPr="009C2953">
        <w:rPr>
          <w:lang w:val="fr-FR"/>
        </w:rPr>
        <w:t xml:space="preserve"> le </w:t>
      </w:r>
      <w:r w:rsidRPr="009C2953">
        <w:rPr>
          <w:lang w:val="fr-FR"/>
        </w:rPr>
        <w:t>parallèle avec ses fonctions de Présidente de l</w:t>
      </w:r>
      <w:r w:rsidR="00EA2966" w:rsidRPr="009C2953">
        <w:rPr>
          <w:lang w:val="fr-FR"/>
        </w:rPr>
        <w:t>’</w:t>
      </w:r>
      <w:r w:rsidRPr="009C2953">
        <w:rPr>
          <w:lang w:val="fr-FR"/>
        </w:rPr>
        <w:t>IPBES, qu</w:t>
      </w:r>
      <w:r w:rsidR="00EA2966" w:rsidRPr="009C2953">
        <w:rPr>
          <w:lang w:val="fr-FR"/>
        </w:rPr>
        <w:t>’</w:t>
      </w:r>
      <w:r w:rsidRPr="009C2953">
        <w:rPr>
          <w:lang w:val="fr-FR"/>
        </w:rPr>
        <w:t>elle exer</w:t>
      </w:r>
      <w:r w:rsidR="007768F4" w:rsidRPr="009C2953">
        <w:rPr>
          <w:lang w:val="fr-FR"/>
        </w:rPr>
        <w:t>çait</w:t>
      </w:r>
      <w:r w:rsidRPr="009C2953">
        <w:rPr>
          <w:lang w:val="fr-FR"/>
        </w:rPr>
        <w:t xml:space="preserve"> depuis 2019, elle</w:t>
      </w:r>
      <w:r w:rsidR="00EE6816" w:rsidRPr="009C2953">
        <w:rPr>
          <w:lang w:val="fr-FR"/>
        </w:rPr>
        <w:t> </w:t>
      </w:r>
      <w:r w:rsidRPr="009C2953">
        <w:rPr>
          <w:lang w:val="fr-FR"/>
        </w:rPr>
        <w:t>a</w:t>
      </w:r>
      <w:r w:rsidR="00EE6816" w:rsidRPr="009C2953">
        <w:rPr>
          <w:lang w:val="fr-FR"/>
        </w:rPr>
        <w:t> </w:t>
      </w:r>
      <w:r w:rsidR="007768F4" w:rsidRPr="009C2953">
        <w:rPr>
          <w:lang w:val="fr-FR"/>
        </w:rPr>
        <w:t xml:space="preserve">relevé </w:t>
      </w:r>
      <w:r w:rsidRPr="009C2953">
        <w:rPr>
          <w:lang w:val="fr-FR"/>
        </w:rPr>
        <w:t>que</w:t>
      </w:r>
      <w:r w:rsidR="00F34644" w:rsidRPr="009C2953">
        <w:rPr>
          <w:lang w:val="fr-FR"/>
        </w:rPr>
        <w:t xml:space="preserve"> la </w:t>
      </w:r>
      <w:r w:rsidRPr="009C2953">
        <w:rPr>
          <w:lang w:val="fr-FR"/>
        </w:rPr>
        <w:t>communauté de l</w:t>
      </w:r>
      <w:r w:rsidR="00EA2966" w:rsidRPr="009C2953">
        <w:rPr>
          <w:lang w:val="fr-FR"/>
        </w:rPr>
        <w:t>’</w:t>
      </w:r>
      <w:r w:rsidRPr="009C2953">
        <w:rPr>
          <w:lang w:val="fr-FR"/>
        </w:rPr>
        <w:t>IPBES lui avait apporté beaucoup de joie, d</w:t>
      </w:r>
      <w:r w:rsidR="00EA2966" w:rsidRPr="009C2953">
        <w:rPr>
          <w:lang w:val="fr-FR"/>
        </w:rPr>
        <w:t>’</w:t>
      </w:r>
      <w:r w:rsidRPr="009C2953">
        <w:rPr>
          <w:lang w:val="fr-FR"/>
        </w:rPr>
        <w:t>amitié et de soutien,</w:t>
      </w:r>
      <w:r w:rsidR="00354D62" w:rsidRPr="009C2953">
        <w:rPr>
          <w:lang w:val="fr-FR"/>
        </w:rPr>
        <w:t> </w:t>
      </w:r>
      <w:r w:rsidRPr="009C2953">
        <w:rPr>
          <w:lang w:val="fr-FR"/>
        </w:rPr>
        <w:t>et</w:t>
      </w:r>
      <w:r w:rsidR="00EE6816" w:rsidRPr="009C2953">
        <w:rPr>
          <w:lang w:val="fr-FR"/>
        </w:rPr>
        <w:t> </w:t>
      </w:r>
      <w:r w:rsidRPr="009C2953">
        <w:rPr>
          <w:lang w:val="fr-FR"/>
        </w:rPr>
        <w:t>qu</w:t>
      </w:r>
      <w:r w:rsidR="00EA2966" w:rsidRPr="009C2953">
        <w:rPr>
          <w:lang w:val="fr-FR"/>
        </w:rPr>
        <w:t>’</w:t>
      </w:r>
      <w:r w:rsidRPr="009C2953">
        <w:rPr>
          <w:lang w:val="fr-FR"/>
        </w:rPr>
        <w:t>elle était fière de participer à ses nombreuses réussites. Dans</w:t>
      </w:r>
      <w:r w:rsidR="00F34644" w:rsidRPr="009C2953">
        <w:rPr>
          <w:lang w:val="fr-FR"/>
        </w:rPr>
        <w:t xml:space="preserve"> la </w:t>
      </w:r>
      <w:r w:rsidRPr="009C2953">
        <w:rPr>
          <w:lang w:val="fr-FR"/>
        </w:rPr>
        <w:t>perspective de</w:t>
      </w:r>
      <w:r w:rsidR="00F34644" w:rsidRPr="009C2953">
        <w:rPr>
          <w:lang w:val="fr-FR"/>
        </w:rPr>
        <w:t xml:space="preserve"> la </w:t>
      </w:r>
      <w:r w:rsidRPr="009C2953">
        <w:rPr>
          <w:lang w:val="fr-FR"/>
        </w:rPr>
        <w:t>dixième</w:t>
      </w:r>
      <w:r w:rsidR="00354D62" w:rsidRPr="009C2953">
        <w:rPr>
          <w:lang w:val="fr-FR"/>
        </w:rPr>
        <w:t> </w:t>
      </w:r>
      <w:r w:rsidRPr="009C2953">
        <w:rPr>
          <w:lang w:val="fr-FR"/>
        </w:rPr>
        <w:t>session, elle rappelait que</w:t>
      </w:r>
      <w:r w:rsidR="00F34644" w:rsidRPr="009C2953">
        <w:rPr>
          <w:lang w:val="fr-FR"/>
        </w:rPr>
        <w:t xml:space="preserve"> les </w:t>
      </w:r>
      <w:r w:rsidRPr="009C2953">
        <w:rPr>
          <w:lang w:val="fr-FR"/>
        </w:rPr>
        <w:t>espèces exotiques envahissantes avaient été clairement désignées, dans</w:t>
      </w:r>
      <w:r w:rsidR="00F34644" w:rsidRPr="009C2953">
        <w:rPr>
          <w:lang w:val="fr-FR"/>
        </w:rPr>
        <w:t xml:space="preserve"> le </w:t>
      </w:r>
      <w:r w:rsidRPr="009C2953">
        <w:rPr>
          <w:lang w:val="fr-FR"/>
        </w:rPr>
        <w:t>Rapport de l</w:t>
      </w:r>
      <w:r w:rsidR="00EA2966" w:rsidRPr="009C2953">
        <w:rPr>
          <w:lang w:val="fr-FR"/>
        </w:rPr>
        <w:t>’</w:t>
      </w:r>
      <w:r w:rsidRPr="009C2953">
        <w:rPr>
          <w:lang w:val="fr-FR"/>
        </w:rPr>
        <w:t>évaluation mondiale de</w:t>
      </w:r>
      <w:r w:rsidR="00F34644" w:rsidRPr="009C2953">
        <w:rPr>
          <w:lang w:val="fr-FR"/>
        </w:rPr>
        <w:t xml:space="preserve"> la </w:t>
      </w:r>
      <w:r w:rsidRPr="009C2953">
        <w:rPr>
          <w:lang w:val="fr-FR"/>
        </w:rPr>
        <w:t>biodiversité et</w:t>
      </w:r>
      <w:r w:rsidR="00D24DC1" w:rsidRPr="009C2953">
        <w:rPr>
          <w:lang w:val="fr-FR"/>
        </w:rPr>
        <w:t xml:space="preserve"> des </w:t>
      </w:r>
      <w:r w:rsidRPr="009C2953">
        <w:rPr>
          <w:lang w:val="fr-FR"/>
        </w:rPr>
        <w:t>services écosystémiques de l</w:t>
      </w:r>
      <w:r w:rsidR="00EA2966" w:rsidRPr="009C2953">
        <w:rPr>
          <w:lang w:val="fr-FR"/>
        </w:rPr>
        <w:t>’</w:t>
      </w:r>
      <w:r w:rsidRPr="009C2953">
        <w:rPr>
          <w:lang w:val="fr-FR"/>
        </w:rPr>
        <w:t>IPBES, comme l</w:t>
      </w:r>
      <w:r w:rsidR="00EA2966" w:rsidRPr="009C2953">
        <w:rPr>
          <w:lang w:val="fr-FR"/>
        </w:rPr>
        <w:t>’</w:t>
      </w:r>
      <w:r w:rsidRPr="009C2953">
        <w:rPr>
          <w:lang w:val="fr-FR"/>
        </w:rPr>
        <w:t>un</w:t>
      </w:r>
      <w:r w:rsidR="00D24DC1" w:rsidRPr="009C2953">
        <w:rPr>
          <w:lang w:val="fr-FR"/>
        </w:rPr>
        <w:t xml:space="preserve"> des </w:t>
      </w:r>
      <w:r w:rsidRPr="009C2953">
        <w:rPr>
          <w:lang w:val="fr-FR"/>
        </w:rPr>
        <w:t>cinq principaux facteurs directs de perte de biodiversité. Par conséquent,</w:t>
      </w:r>
      <w:r w:rsidR="00F34644" w:rsidRPr="009C2953">
        <w:rPr>
          <w:lang w:val="fr-FR"/>
        </w:rPr>
        <w:t xml:space="preserve"> les </w:t>
      </w:r>
      <w:r w:rsidRPr="009C2953">
        <w:rPr>
          <w:lang w:val="fr-FR"/>
        </w:rPr>
        <w:t>gouvernements, mais aussi</w:t>
      </w:r>
      <w:r w:rsidR="00F34644" w:rsidRPr="009C2953">
        <w:rPr>
          <w:lang w:val="fr-FR"/>
        </w:rPr>
        <w:t xml:space="preserve"> les </w:t>
      </w:r>
      <w:r w:rsidRPr="009C2953">
        <w:rPr>
          <w:lang w:val="fr-FR"/>
        </w:rPr>
        <w:t>médias et</w:t>
      </w:r>
      <w:r w:rsidR="00F34644" w:rsidRPr="009C2953">
        <w:rPr>
          <w:lang w:val="fr-FR"/>
        </w:rPr>
        <w:t xml:space="preserve"> le </w:t>
      </w:r>
      <w:r w:rsidRPr="009C2953">
        <w:rPr>
          <w:lang w:val="fr-FR"/>
        </w:rPr>
        <w:t>public, attendaient avec impatience</w:t>
      </w:r>
      <w:r w:rsidR="00F34644" w:rsidRPr="009C2953">
        <w:rPr>
          <w:lang w:val="fr-FR"/>
        </w:rPr>
        <w:t xml:space="preserve"> le </w:t>
      </w:r>
      <w:r w:rsidRPr="009C2953">
        <w:rPr>
          <w:lang w:val="fr-FR"/>
        </w:rPr>
        <w:t>nouveau rapport d</w:t>
      </w:r>
      <w:r w:rsidR="00EA2966" w:rsidRPr="009C2953">
        <w:rPr>
          <w:lang w:val="fr-FR"/>
        </w:rPr>
        <w:t>’</w:t>
      </w:r>
      <w:r w:rsidRPr="009C2953">
        <w:rPr>
          <w:lang w:val="fr-FR"/>
        </w:rPr>
        <w:t>évaluation de l</w:t>
      </w:r>
      <w:r w:rsidR="00EA2966" w:rsidRPr="009C2953">
        <w:rPr>
          <w:lang w:val="fr-FR"/>
        </w:rPr>
        <w:t>’</w:t>
      </w:r>
      <w:r w:rsidRPr="009C2953">
        <w:rPr>
          <w:lang w:val="fr-FR"/>
        </w:rPr>
        <w:t>IPBES sur</w:t>
      </w:r>
      <w:r w:rsidR="00F34644" w:rsidRPr="009C2953">
        <w:rPr>
          <w:lang w:val="fr-FR"/>
        </w:rPr>
        <w:t xml:space="preserve"> les </w:t>
      </w:r>
      <w:r w:rsidRPr="009C2953">
        <w:rPr>
          <w:lang w:val="fr-FR"/>
        </w:rPr>
        <w:t>espèces exotiques envahissantes et</w:t>
      </w:r>
      <w:r w:rsidR="00F34644" w:rsidRPr="009C2953">
        <w:rPr>
          <w:lang w:val="fr-FR"/>
        </w:rPr>
        <w:t xml:space="preserve"> la </w:t>
      </w:r>
      <w:r w:rsidRPr="009C2953">
        <w:rPr>
          <w:lang w:val="fr-FR"/>
        </w:rPr>
        <w:t>lutte contre</w:t>
      </w:r>
      <w:r w:rsidR="00F34644" w:rsidRPr="009C2953">
        <w:rPr>
          <w:lang w:val="fr-FR"/>
        </w:rPr>
        <w:t xml:space="preserve"> leur </w:t>
      </w:r>
      <w:r w:rsidRPr="009C2953">
        <w:rPr>
          <w:lang w:val="fr-FR"/>
        </w:rPr>
        <w:t>prolifération, car</w:t>
      </w:r>
      <w:r w:rsidR="00EE6816" w:rsidRPr="009C2953">
        <w:rPr>
          <w:lang w:val="fr-FR"/>
        </w:rPr>
        <w:t> </w:t>
      </w:r>
      <w:r w:rsidRPr="009C2953">
        <w:rPr>
          <w:lang w:val="fr-FR"/>
        </w:rPr>
        <w:t>il éclairerait</w:t>
      </w:r>
      <w:r w:rsidR="00F34644" w:rsidRPr="009C2953">
        <w:rPr>
          <w:lang w:val="fr-FR"/>
        </w:rPr>
        <w:t xml:space="preserve"> la </w:t>
      </w:r>
      <w:r w:rsidRPr="009C2953">
        <w:rPr>
          <w:lang w:val="fr-FR"/>
        </w:rPr>
        <w:t>mise en œuvre du nouveau Cadre mondial de</w:t>
      </w:r>
      <w:r w:rsidR="00F34644" w:rsidRPr="009C2953">
        <w:rPr>
          <w:lang w:val="fr-FR"/>
        </w:rPr>
        <w:t xml:space="preserve"> la </w:t>
      </w:r>
      <w:r w:rsidRPr="009C2953">
        <w:rPr>
          <w:lang w:val="fr-FR"/>
        </w:rPr>
        <w:t xml:space="preserve">biodiversité de Kunming-Montréal. </w:t>
      </w:r>
      <w:r w:rsidRPr="009C2953">
        <w:rPr>
          <w:lang w:val="fr-FR"/>
        </w:rPr>
        <w:lastRenderedPageBreak/>
        <w:t>À</w:t>
      </w:r>
      <w:r w:rsidR="00F34644" w:rsidRPr="009C2953">
        <w:rPr>
          <w:lang w:val="fr-FR"/>
        </w:rPr>
        <w:t xml:space="preserve"> la </w:t>
      </w:r>
      <w:r w:rsidRPr="009C2953">
        <w:rPr>
          <w:lang w:val="fr-FR"/>
        </w:rPr>
        <w:t>session en cours,</w:t>
      </w:r>
      <w:r w:rsidR="00F34644" w:rsidRPr="009C2953">
        <w:rPr>
          <w:lang w:val="fr-FR"/>
        </w:rPr>
        <w:t xml:space="preserve"> la </w:t>
      </w:r>
      <w:r w:rsidRPr="009C2953">
        <w:rPr>
          <w:lang w:val="fr-FR"/>
        </w:rPr>
        <w:t>Plénière examinerait également</w:t>
      </w:r>
      <w:r w:rsidR="00F34644" w:rsidRPr="009C2953">
        <w:rPr>
          <w:lang w:val="fr-FR"/>
        </w:rPr>
        <w:t xml:space="preserve"> les </w:t>
      </w:r>
      <w:r w:rsidRPr="009C2953">
        <w:rPr>
          <w:lang w:val="fr-FR"/>
        </w:rPr>
        <w:t>nouveaux thèmes proposés pour</w:t>
      </w:r>
      <w:r w:rsidR="00F34644" w:rsidRPr="009C2953">
        <w:rPr>
          <w:lang w:val="fr-FR"/>
        </w:rPr>
        <w:t xml:space="preserve"> le </w:t>
      </w:r>
      <w:r w:rsidRPr="009C2953">
        <w:rPr>
          <w:lang w:val="fr-FR"/>
        </w:rPr>
        <w:t>programme de 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qui seraient également déterminants pour</w:t>
      </w:r>
      <w:r w:rsidR="00F34644" w:rsidRPr="009C2953">
        <w:rPr>
          <w:lang w:val="fr-FR"/>
        </w:rPr>
        <w:t xml:space="preserve"> la </w:t>
      </w:r>
      <w:r w:rsidRPr="009C2953">
        <w:rPr>
          <w:lang w:val="fr-FR"/>
        </w:rPr>
        <w:t>mise en œuvre du Cadre, ainsi que</w:t>
      </w:r>
      <w:r w:rsidR="00F34644" w:rsidRPr="009C2953">
        <w:rPr>
          <w:lang w:val="fr-FR"/>
        </w:rPr>
        <w:t xml:space="preserve"> le </w:t>
      </w:r>
      <w:r w:rsidRPr="009C2953">
        <w:rPr>
          <w:lang w:val="fr-FR"/>
        </w:rPr>
        <w:t>mandat et</w:t>
      </w:r>
      <w:r w:rsidR="00F34644" w:rsidRPr="009C2953">
        <w:rPr>
          <w:lang w:val="fr-FR"/>
        </w:rPr>
        <w:t xml:space="preserve"> les </w:t>
      </w:r>
      <w:r w:rsidRPr="009C2953">
        <w:rPr>
          <w:lang w:val="fr-FR"/>
        </w:rPr>
        <w:t>attributions</w:t>
      </w:r>
      <w:r w:rsidR="00D24DC1" w:rsidRPr="009C2953">
        <w:rPr>
          <w:lang w:val="fr-FR"/>
        </w:rPr>
        <w:t xml:space="preserve"> des </w:t>
      </w:r>
      <w:r w:rsidRPr="009C2953">
        <w:rPr>
          <w:lang w:val="fr-FR"/>
        </w:rPr>
        <w:t>équipes spéciales de l</w:t>
      </w:r>
      <w:r w:rsidR="00EA2966" w:rsidRPr="009C2953">
        <w:rPr>
          <w:lang w:val="fr-FR"/>
        </w:rPr>
        <w:t>’</w:t>
      </w:r>
      <w:r w:rsidRPr="009C2953">
        <w:rPr>
          <w:lang w:val="fr-FR"/>
        </w:rPr>
        <w:t>IPBES et</w:t>
      </w:r>
      <w:r w:rsidR="00107282" w:rsidRPr="009C2953">
        <w:rPr>
          <w:lang w:val="fr-FR"/>
        </w:rPr>
        <w:t xml:space="preserve"> leurs </w:t>
      </w:r>
      <w:r w:rsidRPr="009C2953">
        <w:rPr>
          <w:lang w:val="fr-FR"/>
        </w:rPr>
        <w:t>importants travaux en matière de renforcement</w:t>
      </w:r>
      <w:r w:rsidR="00D24DC1" w:rsidRPr="009C2953">
        <w:rPr>
          <w:lang w:val="fr-FR"/>
        </w:rPr>
        <w:t xml:space="preserve"> des </w:t>
      </w:r>
      <w:r w:rsidRPr="009C2953">
        <w:rPr>
          <w:lang w:val="fr-FR"/>
        </w:rPr>
        <w:t>capacités, de</w:t>
      </w:r>
      <w:r w:rsidR="00A63E2F" w:rsidRPr="009C2953">
        <w:rPr>
          <w:lang w:val="fr-FR"/>
        </w:rPr>
        <w:t> </w:t>
      </w:r>
      <w:r w:rsidRPr="009C2953">
        <w:rPr>
          <w:lang w:val="fr-FR"/>
        </w:rPr>
        <w:t>consolidation de</w:t>
      </w:r>
      <w:r w:rsidR="00F34644" w:rsidRPr="009C2953">
        <w:rPr>
          <w:lang w:val="fr-FR"/>
        </w:rPr>
        <w:t xml:space="preserve"> la </w:t>
      </w:r>
      <w:r w:rsidRPr="009C2953">
        <w:rPr>
          <w:lang w:val="fr-FR"/>
        </w:rPr>
        <w:t>base de connaissances et d</w:t>
      </w:r>
      <w:r w:rsidR="00EA2966" w:rsidRPr="009C2953">
        <w:rPr>
          <w:lang w:val="fr-FR"/>
        </w:rPr>
        <w:t>’</w:t>
      </w:r>
      <w:r w:rsidRPr="009C2953">
        <w:rPr>
          <w:lang w:val="fr-FR"/>
        </w:rPr>
        <w:t>appui à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Se référant</w:t>
      </w:r>
      <w:r w:rsidR="00F34644" w:rsidRPr="009C2953">
        <w:rPr>
          <w:lang w:val="fr-FR"/>
        </w:rPr>
        <w:t xml:space="preserve"> aux </w:t>
      </w:r>
      <w:r w:rsidRPr="009C2953">
        <w:rPr>
          <w:lang w:val="fr-FR"/>
        </w:rPr>
        <w:t>tâches essentielles qui seraient entreprises s</w:t>
      </w:r>
      <w:r w:rsidR="00EA2966" w:rsidRPr="009C2953">
        <w:rPr>
          <w:lang w:val="fr-FR"/>
        </w:rPr>
        <w:t>’</w:t>
      </w:r>
      <w:r w:rsidRPr="009C2953">
        <w:rPr>
          <w:lang w:val="fr-FR"/>
        </w:rPr>
        <w:t>agissant</w:t>
      </w:r>
      <w:r w:rsidR="00D24DC1" w:rsidRPr="009C2953">
        <w:rPr>
          <w:lang w:val="fr-FR"/>
        </w:rPr>
        <w:t xml:space="preserve"> des </w:t>
      </w:r>
      <w:r w:rsidRPr="009C2953">
        <w:rPr>
          <w:lang w:val="fr-FR"/>
        </w:rPr>
        <w:t>dispositifs financiers et budgétaires de l</w:t>
      </w:r>
      <w:r w:rsidR="00EA2966" w:rsidRPr="009C2953">
        <w:rPr>
          <w:lang w:val="fr-FR"/>
        </w:rPr>
        <w:t>’</w:t>
      </w:r>
      <w:r w:rsidRPr="009C2953">
        <w:rPr>
          <w:lang w:val="fr-FR"/>
        </w:rPr>
        <w:t>IPBES, elle a remercié toutes celles et tous ceux qui avaient contribué financièrement</w:t>
      </w:r>
      <w:r w:rsidR="00F34644" w:rsidRPr="009C2953">
        <w:rPr>
          <w:lang w:val="fr-FR"/>
        </w:rPr>
        <w:t xml:space="preserve"> aux </w:t>
      </w:r>
      <w:r w:rsidRPr="009C2953">
        <w:rPr>
          <w:lang w:val="fr-FR"/>
        </w:rPr>
        <w:t>activités de</w:t>
      </w:r>
      <w:r w:rsidR="00F34644" w:rsidRPr="009C2953">
        <w:rPr>
          <w:lang w:val="fr-FR"/>
        </w:rPr>
        <w:t xml:space="preserve"> la </w:t>
      </w:r>
      <w:r w:rsidRPr="009C2953">
        <w:rPr>
          <w:lang w:val="fr-FR"/>
        </w:rPr>
        <w:t>Plateforme et a souligné qu</w:t>
      </w:r>
      <w:r w:rsidR="00EA2966" w:rsidRPr="009C2953">
        <w:rPr>
          <w:lang w:val="fr-FR"/>
        </w:rPr>
        <w:t>’</w:t>
      </w:r>
      <w:r w:rsidRPr="009C2953">
        <w:rPr>
          <w:lang w:val="fr-FR"/>
        </w:rPr>
        <w:t>il était important que l</w:t>
      </w:r>
      <w:r w:rsidR="00EA2966" w:rsidRPr="009C2953">
        <w:rPr>
          <w:lang w:val="fr-FR"/>
        </w:rPr>
        <w:t>’</w:t>
      </w:r>
      <w:r w:rsidRPr="009C2953">
        <w:rPr>
          <w:lang w:val="fr-FR"/>
        </w:rPr>
        <w:t>IPBES puisse compter sur</w:t>
      </w:r>
      <w:r w:rsidR="00D24DC1" w:rsidRPr="009C2953">
        <w:rPr>
          <w:lang w:val="fr-FR"/>
        </w:rPr>
        <w:t xml:space="preserve"> des </w:t>
      </w:r>
      <w:r w:rsidRPr="009C2953">
        <w:rPr>
          <w:lang w:val="fr-FR"/>
        </w:rPr>
        <w:t>contributions financières régulières pour assurer</w:t>
      </w:r>
      <w:r w:rsidR="00F34644" w:rsidRPr="009C2953">
        <w:rPr>
          <w:lang w:val="fr-FR"/>
        </w:rPr>
        <w:t xml:space="preserve"> la </w:t>
      </w:r>
      <w:r w:rsidRPr="009C2953">
        <w:rPr>
          <w:lang w:val="fr-FR"/>
        </w:rPr>
        <w:t xml:space="preserve">poursuite de ses travaux, qui </w:t>
      </w:r>
      <w:r w:rsidR="005F2DCB" w:rsidRPr="009C2953">
        <w:rPr>
          <w:lang w:val="fr-FR"/>
        </w:rPr>
        <w:t xml:space="preserve">étaient </w:t>
      </w:r>
      <w:r w:rsidRPr="009C2953">
        <w:rPr>
          <w:lang w:val="fr-FR"/>
        </w:rPr>
        <w:t>d</w:t>
      </w:r>
      <w:r w:rsidR="00EA2966" w:rsidRPr="009C2953">
        <w:rPr>
          <w:lang w:val="fr-FR"/>
        </w:rPr>
        <w:t>’</w:t>
      </w:r>
      <w:r w:rsidRPr="009C2953">
        <w:rPr>
          <w:lang w:val="fr-FR"/>
        </w:rPr>
        <w:t>une grande utilité. Elle</w:t>
      </w:r>
      <w:r w:rsidR="00A63E2F" w:rsidRPr="009C2953">
        <w:rPr>
          <w:lang w:val="fr-FR"/>
        </w:rPr>
        <w:t> </w:t>
      </w:r>
      <w:r w:rsidRPr="009C2953">
        <w:rPr>
          <w:lang w:val="fr-FR"/>
        </w:rPr>
        <w:t>a</w:t>
      </w:r>
      <w:r w:rsidR="00A63E2F" w:rsidRPr="009C2953">
        <w:rPr>
          <w:lang w:val="fr-FR"/>
        </w:rPr>
        <w:t> </w:t>
      </w:r>
      <w:r w:rsidRPr="009C2953">
        <w:rPr>
          <w:lang w:val="fr-FR"/>
        </w:rPr>
        <w:t>souhaité</w:t>
      </w:r>
      <w:r w:rsidR="00F34644" w:rsidRPr="009C2953">
        <w:rPr>
          <w:lang w:val="fr-FR"/>
        </w:rPr>
        <w:t xml:space="preserve"> la </w:t>
      </w:r>
      <w:r w:rsidRPr="009C2953">
        <w:rPr>
          <w:lang w:val="fr-FR"/>
        </w:rPr>
        <w:t>bienvenue</w:t>
      </w:r>
      <w:r w:rsidR="00F34644" w:rsidRPr="009C2953">
        <w:rPr>
          <w:lang w:val="fr-FR"/>
        </w:rPr>
        <w:t xml:space="preserve"> aux </w:t>
      </w:r>
      <w:r w:rsidRPr="009C2953">
        <w:rPr>
          <w:lang w:val="fr-FR"/>
        </w:rPr>
        <w:t>quatre nouveaux membres de l</w:t>
      </w:r>
      <w:r w:rsidR="00EA2966" w:rsidRPr="009C2953">
        <w:rPr>
          <w:lang w:val="fr-FR"/>
        </w:rPr>
        <w:t>’</w:t>
      </w:r>
      <w:r w:rsidRPr="009C2953">
        <w:rPr>
          <w:lang w:val="fr-FR"/>
        </w:rPr>
        <w:t>IPBES et a exprimé l</w:t>
      </w:r>
      <w:r w:rsidR="00EA2966" w:rsidRPr="009C2953">
        <w:rPr>
          <w:lang w:val="fr-FR"/>
        </w:rPr>
        <w:t>’</w:t>
      </w:r>
      <w:r w:rsidRPr="009C2953">
        <w:rPr>
          <w:lang w:val="fr-FR"/>
        </w:rPr>
        <w:t>espoir que</w:t>
      </w:r>
      <w:r w:rsidR="00F34644" w:rsidRPr="009C2953">
        <w:rPr>
          <w:lang w:val="fr-FR"/>
        </w:rPr>
        <w:t xml:space="preserve"> les </w:t>
      </w:r>
      <w:r w:rsidRPr="009C2953">
        <w:rPr>
          <w:lang w:val="fr-FR"/>
        </w:rPr>
        <w:t>États observateurs restants suivraient</w:t>
      </w:r>
      <w:r w:rsidR="00F34644" w:rsidRPr="009C2953">
        <w:rPr>
          <w:lang w:val="fr-FR"/>
        </w:rPr>
        <w:t xml:space="preserve"> le </w:t>
      </w:r>
      <w:r w:rsidRPr="009C2953">
        <w:rPr>
          <w:lang w:val="fr-FR"/>
        </w:rPr>
        <w:t>mouvement, ce qui rapprocherait encore l</w:t>
      </w:r>
      <w:r w:rsidR="00EA2966" w:rsidRPr="009C2953">
        <w:rPr>
          <w:lang w:val="fr-FR"/>
        </w:rPr>
        <w:t>’</w:t>
      </w:r>
      <w:r w:rsidRPr="009C2953">
        <w:rPr>
          <w:lang w:val="fr-FR"/>
        </w:rPr>
        <w:t>IPBES de l</w:t>
      </w:r>
      <w:r w:rsidR="00EA2966" w:rsidRPr="009C2953">
        <w:rPr>
          <w:lang w:val="fr-FR"/>
        </w:rPr>
        <w:t>’</w:t>
      </w:r>
      <w:r w:rsidRPr="009C2953">
        <w:rPr>
          <w:lang w:val="fr-FR"/>
        </w:rPr>
        <w:t>adhésion universelle.</w:t>
      </w:r>
    </w:p>
    <w:p w14:paraId="477FD905" w14:textId="2B070144" w:rsidR="00607B78" w:rsidRPr="009C2953" w:rsidRDefault="00607B78" w:rsidP="008731A8">
      <w:pPr>
        <w:pStyle w:val="Normalnumber"/>
        <w:numPr>
          <w:ilvl w:val="0"/>
          <w:numId w:val="2"/>
        </w:numPr>
        <w:rPr>
          <w:lang w:val="fr-FR"/>
        </w:rPr>
      </w:pPr>
      <w:r w:rsidRPr="009C2953">
        <w:rPr>
          <w:lang w:val="fr-FR"/>
        </w:rPr>
        <w:t>Pour conclure, elle a remercié</w:t>
      </w:r>
      <w:r w:rsidR="00F34644" w:rsidRPr="009C2953">
        <w:rPr>
          <w:lang w:val="fr-FR"/>
        </w:rPr>
        <w:t xml:space="preserve"> le </w:t>
      </w:r>
      <w:r w:rsidRPr="009C2953">
        <w:rPr>
          <w:lang w:val="fr-FR"/>
        </w:rPr>
        <w:t>Gouvernement</w:t>
      </w:r>
      <w:r w:rsidR="00D24DC1" w:rsidRPr="009C2953">
        <w:rPr>
          <w:lang w:val="fr-FR"/>
        </w:rPr>
        <w:t xml:space="preserve"> des </w:t>
      </w:r>
      <w:r w:rsidRPr="009C2953">
        <w:rPr>
          <w:lang w:val="fr-FR"/>
        </w:rPr>
        <w:t>États-Unis d</w:t>
      </w:r>
      <w:r w:rsidR="00EA2966" w:rsidRPr="009C2953">
        <w:rPr>
          <w:lang w:val="fr-FR"/>
        </w:rPr>
        <w:t>’</w:t>
      </w:r>
      <w:r w:rsidRPr="009C2953">
        <w:rPr>
          <w:lang w:val="fr-FR"/>
        </w:rPr>
        <w:t>accueillir</w:t>
      </w:r>
      <w:r w:rsidR="00F34644" w:rsidRPr="009C2953">
        <w:rPr>
          <w:lang w:val="fr-FR"/>
        </w:rPr>
        <w:t xml:space="preserve"> la </w:t>
      </w:r>
      <w:r w:rsidRPr="009C2953">
        <w:rPr>
          <w:lang w:val="fr-FR"/>
        </w:rPr>
        <w:t>dixième session,</w:t>
      </w:r>
      <w:r w:rsidR="00F34644" w:rsidRPr="009C2953">
        <w:rPr>
          <w:lang w:val="fr-FR"/>
        </w:rPr>
        <w:t xml:space="preserve"> le </w:t>
      </w:r>
      <w:r w:rsidRPr="009C2953">
        <w:rPr>
          <w:lang w:val="fr-FR"/>
        </w:rPr>
        <w:t>Gouvernement allemand pour</w:t>
      </w:r>
      <w:r w:rsidR="00F34644" w:rsidRPr="009C2953">
        <w:rPr>
          <w:lang w:val="fr-FR"/>
        </w:rPr>
        <w:t xml:space="preserve"> sa </w:t>
      </w:r>
      <w:r w:rsidRPr="009C2953">
        <w:rPr>
          <w:lang w:val="fr-FR"/>
        </w:rPr>
        <w:t>chaleureuse hospitalité, ainsi que</w:t>
      </w:r>
      <w:r w:rsidR="00F34644" w:rsidRPr="009C2953">
        <w:rPr>
          <w:lang w:val="fr-FR"/>
        </w:rPr>
        <w:t xml:space="preserve"> le </w:t>
      </w:r>
      <w:r w:rsidRPr="009C2953">
        <w:rPr>
          <w:lang w:val="fr-FR"/>
        </w:rPr>
        <w:t>Bureau,</w:t>
      </w:r>
      <w:r w:rsidR="00F34644" w:rsidRPr="009C2953">
        <w:rPr>
          <w:lang w:val="fr-FR"/>
        </w:rPr>
        <w:t xml:space="preserve"> le </w:t>
      </w:r>
      <w:r w:rsidRPr="009C2953">
        <w:rPr>
          <w:lang w:val="fr-FR"/>
        </w:rPr>
        <w:t>Groupe d</w:t>
      </w:r>
      <w:r w:rsidR="00EA2966" w:rsidRPr="009C2953">
        <w:rPr>
          <w:lang w:val="fr-FR"/>
        </w:rPr>
        <w:t>’</w:t>
      </w:r>
      <w:r w:rsidRPr="009C2953">
        <w:rPr>
          <w:lang w:val="fr-FR"/>
        </w:rPr>
        <w:t>experts multidisciplinaire,</w:t>
      </w:r>
      <w:r w:rsidR="00F34644" w:rsidRPr="009C2953">
        <w:rPr>
          <w:lang w:val="fr-FR"/>
        </w:rPr>
        <w:t xml:space="preserve"> le </w:t>
      </w:r>
      <w:r w:rsidRPr="009C2953">
        <w:rPr>
          <w:lang w:val="fr-FR"/>
        </w:rPr>
        <w:t>secrétariat,</w:t>
      </w:r>
      <w:r w:rsidR="00F34644" w:rsidRPr="009C2953">
        <w:rPr>
          <w:lang w:val="fr-FR"/>
        </w:rPr>
        <w:t xml:space="preserve"> les </w:t>
      </w:r>
      <w:r w:rsidRPr="009C2953">
        <w:rPr>
          <w:lang w:val="fr-FR"/>
        </w:rPr>
        <w:t>groupes d</w:t>
      </w:r>
      <w:r w:rsidR="00EA2966" w:rsidRPr="009C2953">
        <w:rPr>
          <w:lang w:val="fr-FR"/>
        </w:rPr>
        <w:t>’</w:t>
      </w:r>
      <w:r w:rsidRPr="009C2953">
        <w:rPr>
          <w:lang w:val="fr-FR"/>
        </w:rPr>
        <w:t xml:space="preserve">appui technique et </w:t>
      </w:r>
      <w:proofErr w:type="spellStart"/>
      <w:r w:rsidRPr="009C2953">
        <w:rPr>
          <w:lang w:val="fr-FR"/>
        </w:rPr>
        <w:t>tou</w:t>
      </w:r>
      <w:proofErr w:type="spellEnd"/>
      <w:r w:rsidR="002B2325" w:rsidRPr="009C2953">
        <w:rPr>
          <w:lang w:val="fr-FR"/>
        </w:rPr>
        <w:t>(te)</w:t>
      </w:r>
      <w:r w:rsidRPr="009C2953">
        <w:rPr>
          <w:lang w:val="fr-FR"/>
        </w:rPr>
        <w:t>s</w:t>
      </w:r>
      <w:r w:rsidR="00F34644" w:rsidRPr="009C2953">
        <w:rPr>
          <w:lang w:val="fr-FR"/>
        </w:rPr>
        <w:t xml:space="preserve"> les </w:t>
      </w:r>
      <w:r w:rsidRPr="009C2953">
        <w:rPr>
          <w:lang w:val="fr-FR"/>
        </w:rPr>
        <w:t>participant</w:t>
      </w:r>
      <w:r w:rsidR="002B2325" w:rsidRPr="009C2953">
        <w:rPr>
          <w:lang w:val="fr-FR"/>
        </w:rPr>
        <w:t>(e)</w:t>
      </w:r>
      <w:r w:rsidRPr="009C2953">
        <w:rPr>
          <w:lang w:val="fr-FR"/>
        </w:rPr>
        <w:t>s d</w:t>
      </w:r>
      <w:r w:rsidR="00EA2966" w:rsidRPr="009C2953">
        <w:rPr>
          <w:lang w:val="fr-FR"/>
        </w:rPr>
        <w:t>’</w:t>
      </w:r>
      <w:r w:rsidRPr="009C2953">
        <w:rPr>
          <w:lang w:val="fr-FR"/>
        </w:rPr>
        <w:t>avoir rendu possible cette dixième session.</w:t>
      </w:r>
    </w:p>
    <w:p w14:paraId="0EB570E8" w14:textId="0D539E0C" w:rsidR="00607B78" w:rsidRPr="009C2953" w:rsidRDefault="00607B78" w:rsidP="00607B78">
      <w:pPr>
        <w:pStyle w:val="CH1"/>
      </w:pPr>
      <w:r w:rsidRPr="009C2953">
        <w:tab/>
        <w:t>II.</w:t>
      </w:r>
      <w:r w:rsidRPr="009C2953">
        <w:tab/>
        <w:t>Questions d</w:t>
      </w:r>
      <w:r w:rsidR="00EA2966" w:rsidRPr="009C2953">
        <w:t>’</w:t>
      </w:r>
      <w:r w:rsidRPr="009C2953">
        <w:t>organisation</w:t>
      </w:r>
    </w:p>
    <w:p w14:paraId="61B930D2" w14:textId="2C1C22F5" w:rsidR="00607B78" w:rsidRPr="009C2953" w:rsidRDefault="00607B78" w:rsidP="00607B78">
      <w:pPr>
        <w:pStyle w:val="CH2"/>
      </w:pPr>
      <w:r w:rsidRPr="009C2953">
        <w:tab/>
        <w:t>A.</w:t>
      </w:r>
      <w:r w:rsidRPr="009C2953">
        <w:tab/>
        <w:t>Adoption de l</w:t>
      </w:r>
      <w:r w:rsidR="00EA2966" w:rsidRPr="009C2953">
        <w:t>’</w:t>
      </w:r>
      <w:r w:rsidRPr="009C2953">
        <w:t>ordre du jour et organisation</w:t>
      </w:r>
      <w:r w:rsidR="00D24DC1" w:rsidRPr="009C2953">
        <w:t xml:space="preserve"> des </w:t>
      </w:r>
      <w:r w:rsidRPr="009C2953">
        <w:t>travaux</w:t>
      </w:r>
    </w:p>
    <w:p w14:paraId="1892DF81" w14:textId="4A952C7E" w:rsidR="00607B78" w:rsidRPr="009C2953" w:rsidRDefault="00607B78" w:rsidP="008731A8">
      <w:pPr>
        <w:pStyle w:val="Normalnumber"/>
        <w:numPr>
          <w:ilvl w:val="0"/>
          <w:numId w:val="2"/>
        </w:numPr>
        <w:rPr>
          <w:lang w:val="fr-FR"/>
        </w:rPr>
      </w:pPr>
      <w:r w:rsidRPr="009C2953">
        <w:rPr>
          <w:lang w:val="fr-FR"/>
        </w:rPr>
        <w:t>La Plénière a adopté l</w:t>
      </w:r>
      <w:r w:rsidR="00EA2966" w:rsidRPr="009C2953">
        <w:rPr>
          <w:lang w:val="fr-FR"/>
        </w:rPr>
        <w:t>’</w:t>
      </w:r>
      <w:r w:rsidRPr="009C2953">
        <w:rPr>
          <w:lang w:val="fr-FR"/>
        </w:rPr>
        <w:t>ordre du jour ci-après sur</w:t>
      </w:r>
      <w:r w:rsidR="00F34644" w:rsidRPr="009C2953">
        <w:rPr>
          <w:lang w:val="fr-FR"/>
        </w:rPr>
        <w:t xml:space="preserve"> la </w:t>
      </w:r>
      <w:r w:rsidRPr="009C2953">
        <w:rPr>
          <w:lang w:val="fr-FR"/>
        </w:rPr>
        <w:t>base de l</w:t>
      </w:r>
      <w:r w:rsidR="00EA2966" w:rsidRPr="009C2953">
        <w:rPr>
          <w:lang w:val="fr-FR"/>
        </w:rPr>
        <w:t>’</w:t>
      </w:r>
      <w:r w:rsidRPr="009C2953">
        <w:rPr>
          <w:lang w:val="fr-FR"/>
        </w:rPr>
        <w:t>ordre du jour provisoire (IPBES/10/1) :</w:t>
      </w:r>
    </w:p>
    <w:p w14:paraId="55950AF7" w14:textId="73D86CAF"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w:t>
      </w:r>
      <w:r w:rsidRPr="009C2953">
        <w:tab/>
        <w:t>Ouverture de</w:t>
      </w:r>
      <w:r w:rsidR="00F34644" w:rsidRPr="009C2953">
        <w:t xml:space="preserve"> la </w:t>
      </w:r>
      <w:r w:rsidRPr="009C2953">
        <w:t>session.</w:t>
      </w:r>
    </w:p>
    <w:p w14:paraId="51D27AEC" w14:textId="2EBE4295"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2.</w:t>
      </w:r>
      <w:r w:rsidRPr="009C2953">
        <w:tab/>
        <w:t>Questions d</w:t>
      </w:r>
      <w:r w:rsidR="00EA2966" w:rsidRPr="009C2953">
        <w:t>’</w:t>
      </w:r>
      <w:r w:rsidRPr="009C2953">
        <w:t>organisation :</w:t>
      </w:r>
    </w:p>
    <w:p w14:paraId="12C29DBB" w14:textId="13FA725A"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3119" w:hanging="624"/>
      </w:pPr>
      <w:r w:rsidRPr="009C2953">
        <w:t>a)</w:t>
      </w:r>
      <w:r w:rsidRPr="009C2953">
        <w:tab/>
        <w:t>Adoption de l</w:t>
      </w:r>
      <w:r w:rsidR="00EA2966" w:rsidRPr="009C2953">
        <w:t>’</w:t>
      </w:r>
      <w:r w:rsidRPr="009C2953">
        <w:t>ordre du jour et organisation</w:t>
      </w:r>
      <w:r w:rsidR="00D24DC1" w:rsidRPr="009C2953">
        <w:t xml:space="preserve"> des </w:t>
      </w:r>
      <w:r w:rsidRPr="009C2953">
        <w:t>travaux ;</w:t>
      </w:r>
    </w:p>
    <w:p w14:paraId="4F29DB49" w14:textId="17CBF02F"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3119" w:hanging="624"/>
      </w:pPr>
      <w:r w:rsidRPr="009C2953">
        <w:t>b)</w:t>
      </w:r>
      <w:r w:rsidRPr="009C2953">
        <w:tab/>
        <w:t>Composition de</w:t>
      </w:r>
      <w:r w:rsidR="00F34644" w:rsidRPr="009C2953">
        <w:t xml:space="preserve"> la </w:t>
      </w:r>
      <w:r w:rsidRPr="009C2953">
        <w:t>Plateforme ;</w:t>
      </w:r>
    </w:p>
    <w:p w14:paraId="13CE5CE2" w14:textId="77777777"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3119" w:hanging="624"/>
      </w:pPr>
      <w:r w:rsidRPr="009C2953">
        <w:t>c)</w:t>
      </w:r>
      <w:r w:rsidRPr="009C2953">
        <w:tab/>
        <w:t>Élection du bureau.</w:t>
      </w:r>
    </w:p>
    <w:p w14:paraId="6ECE0A03" w14:textId="7B9B2F1C"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3.</w:t>
      </w:r>
      <w:r w:rsidRPr="009C2953">
        <w:tab/>
        <w:t>Admission d</w:t>
      </w:r>
      <w:r w:rsidR="00EA2966" w:rsidRPr="009C2953">
        <w:t>’</w:t>
      </w:r>
      <w:r w:rsidRPr="009C2953">
        <w:t>observateurs.</w:t>
      </w:r>
    </w:p>
    <w:p w14:paraId="716312F7" w14:textId="05F97F52"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4.</w:t>
      </w:r>
      <w:r w:rsidRPr="009C2953">
        <w:tab/>
        <w:t>Vérification</w:t>
      </w:r>
      <w:r w:rsidR="00D24DC1" w:rsidRPr="009C2953">
        <w:t xml:space="preserve"> des </w:t>
      </w:r>
      <w:r w:rsidRPr="009C2953">
        <w:t>pouvoirs</w:t>
      </w:r>
      <w:r w:rsidR="00D24DC1" w:rsidRPr="009C2953">
        <w:t xml:space="preserve"> des </w:t>
      </w:r>
      <w:r w:rsidRPr="009C2953">
        <w:t>représentantes et</w:t>
      </w:r>
      <w:r w:rsidR="00D24DC1" w:rsidRPr="009C2953">
        <w:t xml:space="preserve"> des </w:t>
      </w:r>
      <w:r w:rsidRPr="009C2953">
        <w:t>représentants.</w:t>
      </w:r>
    </w:p>
    <w:p w14:paraId="00DB93EE" w14:textId="2AD60248"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5.</w:t>
      </w:r>
      <w:r w:rsidRPr="009C2953">
        <w:tab/>
        <w:t>Rapport de</w:t>
      </w:r>
      <w:r w:rsidR="00F34644" w:rsidRPr="009C2953">
        <w:t xml:space="preserve"> la </w:t>
      </w:r>
      <w:r w:rsidRPr="009C2953">
        <w:t>Secrétaire exécutive sur</w:t>
      </w:r>
      <w:r w:rsidR="00F34644" w:rsidRPr="009C2953">
        <w:t xml:space="preserve"> les </w:t>
      </w:r>
      <w:r w:rsidRPr="009C2953">
        <w:t>progrès dans</w:t>
      </w:r>
      <w:r w:rsidR="00F34644" w:rsidRPr="009C2953">
        <w:t xml:space="preserve"> la </w:t>
      </w:r>
      <w:r w:rsidRPr="009C2953">
        <w:t>mise en œuvre du</w:t>
      </w:r>
      <w:r w:rsidR="00326FDB" w:rsidRPr="009C2953">
        <w:t> </w:t>
      </w:r>
      <w:r w:rsidRPr="009C2953">
        <w:t>programme de travail glissant pour</w:t>
      </w:r>
      <w:r w:rsidR="00F34644" w:rsidRPr="009C2953">
        <w:t xml:space="preserve"> la </w:t>
      </w:r>
      <w:r w:rsidRPr="009C2953">
        <w:t>période allant jusqu</w:t>
      </w:r>
      <w:r w:rsidR="00EA2966" w:rsidRPr="009C2953">
        <w:t>’</w:t>
      </w:r>
      <w:r w:rsidRPr="009C2953">
        <w:t>en 2030.</w:t>
      </w:r>
    </w:p>
    <w:p w14:paraId="02C6D13B" w14:textId="7879D020"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6.</w:t>
      </w:r>
      <w:r w:rsidRPr="009C2953">
        <w:tab/>
        <w:t>Dispositifs financiers et budgétaires pour</w:t>
      </w:r>
      <w:r w:rsidR="00F34644" w:rsidRPr="009C2953">
        <w:t xml:space="preserve"> la </w:t>
      </w:r>
      <w:r w:rsidRPr="009C2953">
        <w:t>Plateforme.</w:t>
      </w:r>
    </w:p>
    <w:p w14:paraId="205567A7" w14:textId="4CAE6A65"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7.</w:t>
      </w:r>
      <w:r w:rsidRPr="009C2953">
        <w:tab/>
        <w:t>Évaluation</w:t>
      </w:r>
      <w:r w:rsidR="00D24DC1" w:rsidRPr="009C2953">
        <w:t xml:space="preserve"> des </w:t>
      </w:r>
      <w:r w:rsidRPr="009C2953">
        <w:t>connaissances :</w:t>
      </w:r>
    </w:p>
    <w:p w14:paraId="07763EE2" w14:textId="28E1905C"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3119" w:hanging="624"/>
      </w:pPr>
      <w:r w:rsidRPr="009C2953">
        <w:t>a)</w:t>
      </w:r>
      <w:r w:rsidRPr="009C2953">
        <w:tab/>
        <w:t>Évaluation thématique</w:t>
      </w:r>
      <w:r w:rsidR="00D24DC1" w:rsidRPr="009C2953">
        <w:t xml:space="preserve"> des </w:t>
      </w:r>
      <w:r w:rsidRPr="009C2953">
        <w:t>espèces exotiques envahissantes ;</w:t>
      </w:r>
    </w:p>
    <w:p w14:paraId="5E571AAF" w14:textId="4ADA7B2A"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3119" w:hanging="624"/>
      </w:pPr>
      <w:r w:rsidRPr="009C2953">
        <w:t>b)</w:t>
      </w:r>
      <w:r w:rsidRPr="009C2953">
        <w:tab/>
        <w:t>Collaboration avec</w:t>
      </w:r>
      <w:r w:rsidR="00F34644" w:rsidRPr="009C2953">
        <w:t xml:space="preserve"> le </w:t>
      </w:r>
      <w:r w:rsidRPr="009C2953">
        <w:t>Groupe d</w:t>
      </w:r>
      <w:r w:rsidR="00EA2966" w:rsidRPr="009C2953">
        <w:t>’</w:t>
      </w:r>
      <w:r w:rsidRPr="009C2953">
        <w:t>experts intergouvernemental sur l</w:t>
      </w:r>
      <w:r w:rsidR="00EA2966" w:rsidRPr="009C2953">
        <w:t>’</w:t>
      </w:r>
      <w:r w:rsidRPr="009C2953">
        <w:t>évolution du</w:t>
      </w:r>
      <w:r w:rsidR="00326FDB" w:rsidRPr="009C2953">
        <w:t> </w:t>
      </w:r>
      <w:r w:rsidRPr="009C2953">
        <w:t>climat.</w:t>
      </w:r>
    </w:p>
    <w:p w14:paraId="4EA7A512" w14:textId="211306CA"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8.</w:t>
      </w:r>
      <w:r w:rsidRPr="009C2953">
        <w:tab/>
        <w:t>Renforcement</w:t>
      </w:r>
      <w:r w:rsidR="00D24DC1" w:rsidRPr="009C2953">
        <w:t xml:space="preserve"> des </w:t>
      </w:r>
      <w:r w:rsidRPr="009C2953">
        <w:t>capacités, consolidation de</w:t>
      </w:r>
      <w:r w:rsidR="00F34644" w:rsidRPr="009C2953">
        <w:t xml:space="preserve"> la </w:t>
      </w:r>
      <w:r w:rsidRPr="009C2953">
        <w:t>base de connaissances et appui à</w:t>
      </w:r>
      <w:r w:rsidR="00326FDB" w:rsidRPr="009C2953">
        <w:t> </w:t>
      </w:r>
      <w:r w:rsidRPr="009C2953">
        <w:t>l</w:t>
      </w:r>
      <w:r w:rsidR="00EA2966" w:rsidRPr="009C2953">
        <w:t>’</w:t>
      </w:r>
      <w:r w:rsidRPr="009C2953">
        <w:t>élaboration</w:t>
      </w:r>
      <w:r w:rsidR="00D24DC1" w:rsidRPr="009C2953">
        <w:t xml:space="preserve"> des </w:t>
      </w:r>
      <w:r w:rsidRPr="009C2953">
        <w:t>politiques.</w:t>
      </w:r>
    </w:p>
    <w:p w14:paraId="10747E81" w14:textId="5A30BDFC"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9.</w:t>
      </w:r>
      <w:r w:rsidRPr="009C2953">
        <w:tab/>
        <w:t>Renforcement de l</w:t>
      </w:r>
      <w:r w:rsidR="00EA2966" w:rsidRPr="009C2953">
        <w:t>’</w:t>
      </w:r>
      <w:r w:rsidRPr="009C2953">
        <w:t>efficacité de</w:t>
      </w:r>
      <w:r w:rsidR="00F34644" w:rsidRPr="009C2953">
        <w:t xml:space="preserve"> la </w:t>
      </w:r>
      <w:r w:rsidRPr="009C2953">
        <w:t>Plateforme.</w:t>
      </w:r>
    </w:p>
    <w:p w14:paraId="6025E1F8" w14:textId="61413E26"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10.</w:t>
      </w:r>
      <w:r w:rsidRPr="009C2953">
        <w:tab/>
        <w:t>Demandes, contributions et suggestions d</w:t>
      </w:r>
      <w:r w:rsidR="00EA2966" w:rsidRPr="009C2953">
        <w:t>’</w:t>
      </w:r>
      <w:r w:rsidRPr="009C2953">
        <w:t>éléments additionnels au programme de</w:t>
      </w:r>
      <w:r w:rsidR="00326FDB" w:rsidRPr="009C2953">
        <w:t> </w:t>
      </w:r>
      <w:r w:rsidRPr="009C2953">
        <w:t>travail glissant de</w:t>
      </w:r>
      <w:r w:rsidR="00F34644" w:rsidRPr="009C2953">
        <w:t xml:space="preserve"> la </w:t>
      </w:r>
      <w:r w:rsidRPr="009C2953">
        <w:t>Plateforme pour</w:t>
      </w:r>
      <w:r w:rsidR="00F34644" w:rsidRPr="009C2953">
        <w:t xml:space="preserve"> la </w:t>
      </w:r>
      <w:r w:rsidRPr="009C2953">
        <w:t>période allant jusqu</w:t>
      </w:r>
      <w:r w:rsidR="00EA2966" w:rsidRPr="009C2953">
        <w:t>’</w:t>
      </w:r>
      <w:r w:rsidRPr="009C2953">
        <w:t>en 2030.</w:t>
      </w:r>
    </w:p>
    <w:p w14:paraId="285ACF65" w14:textId="268B5A4C"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11.</w:t>
      </w:r>
      <w:r w:rsidRPr="009C2953">
        <w:tab/>
        <w:t>Organisation</w:t>
      </w:r>
      <w:r w:rsidR="00D24DC1" w:rsidRPr="009C2953">
        <w:t xml:space="preserve"> des </w:t>
      </w:r>
      <w:r w:rsidRPr="009C2953">
        <w:t>travaux de</w:t>
      </w:r>
      <w:r w:rsidR="00F34644" w:rsidRPr="009C2953">
        <w:t xml:space="preserve"> la </w:t>
      </w:r>
      <w:r w:rsidRPr="009C2953">
        <w:t>Plénière et date et lieu de ses futures sessions</w:t>
      </w:r>
    </w:p>
    <w:p w14:paraId="3ED32989" w14:textId="52CDEEE0"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12.</w:t>
      </w:r>
      <w:r w:rsidRPr="009C2953">
        <w:tab/>
        <w:t>Dispositions institutionnelles : dispositions concernant</w:t>
      </w:r>
      <w:r w:rsidR="00F34644" w:rsidRPr="009C2953">
        <w:t xml:space="preserve"> les </w:t>
      </w:r>
      <w:r w:rsidRPr="009C2953">
        <w:t>partenariats de collaboration</w:t>
      </w:r>
      <w:r w:rsidR="00D24DC1" w:rsidRPr="009C2953">
        <w:t xml:space="preserve"> des </w:t>
      </w:r>
      <w:r w:rsidRPr="009C2953">
        <w:t>Nations Unies pour</w:t>
      </w:r>
      <w:r w:rsidR="00F34644" w:rsidRPr="009C2953">
        <w:t xml:space="preserve"> les </w:t>
      </w:r>
      <w:r w:rsidRPr="009C2953">
        <w:t>travaux de</w:t>
      </w:r>
      <w:r w:rsidR="00F34644" w:rsidRPr="009C2953">
        <w:t xml:space="preserve"> la </w:t>
      </w:r>
      <w:r w:rsidRPr="009C2953">
        <w:t>Plateforme et de</w:t>
      </w:r>
      <w:r w:rsidR="00F34644" w:rsidRPr="009C2953">
        <w:t xml:space="preserve"> son </w:t>
      </w:r>
      <w:r w:rsidRPr="009C2953">
        <w:t>secrétariat.</w:t>
      </w:r>
    </w:p>
    <w:p w14:paraId="45ED506D" w14:textId="0067480F"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13.</w:t>
      </w:r>
      <w:r w:rsidRPr="009C2953">
        <w:tab/>
        <w:t>Adoption</w:t>
      </w:r>
      <w:r w:rsidR="00D24DC1" w:rsidRPr="009C2953">
        <w:t xml:space="preserve"> des </w:t>
      </w:r>
      <w:r w:rsidRPr="009C2953">
        <w:t>décisions et du rapport sur</w:t>
      </w:r>
      <w:r w:rsidR="00F34644" w:rsidRPr="009C2953">
        <w:t xml:space="preserve"> les </w:t>
      </w:r>
      <w:r w:rsidRPr="009C2953">
        <w:t>travaux de</w:t>
      </w:r>
      <w:r w:rsidR="00F34644" w:rsidRPr="009C2953">
        <w:t xml:space="preserve"> la </w:t>
      </w:r>
      <w:r w:rsidRPr="009C2953">
        <w:t>session.</w:t>
      </w:r>
    </w:p>
    <w:p w14:paraId="3C332F67" w14:textId="0F4E16E5" w:rsidR="00607B78" w:rsidRPr="009C2953" w:rsidRDefault="00607B78" w:rsidP="00607B78">
      <w:pPr>
        <w:pStyle w:val="Normal-pool"/>
        <w:tabs>
          <w:tab w:val="clear" w:pos="1247"/>
          <w:tab w:val="clear" w:pos="1871"/>
          <w:tab w:val="clear" w:pos="2495"/>
          <w:tab w:val="clear" w:pos="3119"/>
          <w:tab w:val="clear" w:pos="3742"/>
          <w:tab w:val="clear" w:pos="4366"/>
        </w:tabs>
        <w:spacing w:after="120"/>
        <w:ind w:left="2495" w:hanging="624"/>
      </w:pPr>
      <w:r w:rsidRPr="009C2953">
        <w:t>14.</w:t>
      </w:r>
      <w:r w:rsidRPr="009C2953">
        <w:tab/>
        <w:t>Clôture de</w:t>
      </w:r>
      <w:r w:rsidR="00F34644" w:rsidRPr="009C2953">
        <w:t xml:space="preserve"> la </w:t>
      </w:r>
      <w:r w:rsidRPr="009C2953">
        <w:t>session.</w:t>
      </w:r>
    </w:p>
    <w:p w14:paraId="12AE590A" w14:textId="33D0144E" w:rsidR="00607B78" w:rsidRPr="009C2953" w:rsidRDefault="00607B78" w:rsidP="008731A8">
      <w:pPr>
        <w:pStyle w:val="Normalnumber"/>
        <w:numPr>
          <w:ilvl w:val="0"/>
          <w:numId w:val="2"/>
        </w:numPr>
        <w:rPr>
          <w:lang w:val="fr-FR"/>
        </w:rPr>
      </w:pPr>
      <w:r w:rsidRPr="009C2953">
        <w:rPr>
          <w:lang w:val="fr-FR"/>
        </w:rPr>
        <w:t>La Plénière est convenue de suivre l</w:t>
      </w:r>
      <w:r w:rsidR="00EA2966" w:rsidRPr="009C2953">
        <w:rPr>
          <w:lang w:val="fr-FR"/>
        </w:rPr>
        <w:t>’</w:t>
      </w:r>
      <w:r w:rsidRPr="009C2953">
        <w:rPr>
          <w:lang w:val="fr-FR"/>
        </w:rPr>
        <w:t>organisation</w:t>
      </w:r>
      <w:r w:rsidR="00D24DC1" w:rsidRPr="009C2953">
        <w:rPr>
          <w:lang w:val="fr-FR"/>
        </w:rPr>
        <w:t xml:space="preserve"> des </w:t>
      </w:r>
      <w:r w:rsidRPr="009C2953">
        <w:rPr>
          <w:lang w:val="fr-FR"/>
        </w:rPr>
        <w:t>travaux proposée à l</w:t>
      </w:r>
      <w:r w:rsidR="00EA2966" w:rsidRPr="009C2953">
        <w:rPr>
          <w:lang w:val="fr-FR"/>
        </w:rPr>
        <w:t>’</w:t>
      </w:r>
      <w:r w:rsidRPr="009C2953">
        <w:rPr>
          <w:lang w:val="fr-FR"/>
        </w:rPr>
        <w:t>annexe I du</w:t>
      </w:r>
      <w:r w:rsidR="00326FDB" w:rsidRPr="009C2953">
        <w:rPr>
          <w:lang w:val="fr-FR"/>
        </w:rPr>
        <w:t> </w:t>
      </w:r>
      <w:r w:rsidRPr="009C2953">
        <w:rPr>
          <w:lang w:val="fr-FR"/>
        </w:rPr>
        <w:t>document IPBES/10/1/Add.1.</w:t>
      </w:r>
    </w:p>
    <w:p w14:paraId="459A8736" w14:textId="43519239" w:rsidR="00607B78" w:rsidRPr="009C2953" w:rsidRDefault="00607B78" w:rsidP="000D47E2">
      <w:pPr>
        <w:pStyle w:val="Normalnumber"/>
        <w:keepLines/>
        <w:numPr>
          <w:ilvl w:val="0"/>
          <w:numId w:val="2"/>
        </w:numPr>
        <w:rPr>
          <w:lang w:val="fr-FR"/>
        </w:rPr>
      </w:pPr>
      <w:r w:rsidRPr="009C2953">
        <w:rPr>
          <w:lang w:val="fr-FR"/>
        </w:rPr>
        <w:lastRenderedPageBreak/>
        <w:t>La Plénière a décidé de créer deux groupes de travail.</w:t>
      </w:r>
      <w:r w:rsidR="00F34644" w:rsidRPr="009C2953">
        <w:rPr>
          <w:lang w:val="fr-FR"/>
        </w:rPr>
        <w:t xml:space="preserve"> Le </w:t>
      </w:r>
      <w:r w:rsidRPr="009C2953">
        <w:rPr>
          <w:lang w:val="fr-FR"/>
        </w:rPr>
        <w:t>groupe de travail I se pencherait sur</w:t>
      </w:r>
      <w:r w:rsidR="00F34644" w:rsidRPr="009C2953">
        <w:rPr>
          <w:lang w:val="fr-FR"/>
        </w:rPr>
        <w:t xml:space="preserve"> le </w:t>
      </w:r>
      <w:r w:rsidRPr="009C2953">
        <w:rPr>
          <w:lang w:val="fr-FR"/>
        </w:rPr>
        <w:t>point 7 a) de l</w:t>
      </w:r>
      <w:r w:rsidR="00EA2966" w:rsidRPr="009C2953">
        <w:rPr>
          <w:lang w:val="fr-FR"/>
        </w:rPr>
        <w:t>’</w:t>
      </w:r>
      <w:r w:rsidRPr="009C2953">
        <w:rPr>
          <w:lang w:val="fr-FR"/>
        </w:rPr>
        <w:t>ordre du jour, relatif à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Son objectif serait d</w:t>
      </w:r>
      <w:r w:rsidR="00EA2966" w:rsidRPr="009C2953">
        <w:rPr>
          <w:lang w:val="fr-FR"/>
        </w:rPr>
        <w:t>’</w:t>
      </w:r>
      <w:r w:rsidRPr="009C2953">
        <w:rPr>
          <w:lang w:val="fr-FR"/>
        </w:rPr>
        <w:t>étudier en détail</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à</w:t>
      </w:r>
      <w:r w:rsidR="00F34644" w:rsidRPr="009C2953">
        <w:rPr>
          <w:lang w:val="fr-FR"/>
        </w:rPr>
        <w:t xml:space="preserve"> la </w:t>
      </w:r>
      <w:r w:rsidRPr="009C2953">
        <w:rPr>
          <w:lang w:val="fr-FR"/>
        </w:rPr>
        <w:t>lumière</w:t>
      </w:r>
      <w:r w:rsidR="00D24DC1" w:rsidRPr="009C2953">
        <w:rPr>
          <w:lang w:val="fr-FR"/>
        </w:rPr>
        <w:t xml:space="preserve"> des </w:t>
      </w:r>
      <w:r w:rsidRPr="009C2953">
        <w:rPr>
          <w:lang w:val="fr-FR"/>
        </w:rPr>
        <w:t>chapitres de l</w:t>
      </w:r>
      <w:r w:rsidR="00EA2966" w:rsidRPr="009C2953">
        <w:rPr>
          <w:lang w:val="fr-FR"/>
        </w:rPr>
        <w:t>’</w:t>
      </w:r>
      <w:r w:rsidRPr="009C2953">
        <w:rPr>
          <w:lang w:val="fr-FR"/>
        </w:rPr>
        <w:t>évaluation, afin que ce résumé soit approuvé par</w:t>
      </w:r>
      <w:r w:rsidR="00F34644" w:rsidRPr="009C2953">
        <w:rPr>
          <w:lang w:val="fr-FR"/>
        </w:rPr>
        <w:t xml:space="preserve"> la </w:t>
      </w:r>
      <w:r w:rsidRPr="009C2953">
        <w:rPr>
          <w:lang w:val="fr-FR"/>
        </w:rPr>
        <w:t>Plénière et que</w:t>
      </w:r>
      <w:r w:rsidR="00F34644" w:rsidRPr="009C2953">
        <w:rPr>
          <w:lang w:val="fr-FR"/>
        </w:rPr>
        <w:t xml:space="preserve"> les </w:t>
      </w:r>
      <w:r w:rsidRPr="009C2953">
        <w:rPr>
          <w:lang w:val="fr-FR"/>
        </w:rPr>
        <w:t>chapitres de l</w:t>
      </w:r>
      <w:r w:rsidR="00EA2966" w:rsidRPr="009C2953">
        <w:rPr>
          <w:lang w:val="fr-FR"/>
        </w:rPr>
        <w:t>’</w:t>
      </w:r>
      <w:r w:rsidRPr="009C2953">
        <w:rPr>
          <w:lang w:val="fr-FR"/>
        </w:rPr>
        <w:t>évaluation soient acceptés sans autre débat.</w:t>
      </w:r>
      <w:r w:rsidR="00F34644" w:rsidRPr="009C2953">
        <w:rPr>
          <w:lang w:val="fr-FR"/>
        </w:rPr>
        <w:t xml:space="preserve"> Le </w:t>
      </w:r>
      <w:r w:rsidRPr="009C2953">
        <w:rPr>
          <w:lang w:val="fr-FR"/>
        </w:rPr>
        <w:t>groupe de travail II examinerait</w:t>
      </w:r>
      <w:r w:rsidR="00F34644" w:rsidRPr="009C2953">
        <w:rPr>
          <w:lang w:val="fr-FR"/>
        </w:rPr>
        <w:t xml:space="preserve"> le </w:t>
      </w:r>
      <w:r w:rsidRPr="009C2953">
        <w:rPr>
          <w:lang w:val="fr-FR"/>
        </w:rPr>
        <w:t>point 7 b), relatif à</w:t>
      </w:r>
      <w:r w:rsidR="00F34644" w:rsidRPr="009C2953">
        <w:rPr>
          <w:lang w:val="fr-FR"/>
        </w:rPr>
        <w:t xml:space="preserve"> la </w:t>
      </w:r>
      <w:r w:rsidRPr="009C2953">
        <w:rPr>
          <w:lang w:val="fr-FR"/>
        </w:rPr>
        <w:t>collaboration avec</w:t>
      </w:r>
      <w:r w:rsidR="00F34644" w:rsidRPr="009C2953">
        <w:rPr>
          <w:lang w:val="fr-FR"/>
        </w:rPr>
        <w:t xml:space="preserve"> le </w:t>
      </w:r>
      <w:r w:rsidRPr="009C2953">
        <w:rPr>
          <w:lang w:val="fr-FR"/>
        </w:rPr>
        <w:t>Groupe d</w:t>
      </w:r>
      <w:r w:rsidR="00EA2966" w:rsidRPr="009C2953">
        <w:rPr>
          <w:lang w:val="fr-FR"/>
        </w:rPr>
        <w:t>’</w:t>
      </w:r>
      <w:r w:rsidRPr="009C2953">
        <w:rPr>
          <w:lang w:val="fr-FR"/>
        </w:rPr>
        <w:t>experts intergouvernemental sur l</w:t>
      </w:r>
      <w:r w:rsidR="00EA2966" w:rsidRPr="009C2953">
        <w:rPr>
          <w:lang w:val="fr-FR"/>
        </w:rPr>
        <w:t>’</w:t>
      </w:r>
      <w:r w:rsidRPr="009C2953">
        <w:rPr>
          <w:lang w:val="fr-FR"/>
        </w:rPr>
        <w:t>évolution du climat ;</w:t>
      </w:r>
      <w:r w:rsidR="00F34644" w:rsidRPr="009C2953">
        <w:rPr>
          <w:lang w:val="fr-FR"/>
        </w:rPr>
        <w:t xml:space="preserve"> le </w:t>
      </w:r>
      <w:r w:rsidRPr="009C2953">
        <w:rPr>
          <w:lang w:val="fr-FR"/>
        </w:rPr>
        <w:t>point 8, sur</w:t>
      </w:r>
      <w:r w:rsidR="00F34644" w:rsidRPr="009C2953">
        <w:rPr>
          <w:lang w:val="fr-FR"/>
        </w:rPr>
        <w:t xml:space="preserve"> le </w:t>
      </w:r>
      <w:r w:rsidRPr="009C2953">
        <w:rPr>
          <w:lang w:val="fr-FR"/>
        </w:rPr>
        <w:t>renforcement</w:t>
      </w:r>
      <w:r w:rsidR="00D24DC1" w:rsidRPr="009C2953">
        <w:rPr>
          <w:lang w:val="fr-FR"/>
        </w:rPr>
        <w:t xml:space="preserve"> des </w:t>
      </w:r>
      <w:r w:rsidRPr="009C2953">
        <w:rPr>
          <w:lang w:val="fr-FR"/>
        </w:rPr>
        <w:t>capacités,</w:t>
      </w:r>
      <w:r w:rsidR="00F34644" w:rsidRPr="009C2953">
        <w:rPr>
          <w:lang w:val="fr-FR"/>
        </w:rPr>
        <w:t xml:space="preserve"> la </w:t>
      </w:r>
      <w:r w:rsidRPr="009C2953">
        <w:rPr>
          <w:lang w:val="fr-FR"/>
        </w:rPr>
        <w:t>consolidation de</w:t>
      </w:r>
      <w:r w:rsidR="00F34644" w:rsidRPr="009C2953">
        <w:rPr>
          <w:lang w:val="fr-FR"/>
        </w:rPr>
        <w:t xml:space="preserve"> la </w:t>
      </w:r>
      <w:r w:rsidRPr="009C2953">
        <w:rPr>
          <w:lang w:val="fr-FR"/>
        </w:rPr>
        <w:t>base de connaissances et l</w:t>
      </w:r>
      <w:r w:rsidR="00EA2966" w:rsidRPr="009C2953">
        <w:rPr>
          <w:lang w:val="fr-FR"/>
        </w:rPr>
        <w:t>’</w:t>
      </w:r>
      <w:r w:rsidRPr="009C2953">
        <w:rPr>
          <w:lang w:val="fr-FR"/>
        </w:rPr>
        <w:t>appui à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w:t>
      </w:r>
      <w:r w:rsidR="00F34644" w:rsidRPr="009C2953">
        <w:rPr>
          <w:lang w:val="fr-FR"/>
        </w:rPr>
        <w:t xml:space="preserve"> le </w:t>
      </w:r>
      <w:r w:rsidRPr="009C2953">
        <w:rPr>
          <w:lang w:val="fr-FR"/>
        </w:rPr>
        <w:t xml:space="preserve">point 9, </w:t>
      </w:r>
      <w:r w:rsidR="0026055B" w:rsidRPr="009C2953">
        <w:rPr>
          <w:lang w:val="fr-FR"/>
        </w:rPr>
        <w:t>sur</w:t>
      </w:r>
      <w:r w:rsidR="00F34644" w:rsidRPr="009C2953">
        <w:rPr>
          <w:lang w:val="fr-FR"/>
        </w:rPr>
        <w:t xml:space="preserve"> le </w:t>
      </w:r>
      <w:r w:rsidRPr="009C2953">
        <w:rPr>
          <w:lang w:val="fr-FR"/>
        </w:rPr>
        <w:t>renforcement de l</w:t>
      </w:r>
      <w:r w:rsidR="00EA2966" w:rsidRPr="009C2953">
        <w:rPr>
          <w:lang w:val="fr-FR"/>
        </w:rPr>
        <w:t>’</w:t>
      </w:r>
      <w:r w:rsidRPr="009C2953">
        <w:rPr>
          <w:lang w:val="fr-FR"/>
        </w:rPr>
        <w:t>efficacité de</w:t>
      </w:r>
      <w:r w:rsidR="00F34644" w:rsidRPr="009C2953">
        <w:rPr>
          <w:lang w:val="fr-FR"/>
        </w:rPr>
        <w:t xml:space="preserve"> la </w:t>
      </w:r>
      <w:r w:rsidRPr="009C2953">
        <w:rPr>
          <w:lang w:val="fr-FR"/>
        </w:rPr>
        <w:t>Plateforme ; et</w:t>
      </w:r>
      <w:r w:rsidR="00D30320" w:rsidRPr="009C2953">
        <w:rPr>
          <w:lang w:val="fr-FR"/>
        </w:rPr>
        <w:t> </w:t>
      </w:r>
      <w:r w:rsidR="00F34644" w:rsidRPr="009C2953">
        <w:rPr>
          <w:lang w:val="fr-FR"/>
        </w:rPr>
        <w:t>le </w:t>
      </w:r>
      <w:r w:rsidRPr="009C2953">
        <w:rPr>
          <w:lang w:val="fr-FR"/>
        </w:rPr>
        <w:t>point 10, sur</w:t>
      </w:r>
      <w:r w:rsidR="00F34644" w:rsidRPr="009C2953">
        <w:rPr>
          <w:lang w:val="fr-FR"/>
        </w:rPr>
        <w:t xml:space="preserve"> les </w:t>
      </w:r>
      <w:r w:rsidRPr="009C2953">
        <w:rPr>
          <w:lang w:val="fr-FR"/>
        </w:rPr>
        <w:t>demandes, contributions et suggestions d</w:t>
      </w:r>
      <w:r w:rsidR="00EA2966" w:rsidRPr="009C2953">
        <w:rPr>
          <w:lang w:val="fr-FR"/>
        </w:rPr>
        <w:t>’</w:t>
      </w:r>
      <w:r w:rsidRPr="009C2953">
        <w:rPr>
          <w:lang w:val="fr-FR"/>
        </w:rPr>
        <w:t>éléments additionnels au programme de</w:t>
      </w:r>
      <w:r w:rsidR="00D30320" w:rsidRPr="009C2953">
        <w:rPr>
          <w:lang w:val="fr-FR"/>
        </w:rPr>
        <w:t> </w:t>
      </w:r>
      <w:r w:rsidRPr="009C2953">
        <w:rPr>
          <w:lang w:val="fr-FR"/>
        </w:rPr>
        <w:t>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w:t>
      </w:r>
    </w:p>
    <w:p w14:paraId="5441ED65" w14:textId="05BD7E68" w:rsidR="00607B78" w:rsidRPr="009C2953" w:rsidRDefault="00607B78" w:rsidP="00607B78">
      <w:pPr>
        <w:pStyle w:val="CH2"/>
      </w:pPr>
      <w:r w:rsidRPr="009C2953">
        <w:tab/>
        <w:t>B.</w:t>
      </w:r>
      <w:r w:rsidRPr="009C2953">
        <w:tab/>
        <w:t>Composition de</w:t>
      </w:r>
      <w:r w:rsidR="00F34644" w:rsidRPr="009C2953">
        <w:t xml:space="preserve"> la </w:t>
      </w:r>
      <w:r w:rsidRPr="009C2953">
        <w:t>Plateforme</w:t>
      </w:r>
    </w:p>
    <w:p w14:paraId="003D202D" w14:textId="33CA3B1D" w:rsidR="00607B78" w:rsidRPr="009C2953" w:rsidRDefault="00607B78" w:rsidP="008731A8">
      <w:pPr>
        <w:pStyle w:val="Normalnumber"/>
        <w:numPr>
          <w:ilvl w:val="0"/>
          <w:numId w:val="2"/>
        </w:numPr>
        <w:rPr>
          <w:lang w:val="fr-FR"/>
        </w:rPr>
      </w:pPr>
      <w:r w:rsidRPr="009C2953">
        <w:rPr>
          <w:lang w:val="fr-FR"/>
        </w:rPr>
        <w:t>La Présidente a annoncé que, depuis</w:t>
      </w:r>
      <w:r w:rsidR="00F34644" w:rsidRPr="009C2953">
        <w:rPr>
          <w:lang w:val="fr-FR"/>
        </w:rPr>
        <w:t xml:space="preserve"> la </w:t>
      </w:r>
      <w:r w:rsidRPr="009C2953">
        <w:rPr>
          <w:lang w:val="fr-FR"/>
        </w:rPr>
        <w:t>neuvième session de</w:t>
      </w:r>
      <w:r w:rsidR="00F34644" w:rsidRPr="009C2953">
        <w:rPr>
          <w:lang w:val="fr-FR"/>
        </w:rPr>
        <w:t xml:space="preserve"> la </w:t>
      </w:r>
      <w:r w:rsidRPr="009C2953">
        <w:rPr>
          <w:lang w:val="fr-FR"/>
        </w:rPr>
        <w:t>Plénière,</w:t>
      </w:r>
      <w:r w:rsidR="00F34644" w:rsidRPr="009C2953">
        <w:rPr>
          <w:lang w:val="fr-FR"/>
        </w:rPr>
        <w:t xml:space="preserve"> la </w:t>
      </w:r>
      <w:r w:rsidRPr="009C2953">
        <w:rPr>
          <w:lang w:val="fr-FR"/>
        </w:rPr>
        <w:t>Guinée,</w:t>
      </w:r>
      <w:r w:rsidR="00F34644" w:rsidRPr="009C2953">
        <w:rPr>
          <w:lang w:val="fr-FR"/>
        </w:rPr>
        <w:t xml:space="preserve"> la </w:t>
      </w:r>
      <w:r w:rsidRPr="009C2953">
        <w:rPr>
          <w:lang w:val="fr-FR"/>
        </w:rPr>
        <w:t>Namibie, Oman et</w:t>
      </w:r>
      <w:r w:rsidR="00F34644" w:rsidRPr="009C2953">
        <w:rPr>
          <w:lang w:val="fr-FR"/>
        </w:rPr>
        <w:t xml:space="preserve"> les </w:t>
      </w:r>
      <w:r w:rsidRPr="009C2953">
        <w:rPr>
          <w:lang w:val="fr-FR"/>
        </w:rPr>
        <w:t>Palaos avaient rejoint l</w:t>
      </w:r>
      <w:r w:rsidR="00EA2966" w:rsidRPr="009C2953">
        <w:rPr>
          <w:lang w:val="fr-FR"/>
        </w:rPr>
        <w:t>’</w:t>
      </w:r>
      <w:r w:rsidRPr="009C2953">
        <w:rPr>
          <w:lang w:val="fr-FR"/>
        </w:rPr>
        <w:t>IPBES, qui, en conséquence, se composait</w:t>
      </w:r>
      <w:r w:rsidR="00D24DC1" w:rsidRPr="009C2953">
        <w:rPr>
          <w:lang w:val="fr-FR"/>
        </w:rPr>
        <w:t xml:space="preserve"> des </w:t>
      </w:r>
      <w:r w:rsidRPr="009C2953">
        <w:rPr>
          <w:lang w:val="fr-FR"/>
        </w:rPr>
        <w:t>143 membres suivants :</w:t>
      </w:r>
      <w:r w:rsidR="00D833A2" w:rsidRPr="009C2953">
        <w:rPr>
          <w:lang w:val="fr-FR"/>
        </w:rPr>
        <w:t xml:space="preserve"> Afghanistan, Afrique du Sud, Albanie, Algérie, Allemagne, Andorre, Antigua-et-Barbuda, Arabie saoudite, Argentine, Arménie, Australie, Autriche, Azerbaïdjan, Bahreïn, Bangladesh, Bélarus, Belgique, Bénin, Bhoutan, Bolivie (État plurinational de), Bosnie-Herzégovine, Botswana, Brésil, Bulgarie, Burkina Faso, Burundi, Cambodge, Cameroun, Canada, Chili, Chine, Colombie, Comores, Congo, Costa Rica, Côte d</w:t>
      </w:r>
      <w:r w:rsidR="00EA2966" w:rsidRPr="009C2953">
        <w:rPr>
          <w:lang w:val="fr-FR"/>
        </w:rPr>
        <w:t>’</w:t>
      </w:r>
      <w:r w:rsidR="00D833A2" w:rsidRPr="009C2953">
        <w:rPr>
          <w:lang w:val="fr-FR"/>
        </w:rPr>
        <w:t>Ivoire, Croatie, Cuba, Danemark, Égypte, El Salvador, Émirats arabes unis, Équateur, Espagne, Estonie, Eswatini, États-Unis d</w:t>
      </w:r>
      <w:r w:rsidR="00EA2966" w:rsidRPr="009C2953">
        <w:rPr>
          <w:lang w:val="fr-FR"/>
        </w:rPr>
        <w:t>’</w:t>
      </w:r>
      <w:r w:rsidR="00D833A2" w:rsidRPr="009C2953">
        <w:rPr>
          <w:lang w:val="fr-FR"/>
        </w:rPr>
        <w:t>Amérique, Éthiopie, Fédération de Russie, Fidji, Finlande, France, Gabon, Géorgie, Ghana, Grèce, Grenade, Guatemala, Guinée, Guinée-Bissau, Guyana, Honduras, Hongrie, Îles Cook, Inde, Indonésie, Iran (République islamique d</w:t>
      </w:r>
      <w:r w:rsidR="00EA2966" w:rsidRPr="009C2953">
        <w:rPr>
          <w:lang w:val="fr-FR"/>
        </w:rPr>
        <w:t>’</w:t>
      </w:r>
      <w:r w:rsidR="00D833A2" w:rsidRPr="009C2953">
        <w:rPr>
          <w:lang w:val="fr-FR"/>
        </w:rPr>
        <w:t>), Iraq, Irlande, Israël, Italie, Japon, Jordanie, Kenya, Kirghizistan, Lettonie, Libéria, Libye, Lituanie, Luxembourg, Macédoine du Nord, Madagascar, Malaisie, Malawi, Maldives, Mali, Maroc, Mauritanie, Mexique, Monaco, Monténégro, Myanmar, Namibie, Népal, Nicaragua, Niger, Nigéria, Norvège, Nouvelle</w:t>
      </w:r>
      <w:r w:rsidR="000D47E2" w:rsidRPr="009C2953">
        <w:rPr>
          <w:lang w:val="fr-FR"/>
        </w:rPr>
        <w:noBreakHyphen/>
      </w:r>
      <w:r w:rsidR="00D833A2" w:rsidRPr="009C2953">
        <w:rPr>
          <w:lang w:val="fr-FR"/>
        </w:rPr>
        <w:t>Zélande, Oman, Ouganda, Ouzbékistan, Pakistan, Palaos, Panama, Paraguay, Pérou, Philippines, Portugal, Pays-Bas (Royaume des), République centrafricaine, République de Corée, République de Moldova, République démocratique du Congo, République dominicaine, République</w:t>
      </w:r>
      <w:r w:rsidR="000D47E2" w:rsidRPr="009C2953">
        <w:rPr>
          <w:lang w:val="fr-FR"/>
        </w:rPr>
        <w:noBreakHyphen/>
      </w:r>
      <w:r w:rsidR="00D833A2" w:rsidRPr="009C2953">
        <w:rPr>
          <w:lang w:val="fr-FR"/>
        </w:rPr>
        <w:t>Unie de Tanzanie, Roumanie, Royaume-Uni de Grande-Bretagne et d</w:t>
      </w:r>
      <w:r w:rsidR="00EA2966" w:rsidRPr="009C2953">
        <w:rPr>
          <w:lang w:val="fr-FR"/>
        </w:rPr>
        <w:t>’</w:t>
      </w:r>
      <w:r w:rsidR="00D833A2" w:rsidRPr="009C2953">
        <w:rPr>
          <w:lang w:val="fr-FR"/>
        </w:rPr>
        <w:t>Irlande du Nord, Sainte-Lucie, Saint-Kitts-et-Nevis, Sénégal, Serbie, Sierra Leone, Slovaquie, Soudan, Sri Lanka, Suède, Suisse, Suriname, Swaziland, Tadjikistan, Tchad, Tchéquie, Thaïlande, Togo, Trinité</w:t>
      </w:r>
      <w:r w:rsidR="000D47E2" w:rsidRPr="009C2953">
        <w:rPr>
          <w:lang w:val="fr-FR"/>
        </w:rPr>
        <w:noBreakHyphen/>
      </w:r>
      <w:r w:rsidR="00D833A2" w:rsidRPr="009C2953">
        <w:rPr>
          <w:lang w:val="fr-FR"/>
        </w:rPr>
        <w:t>et</w:t>
      </w:r>
      <w:r w:rsidR="000D47E2" w:rsidRPr="009C2953">
        <w:rPr>
          <w:lang w:val="fr-FR"/>
        </w:rPr>
        <w:noBreakHyphen/>
      </w:r>
      <w:r w:rsidR="00D833A2" w:rsidRPr="009C2953">
        <w:rPr>
          <w:lang w:val="fr-FR"/>
        </w:rPr>
        <w:t>Tobago, Tunisie, Türkiye, Uruguay, Viet Nam, Yémen, Zambie et Zimbabwe</w:t>
      </w:r>
      <w:r w:rsidRPr="009C2953">
        <w:rPr>
          <w:lang w:val="fr-FR"/>
        </w:rPr>
        <w:t>.</w:t>
      </w:r>
    </w:p>
    <w:p w14:paraId="440801B7" w14:textId="36195BBA" w:rsidR="00607B78" w:rsidRPr="009C2953" w:rsidRDefault="00607B78" w:rsidP="00607B78">
      <w:pPr>
        <w:pStyle w:val="CH2"/>
      </w:pPr>
      <w:r w:rsidRPr="009C2953">
        <w:tab/>
        <w:t>C.</w:t>
      </w:r>
      <w:r w:rsidRPr="009C2953">
        <w:tab/>
        <w:t xml:space="preserve">Élection du </w:t>
      </w:r>
      <w:r w:rsidR="0026055B" w:rsidRPr="009C2953">
        <w:t>B</w:t>
      </w:r>
      <w:r w:rsidRPr="009C2953">
        <w:t>ureau</w:t>
      </w:r>
    </w:p>
    <w:p w14:paraId="02369923" w14:textId="2350B2DB" w:rsidR="00607B78" w:rsidRPr="009C2953" w:rsidRDefault="00D84F01" w:rsidP="008731A8">
      <w:pPr>
        <w:pStyle w:val="Normalnumber"/>
        <w:numPr>
          <w:ilvl w:val="0"/>
          <w:numId w:val="2"/>
        </w:numPr>
        <w:rPr>
          <w:lang w:val="fr-FR"/>
        </w:rPr>
      </w:pPr>
      <w:r w:rsidRPr="009C2953">
        <w:rPr>
          <w:lang w:val="fr-FR"/>
        </w:rPr>
        <w:t>P</w:t>
      </w:r>
      <w:r w:rsidR="00607B78" w:rsidRPr="009C2953">
        <w:rPr>
          <w:lang w:val="fr-FR"/>
        </w:rPr>
        <w:t>résentant ce point,</w:t>
      </w:r>
      <w:r w:rsidR="00F34644" w:rsidRPr="009C2953">
        <w:rPr>
          <w:lang w:val="fr-FR"/>
        </w:rPr>
        <w:t xml:space="preserve"> la </w:t>
      </w:r>
      <w:r w:rsidR="00607B78" w:rsidRPr="009C2953">
        <w:rPr>
          <w:lang w:val="fr-FR"/>
        </w:rPr>
        <w:t>Présidente a rappelé qu</w:t>
      </w:r>
      <w:r w:rsidR="00EA2966" w:rsidRPr="009C2953">
        <w:rPr>
          <w:lang w:val="fr-FR"/>
        </w:rPr>
        <w:t>’</w:t>
      </w:r>
      <w:r w:rsidR="00607B78" w:rsidRPr="009C2953">
        <w:rPr>
          <w:lang w:val="fr-FR"/>
        </w:rPr>
        <w:t>à</w:t>
      </w:r>
      <w:r w:rsidR="00F34644" w:rsidRPr="009C2953">
        <w:rPr>
          <w:lang w:val="fr-FR"/>
        </w:rPr>
        <w:t xml:space="preserve"> sa </w:t>
      </w:r>
      <w:r w:rsidR="00607B78" w:rsidRPr="009C2953">
        <w:rPr>
          <w:lang w:val="fr-FR"/>
        </w:rPr>
        <w:t>septième session, tenue à Paris (France) du</w:t>
      </w:r>
      <w:r w:rsidR="0066572F" w:rsidRPr="009C2953">
        <w:rPr>
          <w:lang w:val="fr-FR"/>
        </w:rPr>
        <w:t> </w:t>
      </w:r>
      <w:r w:rsidR="00607B78" w:rsidRPr="009C2953">
        <w:rPr>
          <w:lang w:val="fr-FR"/>
        </w:rPr>
        <w:t>29 avril au 4 mai 2019,</w:t>
      </w:r>
      <w:r w:rsidR="00F34644" w:rsidRPr="009C2953">
        <w:rPr>
          <w:lang w:val="fr-FR"/>
        </w:rPr>
        <w:t xml:space="preserve"> la </w:t>
      </w:r>
      <w:r w:rsidR="00607B78" w:rsidRPr="009C2953">
        <w:rPr>
          <w:lang w:val="fr-FR"/>
        </w:rPr>
        <w:t>Plénière avait élu 10 membres du Bureau pour</w:t>
      </w:r>
      <w:r w:rsidR="00F34644" w:rsidRPr="009C2953">
        <w:rPr>
          <w:lang w:val="fr-FR"/>
        </w:rPr>
        <w:t xml:space="preserve"> un </w:t>
      </w:r>
      <w:r w:rsidR="00607B78" w:rsidRPr="009C2953">
        <w:rPr>
          <w:lang w:val="fr-FR"/>
        </w:rPr>
        <w:t>mandat de trois ans,</w:t>
      </w:r>
      <w:r w:rsidR="0066572F" w:rsidRPr="009C2953">
        <w:rPr>
          <w:lang w:val="fr-FR"/>
        </w:rPr>
        <w:t xml:space="preserve"> </w:t>
      </w:r>
      <w:r w:rsidR="00607B78" w:rsidRPr="009C2953">
        <w:rPr>
          <w:lang w:val="fr-FR"/>
        </w:rPr>
        <w:t>conformément au paragraphe 3 de l</w:t>
      </w:r>
      <w:r w:rsidR="00EA2966" w:rsidRPr="009C2953">
        <w:rPr>
          <w:lang w:val="fr-FR"/>
        </w:rPr>
        <w:t>’</w:t>
      </w:r>
      <w:r w:rsidR="00607B78" w:rsidRPr="009C2953">
        <w:rPr>
          <w:lang w:val="fr-FR"/>
        </w:rPr>
        <w:t>article 15 du Règlement intérieur. À</w:t>
      </w:r>
      <w:r w:rsidR="00F34644" w:rsidRPr="009C2953">
        <w:rPr>
          <w:lang w:val="fr-FR"/>
        </w:rPr>
        <w:t xml:space="preserve"> sa </w:t>
      </w:r>
      <w:r w:rsidR="00607B78" w:rsidRPr="009C2953">
        <w:rPr>
          <w:lang w:val="fr-FR"/>
        </w:rPr>
        <w:t>huitième session, dans</w:t>
      </w:r>
      <w:r w:rsidR="00F34644" w:rsidRPr="009C2953">
        <w:rPr>
          <w:lang w:val="fr-FR"/>
        </w:rPr>
        <w:t xml:space="preserve"> sa </w:t>
      </w:r>
      <w:r w:rsidR="00607B78" w:rsidRPr="009C2953">
        <w:rPr>
          <w:lang w:val="fr-FR"/>
        </w:rPr>
        <w:t>décision IPBES-8/2,</w:t>
      </w:r>
      <w:r w:rsidR="00F34644" w:rsidRPr="009C2953">
        <w:rPr>
          <w:lang w:val="fr-FR"/>
        </w:rPr>
        <w:t xml:space="preserve"> la </w:t>
      </w:r>
      <w:r w:rsidR="00607B78" w:rsidRPr="009C2953">
        <w:rPr>
          <w:lang w:val="fr-FR"/>
        </w:rPr>
        <w:t>Plénière avait décidé que, nonobstant l</w:t>
      </w:r>
      <w:r w:rsidR="00EA2966" w:rsidRPr="009C2953">
        <w:rPr>
          <w:lang w:val="fr-FR"/>
        </w:rPr>
        <w:t>’</w:t>
      </w:r>
      <w:r w:rsidR="00607B78" w:rsidRPr="009C2953">
        <w:rPr>
          <w:lang w:val="fr-FR"/>
        </w:rPr>
        <w:t>article 15 du Règlement intérieur,</w:t>
      </w:r>
      <w:r w:rsidR="00F34644" w:rsidRPr="009C2953">
        <w:rPr>
          <w:lang w:val="fr-FR"/>
        </w:rPr>
        <w:t xml:space="preserve"> le </w:t>
      </w:r>
      <w:r w:rsidR="00607B78" w:rsidRPr="009C2953">
        <w:rPr>
          <w:lang w:val="fr-FR"/>
        </w:rPr>
        <w:t>mandat</w:t>
      </w:r>
      <w:r w:rsidR="00D24DC1" w:rsidRPr="009C2953">
        <w:rPr>
          <w:lang w:val="fr-FR"/>
        </w:rPr>
        <w:t xml:space="preserve"> des </w:t>
      </w:r>
      <w:r w:rsidR="00607B78" w:rsidRPr="009C2953">
        <w:rPr>
          <w:lang w:val="fr-FR"/>
        </w:rPr>
        <w:t xml:space="preserve">membres </w:t>
      </w:r>
      <w:r w:rsidR="0026055B" w:rsidRPr="009C2953">
        <w:rPr>
          <w:lang w:val="fr-FR"/>
        </w:rPr>
        <w:t xml:space="preserve">actuels </w:t>
      </w:r>
      <w:r w:rsidR="00607B78" w:rsidRPr="009C2953">
        <w:rPr>
          <w:lang w:val="fr-FR"/>
        </w:rPr>
        <w:t>du Bureau serait prolongé jusqu</w:t>
      </w:r>
      <w:r w:rsidR="00EA2966" w:rsidRPr="009C2953">
        <w:rPr>
          <w:lang w:val="fr-FR"/>
        </w:rPr>
        <w:t>’</w:t>
      </w:r>
      <w:r w:rsidR="00607B78" w:rsidRPr="009C2953">
        <w:rPr>
          <w:lang w:val="fr-FR"/>
        </w:rPr>
        <w:t>à</w:t>
      </w:r>
      <w:r w:rsidR="00F34644" w:rsidRPr="009C2953">
        <w:rPr>
          <w:lang w:val="fr-FR"/>
        </w:rPr>
        <w:t xml:space="preserve"> la </w:t>
      </w:r>
      <w:r w:rsidR="00607B78" w:rsidRPr="009C2953">
        <w:rPr>
          <w:lang w:val="fr-FR"/>
        </w:rPr>
        <w:t>clôture de</w:t>
      </w:r>
      <w:r w:rsidR="00F34644" w:rsidRPr="009C2953">
        <w:rPr>
          <w:lang w:val="fr-FR"/>
        </w:rPr>
        <w:t xml:space="preserve"> sa </w:t>
      </w:r>
      <w:r w:rsidR="00607B78" w:rsidRPr="009C2953">
        <w:rPr>
          <w:lang w:val="fr-FR"/>
        </w:rPr>
        <w:t>dixième session, au</w:t>
      </w:r>
      <w:r w:rsidR="0066572F" w:rsidRPr="009C2953">
        <w:rPr>
          <w:lang w:val="fr-FR"/>
        </w:rPr>
        <w:t> </w:t>
      </w:r>
      <w:r w:rsidR="00607B78" w:rsidRPr="009C2953">
        <w:rPr>
          <w:lang w:val="fr-FR"/>
        </w:rPr>
        <w:t>cours de laquelle</w:t>
      </w:r>
      <w:r w:rsidR="00107282" w:rsidRPr="009C2953">
        <w:rPr>
          <w:lang w:val="fr-FR"/>
        </w:rPr>
        <w:t xml:space="preserve"> leurs </w:t>
      </w:r>
      <w:r w:rsidR="00607B78" w:rsidRPr="009C2953">
        <w:rPr>
          <w:lang w:val="fr-FR"/>
        </w:rPr>
        <w:t>successeur(e)s seraient élu(e)s.</w:t>
      </w:r>
    </w:p>
    <w:p w14:paraId="039D7271" w14:textId="6DDE7D60" w:rsidR="00607B78" w:rsidRPr="009C2953" w:rsidRDefault="00607B78" w:rsidP="008731A8">
      <w:pPr>
        <w:pStyle w:val="Normalnumber"/>
        <w:numPr>
          <w:ilvl w:val="0"/>
          <w:numId w:val="2"/>
        </w:numPr>
        <w:rPr>
          <w:lang w:val="fr-FR"/>
        </w:rPr>
      </w:pPr>
      <w:r w:rsidRPr="009C2953">
        <w:rPr>
          <w:lang w:val="fr-FR"/>
        </w:rPr>
        <w:t>La Présidente a également rappelé que, conformément à l</w:t>
      </w:r>
      <w:r w:rsidR="00EA2966" w:rsidRPr="009C2953">
        <w:rPr>
          <w:lang w:val="fr-FR"/>
        </w:rPr>
        <w:t>’</w:t>
      </w:r>
      <w:r w:rsidRPr="009C2953">
        <w:rPr>
          <w:lang w:val="fr-FR"/>
        </w:rPr>
        <w:t>article 22 du Règlement intérieur,</w:t>
      </w:r>
      <w:r w:rsidR="00F34644" w:rsidRPr="009C2953">
        <w:rPr>
          <w:lang w:val="fr-FR"/>
        </w:rPr>
        <w:t xml:space="preserve"> le </w:t>
      </w:r>
      <w:r w:rsidRPr="009C2953">
        <w:rPr>
          <w:lang w:val="fr-FR"/>
        </w:rPr>
        <w:t>secrétariat avait invité</w:t>
      </w:r>
      <w:r w:rsidR="00F34644" w:rsidRPr="009C2953">
        <w:rPr>
          <w:lang w:val="fr-FR"/>
        </w:rPr>
        <w:t xml:space="preserve"> les </w:t>
      </w:r>
      <w:r w:rsidRPr="009C2953">
        <w:rPr>
          <w:lang w:val="fr-FR"/>
        </w:rPr>
        <w:t>membres de l</w:t>
      </w:r>
      <w:r w:rsidR="00EA2966" w:rsidRPr="009C2953">
        <w:rPr>
          <w:lang w:val="fr-FR"/>
        </w:rPr>
        <w:t>’</w:t>
      </w:r>
      <w:r w:rsidR="0026055B" w:rsidRPr="009C2953">
        <w:rPr>
          <w:lang w:val="fr-FR"/>
        </w:rPr>
        <w:t xml:space="preserve">IPBES </w:t>
      </w:r>
      <w:r w:rsidRPr="009C2953">
        <w:rPr>
          <w:lang w:val="fr-FR"/>
        </w:rPr>
        <w:t>à lui présenter</w:t>
      </w:r>
      <w:r w:rsidR="00D24DC1" w:rsidRPr="009C2953">
        <w:rPr>
          <w:lang w:val="fr-FR"/>
        </w:rPr>
        <w:t xml:space="preserve"> des </w:t>
      </w:r>
      <w:r w:rsidRPr="009C2953">
        <w:rPr>
          <w:lang w:val="fr-FR"/>
        </w:rPr>
        <w:t>candidatures par écrit accompagnées</w:t>
      </w:r>
      <w:r w:rsidR="00D24DC1" w:rsidRPr="009C2953">
        <w:rPr>
          <w:lang w:val="fr-FR"/>
        </w:rPr>
        <w:t xml:space="preserve"> des </w:t>
      </w:r>
      <w:r w:rsidRPr="009C2953">
        <w:rPr>
          <w:lang w:val="fr-FR"/>
        </w:rPr>
        <w:t>curriculums vitæ</w:t>
      </w:r>
      <w:r w:rsidR="00D24DC1" w:rsidRPr="009C2953">
        <w:rPr>
          <w:lang w:val="fr-FR"/>
        </w:rPr>
        <w:t xml:space="preserve"> des </w:t>
      </w:r>
      <w:r w:rsidRPr="009C2953">
        <w:rPr>
          <w:lang w:val="fr-FR"/>
        </w:rPr>
        <w:t>candidat(e)s à l</w:t>
      </w:r>
      <w:r w:rsidR="00EA2966" w:rsidRPr="009C2953">
        <w:rPr>
          <w:lang w:val="fr-FR"/>
        </w:rPr>
        <w:t>’</w:t>
      </w:r>
      <w:r w:rsidRPr="009C2953">
        <w:rPr>
          <w:lang w:val="fr-FR"/>
        </w:rPr>
        <w:t>élection au Bureau avant</w:t>
      </w:r>
      <w:r w:rsidR="00F34644" w:rsidRPr="009C2953">
        <w:rPr>
          <w:lang w:val="fr-FR"/>
        </w:rPr>
        <w:t xml:space="preserve"> le </w:t>
      </w:r>
      <w:r w:rsidRPr="009C2953">
        <w:rPr>
          <w:lang w:val="fr-FR"/>
        </w:rPr>
        <w:t>28 avril 2023.</w:t>
      </w:r>
      <w:r w:rsidR="00F34644" w:rsidRPr="009C2953">
        <w:rPr>
          <w:lang w:val="fr-FR"/>
        </w:rPr>
        <w:t xml:space="preserve"> La </w:t>
      </w:r>
      <w:r w:rsidRPr="009C2953">
        <w:rPr>
          <w:lang w:val="fr-FR"/>
        </w:rPr>
        <w:t>liste</w:t>
      </w:r>
      <w:r w:rsidR="00D24DC1" w:rsidRPr="009C2953">
        <w:rPr>
          <w:lang w:val="fr-FR"/>
        </w:rPr>
        <w:t xml:space="preserve"> des </w:t>
      </w:r>
      <w:r w:rsidRPr="009C2953">
        <w:rPr>
          <w:lang w:val="fr-FR"/>
        </w:rPr>
        <w:t>candidat(e)s figurait dans</w:t>
      </w:r>
      <w:r w:rsidR="00F34644" w:rsidRPr="009C2953">
        <w:rPr>
          <w:lang w:val="fr-FR"/>
        </w:rPr>
        <w:t xml:space="preserve"> le </w:t>
      </w:r>
      <w:r w:rsidRPr="009C2953">
        <w:rPr>
          <w:lang w:val="fr-FR"/>
        </w:rPr>
        <w:t>document IPBES/10/INF/2/Rev.1.</w:t>
      </w:r>
      <w:r w:rsidR="00F34644" w:rsidRPr="009C2953">
        <w:rPr>
          <w:lang w:val="fr-FR"/>
        </w:rPr>
        <w:t xml:space="preserve"> Une </w:t>
      </w:r>
      <w:r w:rsidRPr="009C2953">
        <w:rPr>
          <w:lang w:val="fr-FR"/>
        </w:rPr>
        <w:t>note du secrétariat sur</w:t>
      </w:r>
      <w:r w:rsidR="0066572F" w:rsidRPr="009C2953">
        <w:rPr>
          <w:lang w:val="fr-FR"/>
        </w:rPr>
        <w:t> </w:t>
      </w:r>
      <w:r w:rsidRPr="009C2953">
        <w:rPr>
          <w:lang w:val="fr-FR"/>
        </w:rPr>
        <w:t>l</w:t>
      </w:r>
      <w:r w:rsidR="00EA2966" w:rsidRPr="009C2953">
        <w:rPr>
          <w:lang w:val="fr-FR"/>
        </w:rPr>
        <w:t>’</w:t>
      </w:r>
      <w:r w:rsidRPr="009C2953">
        <w:rPr>
          <w:lang w:val="fr-FR"/>
        </w:rPr>
        <w:t>élection</w:t>
      </w:r>
      <w:r w:rsidR="00D24DC1" w:rsidRPr="009C2953">
        <w:rPr>
          <w:lang w:val="fr-FR"/>
        </w:rPr>
        <w:t xml:space="preserve"> des </w:t>
      </w:r>
      <w:r w:rsidRPr="009C2953">
        <w:rPr>
          <w:lang w:val="fr-FR"/>
        </w:rPr>
        <w:t>membres du Bureau (IPBES/10/2) et</w:t>
      </w:r>
      <w:r w:rsidR="00F34644" w:rsidRPr="009C2953">
        <w:rPr>
          <w:lang w:val="fr-FR"/>
        </w:rPr>
        <w:t xml:space="preserve"> un </w:t>
      </w:r>
      <w:r w:rsidRPr="009C2953">
        <w:rPr>
          <w:lang w:val="fr-FR"/>
        </w:rPr>
        <w:t>document d</w:t>
      </w:r>
      <w:r w:rsidR="00EA2966" w:rsidRPr="009C2953">
        <w:rPr>
          <w:lang w:val="fr-FR"/>
        </w:rPr>
        <w:t>’</w:t>
      </w:r>
      <w:r w:rsidRPr="009C2953">
        <w:rPr>
          <w:lang w:val="fr-FR"/>
        </w:rPr>
        <w:t>information sur</w:t>
      </w:r>
      <w:r w:rsidR="00F34644" w:rsidRPr="009C2953">
        <w:rPr>
          <w:lang w:val="fr-FR"/>
        </w:rPr>
        <w:t xml:space="preserve"> les </w:t>
      </w:r>
      <w:r w:rsidRPr="009C2953">
        <w:rPr>
          <w:lang w:val="fr-FR"/>
        </w:rPr>
        <w:t>procédures d</w:t>
      </w:r>
      <w:r w:rsidR="00EA2966" w:rsidRPr="009C2953">
        <w:rPr>
          <w:lang w:val="fr-FR"/>
        </w:rPr>
        <w:t>’</w:t>
      </w:r>
      <w:r w:rsidRPr="009C2953">
        <w:rPr>
          <w:lang w:val="fr-FR"/>
        </w:rPr>
        <w:t xml:space="preserve">élection (IPBES/10/INF/22) fournissaient de plus amples informations. </w:t>
      </w:r>
      <w:proofErr w:type="spellStart"/>
      <w:r w:rsidRPr="009C2953">
        <w:rPr>
          <w:lang w:val="fr-FR"/>
        </w:rPr>
        <w:t>Tou</w:t>
      </w:r>
      <w:proofErr w:type="spellEnd"/>
      <w:r w:rsidRPr="009C2953">
        <w:rPr>
          <w:lang w:val="fr-FR"/>
        </w:rPr>
        <w:t>(te)s</w:t>
      </w:r>
      <w:r w:rsidR="00F34644" w:rsidRPr="009C2953">
        <w:rPr>
          <w:lang w:val="fr-FR"/>
        </w:rPr>
        <w:t xml:space="preserve"> les </w:t>
      </w:r>
      <w:r w:rsidRPr="009C2953">
        <w:rPr>
          <w:lang w:val="fr-FR"/>
        </w:rPr>
        <w:t>candidat(e)s, à</w:t>
      </w:r>
      <w:r w:rsidR="007339F6" w:rsidRPr="009C2953">
        <w:rPr>
          <w:lang w:val="fr-FR"/>
        </w:rPr>
        <w:t> </w:t>
      </w:r>
      <w:r w:rsidR="00F34644" w:rsidRPr="009C2953">
        <w:rPr>
          <w:lang w:val="fr-FR"/>
        </w:rPr>
        <w:t>une </w:t>
      </w:r>
      <w:r w:rsidRPr="009C2953">
        <w:rPr>
          <w:lang w:val="fr-FR"/>
        </w:rPr>
        <w:t>exception près, avaient soumis</w:t>
      </w:r>
      <w:r w:rsidR="00D24DC1" w:rsidRPr="009C2953">
        <w:rPr>
          <w:lang w:val="fr-FR"/>
        </w:rPr>
        <w:t xml:space="preserve"> des </w:t>
      </w:r>
      <w:r w:rsidRPr="009C2953">
        <w:rPr>
          <w:lang w:val="fr-FR"/>
        </w:rPr>
        <w:t>formulaires de déclaration de conflit d</w:t>
      </w:r>
      <w:r w:rsidR="00EA2966" w:rsidRPr="009C2953">
        <w:rPr>
          <w:lang w:val="fr-FR"/>
        </w:rPr>
        <w:t>’</w:t>
      </w:r>
      <w:r w:rsidRPr="009C2953">
        <w:rPr>
          <w:lang w:val="fr-FR"/>
        </w:rPr>
        <w:t>intérêts conformément au paragraphe 1 de l</w:t>
      </w:r>
      <w:r w:rsidR="00EA2966" w:rsidRPr="009C2953">
        <w:rPr>
          <w:lang w:val="fr-FR"/>
        </w:rPr>
        <w:t>’</w:t>
      </w:r>
      <w:r w:rsidRPr="009C2953">
        <w:rPr>
          <w:lang w:val="fr-FR"/>
        </w:rPr>
        <w:t>article 3</w:t>
      </w:r>
      <w:r w:rsidR="00D24DC1" w:rsidRPr="009C2953">
        <w:rPr>
          <w:lang w:val="fr-FR"/>
        </w:rPr>
        <w:t xml:space="preserve"> des </w:t>
      </w:r>
      <w:r w:rsidRPr="009C2953">
        <w:rPr>
          <w:lang w:val="fr-FR"/>
        </w:rPr>
        <w:t>procédures d</w:t>
      </w:r>
      <w:r w:rsidR="00EA2966" w:rsidRPr="009C2953">
        <w:rPr>
          <w:lang w:val="fr-FR"/>
        </w:rPr>
        <w:t>’</w:t>
      </w:r>
      <w:r w:rsidRPr="009C2953">
        <w:rPr>
          <w:lang w:val="fr-FR"/>
        </w:rPr>
        <w:t>application de</w:t>
      </w:r>
      <w:r w:rsidR="00F34644" w:rsidRPr="009C2953">
        <w:rPr>
          <w:lang w:val="fr-FR"/>
        </w:rPr>
        <w:t xml:space="preserve"> la </w:t>
      </w:r>
      <w:r w:rsidRPr="009C2953">
        <w:rPr>
          <w:lang w:val="fr-FR"/>
        </w:rPr>
        <w:t>politique en matière de conflits d</w:t>
      </w:r>
      <w:r w:rsidR="00EA2966" w:rsidRPr="009C2953">
        <w:rPr>
          <w:lang w:val="fr-FR"/>
        </w:rPr>
        <w:t>’</w:t>
      </w:r>
      <w:r w:rsidRPr="009C2953">
        <w:rPr>
          <w:lang w:val="fr-FR"/>
        </w:rPr>
        <w:t>intérêts figurant dans l</w:t>
      </w:r>
      <w:r w:rsidR="00EA2966" w:rsidRPr="009C2953">
        <w:rPr>
          <w:lang w:val="fr-FR"/>
        </w:rPr>
        <w:t>’</w:t>
      </w:r>
      <w:r w:rsidRPr="009C2953">
        <w:rPr>
          <w:lang w:val="fr-FR"/>
        </w:rPr>
        <w:t>annexe II à</w:t>
      </w:r>
      <w:r w:rsidR="00F34644" w:rsidRPr="009C2953">
        <w:rPr>
          <w:lang w:val="fr-FR"/>
        </w:rPr>
        <w:t xml:space="preserve"> la </w:t>
      </w:r>
      <w:r w:rsidRPr="009C2953">
        <w:rPr>
          <w:lang w:val="fr-FR"/>
        </w:rPr>
        <w:t>décision IPBES-3/3.</w:t>
      </w:r>
      <w:r w:rsidR="00F34644" w:rsidRPr="009C2953">
        <w:rPr>
          <w:lang w:val="fr-FR"/>
        </w:rPr>
        <w:t xml:space="preserve"> Le </w:t>
      </w:r>
      <w:r w:rsidRPr="009C2953">
        <w:rPr>
          <w:lang w:val="fr-FR"/>
        </w:rPr>
        <w:t>Comité sur</w:t>
      </w:r>
      <w:r w:rsidR="00F34644" w:rsidRPr="009C2953">
        <w:rPr>
          <w:lang w:val="fr-FR"/>
        </w:rPr>
        <w:t xml:space="preserve"> les </w:t>
      </w:r>
      <w:r w:rsidRPr="009C2953">
        <w:rPr>
          <w:lang w:val="fr-FR"/>
        </w:rPr>
        <w:t>conflits d</w:t>
      </w:r>
      <w:r w:rsidR="00EA2966" w:rsidRPr="009C2953">
        <w:rPr>
          <w:lang w:val="fr-FR"/>
        </w:rPr>
        <w:t>’</w:t>
      </w:r>
      <w:r w:rsidRPr="009C2953">
        <w:rPr>
          <w:lang w:val="fr-FR"/>
        </w:rPr>
        <w:t>intérêts, après</w:t>
      </w:r>
      <w:r w:rsidR="0066572F" w:rsidRPr="009C2953">
        <w:rPr>
          <w:lang w:val="fr-FR"/>
        </w:rPr>
        <w:t> </w:t>
      </w:r>
      <w:r w:rsidRPr="009C2953">
        <w:rPr>
          <w:lang w:val="fr-FR"/>
        </w:rPr>
        <w:t>examen, avait confirmé l</w:t>
      </w:r>
      <w:r w:rsidR="00EA2966" w:rsidRPr="009C2953">
        <w:rPr>
          <w:lang w:val="fr-FR"/>
        </w:rPr>
        <w:t>’</w:t>
      </w:r>
      <w:r w:rsidRPr="009C2953">
        <w:rPr>
          <w:lang w:val="fr-FR"/>
        </w:rPr>
        <w:t>absence de conflits d</w:t>
      </w:r>
      <w:r w:rsidR="00EA2966" w:rsidRPr="009C2953">
        <w:rPr>
          <w:lang w:val="fr-FR"/>
        </w:rPr>
        <w:t>’</w:t>
      </w:r>
      <w:r w:rsidRPr="009C2953">
        <w:rPr>
          <w:lang w:val="fr-FR"/>
        </w:rPr>
        <w:t>intérêts</w:t>
      </w:r>
      <w:r w:rsidR="00D24DC1" w:rsidRPr="009C2953">
        <w:rPr>
          <w:lang w:val="fr-FR"/>
        </w:rPr>
        <w:t xml:space="preserve"> des </w:t>
      </w:r>
      <w:r w:rsidRPr="009C2953">
        <w:rPr>
          <w:lang w:val="fr-FR"/>
        </w:rPr>
        <w:t>candidat(e)s qui avaient soumis</w:t>
      </w:r>
      <w:r w:rsidR="00F34644" w:rsidRPr="009C2953">
        <w:rPr>
          <w:lang w:val="fr-FR"/>
        </w:rPr>
        <w:t xml:space="preserve"> le </w:t>
      </w:r>
      <w:r w:rsidRPr="009C2953">
        <w:rPr>
          <w:lang w:val="fr-FR"/>
        </w:rPr>
        <w:t>formulaire requis.</w:t>
      </w:r>
    </w:p>
    <w:p w14:paraId="4A3BF84C" w14:textId="47D4B4FD" w:rsidR="00607B78" w:rsidRPr="009C2953" w:rsidRDefault="00607B78" w:rsidP="008731A8">
      <w:pPr>
        <w:pStyle w:val="Normalnumber"/>
        <w:numPr>
          <w:ilvl w:val="0"/>
          <w:numId w:val="2"/>
        </w:numPr>
        <w:rPr>
          <w:lang w:val="fr-FR"/>
        </w:rPr>
      </w:pPr>
      <w:r w:rsidRPr="009C2953">
        <w:rPr>
          <w:lang w:val="fr-FR"/>
        </w:rPr>
        <w:t>La Plénière a élu</w:t>
      </w:r>
      <w:r w:rsidR="00F34644" w:rsidRPr="009C2953">
        <w:rPr>
          <w:lang w:val="fr-FR"/>
        </w:rPr>
        <w:t xml:space="preserve"> les </w:t>
      </w:r>
      <w:r w:rsidRPr="009C2953">
        <w:rPr>
          <w:lang w:val="fr-FR"/>
        </w:rPr>
        <w:t>membres suivants </w:t>
      </w:r>
      <w:r w:rsidR="00EF11AD" w:rsidRPr="009C2953">
        <w:rPr>
          <w:lang w:val="fr-FR"/>
        </w:rPr>
        <w:t>du Bureau</w:t>
      </w:r>
      <w:r w:rsidR="0019614B" w:rsidRPr="009C2953">
        <w:rPr>
          <w:lang w:val="fr-FR"/>
        </w:rPr>
        <w:t> </w:t>
      </w:r>
      <w:r w:rsidRPr="009C2953">
        <w:rPr>
          <w:lang w:val="fr-FR"/>
        </w:rPr>
        <w:t>:</w:t>
      </w:r>
    </w:p>
    <w:p w14:paraId="79B162A0" w14:textId="4A2A3591" w:rsidR="00607B78" w:rsidRPr="009C2953" w:rsidRDefault="00607B78" w:rsidP="00607B78">
      <w:pPr>
        <w:pStyle w:val="NormalNonumber"/>
        <w:ind w:firstLine="624"/>
        <w:rPr>
          <w:iCs/>
        </w:rPr>
      </w:pPr>
      <w:r w:rsidRPr="009C2953">
        <w:rPr>
          <w:i/>
        </w:rPr>
        <w:t>États d</w:t>
      </w:r>
      <w:r w:rsidR="00EA2966" w:rsidRPr="009C2953">
        <w:rPr>
          <w:i/>
        </w:rPr>
        <w:t>’</w:t>
      </w:r>
      <w:r w:rsidRPr="009C2953">
        <w:rPr>
          <w:i/>
        </w:rPr>
        <w:t>Afrique :</w:t>
      </w:r>
    </w:p>
    <w:p w14:paraId="25217BAE" w14:textId="77777777" w:rsidR="00607B78" w:rsidRPr="009C2953" w:rsidRDefault="00607B78" w:rsidP="00607B78">
      <w:pPr>
        <w:pStyle w:val="NormalNonumber"/>
        <w:ind w:left="1871" w:firstLine="624"/>
      </w:pPr>
      <w:r w:rsidRPr="009C2953">
        <w:t xml:space="preserve">Président : M. David </w:t>
      </w:r>
      <w:proofErr w:type="spellStart"/>
      <w:r w:rsidRPr="009C2953">
        <w:t>Obura</w:t>
      </w:r>
      <w:proofErr w:type="spellEnd"/>
      <w:r w:rsidRPr="009C2953">
        <w:t xml:space="preserve"> (Kenya)</w:t>
      </w:r>
    </w:p>
    <w:p w14:paraId="109276E4" w14:textId="77777777" w:rsidR="00607B78" w:rsidRPr="009C2953" w:rsidRDefault="00607B78" w:rsidP="00607B78">
      <w:pPr>
        <w:pStyle w:val="NormalNonumber"/>
        <w:ind w:left="1871" w:firstLine="624"/>
      </w:pPr>
      <w:r w:rsidRPr="009C2953">
        <w:t>Membre du Bureau : M. </w:t>
      </w:r>
      <w:proofErr w:type="spellStart"/>
      <w:r w:rsidRPr="009C2953">
        <w:t>Sebsebe</w:t>
      </w:r>
      <w:proofErr w:type="spellEnd"/>
      <w:r w:rsidRPr="009C2953">
        <w:t xml:space="preserve"> </w:t>
      </w:r>
      <w:proofErr w:type="spellStart"/>
      <w:r w:rsidRPr="009C2953">
        <w:t>Demissew</w:t>
      </w:r>
      <w:proofErr w:type="spellEnd"/>
      <w:r w:rsidRPr="009C2953">
        <w:t xml:space="preserve"> (Éthiopie)</w:t>
      </w:r>
    </w:p>
    <w:p w14:paraId="5DE7B08A" w14:textId="6FF68F6F" w:rsidR="00607B78" w:rsidRPr="009C2953" w:rsidRDefault="00607B78" w:rsidP="000D47E2">
      <w:pPr>
        <w:pStyle w:val="NormalNonumber"/>
        <w:ind w:left="2608" w:hanging="113"/>
      </w:pPr>
      <w:r w:rsidRPr="009C2953">
        <w:t xml:space="preserve">Suppléantes : Mme Flora </w:t>
      </w:r>
      <w:proofErr w:type="spellStart"/>
      <w:r w:rsidRPr="009C2953">
        <w:t>Mohlago</w:t>
      </w:r>
      <w:proofErr w:type="spellEnd"/>
      <w:r w:rsidRPr="009C2953">
        <w:t xml:space="preserve"> </w:t>
      </w:r>
      <w:proofErr w:type="spellStart"/>
      <w:r w:rsidRPr="009C2953">
        <w:t>Mokgohloa</w:t>
      </w:r>
      <w:proofErr w:type="spellEnd"/>
      <w:r w:rsidRPr="009C2953">
        <w:t xml:space="preserve"> (Afrique du Sud), Mme Asia</w:t>
      </w:r>
      <w:r w:rsidR="000D47E2" w:rsidRPr="009C2953">
        <w:t> </w:t>
      </w:r>
      <w:r w:rsidRPr="009C2953">
        <w:t>Mohamed</w:t>
      </w:r>
      <w:r w:rsidR="0019614B" w:rsidRPr="009C2953">
        <w:t> </w:t>
      </w:r>
      <w:r w:rsidRPr="009C2953">
        <w:t>(Soudan)</w:t>
      </w:r>
    </w:p>
    <w:p w14:paraId="661F7115" w14:textId="77777777" w:rsidR="00214E0C" w:rsidRPr="009C2953" w:rsidRDefault="00214E0C" w:rsidP="00214E0C">
      <w:pPr>
        <w:pStyle w:val="NormalNonumber"/>
        <w:spacing w:before="240"/>
        <w:ind w:firstLine="624"/>
        <w:rPr>
          <w:i/>
          <w:iCs/>
        </w:rPr>
      </w:pPr>
      <w:r w:rsidRPr="009C2953">
        <w:rPr>
          <w:i/>
        </w:rPr>
        <w:lastRenderedPageBreak/>
        <w:t>États d’Amérique latine et des Caraïbes :</w:t>
      </w:r>
    </w:p>
    <w:p w14:paraId="5F42166F" w14:textId="77777777" w:rsidR="00214E0C" w:rsidRPr="009C2953" w:rsidRDefault="00214E0C" w:rsidP="00214E0C">
      <w:pPr>
        <w:pStyle w:val="NormalNonumber"/>
        <w:ind w:left="1871" w:firstLine="624"/>
      </w:pPr>
      <w:r w:rsidRPr="009C2953">
        <w:t>Vice-président : M. Floyd Homer (Trinité-et-Tobago)</w:t>
      </w:r>
    </w:p>
    <w:p w14:paraId="05637812" w14:textId="77777777" w:rsidR="00214E0C" w:rsidRPr="009C2953" w:rsidRDefault="00214E0C" w:rsidP="00214E0C">
      <w:pPr>
        <w:pStyle w:val="NormalNonumber"/>
        <w:ind w:left="1871" w:firstLine="624"/>
      </w:pPr>
      <w:r w:rsidRPr="009C2953">
        <w:t>Membre du Bureau : M. Bernal Herrera (Costa Rica)</w:t>
      </w:r>
    </w:p>
    <w:p w14:paraId="1C6C8250" w14:textId="07C79C4F" w:rsidR="00607B78" w:rsidRPr="009C2953" w:rsidRDefault="00607B78" w:rsidP="00607B78">
      <w:pPr>
        <w:pStyle w:val="NormalNonumber"/>
        <w:spacing w:before="240"/>
        <w:ind w:firstLine="624"/>
        <w:rPr>
          <w:i/>
          <w:iCs/>
        </w:rPr>
      </w:pPr>
      <w:r w:rsidRPr="009C2953">
        <w:rPr>
          <w:i/>
        </w:rPr>
        <w:t>États d</w:t>
      </w:r>
      <w:r w:rsidR="00EA2966" w:rsidRPr="009C2953">
        <w:rPr>
          <w:i/>
        </w:rPr>
        <w:t>’</w:t>
      </w:r>
      <w:r w:rsidRPr="009C2953">
        <w:rPr>
          <w:i/>
        </w:rPr>
        <w:t>Asie et du Pacifique :</w:t>
      </w:r>
    </w:p>
    <w:p w14:paraId="09D00B49" w14:textId="77777777" w:rsidR="00607B78" w:rsidRPr="009C2953" w:rsidRDefault="00607B78" w:rsidP="00607B78">
      <w:pPr>
        <w:pStyle w:val="NormalNonumber"/>
        <w:ind w:left="1871" w:firstLine="624"/>
      </w:pPr>
      <w:r w:rsidRPr="009C2953">
        <w:t>Vice-président : M. </w:t>
      </w:r>
      <w:proofErr w:type="spellStart"/>
      <w:r w:rsidRPr="009C2953">
        <w:t>Bishwa</w:t>
      </w:r>
      <w:proofErr w:type="spellEnd"/>
      <w:r w:rsidRPr="009C2953">
        <w:t xml:space="preserve"> Nath Oli (Népal)</w:t>
      </w:r>
    </w:p>
    <w:p w14:paraId="0D4DA94B" w14:textId="77777777" w:rsidR="00607B78" w:rsidRPr="009C2953" w:rsidRDefault="00607B78" w:rsidP="00607B78">
      <w:pPr>
        <w:pStyle w:val="NormalNonumber"/>
        <w:ind w:left="1871" w:firstLine="624"/>
      </w:pPr>
      <w:r w:rsidRPr="009C2953">
        <w:t>Membre du Bureau : M. </w:t>
      </w:r>
      <w:proofErr w:type="spellStart"/>
      <w:r w:rsidRPr="009C2953">
        <w:t>Yongyut</w:t>
      </w:r>
      <w:proofErr w:type="spellEnd"/>
      <w:r w:rsidRPr="009C2953">
        <w:t xml:space="preserve"> </w:t>
      </w:r>
      <w:proofErr w:type="spellStart"/>
      <w:r w:rsidRPr="009C2953">
        <w:t>Trisurat</w:t>
      </w:r>
      <w:proofErr w:type="spellEnd"/>
      <w:r w:rsidRPr="009C2953">
        <w:t xml:space="preserve"> (Thaïlande)</w:t>
      </w:r>
    </w:p>
    <w:p w14:paraId="77645771" w14:textId="77777777" w:rsidR="00607B78" w:rsidRPr="009C2953" w:rsidRDefault="00607B78" w:rsidP="00607B78">
      <w:pPr>
        <w:pStyle w:val="NormalNonumber"/>
        <w:ind w:left="1871" w:firstLine="624"/>
      </w:pPr>
      <w:r w:rsidRPr="009C2953">
        <w:t>Suppléants : M. </w:t>
      </w:r>
      <w:proofErr w:type="spellStart"/>
      <w:r w:rsidRPr="009C2953">
        <w:t>Chirra</w:t>
      </w:r>
      <w:proofErr w:type="spellEnd"/>
      <w:r w:rsidRPr="009C2953">
        <w:t xml:space="preserve"> </w:t>
      </w:r>
      <w:proofErr w:type="spellStart"/>
      <w:r w:rsidRPr="009C2953">
        <w:t>Achalender</w:t>
      </w:r>
      <w:proofErr w:type="spellEnd"/>
      <w:r w:rsidRPr="009C2953">
        <w:t xml:space="preserve"> Reddy (Inde), Mme </w:t>
      </w:r>
      <w:proofErr w:type="spellStart"/>
      <w:r w:rsidRPr="009C2953">
        <w:t>Sevvandi</w:t>
      </w:r>
      <w:proofErr w:type="spellEnd"/>
      <w:r w:rsidRPr="009C2953">
        <w:t xml:space="preserve"> </w:t>
      </w:r>
      <w:proofErr w:type="spellStart"/>
      <w:r w:rsidRPr="009C2953">
        <w:t>Jayakody</w:t>
      </w:r>
      <w:proofErr w:type="spellEnd"/>
      <w:r w:rsidRPr="009C2953">
        <w:t xml:space="preserve"> (Sri Lanka)</w:t>
      </w:r>
    </w:p>
    <w:p w14:paraId="0C372B48" w14:textId="609F7903" w:rsidR="00607B78" w:rsidRPr="009C2953" w:rsidRDefault="00607B78" w:rsidP="00607B78">
      <w:pPr>
        <w:pStyle w:val="NormalNonumber"/>
        <w:spacing w:before="240"/>
        <w:ind w:firstLine="624"/>
        <w:rPr>
          <w:i/>
          <w:iCs/>
        </w:rPr>
      </w:pPr>
      <w:r w:rsidRPr="009C2953">
        <w:rPr>
          <w:i/>
        </w:rPr>
        <w:t>États d</w:t>
      </w:r>
      <w:r w:rsidR="00EA2966" w:rsidRPr="009C2953">
        <w:rPr>
          <w:i/>
        </w:rPr>
        <w:t>’</w:t>
      </w:r>
      <w:r w:rsidRPr="009C2953">
        <w:rPr>
          <w:i/>
        </w:rPr>
        <w:t>Europe occidentale et autres États</w:t>
      </w:r>
      <w:r w:rsidR="0019614B" w:rsidRPr="009C2953">
        <w:rPr>
          <w:i/>
        </w:rPr>
        <w:t> :</w:t>
      </w:r>
    </w:p>
    <w:p w14:paraId="3B8413DE" w14:textId="4D9242B0" w:rsidR="00607B78" w:rsidRPr="009C2953" w:rsidRDefault="00607B78" w:rsidP="00607B78">
      <w:pPr>
        <w:pStyle w:val="NormalNonumber"/>
        <w:ind w:left="1871" w:firstLine="624"/>
      </w:pPr>
      <w:r w:rsidRPr="009C2953">
        <w:t>Vice-président : M. Douglas Beard (États-Unis d</w:t>
      </w:r>
      <w:r w:rsidR="00EA2966" w:rsidRPr="009C2953">
        <w:t>’</w:t>
      </w:r>
      <w:r w:rsidRPr="009C2953">
        <w:t>Amérique)</w:t>
      </w:r>
    </w:p>
    <w:p w14:paraId="54FAF3A7" w14:textId="77777777" w:rsidR="00607B78" w:rsidRPr="009C2953" w:rsidRDefault="00607B78" w:rsidP="00607B78">
      <w:pPr>
        <w:pStyle w:val="NormalNonumber"/>
        <w:ind w:left="1871" w:firstLine="624"/>
      </w:pPr>
      <w:r w:rsidRPr="009C2953">
        <w:t xml:space="preserve">Membre du Bureau : Mme Eva </w:t>
      </w:r>
      <w:proofErr w:type="spellStart"/>
      <w:r w:rsidRPr="009C2953">
        <w:t>Primmer</w:t>
      </w:r>
      <w:proofErr w:type="spellEnd"/>
      <w:r w:rsidRPr="009C2953">
        <w:t xml:space="preserve"> (Finlande)</w:t>
      </w:r>
    </w:p>
    <w:p w14:paraId="4F7C0C17" w14:textId="23D8F656" w:rsidR="001B49A2" w:rsidRDefault="00607B78" w:rsidP="00FA7442">
      <w:pPr>
        <w:pStyle w:val="NormalNonumber"/>
        <w:ind w:left="1871" w:firstLine="624"/>
        <w:rPr>
          <w:i/>
        </w:rPr>
      </w:pPr>
      <w:r w:rsidRPr="009C2953">
        <w:t>Suppléants : Mme </w:t>
      </w:r>
      <w:proofErr w:type="spellStart"/>
      <w:r w:rsidRPr="009C2953">
        <w:t>Janina</w:t>
      </w:r>
      <w:proofErr w:type="spellEnd"/>
      <w:r w:rsidRPr="009C2953">
        <w:t xml:space="preserve"> Heim (Allemagne), M. Sebastian Koenig (Suisse)</w:t>
      </w:r>
      <w:r w:rsidR="00214E0C" w:rsidRPr="00214E0C">
        <w:rPr>
          <w:i/>
        </w:rPr>
        <w:t xml:space="preserve"> </w:t>
      </w:r>
    </w:p>
    <w:p w14:paraId="5A83F89F" w14:textId="56FFADF6" w:rsidR="00214E0C" w:rsidRPr="009C2953" w:rsidRDefault="00214E0C" w:rsidP="00AF15BA">
      <w:pPr>
        <w:pStyle w:val="NormalNonumber"/>
        <w:spacing w:before="240"/>
        <w:ind w:firstLine="624"/>
        <w:rPr>
          <w:i/>
          <w:iCs/>
        </w:rPr>
      </w:pPr>
      <w:r w:rsidRPr="009C2953">
        <w:rPr>
          <w:i/>
        </w:rPr>
        <w:t>États d’Europe orientale :</w:t>
      </w:r>
    </w:p>
    <w:p w14:paraId="13E5D617" w14:textId="77777777" w:rsidR="00214E0C" w:rsidRPr="009C2953" w:rsidRDefault="00214E0C" w:rsidP="00214E0C">
      <w:pPr>
        <w:pStyle w:val="NormalNonumber"/>
        <w:ind w:left="1871" w:firstLine="624"/>
      </w:pPr>
      <w:r w:rsidRPr="009C2953">
        <w:t xml:space="preserve">Vice-président : M. Hamid </w:t>
      </w:r>
      <w:proofErr w:type="spellStart"/>
      <w:r w:rsidRPr="009C2953">
        <w:t>Custovic</w:t>
      </w:r>
      <w:proofErr w:type="spellEnd"/>
      <w:r w:rsidRPr="009C2953">
        <w:t xml:space="preserve"> (Bosnie-Herzégovine)</w:t>
      </w:r>
    </w:p>
    <w:p w14:paraId="7352DA2A" w14:textId="77777777" w:rsidR="00214E0C" w:rsidRPr="009C2953" w:rsidRDefault="00214E0C" w:rsidP="00214E0C">
      <w:pPr>
        <w:pStyle w:val="NormalNonumber"/>
        <w:ind w:left="1871" w:firstLine="624"/>
      </w:pPr>
      <w:r w:rsidRPr="009C2953">
        <w:t xml:space="preserve">Membre du Bureau : M. Erik </w:t>
      </w:r>
      <w:proofErr w:type="spellStart"/>
      <w:r w:rsidRPr="009C2953">
        <w:t>Grigoryan</w:t>
      </w:r>
      <w:proofErr w:type="spellEnd"/>
      <w:r w:rsidRPr="009C2953">
        <w:t xml:space="preserve"> (Arménie)</w:t>
      </w:r>
    </w:p>
    <w:p w14:paraId="4C8864BC" w14:textId="77777777" w:rsidR="00214E0C" w:rsidRPr="009C2953" w:rsidRDefault="00214E0C" w:rsidP="00214E0C">
      <w:pPr>
        <w:pStyle w:val="NormalNonumber"/>
        <w:ind w:left="1871" w:firstLine="624"/>
      </w:pPr>
      <w:r w:rsidRPr="009C2953">
        <w:t>Suppléants : Mme </w:t>
      </w:r>
      <w:proofErr w:type="spellStart"/>
      <w:r w:rsidRPr="009C2953">
        <w:t>Eliška</w:t>
      </w:r>
      <w:proofErr w:type="spellEnd"/>
      <w:r w:rsidRPr="009C2953">
        <w:t xml:space="preserve"> </w:t>
      </w:r>
      <w:proofErr w:type="spellStart"/>
      <w:r w:rsidRPr="009C2953">
        <w:t>Rolfová</w:t>
      </w:r>
      <w:proofErr w:type="spellEnd"/>
      <w:r w:rsidRPr="009C2953">
        <w:t xml:space="preserve"> (Tchéquie), M. </w:t>
      </w:r>
      <w:proofErr w:type="spellStart"/>
      <w:r w:rsidRPr="009C2953">
        <w:t>Günay</w:t>
      </w:r>
      <w:proofErr w:type="spellEnd"/>
      <w:r w:rsidRPr="009C2953">
        <w:t xml:space="preserve"> </w:t>
      </w:r>
      <w:proofErr w:type="spellStart"/>
      <w:r w:rsidRPr="009C2953">
        <w:t>Erpul</w:t>
      </w:r>
      <w:proofErr w:type="spellEnd"/>
      <w:r w:rsidRPr="009C2953">
        <w:t xml:space="preserve"> (Türkiye)</w:t>
      </w:r>
    </w:p>
    <w:p w14:paraId="65C5B30A" w14:textId="5E87CEBA" w:rsidR="00607B78" w:rsidRPr="009C2953" w:rsidRDefault="00607B78" w:rsidP="008731A8">
      <w:pPr>
        <w:pStyle w:val="Normalnumber"/>
        <w:numPr>
          <w:ilvl w:val="0"/>
          <w:numId w:val="2"/>
        </w:numPr>
        <w:rPr>
          <w:lang w:val="fr-FR"/>
        </w:rPr>
      </w:pPr>
      <w:r w:rsidRPr="009C2953">
        <w:rPr>
          <w:lang w:val="fr-FR"/>
        </w:rPr>
        <w:t>Le nouveau Bureau est élu pour</w:t>
      </w:r>
      <w:r w:rsidR="00F34644" w:rsidRPr="009C2953">
        <w:rPr>
          <w:lang w:val="fr-FR"/>
        </w:rPr>
        <w:t xml:space="preserve"> un </w:t>
      </w:r>
      <w:r w:rsidRPr="009C2953">
        <w:rPr>
          <w:lang w:val="fr-FR"/>
        </w:rPr>
        <w:t xml:space="preserve">mandat de trois </w:t>
      </w:r>
      <w:r w:rsidR="00A5585F" w:rsidRPr="009C2953">
        <w:rPr>
          <w:lang w:val="fr-FR"/>
        </w:rPr>
        <w:t>période</w:t>
      </w:r>
      <w:r w:rsidR="00D07110" w:rsidRPr="009C2953">
        <w:rPr>
          <w:lang w:val="fr-FR"/>
        </w:rPr>
        <w:t>s</w:t>
      </w:r>
      <w:r w:rsidR="00A5585F" w:rsidRPr="009C2953">
        <w:rPr>
          <w:lang w:val="fr-FR"/>
        </w:rPr>
        <w:t xml:space="preserve"> intersessions </w:t>
      </w:r>
      <w:r w:rsidR="00F55D5B" w:rsidRPr="009C2953">
        <w:rPr>
          <w:lang w:val="fr-FR"/>
        </w:rPr>
        <w:t>à</w:t>
      </w:r>
      <w:r w:rsidRPr="009C2953">
        <w:rPr>
          <w:lang w:val="fr-FR"/>
        </w:rPr>
        <w:t xml:space="preserve"> compter de</w:t>
      </w:r>
      <w:r w:rsidR="00F34644" w:rsidRPr="009C2953">
        <w:rPr>
          <w:lang w:val="fr-FR"/>
        </w:rPr>
        <w:t xml:space="preserve"> la </w:t>
      </w:r>
      <w:r w:rsidRPr="009C2953">
        <w:rPr>
          <w:lang w:val="fr-FR"/>
        </w:rPr>
        <w:t>clôture de</w:t>
      </w:r>
      <w:r w:rsidR="00F34644" w:rsidRPr="009C2953">
        <w:rPr>
          <w:lang w:val="fr-FR"/>
        </w:rPr>
        <w:t xml:space="preserve"> la </w:t>
      </w:r>
      <w:r w:rsidRPr="009C2953">
        <w:rPr>
          <w:lang w:val="fr-FR"/>
        </w:rPr>
        <w:t>session en</w:t>
      </w:r>
      <w:r w:rsidR="0019614B" w:rsidRPr="009C2953">
        <w:rPr>
          <w:lang w:val="fr-FR"/>
        </w:rPr>
        <w:t> </w:t>
      </w:r>
      <w:r w:rsidRPr="009C2953">
        <w:rPr>
          <w:lang w:val="fr-FR"/>
        </w:rPr>
        <w:t>cours jusqu</w:t>
      </w:r>
      <w:r w:rsidR="00EA2966" w:rsidRPr="009C2953">
        <w:rPr>
          <w:lang w:val="fr-FR"/>
        </w:rPr>
        <w:t>’</w:t>
      </w:r>
      <w:r w:rsidRPr="009C2953">
        <w:rPr>
          <w:lang w:val="fr-FR"/>
        </w:rPr>
        <w:t>à l</w:t>
      </w:r>
      <w:r w:rsidR="00EA2966" w:rsidRPr="009C2953">
        <w:rPr>
          <w:lang w:val="fr-FR"/>
        </w:rPr>
        <w:t>’</w:t>
      </w:r>
      <w:r w:rsidRPr="009C2953">
        <w:rPr>
          <w:lang w:val="fr-FR"/>
        </w:rPr>
        <w:t>élection de</w:t>
      </w:r>
      <w:r w:rsidR="00107282" w:rsidRPr="009C2953">
        <w:rPr>
          <w:lang w:val="fr-FR"/>
        </w:rPr>
        <w:t xml:space="preserve"> leurs </w:t>
      </w:r>
      <w:r w:rsidRPr="009C2953">
        <w:rPr>
          <w:lang w:val="fr-FR"/>
        </w:rPr>
        <w:t>successeurs à</w:t>
      </w:r>
      <w:r w:rsidR="00F34644" w:rsidRPr="009C2953">
        <w:rPr>
          <w:lang w:val="fr-FR"/>
        </w:rPr>
        <w:t xml:space="preserve"> la </w:t>
      </w:r>
      <w:r w:rsidRPr="009C2953">
        <w:rPr>
          <w:lang w:val="fr-FR"/>
        </w:rPr>
        <w:t>treizième session de</w:t>
      </w:r>
      <w:r w:rsidR="00F34644" w:rsidRPr="009C2953">
        <w:rPr>
          <w:lang w:val="fr-FR"/>
        </w:rPr>
        <w:t xml:space="preserve"> la </w:t>
      </w:r>
      <w:r w:rsidRPr="009C2953">
        <w:rPr>
          <w:lang w:val="fr-FR"/>
        </w:rPr>
        <w:t>Plateforme.</w:t>
      </w:r>
    </w:p>
    <w:p w14:paraId="6C726EC8" w14:textId="195C2509" w:rsidR="00607B78" w:rsidRPr="009C2953" w:rsidRDefault="00607B78" w:rsidP="008731A8">
      <w:pPr>
        <w:pStyle w:val="Normalnumber"/>
        <w:numPr>
          <w:ilvl w:val="0"/>
          <w:numId w:val="2"/>
        </w:numPr>
        <w:rPr>
          <w:lang w:val="fr-FR"/>
        </w:rPr>
      </w:pPr>
      <w:r w:rsidRPr="009C2953">
        <w:rPr>
          <w:lang w:val="fr-FR"/>
        </w:rPr>
        <w:t>M. </w:t>
      </w:r>
      <w:proofErr w:type="spellStart"/>
      <w:r w:rsidRPr="009C2953">
        <w:rPr>
          <w:lang w:val="fr-FR"/>
        </w:rPr>
        <w:t>Obura</w:t>
      </w:r>
      <w:proofErr w:type="spellEnd"/>
      <w:r w:rsidRPr="009C2953">
        <w:rPr>
          <w:lang w:val="fr-FR"/>
        </w:rPr>
        <w:t xml:space="preserve"> a fait</w:t>
      </w:r>
      <w:r w:rsidR="00F34644" w:rsidRPr="009C2953">
        <w:rPr>
          <w:lang w:val="fr-FR"/>
        </w:rPr>
        <w:t xml:space="preserve"> une </w:t>
      </w:r>
      <w:r w:rsidRPr="009C2953">
        <w:rPr>
          <w:lang w:val="fr-FR"/>
        </w:rPr>
        <w:t>déclaration en tant que Président nouvellement élu.</w:t>
      </w:r>
    </w:p>
    <w:p w14:paraId="7D10DAED" w14:textId="193BB8C3" w:rsidR="00607B78" w:rsidRPr="009C2953" w:rsidRDefault="00607B78" w:rsidP="00607B78">
      <w:pPr>
        <w:pStyle w:val="CH1"/>
      </w:pPr>
      <w:r w:rsidRPr="009C2953">
        <w:tab/>
        <w:t>III.</w:t>
      </w:r>
      <w:r w:rsidRPr="009C2953">
        <w:tab/>
        <w:t>Admission d</w:t>
      </w:r>
      <w:r w:rsidR="00EA2966" w:rsidRPr="009C2953">
        <w:t>’</w:t>
      </w:r>
      <w:r w:rsidRPr="009C2953">
        <w:t>observateurs</w:t>
      </w:r>
    </w:p>
    <w:p w14:paraId="0AABA213" w14:textId="742C5D7C"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rappelé qu</w:t>
      </w:r>
      <w:r w:rsidR="00EA2966" w:rsidRPr="009C2953">
        <w:rPr>
          <w:lang w:val="fr-FR"/>
        </w:rPr>
        <w:t>’</w:t>
      </w:r>
      <w:r w:rsidRPr="009C2953">
        <w:rPr>
          <w:lang w:val="fr-FR"/>
        </w:rPr>
        <w:t>à</w:t>
      </w:r>
      <w:r w:rsidR="00F34644" w:rsidRPr="009C2953">
        <w:rPr>
          <w:lang w:val="fr-FR"/>
        </w:rPr>
        <w:t xml:space="preserve"> sa </w:t>
      </w:r>
      <w:r w:rsidRPr="009C2953">
        <w:rPr>
          <w:lang w:val="fr-FR"/>
        </w:rPr>
        <w:t>neuvième session,</w:t>
      </w:r>
      <w:r w:rsidR="00F34644" w:rsidRPr="009C2953">
        <w:rPr>
          <w:lang w:val="fr-FR"/>
        </w:rPr>
        <w:t xml:space="preserve"> la </w:t>
      </w:r>
      <w:r w:rsidRPr="009C2953">
        <w:rPr>
          <w:lang w:val="fr-FR"/>
        </w:rPr>
        <w:t>Plénière avait décidé</w:t>
      </w:r>
      <w:r w:rsidR="00781BA1" w:rsidRPr="009C2953">
        <w:rPr>
          <w:lang w:val="fr-FR"/>
        </w:rPr>
        <w:t> </w:t>
      </w:r>
      <w:r w:rsidRPr="009C2953">
        <w:rPr>
          <w:lang w:val="fr-FR"/>
        </w:rPr>
        <w:t>que</w:t>
      </w:r>
      <w:r w:rsidR="00F34644" w:rsidRPr="009C2953">
        <w:rPr>
          <w:lang w:val="fr-FR"/>
        </w:rPr>
        <w:t xml:space="preserve"> la </w:t>
      </w:r>
      <w:r w:rsidRPr="009C2953">
        <w:rPr>
          <w:lang w:val="fr-FR"/>
        </w:rPr>
        <w:t>procédure provisoire régissant l</w:t>
      </w:r>
      <w:r w:rsidR="00EA2966" w:rsidRPr="009C2953">
        <w:rPr>
          <w:lang w:val="fr-FR"/>
        </w:rPr>
        <w:t>’</w:t>
      </w:r>
      <w:r w:rsidRPr="009C2953">
        <w:rPr>
          <w:lang w:val="fr-FR"/>
        </w:rPr>
        <w:t>admission d</w:t>
      </w:r>
      <w:r w:rsidR="00EA2966" w:rsidRPr="009C2953">
        <w:rPr>
          <w:lang w:val="fr-FR"/>
        </w:rPr>
        <w:t>’</w:t>
      </w:r>
      <w:r w:rsidRPr="009C2953">
        <w:rPr>
          <w:lang w:val="fr-FR"/>
        </w:rPr>
        <w:t>observateurs à ses sessions, décrite au</w:t>
      </w:r>
      <w:r w:rsidR="00781BA1" w:rsidRPr="009C2953">
        <w:rPr>
          <w:lang w:val="fr-FR"/>
        </w:rPr>
        <w:t> </w:t>
      </w:r>
      <w:r w:rsidRPr="009C2953">
        <w:rPr>
          <w:lang w:val="fr-FR"/>
        </w:rPr>
        <w:t>paragraphe 22 du rapport sur</w:t>
      </w:r>
      <w:r w:rsidR="00F34644" w:rsidRPr="009C2953">
        <w:rPr>
          <w:lang w:val="fr-FR"/>
        </w:rPr>
        <w:t xml:space="preserve"> les </w:t>
      </w:r>
      <w:r w:rsidRPr="009C2953">
        <w:rPr>
          <w:lang w:val="fr-FR"/>
        </w:rPr>
        <w:t>travaux de</w:t>
      </w:r>
      <w:r w:rsidR="00F34644" w:rsidRPr="009C2953">
        <w:rPr>
          <w:lang w:val="fr-FR"/>
        </w:rPr>
        <w:t xml:space="preserve"> sa </w:t>
      </w:r>
      <w:r w:rsidRPr="009C2953">
        <w:rPr>
          <w:lang w:val="fr-FR"/>
        </w:rPr>
        <w:t>première session (IPBES/1/12) et qui avait été appliquée de</w:t>
      </w:r>
      <w:r w:rsidR="00F34644" w:rsidRPr="009C2953">
        <w:rPr>
          <w:lang w:val="fr-FR"/>
        </w:rPr>
        <w:t xml:space="preserve"> sa </w:t>
      </w:r>
      <w:r w:rsidRPr="009C2953">
        <w:rPr>
          <w:lang w:val="fr-FR"/>
        </w:rPr>
        <w:t>deuxième à</w:t>
      </w:r>
      <w:r w:rsidR="00F34644" w:rsidRPr="009C2953">
        <w:rPr>
          <w:lang w:val="fr-FR"/>
        </w:rPr>
        <w:t xml:space="preserve"> sa </w:t>
      </w:r>
      <w:r w:rsidR="0085273C" w:rsidRPr="009C2953">
        <w:rPr>
          <w:lang w:val="fr-FR"/>
        </w:rPr>
        <w:t>neuv</w:t>
      </w:r>
      <w:r w:rsidRPr="009C2953">
        <w:rPr>
          <w:lang w:val="fr-FR"/>
        </w:rPr>
        <w:t>ième session, serait appliquée à</w:t>
      </w:r>
      <w:r w:rsidR="00F34644" w:rsidRPr="009C2953">
        <w:rPr>
          <w:lang w:val="fr-FR"/>
        </w:rPr>
        <w:t xml:space="preserve"> sa </w:t>
      </w:r>
      <w:r w:rsidRPr="009C2953">
        <w:rPr>
          <w:lang w:val="fr-FR"/>
        </w:rPr>
        <w:t xml:space="preserve">dixième session. Conformément à cette procédure </w:t>
      </w:r>
      <w:r w:rsidR="001B7CDB" w:rsidRPr="009C2953">
        <w:rPr>
          <w:lang w:val="fr-FR"/>
        </w:rPr>
        <w:t>provisoire</w:t>
      </w:r>
      <w:r w:rsidRPr="009C2953">
        <w:rPr>
          <w:lang w:val="fr-FR"/>
        </w:rPr>
        <w:t>,</w:t>
      </w:r>
      <w:r w:rsidR="00F34644" w:rsidRPr="009C2953">
        <w:rPr>
          <w:lang w:val="fr-FR"/>
        </w:rPr>
        <w:t xml:space="preserve"> les </w:t>
      </w:r>
      <w:r w:rsidRPr="009C2953">
        <w:rPr>
          <w:lang w:val="fr-FR"/>
        </w:rPr>
        <w:t>observateurs admis</w:t>
      </w:r>
      <w:r w:rsidR="00F34644" w:rsidRPr="009C2953">
        <w:rPr>
          <w:lang w:val="fr-FR"/>
        </w:rPr>
        <w:t xml:space="preserve"> aux </w:t>
      </w:r>
      <w:r w:rsidRPr="009C2953">
        <w:rPr>
          <w:lang w:val="fr-FR"/>
        </w:rPr>
        <w:t>sessions précédentes de</w:t>
      </w:r>
      <w:r w:rsidR="00F34644" w:rsidRPr="009C2953">
        <w:rPr>
          <w:lang w:val="fr-FR"/>
        </w:rPr>
        <w:t xml:space="preserve"> la </w:t>
      </w:r>
      <w:r w:rsidRPr="009C2953">
        <w:rPr>
          <w:lang w:val="fr-FR"/>
        </w:rPr>
        <w:t>Plénière, dont</w:t>
      </w:r>
      <w:r w:rsidR="00F34644" w:rsidRPr="009C2953">
        <w:rPr>
          <w:lang w:val="fr-FR"/>
        </w:rPr>
        <w:t xml:space="preserve"> la </w:t>
      </w:r>
      <w:r w:rsidRPr="009C2953">
        <w:rPr>
          <w:lang w:val="fr-FR"/>
        </w:rPr>
        <w:t>liste figure dans</w:t>
      </w:r>
      <w:r w:rsidR="00F34644" w:rsidRPr="009C2953">
        <w:rPr>
          <w:lang w:val="fr-FR"/>
        </w:rPr>
        <w:t xml:space="preserve"> la </w:t>
      </w:r>
      <w:r w:rsidRPr="009C2953">
        <w:rPr>
          <w:lang w:val="fr-FR"/>
        </w:rPr>
        <w:t>partie I de l</w:t>
      </w:r>
      <w:r w:rsidR="00EA2966" w:rsidRPr="009C2953">
        <w:rPr>
          <w:lang w:val="fr-FR"/>
        </w:rPr>
        <w:t>’</w:t>
      </w:r>
      <w:r w:rsidRPr="009C2953">
        <w:rPr>
          <w:lang w:val="fr-FR"/>
        </w:rPr>
        <w:t>annexe du document IPBES/10/INF/3, figuraient parmi ceux</w:t>
      </w:r>
      <w:r w:rsidR="00781BA1" w:rsidRPr="009C2953">
        <w:rPr>
          <w:lang w:val="fr-FR"/>
        </w:rPr>
        <w:t> </w:t>
      </w:r>
      <w:r w:rsidRPr="009C2953">
        <w:rPr>
          <w:lang w:val="fr-FR"/>
        </w:rPr>
        <w:t>qui avaient été admis à</w:t>
      </w:r>
      <w:r w:rsidR="00F34644" w:rsidRPr="009C2953">
        <w:rPr>
          <w:lang w:val="fr-FR"/>
        </w:rPr>
        <w:t xml:space="preserve"> la </w:t>
      </w:r>
      <w:r w:rsidRPr="009C2953">
        <w:rPr>
          <w:lang w:val="fr-FR"/>
        </w:rPr>
        <w:t>session en cours.</w:t>
      </w:r>
      <w:r w:rsidR="00F34644" w:rsidRPr="009C2953">
        <w:rPr>
          <w:lang w:val="fr-FR"/>
        </w:rPr>
        <w:t xml:space="preserve"> La </w:t>
      </w:r>
      <w:r w:rsidRPr="009C2953">
        <w:rPr>
          <w:lang w:val="fr-FR"/>
        </w:rPr>
        <w:t>partie II de cette annexe contenait</w:t>
      </w:r>
      <w:r w:rsidR="00F34644" w:rsidRPr="009C2953">
        <w:rPr>
          <w:lang w:val="fr-FR"/>
        </w:rPr>
        <w:t xml:space="preserve"> une </w:t>
      </w:r>
      <w:r w:rsidRPr="009C2953">
        <w:rPr>
          <w:lang w:val="fr-FR"/>
        </w:rPr>
        <w:t>liste de</w:t>
      </w:r>
      <w:r w:rsidR="00167914" w:rsidRPr="009C2953">
        <w:rPr>
          <w:lang w:val="fr-FR"/>
        </w:rPr>
        <w:t> </w:t>
      </w:r>
      <w:r w:rsidRPr="009C2953">
        <w:rPr>
          <w:lang w:val="fr-FR"/>
        </w:rPr>
        <w:t>42 organisations dont</w:t>
      </w:r>
      <w:r w:rsidR="00F34644" w:rsidRPr="009C2953">
        <w:rPr>
          <w:lang w:val="fr-FR"/>
        </w:rPr>
        <w:t xml:space="preserve"> le </w:t>
      </w:r>
      <w:r w:rsidRPr="009C2953">
        <w:rPr>
          <w:lang w:val="fr-FR"/>
        </w:rPr>
        <w:t>Bureau avait recommandé l</w:t>
      </w:r>
      <w:r w:rsidR="00EA2966" w:rsidRPr="009C2953">
        <w:rPr>
          <w:lang w:val="fr-FR"/>
        </w:rPr>
        <w:t>’</w:t>
      </w:r>
      <w:r w:rsidRPr="009C2953">
        <w:rPr>
          <w:lang w:val="fr-FR"/>
        </w:rPr>
        <w:t>admission en tant que nouveaux observateurs à</w:t>
      </w:r>
      <w:r w:rsidR="00D30320" w:rsidRPr="009C2953">
        <w:rPr>
          <w:lang w:val="fr-FR"/>
        </w:rPr>
        <w:t> </w:t>
      </w:r>
      <w:r w:rsidR="00F34644" w:rsidRPr="009C2953">
        <w:rPr>
          <w:lang w:val="fr-FR"/>
        </w:rPr>
        <w:t>la </w:t>
      </w:r>
      <w:r w:rsidRPr="009C2953">
        <w:rPr>
          <w:lang w:val="fr-FR"/>
        </w:rPr>
        <w:t>session en cours de</w:t>
      </w:r>
      <w:r w:rsidR="00F34644" w:rsidRPr="009C2953">
        <w:rPr>
          <w:lang w:val="fr-FR"/>
        </w:rPr>
        <w:t xml:space="preserve"> la </w:t>
      </w:r>
      <w:r w:rsidRPr="009C2953">
        <w:rPr>
          <w:lang w:val="fr-FR"/>
        </w:rPr>
        <w:t>Plénière, tandis que</w:t>
      </w:r>
      <w:r w:rsidR="00F34644" w:rsidRPr="009C2953">
        <w:rPr>
          <w:lang w:val="fr-FR"/>
        </w:rPr>
        <w:t xml:space="preserve"> la </w:t>
      </w:r>
      <w:r w:rsidRPr="009C2953">
        <w:rPr>
          <w:lang w:val="fr-FR"/>
        </w:rPr>
        <w:t>partie III comportait</w:t>
      </w:r>
      <w:r w:rsidR="00F34644" w:rsidRPr="009C2953">
        <w:rPr>
          <w:lang w:val="fr-FR"/>
        </w:rPr>
        <w:t xml:space="preserve"> une </w:t>
      </w:r>
      <w:r w:rsidRPr="009C2953">
        <w:rPr>
          <w:lang w:val="fr-FR"/>
        </w:rPr>
        <w:t>liste de 21 candidatures qui n</w:t>
      </w:r>
      <w:r w:rsidR="00EA2966" w:rsidRPr="009C2953">
        <w:rPr>
          <w:lang w:val="fr-FR"/>
        </w:rPr>
        <w:t>’</w:t>
      </w:r>
      <w:r w:rsidRPr="009C2953">
        <w:rPr>
          <w:lang w:val="fr-FR"/>
        </w:rPr>
        <w:t>avaient pas bénéficié d</w:t>
      </w:r>
      <w:r w:rsidR="00EA2966" w:rsidRPr="009C2953">
        <w:rPr>
          <w:lang w:val="fr-FR"/>
        </w:rPr>
        <w:t>’</w:t>
      </w:r>
      <w:r w:rsidRPr="009C2953">
        <w:rPr>
          <w:lang w:val="fr-FR"/>
        </w:rPr>
        <w:t>une telle recommandation.</w:t>
      </w:r>
      <w:r w:rsidR="00F34644" w:rsidRPr="009C2953">
        <w:rPr>
          <w:lang w:val="fr-FR"/>
        </w:rPr>
        <w:t xml:space="preserve"> La </w:t>
      </w:r>
      <w:r w:rsidRPr="009C2953">
        <w:rPr>
          <w:lang w:val="fr-FR"/>
        </w:rPr>
        <w:t>Plénière avait décidé d</w:t>
      </w:r>
      <w:r w:rsidR="00EA2966" w:rsidRPr="009C2953">
        <w:rPr>
          <w:lang w:val="fr-FR"/>
        </w:rPr>
        <w:t>’</w:t>
      </w:r>
      <w:r w:rsidRPr="009C2953">
        <w:rPr>
          <w:lang w:val="fr-FR"/>
        </w:rPr>
        <w:t>accueillir</w:t>
      </w:r>
      <w:r w:rsidR="00F34644" w:rsidRPr="009C2953">
        <w:rPr>
          <w:lang w:val="fr-FR"/>
        </w:rPr>
        <w:t xml:space="preserve"> les </w:t>
      </w:r>
      <w:r w:rsidRPr="009C2953">
        <w:rPr>
          <w:lang w:val="fr-FR"/>
        </w:rPr>
        <w:t>nouveaux observateurs, comme recommandé par</w:t>
      </w:r>
      <w:r w:rsidR="00F34644" w:rsidRPr="009C2953">
        <w:rPr>
          <w:lang w:val="fr-FR"/>
        </w:rPr>
        <w:t xml:space="preserve"> le </w:t>
      </w:r>
      <w:r w:rsidRPr="009C2953">
        <w:rPr>
          <w:lang w:val="fr-FR"/>
        </w:rPr>
        <w:t>Bureau, à</w:t>
      </w:r>
      <w:r w:rsidR="00F34644" w:rsidRPr="009C2953">
        <w:rPr>
          <w:lang w:val="fr-FR"/>
        </w:rPr>
        <w:t xml:space="preserve"> sa </w:t>
      </w:r>
      <w:r w:rsidRPr="009C2953">
        <w:rPr>
          <w:lang w:val="fr-FR"/>
        </w:rPr>
        <w:t>dixième session.</w:t>
      </w:r>
    </w:p>
    <w:p w14:paraId="75755CA2" w14:textId="043F289E" w:rsidR="00607B78" w:rsidRPr="009C2953" w:rsidRDefault="00607B78" w:rsidP="008731A8">
      <w:pPr>
        <w:pStyle w:val="Normalnumber"/>
        <w:numPr>
          <w:ilvl w:val="0"/>
          <w:numId w:val="2"/>
        </w:numPr>
        <w:rPr>
          <w:lang w:val="fr-FR"/>
        </w:rPr>
      </w:pPr>
      <w:r w:rsidRPr="009C2953">
        <w:rPr>
          <w:lang w:val="fr-FR"/>
        </w:rPr>
        <w:t>La Présidente a également rappelé que, lors</w:t>
      </w:r>
      <w:r w:rsidR="00D24DC1" w:rsidRPr="009C2953">
        <w:rPr>
          <w:lang w:val="fr-FR"/>
        </w:rPr>
        <w:t xml:space="preserve"> des </w:t>
      </w:r>
      <w:r w:rsidRPr="009C2953">
        <w:rPr>
          <w:lang w:val="fr-FR"/>
        </w:rPr>
        <w:t>sessions précédentes de</w:t>
      </w:r>
      <w:r w:rsidR="00F34644" w:rsidRPr="009C2953">
        <w:rPr>
          <w:lang w:val="fr-FR"/>
        </w:rPr>
        <w:t xml:space="preserve"> la </w:t>
      </w:r>
      <w:r w:rsidRPr="009C2953">
        <w:rPr>
          <w:lang w:val="fr-FR"/>
        </w:rPr>
        <w:t>Plénière,</w:t>
      </w:r>
      <w:r w:rsidR="00D24DC1" w:rsidRPr="009C2953">
        <w:rPr>
          <w:lang w:val="fr-FR"/>
        </w:rPr>
        <w:t xml:space="preserve"> des </w:t>
      </w:r>
      <w:r w:rsidRPr="009C2953">
        <w:rPr>
          <w:lang w:val="fr-FR"/>
        </w:rPr>
        <w:t>opinions divergentes avaient été exprimées concernant</w:t>
      </w:r>
      <w:r w:rsidR="00F34644" w:rsidRPr="009C2953">
        <w:rPr>
          <w:lang w:val="fr-FR"/>
        </w:rPr>
        <w:t xml:space="preserve"> la </w:t>
      </w:r>
      <w:r w:rsidRPr="009C2953">
        <w:rPr>
          <w:lang w:val="fr-FR"/>
        </w:rPr>
        <w:t>procédure d</w:t>
      </w:r>
      <w:r w:rsidR="00EA2966" w:rsidRPr="009C2953">
        <w:rPr>
          <w:lang w:val="fr-FR"/>
        </w:rPr>
        <w:t>’</w:t>
      </w:r>
      <w:r w:rsidRPr="009C2953">
        <w:rPr>
          <w:lang w:val="fr-FR"/>
        </w:rPr>
        <w:t>admission</w:t>
      </w:r>
      <w:r w:rsidR="00D24DC1" w:rsidRPr="009C2953">
        <w:rPr>
          <w:lang w:val="fr-FR"/>
        </w:rPr>
        <w:t xml:space="preserve"> des </w:t>
      </w:r>
      <w:r w:rsidRPr="009C2953">
        <w:rPr>
          <w:lang w:val="fr-FR"/>
        </w:rPr>
        <w:t>observateurs, énoncée</w:t>
      </w:r>
      <w:r w:rsidR="00F34644" w:rsidRPr="009C2953">
        <w:rPr>
          <w:lang w:val="fr-FR"/>
        </w:rPr>
        <w:t xml:space="preserve"> aux </w:t>
      </w:r>
      <w:r w:rsidRPr="009C2953">
        <w:rPr>
          <w:lang w:val="fr-FR"/>
        </w:rPr>
        <w:t>paragraphes 14 à 17 du projet de politique et de procédures d</w:t>
      </w:r>
      <w:r w:rsidR="00EA2966" w:rsidRPr="009C2953">
        <w:rPr>
          <w:lang w:val="fr-FR"/>
        </w:rPr>
        <w:t>’</w:t>
      </w:r>
      <w:r w:rsidRPr="009C2953">
        <w:rPr>
          <w:lang w:val="fr-FR"/>
        </w:rPr>
        <w:t>admission</w:t>
      </w:r>
      <w:r w:rsidR="00D24DC1" w:rsidRPr="009C2953">
        <w:rPr>
          <w:lang w:val="fr-FR"/>
        </w:rPr>
        <w:t xml:space="preserve"> des </w:t>
      </w:r>
      <w:r w:rsidRPr="009C2953">
        <w:rPr>
          <w:lang w:val="fr-FR"/>
        </w:rPr>
        <w:t>observateurs figurant en annexe du document IPBES/10/3.</w:t>
      </w:r>
    </w:p>
    <w:p w14:paraId="326FB9B9" w14:textId="3C2B8B3D" w:rsidR="00607B78" w:rsidRPr="009C2953" w:rsidRDefault="00607B78" w:rsidP="008731A8">
      <w:pPr>
        <w:pStyle w:val="Normalnumber"/>
        <w:numPr>
          <w:ilvl w:val="0"/>
          <w:numId w:val="2"/>
        </w:numPr>
        <w:rPr>
          <w:lang w:val="fr-FR"/>
        </w:rPr>
      </w:pPr>
      <w:r w:rsidRPr="009C2953">
        <w:rPr>
          <w:lang w:val="fr-FR"/>
        </w:rPr>
        <w:t>Les opinions sur</w:t>
      </w:r>
      <w:r w:rsidR="00F34644" w:rsidRPr="009C2953">
        <w:rPr>
          <w:lang w:val="fr-FR"/>
        </w:rPr>
        <w:t xml:space="preserve"> le </w:t>
      </w:r>
      <w:r w:rsidRPr="009C2953">
        <w:rPr>
          <w:lang w:val="fr-FR"/>
        </w:rPr>
        <w:t>sujet n</w:t>
      </w:r>
      <w:r w:rsidR="00EA2966" w:rsidRPr="009C2953">
        <w:rPr>
          <w:lang w:val="fr-FR"/>
        </w:rPr>
        <w:t>’</w:t>
      </w:r>
      <w:r w:rsidRPr="009C2953">
        <w:rPr>
          <w:lang w:val="fr-FR"/>
        </w:rPr>
        <w:t>ayant pas évolué,</w:t>
      </w:r>
      <w:r w:rsidR="00F34644" w:rsidRPr="009C2953">
        <w:rPr>
          <w:lang w:val="fr-FR"/>
        </w:rPr>
        <w:t xml:space="preserve"> la </w:t>
      </w:r>
      <w:r w:rsidRPr="009C2953">
        <w:rPr>
          <w:lang w:val="fr-FR"/>
        </w:rPr>
        <w:t>Plénière a décidé que</w:t>
      </w:r>
      <w:r w:rsidR="00F34644" w:rsidRPr="009C2953">
        <w:rPr>
          <w:lang w:val="fr-FR"/>
        </w:rPr>
        <w:t xml:space="preserve"> la </w:t>
      </w:r>
      <w:r w:rsidRPr="009C2953">
        <w:rPr>
          <w:lang w:val="fr-FR"/>
        </w:rPr>
        <w:t>procédure provisoire d</w:t>
      </w:r>
      <w:r w:rsidR="00EA2966" w:rsidRPr="009C2953">
        <w:rPr>
          <w:lang w:val="fr-FR"/>
        </w:rPr>
        <w:t>’</w:t>
      </w:r>
      <w:r w:rsidRPr="009C2953">
        <w:rPr>
          <w:lang w:val="fr-FR"/>
        </w:rPr>
        <w:t>admission</w:t>
      </w:r>
      <w:r w:rsidR="00D24DC1" w:rsidRPr="009C2953">
        <w:rPr>
          <w:lang w:val="fr-FR"/>
        </w:rPr>
        <w:t xml:space="preserve"> des </w:t>
      </w:r>
      <w:r w:rsidRPr="009C2953">
        <w:rPr>
          <w:lang w:val="fr-FR"/>
        </w:rPr>
        <w:t>observateurs</w:t>
      </w:r>
      <w:r w:rsidR="00F34644" w:rsidRPr="009C2953">
        <w:rPr>
          <w:lang w:val="fr-FR"/>
        </w:rPr>
        <w:t xml:space="preserve"> aux </w:t>
      </w:r>
      <w:r w:rsidRPr="009C2953">
        <w:rPr>
          <w:lang w:val="fr-FR"/>
        </w:rPr>
        <w:t>sessions de</w:t>
      </w:r>
      <w:r w:rsidR="00F34644" w:rsidRPr="009C2953">
        <w:rPr>
          <w:lang w:val="fr-FR"/>
        </w:rPr>
        <w:t xml:space="preserve"> la </w:t>
      </w:r>
      <w:r w:rsidRPr="009C2953">
        <w:rPr>
          <w:lang w:val="fr-FR"/>
        </w:rPr>
        <w:t>Plénière, telle que décrite au paragraphe 22 du rapport de</w:t>
      </w:r>
      <w:r w:rsidR="00F34644" w:rsidRPr="009C2953">
        <w:rPr>
          <w:lang w:val="fr-FR"/>
        </w:rPr>
        <w:t xml:space="preserve"> la </w:t>
      </w:r>
      <w:r w:rsidRPr="009C2953">
        <w:rPr>
          <w:lang w:val="fr-FR"/>
        </w:rPr>
        <w:t>première session de</w:t>
      </w:r>
      <w:r w:rsidR="00F34644" w:rsidRPr="009C2953">
        <w:rPr>
          <w:lang w:val="fr-FR"/>
        </w:rPr>
        <w:t xml:space="preserve"> la </w:t>
      </w:r>
      <w:r w:rsidRPr="009C2953">
        <w:rPr>
          <w:lang w:val="fr-FR"/>
        </w:rPr>
        <w:t>Plénière (IPBES/1/12), et appliquée de</w:t>
      </w:r>
      <w:r w:rsidR="00F34644" w:rsidRPr="009C2953">
        <w:rPr>
          <w:lang w:val="fr-FR"/>
        </w:rPr>
        <w:t xml:space="preserve"> sa </w:t>
      </w:r>
      <w:r w:rsidRPr="009C2953">
        <w:rPr>
          <w:lang w:val="fr-FR"/>
        </w:rPr>
        <w:t>deuxième à</w:t>
      </w:r>
      <w:r w:rsidR="00F34644" w:rsidRPr="009C2953">
        <w:rPr>
          <w:lang w:val="fr-FR"/>
        </w:rPr>
        <w:t xml:space="preserve"> sa </w:t>
      </w:r>
      <w:r w:rsidRPr="009C2953">
        <w:rPr>
          <w:lang w:val="fr-FR"/>
        </w:rPr>
        <w:t>dixième session, serait appliquée à</w:t>
      </w:r>
      <w:r w:rsidR="00F34644" w:rsidRPr="009C2953">
        <w:rPr>
          <w:lang w:val="fr-FR"/>
        </w:rPr>
        <w:t xml:space="preserve"> sa </w:t>
      </w:r>
      <w:r w:rsidRPr="009C2953">
        <w:rPr>
          <w:lang w:val="fr-FR"/>
        </w:rPr>
        <w:t>onzième session, étant entendu que</w:t>
      </w:r>
      <w:r w:rsidR="00F34644" w:rsidRPr="009C2953">
        <w:rPr>
          <w:lang w:val="fr-FR"/>
        </w:rPr>
        <w:t xml:space="preserve"> les </w:t>
      </w:r>
      <w:r w:rsidRPr="009C2953">
        <w:rPr>
          <w:lang w:val="fr-FR"/>
        </w:rPr>
        <w:t>observateurs admis de</w:t>
      </w:r>
      <w:r w:rsidR="00F34644" w:rsidRPr="009C2953">
        <w:rPr>
          <w:lang w:val="fr-FR"/>
        </w:rPr>
        <w:t xml:space="preserve"> sa </w:t>
      </w:r>
      <w:r w:rsidRPr="009C2953">
        <w:rPr>
          <w:lang w:val="fr-FR"/>
        </w:rPr>
        <w:t>première à</w:t>
      </w:r>
      <w:r w:rsidR="00F34644" w:rsidRPr="009C2953">
        <w:rPr>
          <w:lang w:val="fr-FR"/>
        </w:rPr>
        <w:t xml:space="preserve"> sa </w:t>
      </w:r>
      <w:r w:rsidRPr="009C2953">
        <w:rPr>
          <w:lang w:val="fr-FR"/>
        </w:rPr>
        <w:t>dixième session seraient parmi ceux admis à</w:t>
      </w:r>
      <w:r w:rsidR="00F34644" w:rsidRPr="009C2953">
        <w:rPr>
          <w:lang w:val="fr-FR"/>
        </w:rPr>
        <w:t xml:space="preserve"> sa </w:t>
      </w:r>
      <w:r w:rsidRPr="009C2953">
        <w:rPr>
          <w:lang w:val="fr-FR"/>
        </w:rPr>
        <w:t>onzième session.</w:t>
      </w:r>
    </w:p>
    <w:p w14:paraId="0334C640" w14:textId="3E5FE1C3" w:rsidR="00607B78" w:rsidRPr="009C2953" w:rsidRDefault="00607B78" w:rsidP="00607B78">
      <w:pPr>
        <w:pStyle w:val="CH1"/>
      </w:pPr>
      <w:r w:rsidRPr="009C2953">
        <w:tab/>
        <w:t>IV.</w:t>
      </w:r>
      <w:r w:rsidRPr="009C2953">
        <w:tab/>
        <w:t>Vérification</w:t>
      </w:r>
      <w:r w:rsidR="00D24DC1" w:rsidRPr="009C2953">
        <w:t xml:space="preserve"> des </w:t>
      </w:r>
      <w:r w:rsidRPr="009C2953">
        <w:t>pouvoirs</w:t>
      </w:r>
      <w:r w:rsidR="00D24DC1" w:rsidRPr="009C2953">
        <w:t xml:space="preserve"> des </w:t>
      </w:r>
      <w:r w:rsidRPr="009C2953">
        <w:t>représentantes et</w:t>
      </w:r>
      <w:r w:rsidR="00D24DC1" w:rsidRPr="009C2953">
        <w:t xml:space="preserve"> des </w:t>
      </w:r>
      <w:r w:rsidRPr="009C2953">
        <w:t>représentants</w:t>
      </w:r>
    </w:p>
    <w:p w14:paraId="1AA64923" w14:textId="596CA36B" w:rsidR="00607B78" w:rsidRPr="009C2953" w:rsidRDefault="00607B78" w:rsidP="008731A8">
      <w:pPr>
        <w:pStyle w:val="Normalnumber"/>
        <w:numPr>
          <w:ilvl w:val="0"/>
          <w:numId w:val="2"/>
        </w:numPr>
        <w:tabs>
          <w:tab w:val="clear" w:pos="1871"/>
        </w:tabs>
        <w:rPr>
          <w:lang w:val="fr-FR"/>
        </w:rPr>
      </w:pPr>
      <w:r w:rsidRPr="009C2953">
        <w:rPr>
          <w:lang w:val="fr-FR"/>
        </w:rPr>
        <w:t>Le Bureau, assisté du secrétariat, a examiné</w:t>
      </w:r>
      <w:r w:rsidR="00F34644" w:rsidRPr="009C2953">
        <w:rPr>
          <w:lang w:val="fr-FR"/>
        </w:rPr>
        <w:t xml:space="preserve"> les </w:t>
      </w:r>
      <w:r w:rsidRPr="009C2953">
        <w:rPr>
          <w:lang w:val="fr-FR"/>
        </w:rPr>
        <w:t>pouvoirs</w:t>
      </w:r>
      <w:r w:rsidR="00D24DC1" w:rsidRPr="009C2953">
        <w:rPr>
          <w:lang w:val="fr-FR"/>
        </w:rPr>
        <w:t xml:space="preserve"> des </w:t>
      </w:r>
      <w:r w:rsidRPr="009C2953">
        <w:rPr>
          <w:lang w:val="fr-FR"/>
        </w:rPr>
        <w:t>représentant(e)s</w:t>
      </w:r>
      <w:r w:rsidR="00D24DC1" w:rsidRPr="009C2953">
        <w:rPr>
          <w:lang w:val="fr-FR"/>
        </w:rPr>
        <w:t xml:space="preserve"> des </w:t>
      </w:r>
      <w:r w:rsidRPr="009C2953">
        <w:rPr>
          <w:lang w:val="fr-FR"/>
        </w:rPr>
        <w:t>membres de</w:t>
      </w:r>
      <w:r w:rsidR="006D11D7" w:rsidRPr="009C2953">
        <w:rPr>
          <w:lang w:val="fr-FR"/>
        </w:rPr>
        <w:t> </w:t>
      </w:r>
      <w:r w:rsidRPr="009C2953">
        <w:rPr>
          <w:lang w:val="fr-FR"/>
        </w:rPr>
        <w:t>l</w:t>
      </w:r>
      <w:r w:rsidR="00EA2966" w:rsidRPr="009C2953">
        <w:rPr>
          <w:lang w:val="fr-FR"/>
        </w:rPr>
        <w:t>’</w:t>
      </w:r>
      <w:r w:rsidRPr="009C2953">
        <w:rPr>
          <w:lang w:val="fr-FR"/>
        </w:rPr>
        <w:t>IPBES soumis conformément à l</w:t>
      </w:r>
      <w:r w:rsidR="00EA2966" w:rsidRPr="009C2953">
        <w:rPr>
          <w:lang w:val="fr-FR"/>
        </w:rPr>
        <w:t>’</w:t>
      </w:r>
      <w:r w:rsidRPr="009C2953">
        <w:rPr>
          <w:lang w:val="fr-FR"/>
        </w:rPr>
        <w:t>article 13 du Règlement intérieur.</w:t>
      </w:r>
    </w:p>
    <w:p w14:paraId="78508CEB" w14:textId="1AB9ED3C" w:rsidR="00607B78" w:rsidRPr="009C2953" w:rsidRDefault="00607B78" w:rsidP="00333F03">
      <w:pPr>
        <w:pStyle w:val="Normalnumber"/>
        <w:keepNext/>
        <w:keepLines/>
        <w:numPr>
          <w:ilvl w:val="0"/>
          <w:numId w:val="2"/>
        </w:numPr>
        <w:tabs>
          <w:tab w:val="clear" w:pos="1871"/>
        </w:tabs>
        <w:rPr>
          <w:lang w:val="fr-FR"/>
        </w:rPr>
      </w:pPr>
      <w:r w:rsidRPr="009C2953">
        <w:rPr>
          <w:lang w:val="fr-FR"/>
        </w:rPr>
        <w:lastRenderedPageBreak/>
        <w:t>Le Conseiller juridique a indiqué que</w:t>
      </w:r>
      <w:r w:rsidR="00F34644" w:rsidRPr="009C2953">
        <w:rPr>
          <w:lang w:val="fr-FR"/>
        </w:rPr>
        <w:t xml:space="preserve"> le </w:t>
      </w:r>
      <w:r w:rsidRPr="009C2953">
        <w:rPr>
          <w:lang w:val="fr-FR"/>
        </w:rPr>
        <w:t>Bureau avait constaté que</w:t>
      </w:r>
      <w:r w:rsidR="00F34644" w:rsidRPr="009C2953">
        <w:rPr>
          <w:lang w:val="fr-FR"/>
        </w:rPr>
        <w:t xml:space="preserve"> les </w:t>
      </w:r>
      <w:r w:rsidRPr="009C2953">
        <w:rPr>
          <w:lang w:val="fr-FR"/>
        </w:rPr>
        <w:t>77 membres suivants avaient communiqué au secrétariat, conformément à l</w:t>
      </w:r>
      <w:r w:rsidR="00EA2966" w:rsidRPr="009C2953">
        <w:rPr>
          <w:lang w:val="fr-FR"/>
        </w:rPr>
        <w:t>’</w:t>
      </w:r>
      <w:r w:rsidRPr="009C2953">
        <w:rPr>
          <w:lang w:val="fr-FR"/>
        </w:rPr>
        <w:t>article 12 du Règlement intérieur,</w:t>
      </w:r>
      <w:r w:rsidR="00D24DC1" w:rsidRPr="009C2953">
        <w:rPr>
          <w:lang w:val="fr-FR"/>
        </w:rPr>
        <w:t xml:space="preserve"> des </w:t>
      </w:r>
      <w:r w:rsidRPr="009C2953">
        <w:rPr>
          <w:lang w:val="fr-FR"/>
        </w:rPr>
        <w:t>pouvoirs originaux signés par</w:t>
      </w:r>
      <w:r w:rsidR="00F34644" w:rsidRPr="009C2953">
        <w:rPr>
          <w:lang w:val="fr-FR"/>
        </w:rPr>
        <w:t xml:space="preserve"> le </w:t>
      </w:r>
      <w:r w:rsidRPr="009C2953">
        <w:rPr>
          <w:lang w:val="fr-FR"/>
        </w:rPr>
        <w:t>(la) chef</w:t>
      </w:r>
      <w:r w:rsidR="001672B6" w:rsidRPr="009C2953">
        <w:rPr>
          <w:lang w:val="fr-FR"/>
        </w:rPr>
        <w:t xml:space="preserve"> </w:t>
      </w:r>
      <w:r w:rsidRPr="009C2953">
        <w:rPr>
          <w:lang w:val="fr-FR"/>
        </w:rPr>
        <w:t>d</w:t>
      </w:r>
      <w:r w:rsidR="00EA2966" w:rsidRPr="009C2953">
        <w:rPr>
          <w:lang w:val="fr-FR"/>
        </w:rPr>
        <w:t>’</w:t>
      </w:r>
      <w:r w:rsidRPr="009C2953">
        <w:rPr>
          <w:lang w:val="fr-FR"/>
        </w:rPr>
        <w:t>État ou de gouvernement ou par</w:t>
      </w:r>
      <w:r w:rsidR="00F34644" w:rsidRPr="009C2953">
        <w:rPr>
          <w:lang w:val="fr-FR"/>
        </w:rPr>
        <w:t xml:space="preserve"> le </w:t>
      </w:r>
      <w:r w:rsidRPr="009C2953">
        <w:rPr>
          <w:lang w:val="fr-FR"/>
        </w:rPr>
        <w:t>(la) ministre</w:t>
      </w:r>
      <w:r w:rsidR="00D24DC1" w:rsidRPr="009C2953">
        <w:rPr>
          <w:lang w:val="fr-FR"/>
        </w:rPr>
        <w:t xml:space="preserve"> des </w:t>
      </w:r>
      <w:r w:rsidRPr="009C2953">
        <w:rPr>
          <w:lang w:val="fr-FR"/>
        </w:rPr>
        <w:t>affaires étrangères, conformément à</w:t>
      </w:r>
      <w:r w:rsidR="00F34644" w:rsidRPr="009C2953">
        <w:rPr>
          <w:lang w:val="fr-FR"/>
        </w:rPr>
        <w:t xml:space="preserve"> la </w:t>
      </w:r>
      <w:r w:rsidRPr="009C2953">
        <w:rPr>
          <w:lang w:val="fr-FR"/>
        </w:rPr>
        <w:t>politique et à</w:t>
      </w:r>
      <w:r w:rsidR="00F34644" w:rsidRPr="009C2953">
        <w:rPr>
          <w:lang w:val="fr-FR"/>
        </w:rPr>
        <w:t xml:space="preserve"> la </w:t>
      </w:r>
      <w:r w:rsidRPr="009C2953">
        <w:rPr>
          <w:lang w:val="fr-FR"/>
        </w:rPr>
        <w:t>législation de chaque pays, et que ces pouvoirs étaient en bonne et due forme : Afrique du Sud, Allemagne, Antigua-et-Barbuda, Argentine, Arménie, Australie, Autriche, Bangladesh, Belgique, Bhoutan, Bosnie-Herzégovine, Brésil, Bulgarie, Burundi, Cameroun, Canada, Chili, Chine, Colombie, Costa Rica, Croatie, Cuba, Danemark, Espagne, Équateur, Estonie, États-Unis d</w:t>
      </w:r>
      <w:r w:rsidR="00EA2966" w:rsidRPr="009C2953">
        <w:rPr>
          <w:lang w:val="fr-FR"/>
        </w:rPr>
        <w:t>’</w:t>
      </w:r>
      <w:r w:rsidRPr="009C2953">
        <w:rPr>
          <w:lang w:val="fr-FR"/>
        </w:rPr>
        <w:t>Amérique, Éthiopie, Finlande, France, Géorgie, Ghana, Grenade, Guatemala, Guinée-Bissau, Hongrie, Inde, Irlande, Israël, Italie, Japon, Lituanie, Luxembourg, Macédoine du Nord, Madagascar, Malaisie, Malawi, Maldives, Mauritanie, Maroc, Mexique, Monaco, Népal, Norvège, Nouvelle-Zélande, Oman, Paraguay, Pays-Bas (Royaume des), Pérou, Portugal, République de Corée, République démocratique du Congo, République dominicaine, République de</w:t>
      </w:r>
      <w:r w:rsidR="003B39BB" w:rsidRPr="009C2953">
        <w:rPr>
          <w:lang w:val="fr-FR"/>
        </w:rPr>
        <w:t xml:space="preserve"> </w:t>
      </w:r>
      <w:r w:rsidRPr="009C2953">
        <w:rPr>
          <w:lang w:val="fr-FR"/>
        </w:rPr>
        <w:t xml:space="preserve">Moldova, </w:t>
      </w:r>
      <w:r w:rsidR="00FE58C5" w:rsidRPr="009C2953">
        <w:rPr>
          <w:lang w:val="fr-FR"/>
        </w:rPr>
        <w:t>Royaume-Uni de Grande-Bretagne et d</w:t>
      </w:r>
      <w:r w:rsidR="00EA2966" w:rsidRPr="009C2953">
        <w:rPr>
          <w:lang w:val="fr-FR"/>
        </w:rPr>
        <w:t>’</w:t>
      </w:r>
      <w:r w:rsidR="00FE58C5" w:rsidRPr="009C2953">
        <w:rPr>
          <w:lang w:val="fr-FR"/>
        </w:rPr>
        <w:t xml:space="preserve">Irlande du Nord, </w:t>
      </w:r>
      <w:r w:rsidRPr="009C2953">
        <w:rPr>
          <w:lang w:val="fr-FR"/>
        </w:rPr>
        <w:t>Sainte-Lucie, Serbie, Slovaquie, Sri Lanka, Suède, Suisse, Thaïlande, Togo, Trinité-et-Tobago, Tunisie, Uruguay</w:t>
      </w:r>
      <w:r w:rsidR="003E2EBB" w:rsidRPr="009C2953">
        <w:rPr>
          <w:lang w:val="fr-FR"/>
        </w:rPr>
        <w:t xml:space="preserve"> et </w:t>
      </w:r>
      <w:r w:rsidRPr="009C2953">
        <w:rPr>
          <w:lang w:val="fr-FR"/>
        </w:rPr>
        <w:t>Zambie.</w:t>
      </w:r>
    </w:p>
    <w:p w14:paraId="453B15F9" w14:textId="6881E413" w:rsidR="00607B78" w:rsidRPr="009C2953" w:rsidRDefault="00607B78" w:rsidP="005342A0">
      <w:pPr>
        <w:pStyle w:val="Normalnumber"/>
        <w:numPr>
          <w:ilvl w:val="0"/>
          <w:numId w:val="2"/>
        </w:numPr>
        <w:rPr>
          <w:lang w:val="fr-FR"/>
        </w:rPr>
      </w:pPr>
      <w:r w:rsidRPr="009C2953">
        <w:rPr>
          <w:lang w:val="fr-FR"/>
        </w:rPr>
        <w:t>Les 41 membres suivants avaient présenté</w:t>
      </w:r>
      <w:r w:rsidR="00F34644" w:rsidRPr="009C2953">
        <w:rPr>
          <w:lang w:val="fr-FR"/>
        </w:rPr>
        <w:t xml:space="preserve"> les </w:t>
      </w:r>
      <w:r w:rsidRPr="009C2953">
        <w:rPr>
          <w:lang w:val="fr-FR"/>
        </w:rPr>
        <w:t>pouvoirs délivrés par</w:t>
      </w:r>
      <w:r w:rsidR="00F34644" w:rsidRPr="009C2953">
        <w:rPr>
          <w:lang w:val="fr-FR"/>
        </w:rPr>
        <w:t xml:space="preserve"> le </w:t>
      </w:r>
      <w:r w:rsidRPr="009C2953">
        <w:rPr>
          <w:lang w:val="fr-FR"/>
        </w:rPr>
        <w:t>(la) chef d</w:t>
      </w:r>
      <w:r w:rsidR="00EA2966" w:rsidRPr="009C2953">
        <w:rPr>
          <w:lang w:val="fr-FR"/>
        </w:rPr>
        <w:t>’</w:t>
      </w:r>
      <w:r w:rsidRPr="009C2953">
        <w:rPr>
          <w:lang w:val="fr-FR"/>
        </w:rPr>
        <w:t>État ou de gouvernement ou par</w:t>
      </w:r>
      <w:r w:rsidR="00F34644" w:rsidRPr="009C2953">
        <w:rPr>
          <w:lang w:val="fr-FR"/>
        </w:rPr>
        <w:t xml:space="preserve"> le </w:t>
      </w:r>
      <w:r w:rsidRPr="009C2953">
        <w:rPr>
          <w:lang w:val="fr-FR"/>
        </w:rPr>
        <w:t>ministère</w:t>
      </w:r>
      <w:r w:rsidR="00D24DC1" w:rsidRPr="009C2953">
        <w:rPr>
          <w:lang w:val="fr-FR"/>
        </w:rPr>
        <w:t xml:space="preserve"> des </w:t>
      </w:r>
      <w:r w:rsidRPr="009C2953">
        <w:rPr>
          <w:lang w:val="fr-FR"/>
        </w:rPr>
        <w:t>affaires étrangères au moyen de copies ou d</w:t>
      </w:r>
      <w:r w:rsidR="00EA2966" w:rsidRPr="009C2953">
        <w:rPr>
          <w:lang w:val="fr-FR"/>
        </w:rPr>
        <w:t>’</w:t>
      </w:r>
      <w:r w:rsidRPr="009C2953">
        <w:rPr>
          <w:lang w:val="fr-FR"/>
        </w:rPr>
        <w:t>autres formes de communication officielle : Algérie, Arabie saoudite, Bénin, Bolivie (État plurinational de), Botswana, Burkina Faso, Cambodge, Comores, Côte d</w:t>
      </w:r>
      <w:r w:rsidR="00EA2966" w:rsidRPr="009C2953">
        <w:rPr>
          <w:lang w:val="fr-FR"/>
        </w:rPr>
        <w:t>’</w:t>
      </w:r>
      <w:r w:rsidRPr="009C2953">
        <w:rPr>
          <w:lang w:val="fr-FR"/>
        </w:rPr>
        <w:t>Ivoire, Égypte, Émirats arabes unis, Fédération de Russie, Fidji, Gabon, Guinée, Îles Cook, Indonésie, Iran (République islamique d</w:t>
      </w:r>
      <w:r w:rsidR="00EA2966" w:rsidRPr="009C2953">
        <w:rPr>
          <w:lang w:val="fr-FR"/>
        </w:rPr>
        <w:t>’</w:t>
      </w:r>
      <w:r w:rsidRPr="009C2953">
        <w:rPr>
          <w:lang w:val="fr-FR"/>
        </w:rPr>
        <w:t>), Kenya, Lettonie, Lib</w:t>
      </w:r>
      <w:r w:rsidR="00DD4F1E" w:rsidRPr="009C2953">
        <w:rPr>
          <w:lang w:val="fr-FR"/>
        </w:rPr>
        <w:t>é</w:t>
      </w:r>
      <w:r w:rsidRPr="009C2953">
        <w:rPr>
          <w:lang w:val="fr-FR"/>
        </w:rPr>
        <w:t>ria, Libye, Namibie, Nicaragua, Niger, Nigéria, Ouganda, Pakistan, Philippines, Roumanie, Sénégal, Soudan, Suriname, Tchad, Tchéquie, Türkiye, République centrafricaine, République-Unie de Tanzanie, Venezuela (République bolivarienne du), Yémen</w:t>
      </w:r>
      <w:r w:rsidR="003E2EBB" w:rsidRPr="009C2953">
        <w:rPr>
          <w:lang w:val="fr-FR"/>
        </w:rPr>
        <w:t xml:space="preserve"> et</w:t>
      </w:r>
      <w:r w:rsidRPr="009C2953">
        <w:rPr>
          <w:lang w:val="fr-FR"/>
        </w:rPr>
        <w:t xml:space="preserve"> Zimbabwe.</w:t>
      </w:r>
    </w:p>
    <w:p w14:paraId="06C6BC04" w14:textId="490412B5" w:rsidR="00607B78" w:rsidRPr="009C2953" w:rsidRDefault="00607B78" w:rsidP="008731A8">
      <w:pPr>
        <w:pStyle w:val="Normalnumber"/>
        <w:numPr>
          <w:ilvl w:val="0"/>
          <w:numId w:val="2"/>
        </w:numPr>
        <w:rPr>
          <w:lang w:val="fr-FR"/>
        </w:rPr>
      </w:pPr>
      <w:r w:rsidRPr="009C2953">
        <w:rPr>
          <w:lang w:val="fr-FR"/>
        </w:rPr>
        <w:t>La Plénière a approuvé</w:t>
      </w:r>
      <w:r w:rsidR="00F34644" w:rsidRPr="009C2953">
        <w:rPr>
          <w:lang w:val="fr-FR"/>
        </w:rPr>
        <w:t xml:space="preserve"> le </w:t>
      </w:r>
      <w:r w:rsidRPr="009C2953">
        <w:rPr>
          <w:lang w:val="fr-FR"/>
        </w:rPr>
        <w:t>rapport du Bureau sur</w:t>
      </w:r>
      <w:r w:rsidR="00F34644" w:rsidRPr="009C2953">
        <w:rPr>
          <w:lang w:val="fr-FR"/>
        </w:rPr>
        <w:t xml:space="preserve"> la </w:t>
      </w:r>
      <w:r w:rsidRPr="009C2953">
        <w:rPr>
          <w:lang w:val="fr-FR"/>
        </w:rPr>
        <w:t>vérification</w:t>
      </w:r>
      <w:r w:rsidR="00D24DC1" w:rsidRPr="009C2953">
        <w:rPr>
          <w:lang w:val="fr-FR"/>
        </w:rPr>
        <w:t xml:space="preserve"> des </w:t>
      </w:r>
      <w:r w:rsidRPr="009C2953">
        <w:rPr>
          <w:lang w:val="fr-FR"/>
        </w:rPr>
        <w:t>pouvoirs.</w:t>
      </w:r>
    </w:p>
    <w:p w14:paraId="11278EAB" w14:textId="58A0BEC2" w:rsidR="00607B78" w:rsidRPr="009C2953" w:rsidRDefault="00607B78" w:rsidP="00607B78">
      <w:pPr>
        <w:pStyle w:val="CH1"/>
      </w:pPr>
      <w:r w:rsidRPr="009C2953">
        <w:tab/>
        <w:t>V.</w:t>
      </w:r>
      <w:r w:rsidRPr="009C2953">
        <w:tab/>
        <w:t>Rapport de</w:t>
      </w:r>
      <w:r w:rsidR="00F34644" w:rsidRPr="009C2953">
        <w:t xml:space="preserve"> la </w:t>
      </w:r>
      <w:r w:rsidRPr="009C2953">
        <w:t>Secrétaire exécutive sur</w:t>
      </w:r>
      <w:r w:rsidR="00F34644" w:rsidRPr="009C2953">
        <w:t xml:space="preserve"> les </w:t>
      </w:r>
      <w:r w:rsidRPr="009C2953">
        <w:t>progrès dans</w:t>
      </w:r>
      <w:r w:rsidR="00F34644" w:rsidRPr="009C2953">
        <w:t xml:space="preserve"> la </w:t>
      </w:r>
      <w:r w:rsidRPr="009C2953">
        <w:t>mise en</w:t>
      </w:r>
      <w:r w:rsidR="00C6216B" w:rsidRPr="009C2953">
        <w:t> </w:t>
      </w:r>
      <w:r w:rsidRPr="009C2953">
        <w:t>œuvre du programme de travail glissant pour</w:t>
      </w:r>
      <w:r w:rsidR="00F34644" w:rsidRPr="009C2953">
        <w:t xml:space="preserve"> la </w:t>
      </w:r>
      <w:r w:rsidRPr="009C2953">
        <w:t>période allant jusqu</w:t>
      </w:r>
      <w:r w:rsidR="00EA2966" w:rsidRPr="009C2953">
        <w:t>’</w:t>
      </w:r>
      <w:r w:rsidRPr="009C2953">
        <w:t>en 2030</w:t>
      </w:r>
    </w:p>
    <w:p w14:paraId="3598E5DA" w14:textId="46D65269"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rappelé que, dans</w:t>
      </w:r>
      <w:r w:rsidR="00F34644" w:rsidRPr="009C2953">
        <w:rPr>
          <w:lang w:val="fr-FR"/>
        </w:rPr>
        <w:t xml:space="preserve"> sa </w:t>
      </w:r>
      <w:r w:rsidRPr="009C2953">
        <w:rPr>
          <w:lang w:val="fr-FR"/>
        </w:rPr>
        <w:t>décision IPBES-7/1,</w:t>
      </w:r>
      <w:r w:rsidR="00F34644" w:rsidRPr="009C2953">
        <w:rPr>
          <w:lang w:val="fr-FR"/>
        </w:rPr>
        <w:t xml:space="preserve"> la </w:t>
      </w:r>
      <w:r w:rsidRPr="009C2953">
        <w:rPr>
          <w:lang w:val="fr-FR"/>
        </w:rPr>
        <w:t>Plénière avait</w:t>
      </w:r>
      <w:r w:rsidR="003B39BB" w:rsidRPr="009C2953">
        <w:rPr>
          <w:lang w:val="fr-FR"/>
        </w:rPr>
        <w:t> </w:t>
      </w:r>
      <w:r w:rsidRPr="009C2953">
        <w:rPr>
          <w:lang w:val="fr-FR"/>
        </w:rPr>
        <w:t>adopté</w:t>
      </w:r>
      <w:r w:rsidR="00F34644" w:rsidRPr="009C2953">
        <w:rPr>
          <w:lang w:val="fr-FR"/>
        </w:rPr>
        <w:t xml:space="preserve"> le </w:t>
      </w:r>
      <w:r w:rsidRPr="009C2953">
        <w:rPr>
          <w:lang w:val="fr-FR"/>
        </w:rPr>
        <w:t>programme de travail glissant de l</w:t>
      </w:r>
      <w:r w:rsidR="00EA2966" w:rsidRPr="009C2953">
        <w:rPr>
          <w:lang w:val="fr-FR"/>
        </w:rPr>
        <w:t>’</w:t>
      </w:r>
      <w:r w:rsidRPr="009C2953">
        <w:rPr>
          <w:lang w:val="fr-FR"/>
        </w:rPr>
        <w:t>IPBES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Dans</w:t>
      </w:r>
      <w:r w:rsidR="00EA3CA0" w:rsidRPr="009C2953">
        <w:rPr>
          <w:lang w:val="fr-FR"/>
        </w:rPr>
        <w:t> </w:t>
      </w:r>
      <w:r w:rsidR="00F34644" w:rsidRPr="009C2953">
        <w:rPr>
          <w:lang w:val="fr-FR"/>
        </w:rPr>
        <w:t>sa </w:t>
      </w:r>
      <w:r w:rsidRPr="009C2953">
        <w:rPr>
          <w:lang w:val="fr-FR"/>
        </w:rPr>
        <w:t>décision IPBES-9/1,</w:t>
      </w:r>
      <w:r w:rsidR="00F34644" w:rsidRPr="009C2953">
        <w:rPr>
          <w:lang w:val="fr-FR"/>
        </w:rPr>
        <w:t xml:space="preserve"> la </w:t>
      </w:r>
      <w:r w:rsidRPr="009C2953">
        <w:rPr>
          <w:lang w:val="fr-FR"/>
        </w:rPr>
        <w:t>Plénière avait prié</w:t>
      </w:r>
      <w:r w:rsidR="00F34644" w:rsidRPr="009C2953">
        <w:rPr>
          <w:lang w:val="fr-FR"/>
        </w:rPr>
        <w:t xml:space="preserve"> la </w:t>
      </w:r>
      <w:r w:rsidRPr="009C2953">
        <w:rPr>
          <w:lang w:val="fr-FR"/>
        </w:rPr>
        <w:t>Secrétaire exécutive de lui présenter, à</w:t>
      </w:r>
      <w:r w:rsidR="00F34644" w:rsidRPr="009C2953">
        <w:rPr>
          <w:lang w:val="fr-FR"/>
        </w:rPr>
        <w:t xml:space="preserve"> sa </w:t>
      </w:r>
      <w:r w:rsidRPr="009C2953">
        <w:rPr>
          <w:lang w:val="fr-FR"/>
        </w:rPr>
        <w:t>dixième session,</w:t>
      </w:r>
      <w:r w:rsidR="00F34644" w:rsidRPr="009C2953">
        <w:rPr>
          <w:lang w:val="fr-FR"/>
        </w:rPr>
        <w:t xml:space="preserve"> un </w:t>
      </w:r>
      <w:r w:rsidRPr="009C2953">
        <w:rPr>
          <w:lang w:val="fr-FR"/>
        </w:rPr>
        <w:t>rapport sur</w:t>
      </w:r>
      <w:r w:rsidR="00F34644" w:rsidRPr="009C2953">
        <w:rPr>
          <w:lang w:val="fr-FR"/>
        </w:rPr>
        <w:t xml:space="preserve"> les </w:t>
      </w:r>
      <w:r w:rsidRPr="009C2953">
        <w:rPr>
          <w:lang w:val="fr-FR"/>
        </w:rPr>
        <w:t>progrès accomplis dans l</w:t>
      </w:r>
      <w:r w:rsidR="00EA2966" w:rsidRPr="009C2953">
        <w:rPr>
          <w:lang w:val="fr-FR"/>
        </w:rPr>
        <w:t>’</w:t>
      </w:r>
      <w:r w:rsidRPr="009C2953">
        <w:rPr>
          <w:lang w:val="fr-FR"/>
        </w:rPr>
        <w:t>exécution du programme de travail. Conformément au paragraphe 2 de</w:t>
      </w:r>
      <w:r w:rsidR="00F34644" w:rsidRPr="009C2953">
        <w:rPr>
          <w:lang w:val="fr-FR"/>
        </w:rPr>
        <w:t xml:space="preserve"> la </w:t>
      </w:r>
      <w:r w:rsidRPr="009C2953">
        <w:rPr>
          <w:lang w:val="fr-FR"/>
        </w:rPr>
        <w:t>section I de</w:t>
      </w:r>
      <w:r w:rsidR="00F34644" w:rsidRPr="009C2953">
        <w:rPr>
          <w:lang w:val="fr-FR"/>
        </w:rPr>
        <w:t xml:space="preserve"> la </w:t>
      </w:r>
      <w:r w:rsidR="00BC73C5" w:rsidRPr="009C2953">
        <w:rPr>
          <w:lang w:val="fr-FR"/>
        </w:rPr>
        <w:t>décision IPBES-9/1, relative à</w:t>
      </w:r>
      <w:r w:rsidR="00F34644" w:rsidRPr="009C2953">
        <w:rPr>
          <w:lang w:val="fr-FR"/>
        </w:rPr>
        <w:t xml:space="preserve"> la </w:t>
      </w:r>
      <w:r w:rsidR="00BC73C5" w:rsidRPr="009C2953">
        <w:rPr>
          <w:lang w:val="fr-FR"/>
        </w:rPr>
        <w:t>mise en œuvre du programme de travail glissant de</w:t>
      </w:r>
      <w:r w:rsidR="00F34644" w:rsidRPr="009C2953">
        <w:rPr>
          <w:lang w:val="fr-FR"/>
        </w:rPr>
        <w:t xml:space="preserve"> la </w:t>
      </w:r>
      <w:r w:rsidR="00BC73C5" w:rsidRPr="009C2953">
        <w:rPr>
          <w:lang w:val="fr-FR"/>
        </w:rPr>
        <w:t>Plateforme pour</w:t>
      </w:r>
      <w:r w:rsidR="00F34644" w:rsidRPr="009C2953">
        <w:rPr>
          <w:lang w:val="fr-FR"/>
        </w:rPr>
        <w:t xml:space="preserve"> la </w:t>
      </w:r>
      <w:r w:rsidR="00BC73C5" w:rsidRPr="009C2953">
        <w:rPr>
          <w:lang w:val="fr-FR"/>
        </w:rPr>
        <w:t>période allant jusqu</w:t>
      </w:r>
      <w:r w:rsidR="00EA2966" w:rsidRPr="009C2953">
        <w:rPr>
          <w:lang w:val="fr-FR"/>
        </w:rPr>
        <w:t>’</w:t>
      </w:r>
      <w:r w:rsidR="00BC73C5" w:rsidRPr="009C2953">
        <w:rPr>
          <w:lang w:val="fr-FR"/>
        </w:rPr>
        <w:t>en 2030</w:t>
      </w:r>
      <w:r w:rsidRPr="009C2953">
        <w:rPr>
          <w:lang w:val="fr-FR"/>
        </w:rPr>
        <w:t>,</w:t>
      </w:r>
      <w:r w:rsidR="00F34644" w:rsidRPr="009C2953">
        <w:rPr>
          <w:lang w:val="fr-FR"/>
        </w:rPr>
        <w:t xml:space="preserve"> la </w:t>
      </w:r>
      <w:r w:rsidRPr="009C2953">
        <w:rPr>
          <w:lang w:val="fr-FR"/>
        </w:rPr>
        <w:t>Secrétaire exécutive, en consultation avec</w:t>
      </w:r>
      <w:r w:rsidR="00F34644" w:rsidRPr="009C2953">
        <w:rPr>
          <w:lang w:val="fr-FR"/>
        </w:rPr>
        <w:t xml:space="preserve"> le </w:t>
      </w:r>
      <w:r w:rsidRPr="009C2953">
        <w:rPr>
          <w:lang w:val="fr-FR"/>
        </w:rPr>
        <w:t>Groupe d</w:t>
      </w:r>
      <w:r w:rsidR="00EA2966" w:rsidRPr="009C2953">
        <w:rPr>
          <w:lang w:val="fr-FR"/>
        </w:rPr>
        <w:t>’</w:t>
      </w:r>
      <w:r w:rsidRPr="009C2953">
        <w:rPr>
          <w:lang w:val="fr-FR"/>
        </w:rPr>
        <w:t>experts multidisciplinaire et</w:t>
      </w:r>
      <w:r w:rsidR="00F34644" w:rsidRPr="009C2953">
        <w:rPr>
          <w:lang w:val="fr-FR"/>
        </w:rPr>
        <w:t xml:space="preserve"> le </w:t>
      </w:r>
      <w:r w:rsidRPr="009C2953">
        <w:rPr>
          <w:lang w:val="fr-FR"/>
        </w:rPr>
        <w:t>Bureau, avait établi, en vue de</w:t>
      </w:r>
      <w:r w:rsidR="00F34644" w:rsidRPr="009C2953">
        <w:rPr>
          <w:lang w:val="fr-FR"/>
        </w:rPr>
        <w:t xml:space="preserve"> son </w:t>
      </w:r>
      <w:r w:rsidRPr="009C2953">
        <w:rPr>
          <w:lang w:val="fr-FR"/>
        </w:rPr>
        <w:t>examen par</w:t>
      </w:r>
      <w:r w:rsidR="00F34644" w:rsidRPr="009C2953">
        <w:rPr>
          <w:lang w:val="fr-FR"/>
        </w:rPr>
        <w:t xml:space="preserve"> la </w:t>
      </w:r>
      <w:r w:rsidRPr="009C2953">
        <w:rPr>
          <w:lang w:val="fr-FR"/>
        </w:rPr>
        <w:t>Plénière,</w:t>
      </w:r>
      <w:r w:rsidR="00F34644" w:rsidRPr="009C2953">
        <w:rPr>
          <w:lang w:val="fr-FR"/>
        </w:rPr>
        <w:t xml:space="preserve"> un </w:t>
      </w:r>
      <w:r w:rsidRPr="009C2953">
        <w:rPr>
          <w:lang w:val="fr-FR"/>
        </w:rPr>
        <w:t>rapport sur l</w:t>
      </w:r>
      <w:r w:rsidR="00EA2966" w:rsidRPr="009C2953">
        <w:rPr>
          <w:lang w:val="fr-FR"/>
        </w:rPr>
        <w:t>’</w:t>
      </w:r>
      <w:r w:rsidRPr="009C2953">
        <w:rPr>
          <w:lang w:val="fr-FR"/>
        </w:rPr>
        <w:t>exécution du programme de travail glissant, paru sous</w:t>
      </w:r>
      <w:r w:rsidR="00F34644" w:rsidRPr="009C2953">
        <w:rPr>
          <w:lang w:val="fr-FR"/>
        </w:rPr>
        <w:t xml:space="preserve"> la </w:t>
      </w:r>
      <w:r w:rsidRPr="009C2953">
        <w:rPr>
          <w:lang w:val="fr-FR"/>
        </w:rPr>
        <w:t>cote IPBES/10/4. Des informations supplémentaires figuraient dans</w:t>
      </w:r>
      <w:r w:rsidR="00F34644" w:rsidRPr="009C2953">
        <w:rPr>
          <w:lang w:val="fr-FR"/>
        </w:rPr>
        <w:t xml:space="preserve"> les </w:t>
      </w:r>
      <w:r w:rsidRPr="009C2953">
        <w:rPr>
          <w:lang w:val="fr-FR"/>
        </w:rPr>
        <w:t>documents suivants : IPBES/10/INF/4, sur</w:t>
      </w:r>
      <w:r w:rsidR="00F34644" w:rsidRPr="009C2953">
        <w:rPr>
          <w:lang w:val="fr-FR"/>
        </w:rPr>
        <w:t xml:space="preserve"> les </w:t>
      </w:r>
      <w:r w:rsidRPr="009C2953">
        <w:rPr>
          <w:lang w:val="fr-FR"/>
        </w:rPr>
        <w:t>dispositions institutionnelles mises en place pour fournir l</w:t>
      </w:r>
      <w:r w:rsidR="00EA2966" w:rsidRPr="009C2953">
        <w:rPr>
          <w:lang w:val="fr-FR"/>
        </w:rPr>
        <w:t>’</w:t>
      </w:r>
      <w:r w:rsidRPr="009C2953">
        <w:rPr>
          <w:lang w:val="fr-FR"/>
        </w:rPr>
        <w:t>appui technique nécessaire à</w:t>
      </w:r>
      <w:r w:rsidR="00F34644" w:rsidRPr="009C2953">
        <w:rPr>
          <w:lang w:val="fr-FR"/>
        </w:rPr>
        <w:t xml:space="preserve"> la </w:t>
      </w:r>
      <w:r w:rsidRPr="009C2953">
        <w:rPr>
          <w:lang w:val="fr-FR"/>
        </w:rPr>
        <w:t>mise en œuvre du programme de travail ; IPBES/10/INF/5, sur</w:t>
      </w:r>
      <w:r w:rsidR="00F34644" w:rsidRPr="009C2953">
        <w:rPr>
          <w:lang w:val="fr-FR"/>
        </w:rPr>
        <w:t xml:space="preserve"> le </w:t>
      </w:r>
      <w:r w:rsidRPr="009C2953">
        <w:rPr>
          <w:lang w:val="fr-FR"/>
        </w:rPr>
        <w:t>processus de</w:t>
      </w:r>
      <w:r w:rsidR="00C81FE8" w:rsidRPr="009C2953">
        <w:rPr>
          <w:lang w:val="fr-FR"/>
        </w:rPr>
        <w:t xml:space="preserve"> </w:t>
      </w:r>
      <w:r w:rsidRPr="009C2953">
        <w:rPr>
          <w:lang w:val="fr-FR"/>
        </w:rPr>
        <w:t>production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et de</w:t>
      </w:r>
      <w:r w:rsidR="00F34644" w:rsidRPr="009C2953">
        <w:rPr>
          <w:lang w:val="fr-FR"/>
        </w:rPr>
        <w:t xml:space="preserve"> la </w:t>
      </w:r>
      <w:r w:rsidRPr="009C2953">
        <w:rPr>
          <w:lang w:val="fr-FR"/>
        </w:rPr>
        <w:t>lutte contre</w:t>
      </w:r>
      <w:r w:rsidR="00F34644" w:rsidRPr="009C2953">
        <w:rPr>
          <w:lang w:val="fr-FR"/>
        </w:rPr>
        <w:t xml:space="preserve"> leur </w:t>
      </w:r>
      <w:r w:rsidRPr="009C2953">
        <w:rPr>
          <w:lang w:val="fr-FR"/>
        </w:rPr>
        <w:t>prolifération ; IPBES/10/INF/6, sur l</w:t>
      </w:r>
      <w:r w:rsidR="00EA2966" w:rsidRPr="009C2953">
        <w:rPr>
          <w:lang w:val="fr-FR"/>
        </w:rPr>
        <w:t>’</w:t>
      </w:r>
      <w:r w:rsidRPr="009C2953">
        <w:rPr>
          <w:lang w:val="fr-FR"/>
        </w:rPr>
        <w:t>état d</w:t>
      </w:r>
      <w:r w:rsidR="00EA2966" w:rsidRPr="009C2953">
        <w:rPr>
          <w:lang w:val="fr-FR"/>
        </w:rPr>
        <w:t>’</w:t>
      </w:r>
      <w:r w:rsidRPr="009C2953">
        <w:rPr>
          <w:lang w:val="fr-FR"/>
        </w:rPr>
        <w:t>avancement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liens d</w:t>
      </w:r>
      <w:r w:rsidR="00EA2966" w:rsidRPr="009C2953">
        <w:rPr>
          <w:lang w:val="fr-FR"/>
        </w:rPr>
        <w:t>’</w:t>
      </w:r>
      <w:r w:rsidRPr="009C2953">
        <w:rPr>
          <w:lang w:val="fr-FR"/>
        </w:rPr>
        <w:t>interdépendance entre</w:t>
      </w:r>
      <w:r w:rsidR="00F34644" w:rsidRPr="009C2953">
        <w:rPr>
          <w:lang w:val="fr-FR"/>
        </w:rPr>
        <w:t xml:space="preserve"> la </w:t>
      </w:r>
      <w:r w:rsidRPr="009C2953">
        <w:rPr>
          <w:lang w:val="fr-FR"/>
        </w:rPr>
        <w:t>biodiversité, l</w:t>
      </w:r>
      <w:r w:rsidR="00EA2966" w:rsidRPr="009C2953">
        <w:rPr>
          <w:lang w:val="fr-FR"/>
        </w:rPr>
        <w:t>’</w:t>
      </w:r>
      <w:r w:rsidRPr="009C2953">
        <w:rPr>
          <w:lang w:val="fr-FR"/>
        </w:rPr>
        <w:t>eau, l</w:t>
      </w:r>
      <w:r w:rsidR="00EA2966" w:rsidRPr="009C2953">
        <w:rPr>
          <w:lang w:val="fr-FR"/>
        </w:rPr>
        <w:t>’</w:t>
      </w:r>
      <w:r w:rsidRPr="009C2953">
        <w:rPr>
          <w:lang w:val="fr-FR"/>
        </w:rPr>
        <w:t>alimentation et</w:t>
      </w:r>
      <w:r w:rsidR="00F34644" w:rsidRPr="009C2953">
        <w:rPr>
          <w:lang w:val="fr-FR"/>
        </w:rPr>
        <w:t xml:space="preserve"> la </w:t>
      </w:r>
      <w:r w:rsidRPr="009C2953">
        <w:rPr>
          <w:lang w:val="fr-FR"/>
        </w:rPr>
        <w:t>santé (évaluation</w:t>
      </w:r>
      <w:r w:rsidR="00D24DC1" w:rsidRPr="009C2953">
        <w:rPr>
          <w:lang w:val="fr-FR"/>
        </w:rPr>
        <w:t xml:space="preserve"> des </w:t>
      </w:r>
      <w:r w:rsidRPr="009C2953">
        <w:rPr>
          <w:lang w:val="fr-FR"/>
        </w:rPr>
        <w:t>interdépendances),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causes sous-jacentes de</w:t>
      </w:r>
      <w:r w:rsidR="00F34644" w:rsidRPr="009C2953">
        <w:rPr>
          <w:lang w:val="fr-FR"/>
        </w:rPr>
        <w:t xml:space="preserve"> la </w:t>
      </w:r>
      <w:r w:rsidRPr="009C2953">
        <w:rPr>
          <w:lang w:val="fr-FR"/>
        </w:rPr>
        <w:t>perte de biodiversité et</w:t>
      </w:r>
      <w:r w:rsidR="00D24DC1" w:rsidRPr="009C2953">
        <w:rPr>
          <w:lang w:val="fr-FR"/>
        </w:rPr>
        <w:t xml:space="preserve"> des </w:t>
      </w:r>
      <w:r w:rsidRPr="009C2953">
        <w:rPr>
          <w:lang w:val="fr-FR"/>
        </w:rPr>
        <w:t>déterminants du changement transformateur, ainsi que</w:t>
      </w:r>
      <w:r w:rsidR="00D24DC1" w:rsidRPr="009C2953">
        <w:rPr>
          <w:lang w:val="fr-FR"/>
        </w:rPr>
        <w:t xml:space="preserve"> des </w:t>
      </w:r>
      <w:r w:rsidRPr="009C2953">
        <w:rPr>
          <w:lang w:val="fr-FR"/>
        </w:rPr>
        <w:t>solutions possibles afin de réaliser</w:t>
      </w:r>
      <w:r w:rsidR="00F34644" w:rsidRPr="009C2953">
        <w:rPr>
          <w:lang w:val="fr-FR"/>
        </w:rPr>
        <w:t xml:space="preserve"> la </w:t>
      </w:r>
      <w:r w:rsidRPr="009C2953">
        <w:rPr>
          <w:lang w:val="fr-FR"/>
        </w:rPr>
        <w:t>Vision 2050 pour</w:t>
      </w:r>
      <w:r w:rsidR="00F34644" w:rsidRPr="009C2953">
        <w:rPr>
          <w:lang w:val="fr-FR"/>
        </w:rPr>
        <w:t xml:space="preserve"> la </w:t>
      </w:r>
      <w:r w:rsidRPr="009C2953">
        <w:rPr>
          <w:lang w:val="fr-FR"/>
        </w:rPr>
        <w:t>biodiversité (évaluation du changement transformateur), et de l</w:t>
      </w:r>
      <w:r w:rsidR="00EA2966" w:rsidRPr="009C2953">
        <w:rPr>
          <w:lang w:val="fr-FR"/>
        </w:rPr>
        <w:t>’</w:t>
      </w:r>
      <w:r w:rsidRPr="009C2953">
        <w:rPr>
          <w:lang w:val="fr-FR"/>
        </w:rPr>
        <w:t>évaluation méthodologique</w:t>
      </w:r>
      <w:r w:rsidR="00D24DC1" w:rsidRPr="009C2953">
        <w:rPr>
          <w:lang w:val="fr-FR"/>
        </w:rPr>
        <w:t xml:space="preserve"> des </w:t>
      </w:r>
      <w:r w:rsidRPr="009C2953">
        <w:rPr>
          <w:lang w:val="fr-FR"/>
        </w:rPr>
        <w:t>conséquences de l</w:t>
      </w:r>
      <w:r w:rsidR="00EA2966" w:rsidRPr="009C2953">
        <w:rPr>
          <w:lang w:val="fr-FR"/>
        </w:rPr>
        <w:t>’</w:t>
      </w:r>
      <w:r w:rsidRPr="009C2953">
        <w:rPr>
          <w:lang w:val="fr-FR"/>
        </w:rPr>
        <w:t>activité</w:t>
      </w:r>
      <w:r w:rsidR="00D24DC1" w:rsidRPr="009C2953">
        <w:rPr>
          <w:lang w:val="fr-FR"/>
        </w:rPr>
        <w:t xml:space="preserve"> des </w:t>
      </w:r>
      <w:r w:rsidRPr="009C2953">
        <w:rPr>
          <w:lang w:val="fr-FR"/>
        </w:rPr>
        <w:t>entreprises sur</w:t>
      </w:r>
      <w:r w:rsidR="00F34644" w:rsidRPr="009C2953">
        <w:rPr>
          <w:lang w:val="fr-FR"/>
        </w:rPr>
        <w:t xml:space="preserve"> la </w:t>
      </w:r>
      <w:r w:rsidRPr="009C2953">
        <w:rPr>
          <w:lang w:val="fr-FR"/>
        </w:rPr>
        <w:t>biodiversité et sur</w:t>
      </w:r>
      <w:r w:rsidR="00F34644" w:rsidRPr="009C2953">
        <w:rPr>
          <w:lang w:val="fr-FR"/>
        </w:rPr>
        <w:t xml:space="preserve"> les </w:t>
      </w:r>
      <w:r w:rsidRPr="009C2953">
        <w:rPr>
          <w:lang w:val="fr-FR"/>
        </w:rPr>
        <w:t>contributions de</w:t>
      </w:r>
      <w:r w:rsidR="00F34644" w:rsidRPr="009C2953">
        <w:rPr>
          <w:lang w:val="fr-FR"/>
        </w:rPr>
        <w:t xml:space="preserve"> la </w:t>
      </w:r>
      <w:r w:rsidRPr="009C2953">
        <w:rPr>
          <w:lang w:val="fr-FR"/>
        </w:rPr>
        <w:t>nature</w:t>
      </w:r>
      <w:r w:rsidR="00F34644" w:rsidRPr="009C2953">
        <w:rPr>
          <w:lang w:val="fr-FR"/>
        </w:rPr>
        <w:t xml:space="preserve"> aux </w:t>
      </w:r>
      <w:r w:rsidRPr="009C2953">
        <w:rPr>
          <w:lang w:val="fr-FR"/>
        </w:rPr>
        <w:t>populations et de</w:t>
      </w:r>
      <w:r w:rsidR="00F34644" w:rsidRPr="009C2953">
        <w:rPr>
          <w:lang w:val="fr-FR"/>
        </w:rPr>
        <w:t xml:space="preserve"> la </w:t>
      </w:r>
      <w:r w:rsidRPr="009C2953">
        <w:rPr>
          <w:lang w:val="fr-FR"/>
        </w:rPr>
        <w:t>dépendance</w:t>
      </w:r>
      <w:r w:rsidR="00D24DC1" w:rsidRPr="009C2953">
        <w:rPr>
          <w:lang w:val="fr-FR"/>
        </w:rPr>
        <w:t xml:space="preserve"> des </w:t>
      </w:r>
      <w:r w:rsidRPr="009C2953">
        <w:rPr>
          <w:lang w:val="fr-FR"/>
        </w:rPr>
        <w:t>entreprises à</w:t>
      </w:r>
      <w:r w:rsidR="00F34644" w:rsidRPr="009C2953">
        <w:rPr>
          <w:lang w:val="fr-FR"/>
        </w:rPr>
        <w:t xml:space="preserve"> leur </w:t>
      </w:r>
      <w:r w:rsidRPr="009C2953">
        <w:rPr>
          <w:lang w:val="fr-FR"/>
        </w:rPr>
        <w:t>égard (évaluation</w:t>
      </w:r>
      <w:r w:rsidR="00D24DC1" w:rsidRPr="009C2953">
        <w:rPr>
          <w:lang w:val="fr-FR"/>
        </w:rPr>
        <w:t xml:space="preserve"> des </w:t>
      </w:r>
      <w:r w:rsidRPr="009C2953">
        <w:rPr>
          <w:lang w:val="fr-FR"/>
        </w:rPr>
        <w:t>entreprises et de</w:t>
      </w:r>
      <w:r w:rsidR="00F34644" w:rsidRPr="009C2953">
        <w:rPr>
          <w:lang w:val="fr-FR"/>
        </w:rPr>
        <w:t xml:space="preserve"> la </w:t>
      </w:r>
      <w:r w:rsidRPr="009C2953">
        <w:rPr>
          <w:lang w:val="fr-FR"/>
        </w:rPr>
        <w:t>biodiversité) ; IPBES/10/INF/8, sur</w:t>
      </w:r>
      <w:r w:rsidR="00F34644" w:rsidRPr="009C2953">
        <w:rPr>
          <w:lang w:val="fr-FR"/>
        </w:rPr>
        <w:t xml:space="preserve"> le </w:t>
      </w:r>
      <w:r w:rsidRPr="009C2953">
        <w:rPr>
          <w:lang w:val="fr-FR"/>
        </w:rPr>
        <w:t>guide pour</w:t>
      </w:r>
      <w:r w:rsidR="00F34644" w:rsidRPr="009C2953">
        <w:rPr>
          <w:lang w:val="fr-FR"/>
        </w:rPr>
        <w:t xml:space="preserve"> la </w:t>
      </w:r>
      <w:r w:rsidRPr="009C2953">
        <w:rPr>
          <w:lang w:val="fr-FR"/>
        </w:rPr>
        <w:t>réalisation</w:t>
      </w:r>
      <w:r w:rsidR="00D24DC1" w:rsidRPr="009C2953">
        <w:rPr>
          <w:lang w:val="fr-FR"/>
        </w:rPr>
        <w:t xml:space="preserve"> des </w:t>
      </w:r>
      <w:r w:rsidRPr="009C2953">
        <w:rPr>
          <w:lang w:val="fr-FR"/>
        </w:rPr>
        <w:t>évaluations ; IPBES/10/INF/9, sur</w:t>
      </w:r>
      <w:r w:rsidR="00F34644" w:rsidRPr="009C2953">
        <w:rPr>
          <w:lang w:val="fr-FR"/>
        </w:rPr>
        <w:t xml:space="preserve"> les </w:t>
      </w:r>
      <w:r w:rsidRPr="009C2953">
        <w:rPr>
          <w:lang w:val="fr-FR"/>
        </w:rPr>
        <w:t>travaux relatifs au renforcement</w:t>
      </w:r>
      <w:r w:rsidR="00D24DC1" w:rsidRPr="009C2953">
        <w:rPr>
          <w:lang w:val="fr-FR"/>
        </w:rPr>
        <w:t xml:space="preserve"> des </w:t>
      </w:r>
      <w:r w:rsidRPr="009C2953">
        <w:rPr>
          <w:lang w:val="fr-FR"/>
        </w:rPr>
        <w:t>capacités ; IPBES/10/INF/10, sur</w:t>
      </w:r>
      <w:r w:rsidR="00F34644" w:rsidRPr="009C2953">
        <w:rPr>
          <w:lang w:val="fr-FR"/>
        </w:rPr>
        <w:t xml:space="preserve"> la </w:t>
      </w:r>
      <w:r w:rsidRPr="009C2953">
        <w:rPr>
          <w:lang w:val="fr-FR"/>
        </w:rPr>
        <w:t>reconnaissance et l</w:t>
      </w:r>
      <w:r w:rsidR="00EA2966" w:rsidRPr="009C2953">
        <w:rPr>
          <w:lang w:val="fr-FR"/>
        </w:rPr>
        <w:t>’</w:t>
      </w:r>
      <w:r w:rsidRPr="009C2953">
        <w:rPr>
          <w:lang w:val="fr-FR"/>
        </w:rPr>
        <w:t>utilisation améliorées</w:t>
      </w:r>
      <w:r w:rsidR="00D24DC1" w:rsidRPr="009C2953">
        <w:rPr>
          <w:lang w:val="fr-FR"/>
        </w:rPr>
        <w:t xml:space="preserve"> des </w:t>
      </w:r>
      <w:r w:rsidRPr="009C2953">
        <w:rPr>
          <w:lang w:val="fr-FR"/>
        </w:rPr>
        <w:t>systèmes de savoirs autochtones et locaux ; IPBES/10/INF/11, sur</w:t>
      </w:r>
      <w:r w:rsidR="00F34644" w:rsidRPr="009C2953">
        <w:rPr>
          <w:lang w:val="fr-FR"/>
        </w:rPr>
        <w:t xml:space="preserve"> les </w:t>
      </w:r>
      <w:r w:rsidRPr="009C2953">
        <w:rPr>
          <w:lang w:val="fr-FR"/>
        </w:rPr>
        <w:t>travaux avancés sur</w:t>
      </w:r>
      <w:r w:rsidR="00F34644" w:rsidRPr="009C2953">
        <w:rPr>
          <w:lang w:val="fr-FR"/>
        </w:rPr>
        <w:t xml:space="preserve"> les </w:t>
      </w:r>
      <w:r w:rsidRPr="009C2953">
        <w:rPr>
          <w:lang w:val="fr-FR"/>
        </w:rPr>
        <w:t>connaissances et</w:t>
      </w:r>
      <w:r w:rsidR="00F34644" w:rsidRPr="009C2953">
        <w:rPr>
          <w:lang w:val="fr-FR"/>
        </w:rPr>
        <w:t xml:space="preserve"> les </w:t>
      </w:r>
      <w:r w:rsidRPr="009C2953">
        <w:rPr>
          <w:lang w:val="fr-FR"/>
        </w:rPr>
        <w:t>données ; IPBES/10/INF/12, sur</w:t>
      </w:r>
      <w:r w:rsidR="00F34644" w:rsidRPr="009C2953">
        <w:rPr>
          <w:lang w:val="fr-FR"/>
        </w:rPr>
        <w:t xml:space="preserve"> les </w:t>
      </w:r>
      <w:r w:rsidRPr="009C2953">
        <w:rPr>
          <w:lang w:val="fr-FR"/>
        </w:rPr>
        <w:t>travaux avancés sur</w:t>
      </w:r>
      <w:r w:rsidR="00F34644" w:rsidRPr="009C2953">
        <w:rPr>
          <w:lang w:val="fr-FR"/>
        </w:rPr>
        <w:t xml:space="preserve"> les </w:t>
      </w:r>
      <w:r w:rsidRPr="009C2953">
        <w:rPr>
          <w:lang w:val="fr-FR"/>
        </w:rPr>
        <w:t>moyens d</w:t>
      </w:r>
      <w:r w:rsidR="00EA2966" w:rsidRPr="009C2953">
        <w:rPr>
          <w:lang w:val="fr-FR"/>
        </w:rPr>
        <w:t>’</w:t>
      </w:r>
      <w:r w:rsidRPr="009C2953">
        <w:rPr>
          <w:lang w:val="fr-FR"/>
        </w:rPr>
        <w:t>action,</w:t>
      </w:r>
      <w:r w:rsidR="00F34644" w:rsidRPr="009C2953">
        <w:rPr>
          <w:lang w:val="fr-FR"/>
        </w:rPr>
        <w:t xml:space="preserve"> les </w:t>
      </w:r>
      <w:r w:rsidRPr="009C2953">
        <w:rPr>
          <w:lang w:val="fr-FR"/>
        </w:rPr>
        <w:t xml:space="preserve">outils </w:t>
      </w:r>
      <w:r w:rsidR="00546931" w:rsidRPr="009C2953">
        <w:rPr>
          <w:lang w:val="fr-FR"/>
        </w:rPr>
        <w:t xml:space="preserve">et méthodes </w:t>
      </w:r>
      <w:r w:rsidRPr="009C2953">
        <w:rPr>
          <w:lang w:val="fr-FR"/>
        </w:rPr>
        <w:t>d</w:t>
      </w:r>
      <w:r w:rsidR="00EA2966" w:rsidRPr="009C2953">
        <w:rPr>
          <w:lang w:val="fr-FR"/>
        </w:rPr>
        <w:t>’</w:t>
      </w:r>
      <w:r w:rsidRPr="009C2953">
        <w:rPr>
          <w:lang w:val="fr-FR"/>
        </w:rPr>
        <w:t>appui à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 IPBES/10/INF/13, sur</w:t>
      </w:r>
      <w:r w:rsidR="00F34644" w:rsidRPr="009C2953">
        <w:rPr>
          <w:lang w:val="fr-FR"/>
        </w:rPr>
        <w:t xml:space="preserve"> les </w:t>
      </w:r>
      <w:r w:rsidRPr="009C2953">
        <w:rPr>
          <w:lang w:val="fr-FR"/>
        </w:rPr>
        <w:t>travaux avancés sur</w:t>
      </w:r>
      <w:r w:rsidR="00F34644" w:rsidRPr="009C2953">
        <w:rPr>
          <w:lang w:val="fr-FR"/>
        </w:rPr>
        <w:t xml:space="preserve"> les </w:t>
      </w:r>
      <w:r w:rsidRPr="009C2953">
        <w:rPr>
          <w:lang w:val="fr-FR"/>
        </w:rPr>
        <w:t>scénarios et</w:t>
      </w:r>
      <w:r w:rsidR="005828A6" w:rsidRPr="009C2953">
        <w:rPr>
          <w:lang w:val="fr-FR"/>
        </w:rPr>
        <w:t> </w:t>
      </w:r>
      <w:r w:rsidR="00F34644" w:rsidRPr="009C2953">
        <w:rPr>
          <w:lang w:val="fr-FR"/>
        </w:rPr>
        <w:t>les </w:t>
      </w:r>
      <w:r w:rsidRPr="009C2953">
        <w:rPr>
          <w:lang w:val="fr-FR"/>
        </w:rPr>
        <w:t>modèles de</w:t>
      </w:r>
      <w:r w:rsidR="00F34644" w:rsidRPr="009C2953">
        <w:rPr>
          <w:lang w:val="fr-FR"/>
        </w:rPr>
        <w:t xml:space="preserve"> la </w:t>
      </w:r>
      <w:r w:rsidRPr="009C2953">
        <w:rPr>
          <w:lang w:val="fr-FR"/>
        </w:rPr>
        <w:t>biodiversité et</w:t>
      </w:r>
      <w:r w:rsidR="00D24DC1" w:rsidRPr="009C2953">
        <w:rPr>
          <w:lang w:val="fr-FR"/>
        </w:rPr>
        <w:t xml:space="preserve"> des </w:t>
      </w:r>
      <w:r w:rsidRPr="009C2953">
        <w:rPr>
          <w:lang w:val="fr-FR"/>
        </w:rPr>
        <w:t>fonctions et services écosystémiques ; IPBES/10/INF/14, sur</w:t>
      </w:r>
      <w:r w:rsidR="00F34644" w:rsidRPr="009C2953">
        <w:rPr>
          <w:lang w:val="fr-FR"/>
        </w:rPr>
        <w:t xml:space="preserve"> la </w:t>
      </w:r>
      <w:r w:rsidRPr="009C2953">
        <w:rPr>
          <w:lang w:val="fr-FR"/>
        </w:rPr>
        <w:t>communication renforcée ; et IPBES/10/INF/15, sur</w:t>
      </w:r>
      <w:r w:rsidR="00F34644" w:rsidRPr="009C2953">
        <w:rPr>
          <w:lang w:val="fr-FR"/>
        </w:rPr>
        <w:t xml:space="preserve"> la </w:t>
      </w:r>
      <w:r w:rsidRPr="009C2953">
        <w:rPr>
          <w:lang w:val="fr-FR"/>
        </w:rPr>
        <w:t>participation renforcée</w:t>
      </w:r>
      <w:r w:rsidR="00D24DC1" w:rsidRPr="009C2953">
        <w:rPr>
          <w:lang w:val="fr-FR"/>
        </w:rPr>
        <w:t xml:space="preserve"> des </w:t>
      </w:r>
      <w:r w:rsidRPr="009C2953">
        <w:rPr>
          <w:lang w:val="fr-FR"/>
        </w:rPr>
        <w:t>parties prenantes.</w:t>
      </w:r>
    </w:p>
    <w:p w14:paraId="45B6AAB8" w14:textId="09759D84" w:rsidR="00607B78" w:rsidRPr="009C2953" w:rsidRDefault="00607B78" w:rsidP="008731A8">
      <w:pPr>
        <w:pStyle w:val="Normalnumber"/>
        <w:numPr>
          <w:ilvl w:val="0"/>
          <w:numId w:val="2"/>
        </w:numPr>
        <w:rPr>
          <w:lang w:val="fr-FR"/>
        </w:rPr>
      </w:pPr>
      <w:r w:rsidRPr="009C2953">
        <w:rPr>
          <w:lang w:val="fr-FR"/>
        </w:rPr>
        <w:t>La Secrétaire exécutive a présenté</w:t>
      </w:r>
      <w:r w:rsidR="00F34644" w:rsidRPr="009C2953">
        <w:rPr>
          <w:lang w:val="fr-FR"/>
        </w:rPr>
        <w:t xml:space="preserve"> son </w:t>
      </w:r>
      <w:r w:rsidRPr="009C2953">
        <w:rPr>
          <w:lang w:val="fr-FR"/>
        </w:rPr>
        <w:t>rapport sur</w:t>
      </w:r>
      <w:r w:rsidR="00F34644" w:rsidRPr="009C2953">
        <w:rPr>
          <w:lang w:val="fr-FR"/>
        </w:rPr>
        <w:t xml:space="preserve"> les </w:t>
      </w:r>
      <w:r w:rsidRPr="009C2953">
        <w:rPr>
          <w:lang w:val="fr-FR"/>
        </w:rPr>
        <w:t>progrès accomplis dans</w:t>
      </w:r>
      <w:r w:rsidR="00F34644" w:rsidRPr="009C2953">
        <w:rPr>
          <w:lang w:val="fr-FR"/>
        </w:rPr>
        <w:t xml:space="preserve"> la </w:t>
      </w:r>
      <w:r w:rsidRPr="009C2953">
        <w:rPr>
          <w:lang w:val="fr-FR"/>
        </w:rPr>
        <w:t xml:space="preserve">mise en œuvre du programme de travail glissant </w:t>
      </w:r>
      <w:r w:rsidR="00546931" w:rsidRPr="009C2953">
        <w:rPr>
          <w:lang w:val="fr-FR"/>
        </w:rPr>
        <w:t>jusqu</w:t>
      </w:r>
      <w:r w:rsidR="00EA2966" w:rsidRPr="009C2953">
        <w:rPr>
          <w:lang w:val="fr-FR"/>
        </w:rPr>
        <w:t>’</w:t>
      </w:r>
      <w:r w:rsidR="00546931" w:rsidRPr="009C2953">
        <w:rPr>
          <w:lang w:val="fr-FR"/>
        </w:rPr>
        <w:t xml:space="preserve">en 2030 </w:t>
      </w:r>
      <w:r w:rsidRPr="009C2953">
        <w:rPr>
          <w:lang w:val="fr-FR"/>
        </w:rPr>
        <w:t>au regard de ses six objectifs,</w:t>
      </w:r>
      <w:r w:rsidR="00F34644" w:rsidRPr="009C2953">
        <w:rPr>
          <w:lang w:val="fr-FR"/>
        </w:rPr>
        <w:t xml:space="preserve"> le </w:t>
      </w:r>
      <w:r w:rsidRPr="009C2953">
        <w:rPr>
          <w:lang w:val="fr-FR"/>
        </w:rPr>
        <w:t>secrétariat décrivant</w:t>
      </w:r>
      <w:r w:rsidR="00F34644" w:rsidRPr="009C2953">
        <w:rPr>
          <w:lang w:val="fr-FR"/>
        </w:rPr>
        <w:t xml:space="preserve"> les </w:t>
      </w:r>
      <w:r w:rsidRPr="009C2953">
        <w:rPr>
          <w:lang w:val="fr-FR"/>
        </w:rPr>
        <w:t>activités de communication.</w:t>
      </w:r>
      <w:r w:rsidR="00F34644" w:rsidRPr="009C2953">
        <w:rPr>
          <w:lang w:val="fr-FR"/>
        </w:rPr>
        <w:t xml:space="preserve"> La </w:t>
      </w:r>
      <w:r w:rsidRPr="009C2953">
        <w:rPr>
          <w:lang w:val="fr-FR"/>
        </w:rPr>
        <w:t>Secrétaire exécutive a également donné</w:t>
      </w:r>
      <w:r w:rsidR="00F34644" w:rsidRPr="009C2953">
        <w:rPr>
          <w:lang w:val="fr-FR"/>
        </w:rPr>
        <w:t xml:space="preserve"> un </w:t>
      </w:r>
      <w:r w:rsidRPr="009C2953">
        <w:rPr>
          <w:lang w:val="fr-FR"/>
        </w:rPr>
        <w:t>bref aperçu de</w:t>
      </w:r>
      <w:r w:rsidR="00F34644" w:rsidRPr="009C2953">
        <w:rPr>
          <w:lang w:val="fr-FR"/>
        </w:rPr>
        <w:t xml:space="preserve"> la </w:t>
      </w:r>
      <w:r w:rsidRPr="009C2953">
        <w:rPr>
          <w:lang w:val="fr-FR"/>
        </w:rPr>
        <w:t>situation</w:t>
      </w:r>
      <w:r w:rsidR="00D24DC1" w:rsidRPr="009C2953">
        <w:rPr>
          <w:lang w:val="fr-FR"/>
        </w:rPr>
        <w:t xml:space="preserve"> des </w:t>
      </w:r>
      <w:r w:rsidRPr="009C2953">
        <w:rPr>
          <w:lang w:val="fr-FR"/>
        </w:rPr>
        <w:t>effectifs au sein du secrétariat et de</w:t>
      </w:r>
      <w:r w:rsidR="00F34644" w:rsidRPr="009C2953">
        <w:rPr>
          <w:lang w:val="fr-FR"/>
        </w:rPr>
        <w:t xml:space="preserve"> la </w:t>
      </w:r>
      <w:r w:rsidRPr="009C2953">
        <w:rPr>
          <w:lang w:val="fr-FR"/>
        </w:rPr>
        <w:t>mise en œuvre de</w:t>
      </w:r>
      <w:r w:rsidR="00F34644" w:rsidRPr="009C2953">
        <w:rPr>
          <w:lang w:val="fr-FR"/>
        </w:rPr>
        <w:t xml:space="preserve"> la </w:t>
      </w:r>
      <w:r w:rsidRPr="009C2953">
        <w:rPr>
          <w:lang w:val="fr-FR"/>
        </w:rPr>
        <w:t>politique en matière de</w:t>
      </w:r>
      <w:r w:rsidR="00E47BE2" w:rsidRPr="009C2953">
        <w:rPr>
          <w:lang w:val="fr-FR"/>
        </w:rPr>
        <w:t> </w:t>
      </w:r>
      <w:r w:rsidRPr="009C2953">
        <w:rPr>
          <w:lang w:val="fr-FR"/>
        </w:rPr>
        <w:t>conflits d</w:t>
      </w:r>
      <w:r w:rsidR="00EA2966" w:rsidRPr="009C2953">
        <w:rPr>
          <w:lang w:val="fr-FR"/>
        </w:rPr>
        <w:t>’</w:t>
      </w:r>
      <w:r w:rsidRPr="009C2953">
        <w:rPr>
          <w:lang w:val="fr-FR"/>
        </w:rPr>
        <w:t>intérêts.</w:t>
      </w:r>
    </w:p>
    <w:p w14:paraId="0BC03C79" w14:textId="1670075F" w:rsidR="00607B78" w:rsidRPr="009C2953" w:rsidRDefault="00607B78" w:rsidP="008731A8">
      <w:pPr>
        <w:pStyle w:val="Normalnumber"/>
        <w:numPr>
          <w:ilvl w:val="0"/>
          <w:numId w:val="2"/>
        </w:numPr>
        <w:rPr>
          <w:lang w:val="fr-FR"/>
        </w:rPr>
      </w:pPr>
      <w:r w:rsidRPr="009C2953">
        <w:rPr>
          <w:lang w:val="fr-FR"/>
        </w:rPr>
        <w:lastRenderedPageBreak/>
        <w:t>Des exposés sur l</w:t>
      </w:r>
      <w:r w:rsidR="00EA2966" w:rsidRPr="009C2953">
        <w:rPr>
          <w:lang w:val="fr-FR"/>
        </w:rPr>
        <w:t>’</w:t>
      </w:r>
      <w:r w:rsidRPr="009C2953">
        <w:rPr>
          <w:lang w:val="fr-FR"/>
        </w:rPr>
        <w:t>élaboration et</w:t>
      </w:r>
      <w:r w:rsidR="00F34644" w:rsidRPr="009C2953">
        <w:rPr>
          <w:lang w:val="fr-FR"/>
        </w:rPr>
        <w:t xml:space="preserve"> la </w:t>
      </w:r>
      <w:r w:rsidRPr="009C2953">
        <w:rPr>
          <w:lang w:val="fr-FR"/>
        </w:rPr>
        <w:t>mise en œuvre</w:t>
      </w:r>
      <w:r w:rsidR="00D24DC1" w:rsidRPr="009C2953">
        <w:rPr>
          <w:lang w:val="fr-FR"/>
        </w:rPr>
        <w:t xml:space="preserve"> des </w:t>
      </w:r>
      <w:r w:rsidRPr="009C2953">
        <w:rPr>
          <w:lang w:val="fr-FR"/>
        </w:rPr>
        <w:t>évaluations</w:t>
      </w:r>
      <w:r w:rsidR="00D24DC1" w:rsidRPr="009C2953">
        <w:rPr>
          <w:lang w:val="fr-FR"/>
        </w:rPr>
        <w:t xml:space="preserve"> des </w:t>
      </w:r>
      <w:r w:rsidRPr="009C2953">
        <w:rPr>
          <w:lang w:val="fr-FR"/>
        </w:rPr>
        <w:t>interdépendances, du</w:t>
      </w:r>
      <w:r w:rsidR="00C81FE8" w:rsidRPr="009C2953">
        <w:rPr>
          <w:lang w:val="fr-FR"/>
        </w:rPr>
        <w:t> </w:t>
      </w:r>
      <w:r w:rsidRPr="009C2953">
        <w:rPr>
          <w:lang w:val="fr-FR"/>
        </w:rPr>
        <w:t>changement transformateur et</w:t>
      </w:r>
      <w:r w:rsidR="00D24DC1" w:rsidRPr="009C2953">
        <w:rPr>
          <w:lang w:val="fr-FR"/>
        </w:rPr>
        <w:t xml:space="preserve"> des </w:t>
      </w:r>
      <w:r w:rsidRPr="009C2953">
        <w:rPr>
          <w:lang w:val="fr-FR"/>
        </w:rPr>
        <w:t>entreprises et de</w:t>
      </w:r>
      <w:r w:rsidR="00F34644" w:rsidRPr="009C2953">
        <w:rPr>
          <w:lang w:val="fr-FR"/>
        </w:rPr>
        <w:t xml:space="preserve"> la </w:t>
      </w:r>
      <w:r w:rsidRPr="009C2953">
        <w:rPr>
          <w:lang w:val="fr-FR"/>
        </w:rPr>
        <w:t>biodiversité ont été présentés par</w:t>
      </w:r>
      <w:r w:rsidR="00F34644" w:rsidRPr="009C2953">
        <w:rPr>
          <w:lang w:val="fr-FR"/>
        </w:rPr>
        <w:t xml:space="preserve"> les </w:t>
      </w:r>
      <w:r w:rsidRPr="009C2953">
        <w:rPr>
          <w:lang w:val="fr-FR"/>
        </w:rPr>
        <w:t>coprésidences de ces évaluations. Ces présentations ont fourni</w:t>
      </w:r>
      <w:r w:rsidR="00D24DC1" w:rsidRPr="009C2953">
        <w:rPr>
          <w:lang w:val="fr-FR"/>
        </w:rPr>
        <w:t xml:space="preserve"> des </w:t>
      </w:r>
      <w:r w:rsidRPr="009C2953">
        <w:rPr>
          <w:lang w:val="fr-FR"/>
        </w:rPr>
        <w:t>informations sur</w:t>
      </w:r>
      <w:r w:rsidR="00F34644" w:rsidRPr="009C2953">
        <w:rPr>
          <w:lang w:val="fr-FR"/>
        </w:rPr>
        <w:t xml:space="preserve"> le </w:t>
      </w:r>
      <w:r w:rsidRPr="009C2953">
        <w:rPr>
          <w:lang w:val="fr-FR"/>
        </w:rPr>
        <w:t>contexte et</w:t>
      </w:r>
      <w:r w:rsidR="005828A6" w:rsidRPr="009C2953">
        <w:rPr>
          <w:lang w:val="fr-FR"/>
        </w:rPr>
        <w:t> </w:t>
      </w:r>
      <w:r w:rsidR="00F34644" w:rsidRPr="009C2953">
        <w:rPr>
          <w:lang w:val="fr-FR"/>
        </w:rPr>
        <w:t>la </w:t>
      </w:r>
      <w:r w:rsidRPr="009C2953">
        <w:rPr>
          <w:lang w:val="fr-FR"/>
        </w:rPr>
        <w:t>portée</w:t>
      </w:r>
      <w:r w:rsidR="00D24DC1" w:rsidRPr="009C2953">
        <w:rPr>
          <w:lang w:val="fr-FR"/>
        </w:rPr>
        <w:t xml:space="preserve"> des </w:t>
      </w:r>
      <w:r w:rsidRPr="009C2953">
        <w:rPr>
          <w:lang w:val="fr-FR"/>
        </w:rPr>
        <w:t>évaluations,</w:t>
      </w:r>
      <w:r w:rsidR="00F34644" w:rsidRPr="009C2953">
        <w:rPr>
          <w:lang w:val="fr-FR"/>
        </w:rPr>
        <w:t xml:space="preserve"> les </w:t>
      </w:r>
      <w:r w:rsidRPr="009C2953">
        <w:rPr>
          <w:lang w:val="fr-FR"/>
        </w:rPr>
        <w:t>équipes impliquées,</w:t>
      </w:r>
      <w:r w:rsidR="00F34644" w:rsidRPr="009C2953">
        <w:rPr>
          <w:lang w:val="fr-FR"/>
        </w:rPr>
        <w:t xml:space="preserve"> les </w:t>
      </w:r>
      <w:r w:rsidRPr="009C2953">
        <w:rPr>
          <w:lang w:val="fr-FR"/>
        </w:rPr>
        <w:t>progrès accomplis et</w:t>
      </w:r>
      <w:r w:rsidR="00F34644" w:rsidRPr="009C2953">
        <w:rPr>
          <w:lang w:val="fr-FR"/>
        </w:rPr>
        <w:t xml:space="preserve"> les </w:t>
      </w:r>
      <w:r w:rsidRPr="009C2953">
        <w:rPr>
          <w:lang w:val="fr-FR"/>
        </w:rPr>
        <w:t>prochaines étapes, ainsi</w:t>
      </w:r>
      <w:r w:rsidR="00C81FE8" w:rsidRPr="009C2953">
        <w:rPr>
          <w:lang w:val="fr-FR"/>
        </w:rPr>
        <w:t> </w:t>
      </w:r>
      <w:r w:rsidRPr="009C2953">
        <w:rPr>
          <w:lang w:val="fr-FR"/>
        </w:rPr>
        <w:t>que sur</w:t>
      </w:r>
      <w:r w:rsidR="00F34644" w:rsidRPr="009C2953">
        <w:rPr>
          <w:lang w:val="fr-FR"/>
        </w:rPr>
        <w:t xml:space="preserve"> le </w:t>
      </w:r>
      <w:r w:rsidRPr="009C2953">
        <w:rPr>
          <w:lang w:val="fr-FR"/>
        </w:rPr>
        <w:t>calendrier d</w:t>
      </w:r>
      <w:r w:rsidR="00EA2966" w:rsidRPr="009C2953">
        <w:rPr>
          <w:lang w:val="fr-FR"/>
        </w:rPr>
        <w:t>’</w:t>
      </w:r>
      <w:r w:rsidRPr="009C2953">
        <w:rPr>
          <w:lang w:val="fr-FR"/>
        </w:rPr>
        <w:t>achèvement</w:t>
      </w:r>
      <w:r w:rsidR="00D24DC1" w:rsidRPr="009C2953">
        <w:rPr>
          <w:lang w:val="fr-FR"/>
        </w:rPr>
        <w:t xml:space="preserve"> des </w:t>
      </w:r>
      <w:r w:rsidRPr="009C2953">
        <w:rPr>
          <w:lang w:val="fr-FR"/>
        </w:rPr>
        <w:t>évaluations et d</w:t>
      </w:r>
      <w:r w:rsidR="00EA2966" w:rsidRPr="009C2953">
        <w:rPr>
          <w:lang w:val="fr-FR"/>
        </w:rPr>
        <w:t>’</w:t>
      </w:r>
      <w:r w:rsidRPr="009C2953">
        <w:rPr>
          <w:lang w:val="fr-FR"/>
        </w:rPr>
        <w:t>examen par</w:t>
      </w:r>
      <w:r w:rsidR="00F34644" w:rsidRPr="009C2953">
        <w:rPr>
          <w:lang w:val="fr-FR"/>
        </w:rPr>
        <w:t xml:space="preserve"> la </w:t>
      </w:r>
      <w:r w:rsidRPr="009C2953">
        <w:rPr>
          <w:lang w:val="fr-FR"/>
        </w:rPr>
        <w:t>Plénière.</w:t>
      </w:r>
    </w:p>
    <w:p w14:paraId="68DCA973" w14:textId="6D84BF16" w:rsidR="00607B78" w:rsidRPr="009C2953" w:rsidRDefault="00607B78" w:rsidP="008731A8">
      <w:pPr>
        <w:pStyle w:val="Normalnumber"/>
        <w:numPr>
          <w:ilvl w:val="0"/>
          <w:numId w:val="2"/>
        </w:numPr>
        <w:rPr>
          <w:lang w:val="fr-FR"/>
        </w:rPr>
      </w:pPr>
      <w:r w:rsidRPr="009C2953">
        <w:rPr>
          <w:lang w:val="fr-FR"/>
        </w:rPr>
        <w:t>La Plénière a pris note</w:t>
      </w:r>
      <w:r w:rsidR="00D24DC1" w:rsidRPr="009C2953">
        <w:rPr>
          <w:lang w:val="fr-FR"/>
        </w:rPr>
        <w:t xml:space="preserve"> des </w:t>
      </w:r>
      <w:r w:rsidRPr="009C2953">
        <w:rPr>
          <w:lang w:val="fr-FR"/>
        </w:rPr>
        <w:t>informations fournies et salué</w:t>
      </w:r>
      <w:r w:rsidR="00F34644" w:rsidRPr="009C2953">
        <w:rPr>
          <w:lang w:val="fr-FR"/>
        </w:rPr>
        <w:t xml:space="preserve"> les </w:t>
      </w:r>
      <w:r w:rsidRPr="009C2953">
        <w:rPr>
          <w:lang w:val="fr-FR"/>
        </w:rPr>
        <w:t>travaux entrepris.</w:t>
      </w:r>
    </w:p>
    <w:p w14:paraId="745D8328" w14:textId="24F6D88D" w:rsidR="00607B78" w:rsidRPr="009C2953" w:rsidRDefault="00607B78" w:rsidP="00607B78">
      <w:pPr>
        <w:pStyle w:val="CH1"/>
      </w:pPr>
      <w:r w:rsidRPr="009C2953">
        <w:tab/>
        <w:t>VI.</w:t>
      </w:r>
      <w:r w:rsidRPr="009C2953">
        <w:tab/>
        <w:t>Dispositifs financiers et budgétaires pour</w:t>
      </w:r>
      <w:r w:rsidR="00F34644" w:rsidRPr="009C2953">
        <w:t xml:space="preserve"> la </w:t>
      </w:r>
      <w:r w:rsidRPr="009C2953">
        <w:t>Plateforme</w:t>
      </w:r>
    </w:p>
    <w:p w14:paraId="427D8254" w14:textId="517BE14A" w:rsidR="00607B78" w:rsidRPr="009C2953" w:rsidRDefault="00607B78" w:rsidP="008731A8">
      <w:pPr>
        <w:pStyle w:val="Normalnumber"/>
        <w:numPr>
          <w:ilvl w:val="0"/>
          <w:numId w:val="2"/>
        </w:numPr>
        <w:tabs>
          <w:tab w:val="clear" w:pos="1871"/>
        </w:tabs>
        <w:rPr>
          <w:lang w:val="fr-FR"/>
        </w:rPr>
      </w:pPr>
      <w:r w:rsidRPr="009C2953">
        <w:rPr>
          <w:lang w:val="fr-FR"/>
        </w:rPr>
        <w:t>La Secrétaire exécutive a donné</w:t>
      </w:r>
      <w:r w:rsidR="00F34644" w:rsidRPr="009C2953">
        <w:rPr>
          <w:lang w:val="fr-FR"/>
        </w:rPr>
        <w:t xml:space="preserve"> un </w:t>
      </w:r>
      <w:r w:rsidRPr="009C2953">
        <w:rPr>
          <w:lang w:val="fr-FR"/>
        </w:rPr>
        <w:t>aperçu</w:t>
      </w:r>
      <w:r w:rsidR="00D24DC1" w:rsidRPr="009C2953">
        <w:rPr>
          <w:lang w:val="fr-FR"/>
        </w:rPr>
        <w:t xml:space="preserve"> des </w:t>
      </w:r>
      <w:r w:rsidRPr="009C2953">
        <w:rPr>
          <w:lang w:val="fr-FR"/>
        </w:rPr>
        <w:t>dispositifs financiers et budgétaires de l</w:t>
      </w:r>
      <w:r w:rsidR="00EA2966" w:rsidRPr="009C2953">
        <w:rPr>
          <w:lang w:val="fr-FR"/>
        </w:rPr>
        <w:t>’</w:t>
      </w:r>
      <w:r w:rsidRPr="009C2953">
        <w:rPr>
          <w:lang w:val="fr-FR"/>
        </w:rPr>
        <w:t>IPBES, tels qu</w:t>
      </w:r>
      <w:r w:rsidR="00EA2966" w:rsidRPr="009C2953">
        <w:rPr>
          <w:lang w:val="fr-FR"/>
        </w:rPr>
        <w:t>’</w:t>
      </w:r>
      <w:r w:rsidRPr="009C2953">
        <w:rPr>
          <w:lang w:val="fr-FR"/>
        </w:rPr>
        <w:t>ils figurent dans</w:t>
      </w:r>
      <w:r w:rsidR="00F34644" w:rsidRPr="009C2953">
        <w:rPr>
          <w:lang w:val="fr-FR"/>
        </w:rPr>
        <w:t xml:space="preserve"> une </w:t>
      </w:r>
      <w:r w:rsidRPr="009C2953">
        <w:rPr>
          <w:lang w:val="fr-FR"/>
        </w:rPr>
        <w:t>note du secrétariat sur</w:t>
      </w:r>
      <w:r w:rsidR="00F34644" w:rsidRPr="009C2953">
        <w:rPr>
          <w:lang w:val="fr-FR"/>
        </w:rPr>
        <w:t xml:space="preserve"> la </w:t>
      </w:r>
      <w:r w:rsidRPr="009C2953">
        <w:rPr>
          <w:lang w:val="fr-FR"/>
        </w:rPr>
        <w:t>question (IPBES/10/5) et dans</w:t>
      </w:r>
      <w:r w:rsidR="00F34644" w:rsidRPr="009C2953">
        <w:rPr>
          <w:lang w:val="fr-FR"/>
        </w:rPr>
        <w:t xml:space="preserve"> une </w:t>
      </w:r>
      <w:r w:rsidRPr="009C2953">
        <w:rPr>
          <w:lang w:val="fr-FR"/>
        </w:rPr>
        <w:t>note du secrétariat sur</w:t>
      </w:r>
      <w:r w:rsidR="00F34644" w:rsidRPr="009C2953">
        <w:rPr>
          <w:lang w:val="fr-FR"/>
        </w:rPr>
        <w:t xml:space="preserve"> le </w:t>
      </w:r>
      <w:r w:rsidRPr="009C2953">
        <w:rPr>
          <w:lang w:val="fr-FR"/>
        </w:rPr>
        <w:t>coût détaillé de</w:t>
      </w:r>
      <w:r w:rsidR="00F34644" w:rsidRPr="009C2953">
        <w:rPr>
          <w:lang w:val="fr-FR"/>
        </w:rPr>
        <w:t xml:space="preserve"> la </w:t>
      </w:r>
      <w:r w:rsidRPr="009C2953">
        <w:rPr>
          <w:lang w:val="fr-FR"/>
        </w:rPr>
        <w:t>mise en œuvre du programme de travail (IPBES/10/INF/18). Des</w:t>
      </w:r>
      <w:r w:rsidR="00CD2E8D" w:rsidRPr="009C2953">
        <w:rPr>
          <w:lang w:val="fr-FR"/>
        </w:rPr>
        <w:t> </w:t>
      </w:r>
      <w:r w:rsidRPr="009C2953">
        <w:rPr>
          <w:lang w:val="fr-FR"/>
        </w:rPr>
        <w:t xml:space="preserve">contributions supplémentaires ont été fournies par </w:t>
      </w:r>
      <w:r w:rsidR="00F857CB" w:rsidRPr="009C2953">
        <w:rPr>
          <w:lang w:val="fr-FR"/>
        </w:rPr>
        <w:t>10 </w:t>
      </w:r>
      <w:r w:rsidRPr="009C2953">
        <w:rPr>
          <w:lang w:val="fr-FR"/>
        </w:rPr>
        <w:t>gouvernements et</w:t>
      </w:r>
      <w:r w:rsidR="00F34644" w:rsidRPr="009C2953">
        <w:rPr>
          <w:lang w:val="fr-FR"/>
        </w:rPr>
        <w:t xml:space="preserve"> un </w:t>
      </w:r>
      <w:r w:rsidRPr="009C2953">
        <w:rPr>
          <w:lang w:val="fr-FR"/>
        </w:rPr>
        <w:t>donateur du secteur privé depuis</w:t>
      </w:r>
      <w:r w:rsidR="00F34644" w:rsidRPr="009C2953">
        <w:rPr>
          <w:lang w:val="fr-FR"/>
        </w:rPr>
        <w:t xml:space="preserve"> la </w:t>
      </w:r>
      <w:r w:rsidRPr="009C2953">
        <w:rPr>
          <w:lang w:val="fr-FR"/>
        </w:rPr>
        <w:t>publication</w:t>
      </w:r>
      <w:r w:rsidR="00D24DC1" w:rsidRPr="009C2953">
        <w:rPr>
          <w:lang w:val="fr-FR"/>
        </w:rPr>
        <w:t xml:space="preserve"> des </w:t>
      </w:r>
      <w:r w:rsidRPr="009C2953">
        <w:rPr>
          <w:lang w:val="fr-FR"/>
        </w:rPr>
        <w:t>documents.</w:t>
      </w:r>
    </w:p>
    <w:p w14:paraId="63FDA076" w14:textId="11A57468" w:rsidR="00607B78" w:rsidRPr="009C2953" w:rsidRDefault="00607B78" w:rsidP="008731A8">
      <w:pPr>
        <w:pStyle w:val="Normalnumber"/>
        <w:numPr>
          <w:ilvl w:val="0"/>
          <w:numId w:val="2"/>
        </w:numPr>
        <w:tabs>
          <w:tab w:val="clear" w:pos="1871"/>
        </w:tabs>
        <w:rPr>
          <w:lang w:val="fr-FR"/>
        </w:rPr>
      </w:pPr>
      <w:r w:rsidRPr="009C2953">
        <w:rPr>
          <w:lang w:val="fr-FR"/>
        </w:rPr>
        <w:t>La Présidente a remercié</w:t>
      </w:r>
      <w:r w:rsidR="00F34644" w:rsidRPr="009C2953">
        <w:rPr>
          <w:lang w:val="fr-FR"/>
        </w:rPr>
        <w:t xml:space="preserve"> les </w:t>
      </w:r>
      <w:r w:rsidRPr="009C2953">
        <w:rPr>
          <w:lang w:val="fr-FR"/>
        </w:rPr>
        <w:t>pays et</w:t>
      </w:r>
      <w:r w:rsidR="00F34644" w:rsidRPr="009C2953">
        <w:rPr>
          <w:lang w:val="fr-FR"/>
        </w:rPr>
        <w:t xml:space="preserve"> les </w:t>
      </w:r>
      <w:r w:rsidRPr="009C2953">
        <w:rPr>
          <w:lang w:val="fr-FR"/>
        </w:rPr>
        <w:t>donateurs du secteur privé qui avaient contribué au</w:t>
      </w:r>
      <w:r w:rsidR="00CD2E8D" w:rsidRPr="009C2953">
        <w:rPr>
          <w:lang w:val="fr-FR"/>
        </w:rPr>
        <w:t> </w:t>
      </w:r>
      <w:r w:rsidRPr="009C2953">
        <w:rPr>
          <w:lang w:val="fr-FR"/>
        </w:rPr>
        <w:t>fonds d</w:t>
      </w:r>
      <w:r w:rsidR="00EA2966" w:rsidRPr="009C2953">
        <w:rPr>
          <w:lang w:val="fr-FR"/>
        </w:rPr>
        <w:t>’</w:t>
      </w:r>
      <w:r w:rsidRPr="009C2953">
        <w:rPr>
          <w:lang w:val="fr-FR"/>
        </w:rPr>
        <w:t>affectation spéciale de l</w:t>
      </w:r>
      <w:r w:rsidR="00EA2966" w:rsidRPr="009C2953">
        <w:rPr>
          <w:lang w:val="fr-FR"/>
        </w:rPr>
        <w:t>’</w:t>
      </w:r>
      <w:r w:rsidRPr="009C2953">
        <w:rPr>
          <w:lang w:val="fr-FR"/>
        </w:rPr>
        <w:t>IPBES et</w:t>
      </w:r>
      <w:r w:rsidR="00F34644" w:rsidRPr="009C2953">
        <w:rPr>
          <w:lang w:val="fr-FR"/>
        </w:rPr>
        <w:t xml:space="preserve"> les </w:t>
      </w:r>
      <w:r w:rsidRPr="009C2953">
        <w:rPr>
          <w:lang w:val="fr-FR"/>
        </w:rPr>
        <w:t>pays et organisations qui avaient fourni</w:t>
      </w:r>
      <w:r w:rsidR="00F34644" w:rsidRPr="009C2953">
        <w:rPr>
          <w:lang w:val="fr-FR"/>
        </w:rPr>
        <w:t xml:space="preserve"> un </w:t>
      </w:r>
      <w:r w:rsidRPr="009C2953">
        <w:rPr>
          <w:lang w:val="fr-FR"/>
        </w:rPr>
        <w:t>appui en</w:t>
      </w:r>
      <w:r w:rsidR="00CD2E8D" w:rsidRPr="009C2953">
        <w:rPr>
          <w:lang w:val="fr-FR"/>
        </w:rPr>
        <w:t> </w:t>
      </w:r>
      <w:r w:rsidRPr="009C2953">
        <w:rPr>
          <w:lang w:val="fr-FR"/>
        </w:rPr>
        <w:t>nature ou autre à l</w:t>
      </w:r>
      <w:r w:rsidR="00EA2966" w:rsidRPr="009C2953">
        <w:rPr>
          <w:lang w:val="fr-FR"/>
        </w:rPr>
        <w:t>’</w:t>
      </w:r>
      <w:r w:rsidRPr="009C2953">
        <w:rPr>
          <w:lang w:val="fr-FR"/>
        </w:rPr>
        <w:t>IPBES, ainsi que</w:t>
      </w:r>
      <w:r w:rsidR="00F34644" w:rsidRPr="009C2953">
        <w:rPr>
          <w:lang w:val="fr-FR"/>
        </w:rPr>
        <w:t xml:space="preserve"> les </w:t>
      </w:r>
      <w:r w:rsidRPr="009C2953">
        <w:rPr>
          <w:lang w:val="fr-FR"/>
        </w:rPr>
        <w:t>nombreux(ses) expert(e)s du monde entier qui avaient gracieusement consacré du temps</w:t>
      </w:r>
      <w:r w:rsidR="00F34644" w:rsidRPr="009C2953">
        <w:rPr>
          <w:lang w:val="fr-FR"/>
        </w:rPr>
        <w:t xml:space="preserve"> aux </w:t>
      </w:r>
      <w:r w:rsidRPr="009C2953">
        <w:rPr>
          <w:lang w:val="fr-FR"/>
        </w:rPr>
        <w:t>travaux de</w:t>
      </w:r>
      <w:r w:rsidR="00F34644" w:rsidRPr="009C2953">
        <w:rPr>
          <w:lang w:val="fr-FR"/>
        </w:rPr>
        <w:t xml:space="preserve"> la </w:t>
      </w:r>
      <w:r w:rsidRPr="009C2953">
        <w:rPr>
          <w:lang w:val="fr-FR"/>
        </w:rPr>
        <w:t>Plateforme. Notant qu</w:t>
      </w:r>
      <w:r w:rsidR="00EA2966" w:rsidRPr="009C2953">
        <w:rPr>
          <w:lang w:val="fr-FR"/>
        </w:rPr>
        <w:t>’</w:t>
      </w:r>
      <w:r w:rsidRPr="009C2953">
        <w:rPr>
          <w:lang w:val="fr-FR"/>
        </w:rPr>
        <w:t>un financement supplémentaire était néanmoins nécessaire pour 2023 et</w:t>
      </w:r>
      <w:r w:rsidR="00F34644" w:rsidRPr="009C2953">
        <w:rPr>
          <w:lang w:val="fr-FR"/>
        </w:rPr>
        <w:t xml:space="preserve"> les </w:t>
      </w:r>
      <w:r w:rsidRPr="009C2953">
        <w:rPr>
          <w:lang w:val="fr-FR"/>
        </w:rPr>
        <w:t>années suivantes, elle a encouragé l</w:t>
      </w:r>
      <w:r w:rsidR="00EA2966" w:rsidRPr="009C2953">
        <w:rPr>
          <w:lang w:val="fr-FR"/>
        </w:rPr>
        <w:t>’</w:t>
      </w:r>
      <w:r w:rsidRPr="009C2953">
        <w:rPr>
          <w:lang w:val="fr-FR"/>
        </w:rPr>
        <w:t>annonce de contributions supplémentaires au fonds d</w:t>
      </w:r>
      <w:r w:rsidR="00EA2966" w:rsidRPr="009C2953">
        <w:rPr>
          <w:lang w:val="fr-FR"/>
        </w:rPr>
        <w:t>’</w:t>
      </w:r>
      <w:r w:rsidRPr="009C2953">
        <w:rPr>
          <w:lang w:val="fr-FR"/>
        </w:rPr>
        <w:t>affectation spéciale.</w:t>
      </w:r>
    </w:p>
    <w:p w14:paraId="1401C7CE" w14:textId="388B792D" w:rsidR="00607B78" w:rsidRPr="009C2953" w:rsidRDefault="00607B78" w:rsidP="008731A8">
      <w:pPr>
        <w:pStyle w:val="Normalnumber"/>
        <w:numPr>
          <w:ilvl w:val="0"/>
          <w:numId w:val="2"/>
        </w:numPr>
        <w:tabs>
          <w:tab w:val="clear" w:pos="1871"/>
        </w:tabs>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un </w:t>
      </w:r>
      <w:r w:rsidRPr="009C2953">
        <w:rPr>
          <w:lang w:val="fr-FR"/>
        </w:rPr>
        <w:t>certain nombre de représentant</w:t>
      </w:r>
      <w:r w:rsidR="00B42365" w:rsidRPr="009C2953">
        <w:rPr>
          <w:lang w:val="fr-FR"/>
        </w:rPr>
        <w:t>(</w:t>
      </w:r>
      <w:r w:rsidR="00225960" w:rsidRPr="009C2953">
        <w:rPr>
          <w:lang w:val="fr-FR"/>
        </w:rPr>
        <w:t>e</w:t>
      </w:r>
      <w:r w:rsidR="00B42365" w:rsidRPr="009C2953">
        <w:rPr>
          <w:lang w:val="fr-FR"/>
        </w:rPr>
        <w:t>)</w:t>
      </w:r>
      <w:r w:rsidR="00225960" w:rsidRPr="009C2953">
        <w:rPr>
          <w:lang w:val="fr-FR"/>
        </w:rPr>
        <w:t xml:space="preserve">s </w:t>
      </w:r>
      <w:r w:rsidRPr="009C2953">
        <w:rPr>
          <w:lang w:val="fr-FR"/>
        </w:rPr>
        <w:t>ont fourni</w:t>
      </w:r>
      <w:r w:rsidR="00D24DC1" w:rsidRPr="009C2953">
        <w:rPr>
          <w:lang w:val="fr-FR"/>
        </w:rPr>
        <w:t xml:space="preserve"> des </w:t>
      </w:r>
      <w:r w:rsidRPr="009C2953">
        <w:rPr>
          <w:lang w:val="fr-FR"/>
        </w:rPr>
        <w:t>informations sur</w:t>
      </w:r>
      <w:r w:rsidR="00F34644" w:rsidRPr="009C2953">
        <w:rPr>
          <w:lang w:val="fr-FR"/>
        </w:rPr>
        <w:t xml:space="preserve"> les </w:t>
      </w:r>
      <w:r w:rsidRPr="009C2953">
        <w:rPr>
          <w:lang w:val="fr-FR"/>
        </w:rPr>
        <w:t>contributions de</w:t>
      </w:r>
      <w:r w:rsidR="00107282" w:rsidRPr="009C2953">
        <w:rPr>
          <w:lang w:val="fr-FR"/>
        </w:rPr>
        <w:t xml:space="preserve"> leurs </w:t>
      </w:r>
      <w:r w:rsidRPr="009C2953">
        <w:rPr>
          <w:lang w:val="fr-FR"/>
        </w:rPr>
        <w:t>pays.</w:t>
      </w:r>
      <w:r w:rsidR="00F34644" w:rsidRPr="009C2953">
        <w:rPr>
          <w:lang w:val="fr-FR"/>
        </w:rPr>
        <w:t xml:space="preserve"> La </w:t>
      </w:r>
      <w:r w:rsidRPr="009C2953">
        <w:rPr>
          <w:lang w:val="fr-FR"/>
        </w:rPr>
        <w:t>représentante</w:t>
      </w:r>
      <w:r w:rsidR="00D24DC1" w:rsidRPr="009C2953">
        <w:rPr>
          <w:lang w:val="fr-FR"/>
        </w:rPr>
        <w:t xml:space="preserve"> des </w:t>
      </w:r>
      <w:r w:rsidRPr="009C2953">
        <w:rPr>
          <w:lang w:val="fr-FR"/>
        </w:rPr>
        <w:t>États-Unis a rappelé que</w:t>
      </w:r>
      <w:r w:rsidR="00F34644" w:rsidRPr="009C2953">
        <w:rPr>
          <w:lang w:val="fr-FR"/>
        </w:rPr>
        <w:t xml:space="preserve"> son </w:t>
      </w:r>
      <w:r w:rsidRPr="009C2953">
        <w:rPr>
          <w:lang w:val="fr-FR"/>
        </w:rPr>
        <w:t>gouvernement s</w:t>
      </w:r>
      <w:r w:rsidR="00EA2966" w:rsidRPr="009C2953">
        <w:rPr>
          <w:lang w:val="fr-FR"/>
        </w:rPr>
        <w:t>’</w:t>
      </w:r>
      <w:r w:rsidRPr="009C2953">
        <w:rPr>
          <w:lang w:val="fr-FR"/>
        </w:rPr>
        <w:t>était</w:t>
      </w:r>
      <w:r w:rsidR="00B42365" w:rsidRPr="009C2953">
        <w:rPr>
          <w:lang w:val="fr-FR"/>
        </w:rPr>
        <w:t> </w:t>
      </w:r>
      <w:r w:rsidRPr="009C2953">
        <w:rPr>
          <w:lang w:val="fr-FR"/>
        </w:rPr>
        <w:t>engagé à apporter</w:t>
      </w:r>
      <w:r w:rsidR="00F34644" w:rsidRPr="009C2953">
        <w:rPr>
          <w:lang w:val="fr-FR"/>
        </w:rPr>
        <w:t xml:space="preserve"> une </w:t>
      </w:r>
      <w:r w:rsidRPr="009C2953">
        <w:rPr>
          <w:lang w:val="fr-FR"/>
        </w:rPr>
        <w:t>contribution de 1,2 million de dollars en 2023, et</w:t>
      </w:r>
      <w:r w:rsidR="00F34644" w:rsidRPr="009C2953">
        <w:rPr>
          <w:lang w:val="fr-FR"/>
        </w:rPr>
        <w:t xml:space="preserve"> le </w:t>
      </w:r>
      <w:r w:rsidR="00B42365" w:rsidRPr="009C2953">
        <w:rPr>
          <w:lang w:val="fr-FR"/>
        </w:rPr>
        <w:t>(la)</w:t>
      </w:r>
      <w:r w:rsidRPr="009C2953">
        <w:rPr>
          <w:lang w:val="fr-FR"/>
        </w:rPr>
        <w:t xml:space="preserve"> représentant</w:t>
      </w:r>
      <w:r w:rsidR="00B42365" w:rsidRPr="009C2953">
        <w:rPr>
          <w:lang w:val="fr-FR"/>
        </w:rPr>
        <w:t>(e)</w:t>
      </w:r>
      <w:r w:rsidRPr="009C2953">
        <w:rPr>
          <w:lang w:val="fr-FR"/>
        </w:rPr>
        <w:t xml:space="preserve"> de l</w:t>
      </w:r>
      <w:r w:rsidR="00EA2966" w:rsidRPr="009C2953">
        <w:rPr>
          <w:lang w:val="fr-FR"/>
        </w:rPr>
        <w:t>’</w:t>
      </w:r>
      <w:r w:rsidRPr="009C2953">
        <w:rPr>
          <w:lang w:val="fr-FR"/>
        </w:rPr>
        <w:t>Union européenne a réitéré</w:t>
      </w:r>
      <w:r w:rsidR="00F34644" w:rsidRPr="009C2953">
        <w:rPr>
          <w:lang w:val="fr-FR"/>
        </w:rPr>
        <w:t xml:space="preserve"> sa </w:t>
      </w:r>
      <w:r w:rsidRPr="009C2953">
        <w:rPr>
          <w:lang w:val="fr-FR"/>
        </w:rPr>
        <w:t>promesse de verser 1 million d</w:t>
      </w:r>
      <w:r w:rsidR="00EA2966" w:rsidRPr="009C2953">
        <w:rPr>
          <w:lang w:val="fr-FR"/>
        </w:rPr>
        <w:t>’</w:t>
      </w:r>
      <w:r w:rsidRPr="009C2953">
        <w:rPr>
          <w:lang w:val="fr-FR"/>
        </w:rPr>
        <w:t>euros par an pour</w:t>
      </w:r>
      <w:r w:rsidR="00F34644" w:rsidRPr="009C2953">
        <w:rPr>
          <w:lang w:val="fr-FR"/>
        </w:rPr>
        <w:t xml:space="preserve"> les </w:t>
      </w:r>
      <w:r w:rsidRPr="009C2953">
        <w:rPr>
          <w:lang w:val="fr-FR"/>
        </w:rPr>
        <w:t>années 2023 à</w:t>
      </w:r>
      <w:r w:rsidR="00CC5D91" w:rsidRPr="009C2953">
        <w:rPr>
          <w:lang w:val="fr-FR"/>
        </w:rPr>
        <w:t> </w:t>
      </w:r>
      <w:r w:rsidRPr="009C2953">
        <w:rPr>
          <w:lang w:val="fr-FR"/>
        </w:rPr>
        <w:t>2028.</w:t>
      </w:r>
      <w:r w:rsidR="00F34644" w:rsidRPr="009C2953">
        <w:rPr>
          <w:lang w:val="fr-FR"/>
        </w:rPr>
        <w:t xml:space="preserve"> Le </w:t>
      </w:r>
      <w:r w:rsidRPr="009C2953">
        <w:rPr>
          <w:lang w:val="fr-FR"/>
        </w:rPr>
        <w:t>représentant du Japon a déclaré que</w:t>
      </w:r>
      <w:r w:rsidR="00F34644" w:rsidRPr="009C2953">
        <w:rPr>
          <w:lang w:val="fr-FR"/>
        </w:rPr>
        <w:t xml:space="preserve"> son </w:t>
      </w:r>
      <w:r w:rsidRPr="009C2953">
        <w:rPr>
          <w:lang w:val="fr-FR"/>
        </w:rPr>
        <w:t>gouvernement était particulièrement favorable</w:t>
      </w:r>
      <w:r w:rsidR="00F34644" w:rsidRPr="009C2953">
        <w:rPr>
          <w:lang w:val="fr-FR"/>
        </w:rPr>
        <w:t xml:space="preserve"> aux </w:t>
      </w:r>
      <w:r w:rsidRPr="009C2953">
        <w:rPr>
          <w:lang w:val="fr-FR"/>
        </w:rPr>
        <w:t>activités qui soutenaient</w:t>
      </w:r>
      <w:r w:rsidR="00F34644" w:rsidRPr="009C2953">
        <w:rPr>
          <w:lang w:val="fr-FR"/>
        </w:rPr>
        <w:t xml:space="preserve"> la </w:t>
      </w:r>
      <w:r w:rsidRPr="009C2953">
        <w:rPr>
          <w:lang w:val="fr-FR"/>
        </w:rPr>
        <w:t>mise en œuvre du Cadre mondial de</w:t>
      </w:r>
      <w:r w:rsidR="00F34644" w:rsidRPr="009C2953">
        <w:rPr>
          <w:lang w:val="fr-FR"/>
        </w:rPr>
        <w:t xml:space="preserve"> la </w:t>
      </w:r>
      <w:r w:rsidRPr="009C2953">
        <w:rPr>
          <w:lang w:val="fr-FR"/>
        </w:rPr>
        <w:t>biodiversité de Kunming</w:t>
      </w:r>
      <w:r w:rsidR="0000276C" w:rsidRPr="009C2953">
        <w:rPr>
          <w:lang w:val="fr-FR"/>
        </w:rPr>
        <w:noBreakHyphen/>
      </w:r>
      <w:r w:rsidRPr="009C2953">
        <w:rPr>
          <w:lang w:val="fr-FR"/>
        </w:rPr>
        <w:t>Montréal et qu</w:t>
      </w:r>
      <w:r w:rsidR="00EA2966" w:rsidRPr="009C2953">
        <w:rPr>
          <w:lang w:val="fr-FR"/>
        </w:rPr>
        <w:t>’</w:t>
      </w:r>
      <w:r w:rsidRPr="009C2953">
        <w:rPr>
          <w:lang w:val="fr-FR"/>
        </w:rPr>
        <w:t>il</w:t>
      </w:r>
      <w:r w:rsidR="00B42365" w:rsidRPr="009C2953">
        <w:rPr>
          <w:lang w:val="fr-FR"/>
        </w:rPr>
        <w:t> </w:t>
      </w:r>
      <w:r w:rsidRPr="009C2953">
        <w:rPr>
          <w:lang w:val="fr-FR"/>
        </w:rPr>
        <w:t>prévoyait de contribuer à hauteur de 189 814 dollars pour 2024.</w:t>
      </w:r>
      <w:r w:rsidR="00F34644" w:rsidRPr="009C2953">
        <w:rPr>
          <w:lang w:val="fr-FR"/>
        </w:rPr>
        <w:t xml:space="preserve"> Le </w:t>
      </w:r>
      <w:r w:rsidRPr="009C2953">
        <w:rPr>
          <w:lang w:val="fr-FR"/>
        </w:rPr>
        <w:t>représentant du</w:t>
      </w:r>
      <w:r w:rsidR="00CC5D91" w:rsidRPr="009C2953">
        <w:rPr>
          <w:lang w:val="fr-FR"/>
        </w:rPr>
        <w:t> </w:t>
      </w:r>
      <w:r w:rsidRPr="009C2953">
        <w:rPr>
          <w:lang w:val="fr-FR"/>
        </w:rPr>
        <w:t>Royaume-Uni, rappelant que</w:t>
      </w:r>
      <w:r w:rsidR="00F34644" w:rsidRPr="009C2953">
        <w:rPr>
          <w:lang w:val="fr-FR"/>
        </w:rPr>
        <w:t xml:space="preserve"> son </w:t>
      </w:r>
      <w:r w:rsidRPr="009C2953">
        <w:rPr>
          <w:lang w:val="fr-FR"/>
        </w:rPr>
        <w:t>gouvernement s</w:t>
      </w:r>
      <w:r w:rsidR="00EA2966" w:rsidRPr="009C2953">
        <w:rPr>
          <w:lang w:val="fr-FR"/>
        </w:rPr>
        <w:t>’</w:t>
      </w:r>
      <w:r w:rsidRPr="009C2953">
        <w:rPr>
          <w:lang w:val="fr-FR"/>
        </w:rPr>
        <w:t>était déjà engagé à verser</w:t>
      </w:r>
      <w:r w:rsidR="000D47E2" w:rsidRPr="009C2953">
        <w:rPr>
          <w:lang w:val="fr-FR"/>
        </w:rPr>
        <w:t> </w:t>
      </w:r>
      <w:r w:rsidRPr="009C2953">
        <w:rPr>
          <w:lang w:val="fr-FR"/>
        </w:rPr>
        <w:t>300 000 livres sterling en 2024, a</w:t>
      </w:r>
      <w:r w:rsidR="00B42365" w:rsidRPr="009C2953">
        <w:rPr>
          <w:lang w:val="fr-FR"/>
        </w:rPr>
        <w:t> </w:t>
      </w:r>
      <w:r w:rsidRPr="009C2953">
        <w:rPr>
          <w:lang w:val="fr-FR"/>
        </w:rPr>
        <w:t>annoncé qu</w:t>
      </w:r>
      <w:r w:rsidR="00EA2966" w:rsidRPr="009C2953">
        <w:rPr>
          <w:lang w:val="fr-FR"/>
        </w:rPr>
        <w:t>’</w:t>
      </w:r>
      <w:r w:rsidRPr="009C2953">
        <w:rPr>
          <w:lang w:val="fr-FR"/>
        </w:rPr>
        <w:t>il apporterait également</w:t>
      </w:r>
      <w:r w:rsidR="00F34644" w:rsidRPr="009C2953">
        <w:rPr>
          <w:lang w:val="fr-FR"/>
        </w:rPr>
        <w:t xml:space="preserve"> une </w:t>
      </w:r>
      <w:r w:rsidRPr="009C2953">
        <w:rPr>
          <w:lang w:val="fr-FR"/>
        </w:rPr>
        <w:t>contribution de</w:t>
      </w:r>
      <w:r w:rsidR="000D47E2" w:rsidRPr="009C2953">
        <w:rPr>
          <w:lang w:val="fr-FR"/>
        </w:rPr>
        <w:t> </w:t>
      </w:r>
      <w:r w:rsidRPr="009C2953">
        <w:rPr>
          <w:lang w:val="fr-FR"/>
        </w:rPr>
        <w:t>300 000 livres sterling pour 2025, précisant qu</w:t>
      </w:r>
      <w:r w:rsidR="00EA2966" w:rsidRPr="009C2953">
        <w:rPr>
          <w:lang w:val="fr-FR"/>
        </w:rPr>
        <w:t>’</w:t>
      </w:r>
      <w:r w:rsidRPr="009C2953">
        <w:rPr>
          <w:lang w:val="fr-FR"/>
        </w:rPr>
        <w:t>elle s</w:t>
      </w:r>
      <w:r w:rsidR="00EA2966" w:rsidRPr="009C2953">
        <w:rPr>
          <w:lang w:val="fr-FR"/>
        </w:rPr>
        <w:t>’</w:t>
      </w:r>
      <w:r w:rsidRPr="009C2953">
        <w:rPr>
          <w:lang w:val="fr-FR"/>
        </w:rPr>
        <w:t>ajoutait</w:t>
      </w:r>
      <w:r w:rsidR="00F34644" w:rsidRPr="009C2953">
        <w:rPr>
          <w:lang w:val="fr-FR"/>
        </w:rPr>
        <w:t xml:space="preserve"> aux </w:t>
      </w:r>
      <w:r w:rsidRPr="009C2953">
        <w:rPr>
          <w:lang w:val="fr-FR"/>
        </w:rPr>
        <w:t>100 000 livres sterling versées annuellement pour</w:t>
      </w:r>
      <w:r w:rsidR="00F34644" w:rsidRPr="009C2953">
        <w:rPr>
          <w:lang w:val="fr-FR"/>
        </w:rPr>
        <w:t xml:space="preserve"> le </w:t>
      </w:r>
      <w:r w:rsidRPr="009C2953">
        <w:rPr>
          <w:lang w:val="fr-FR"/>
        </w:rPr>
        <w:t>fonctionnement du</w:t>
      </w:r>
      <w:r w:rsidR="00B42365" w:rsidRPr="009C2953">
        <w:rPr>
          <w:lang w:val="fr-FR"/>
        </w:rPr>
        <w:t> </w:t>
      </w:r>
      <w:r w:rsidRPr="009C2953">
        <w:rPr>
          <w:lang w:val="fr-FR"/>
        </w:rPr>
        <w:t>groupe d</w:t>
      </w:r>
      <w:r w:rsidR="00EA2966" w:rsidRPr="009C2953">
        <w:rPr>
          <w:lang w:val="fr-FR"/>
        </w:rPr>
        <w:t>’</w:t>
      </w:r>
      <w:r w:rsidRPr="009C2953">
        <w:rPr>
          <w:lang w:val="fr-FR"/>
        </w:rPr>
        <w:t>appui technique pour l</w:t>
      </w:r>
      <w:r w:rsidR="00EA2966" w:rsidRPr="009C2953">
        <w:rPr>
          <w:lang w:val="fr-FR"/>
        </w:rPr>
        <w:t>’</w:t>
      </w:r>
      <w:r w:rsidRPr="009C2953">
        <w:rPr>
          <w:lang w:val="fr-FR"/>
        </w:rPr>
        <w:t>évaluation</w:t>
      </w:r>
      <w:r w:rsidR="00D24DC1" w:rsidRPr="009C2953">
        <w:rPr>
          <w:lang w:val="fr-FR"/>
        </w:rPr>
        <w:t xml:space="preserve"> des </w:t>
      </w:r>
      <w:r w:rsidRPr="009C2953">
        <w:rPr>
          <w:lang w:val="fr-FR"/>
        </w:rPr>
        <w:t>entreprises et</w:t>
      </w:r>
      <w:r w:rsidR="0000276C" w:rsidRPr="009C2953">
        <w:rPr>
          <w:lang w:val="fr-FR"/>
        </w:rPr>
        <w:t> </w:t>
      </w:r>
      <w:r w:rsidRPr="009C2953">
        <w:rPr>
          <w:lang w:val="fr-FR"/>
        </w:rPr>
        <w:t>de</w:t>
      </w:r>
      <w:r w:rsidR="00F34644" w:rsidRPr="009C2953">
        <w:rPr>
          <w:lang w:val="fr-FR"/>
        </w:rPr>
        <w:t xml:space="preserve"> la </w:t>
      </w:r>
      <w:r w:rsidRPr="009C2953">
        <w:rPr>
          <w:lang w:val="fr-FR"/>
        </w:rPr>
        <w:t>biodiversité.</w:t>
      </w:r>
      <w:r w:rsidR="00F34644" w:rsidRPr="009C2953">
        <w:rPr>
          <w:lang w:val="fr-FR"/>
        </w:rPr>
        <w:t xml:space="preserve"> Le </w:t>
      </w:r>
      <w:r w:rsidRPr="009C2953">
        <w:rPr>
          <w:lang w:val="fr-FR"/>
        </w:rPr>
        <w:t>représentant de</w:t>
      </w:r>
      <w:r w:rsidR="00F34644" w:rsidRPr="009C2953">
        <w:rPr>
          <w:lang w:val="fr-FR"/>
        </w:rPr>
        <w:t xml:space="preserve"> la </w:t>
      </w:r>
      <w:r w:rsidRPr="009C2953">
        <w:rPr>
          <w:lang w:val="fr-FR"/>
        </w:rPr>
        <w:t>Suisse a</w:t>
      </w:r>
      <w:r w:rsidR="00B42365" w:rsidRPr="009C2953">
        <w:rPr>
          <w:lang w:val="fr-FR"/>
        </w:rPr>
        <w:t> </w:t>
      </w:r>
      <w:r w:rsidRPr="009C2953">
        <w:rPr>
          <w:lang w:val="fr-FR"/>
        </w:rPr>
        <w:t>déclaré que</w:t>
      </w:r>
      <w:r w:rsidR="00F34644" w:rsidRPr="009C2953">
        <w:rPr>
          <w:lang w:val="fr-FR"/>
        </w:rPr>
        <w:t xml:space="preserve"> son </w:t>
      </w:r>
      <w:r w:rsidRPr="009C2953">
        <w:rPr>
          <w:lang w:val="fr-FR"/>
        </w:rPr>
        <w:t>gouvernement continuerait à</w:t>
      </w:r>
      <w:r w:rsidR="0000276C" w:rsidRPr="009C2953">
        <w:rPr>
          <w:lang w:val="fr-FR"/>
        </w:rPr>
        <w:t> </w:t>
      </w:r>
      <w:r w:rsidRPr="009C2953">
        <w:rPr>
          <w:lang w:val="fr-FR"/>
        </w:rPr>
        <w:t>appliquer</w:t>
      </w:r>
      <w:r w:rsidR="00F34644" w:rsidRPr="009C2953">
        <w:rPr>
          <w:lang w:val="fr-FR"/>
        </w:rPr>
        <w:t xml:space="preserve"> le </w:t>
      </w:r>
      <w:r w:rsidRPr="009C2953">
        <w:rPr>
          <w:lang w:val="fr-FR"/>
        </w:rPr>
        <w:t>barème</w:t>
      </w:r>
      <w:r w:rsidR="00D24DC1" w:rsidRPr="009C2953">
        <w:rPr>
          <w:lang w:val="fr-FR"/>
        </w:rPr>
        <w:t xml:space="preserve"> des </w:t>
      </w:r>
      <w:r w:rsidRPr="009C2953">
        <w:rPr>
          <w:lang w:val="fr-FR"/>
        </w:rPr>
        <w:t>quotes-parts</w:t>
      </w:r>
      <w:r w:rsidR="00D24DC1" w:rsidRPr="009C2953">
        <w:rPr>
          <w:lang w:val="fr-FR"/>
        </w:rPr>
        <w:t xml:space="preserve"> des </w:t>
      </w:r>
      <w:r w:rsidRPr="009C2953">
        <w:rPr>
          <w:lang w:val="fr-FR"/>
        </w:rPr>
        <w:t>Nations Unies et contribuerait ainsi à hauteur d</w:t>
      </w:r>
      <w:r w:rsidR="00EA2966" w:rsidRPr="009C2953">
        <w:rPr>
          <w:lang w:val="fr-FR"/>
        </w:rPr>
        <w:t>’</w:t>
      </w:r>
      <w:r w:rsidRPr="009C2953">
        <w:rPr>
          <w:lang w:val="fr-FR"/>
        </w:rPr>
        <w:t>environ</w:t>
      </w:r>
      <w:r w:rsidR="0000276C" w:rsidRPr="009C2953">
        <w:rPr>
          <w:lang w:val="fr-FR"/>
        </w:rPr>
        <w:t> </w:t>
      </w:r>
      <w:r w:rsidRPr="009C2953">
        <w:rPr>
          <w:lang w:val="fr-FR"/>
        </w:rPr>
        <w:t>100 000 francs suisses au fonds d</w:t>
      </w:r>
      <w:r w:rsidR="00EA2966" w:rsidRPr="009C2953">
        <w:rPr>
          <w:lang w:val="fr-FR"/>
        </w:rPr>
        <w:t>’</w:t>
      </w:r>
      <w:r w:rsidRPr="009C2953">
        <w:rPr>
          <w:lang w:val="fr-FR"/>
        </w:rPr>
        <w:t>affectation spéciale pour l</w:t>
      </w:r>
      <w:r w:rsidR="00EA2966" w:rsidRPr="009C2953">
        <w:rPr>
          <w:lang w:val="fr-FR"/>
        </w:rPr>
        <w:t>’</w:t>
      </w:r>
      <w:r w:rsidRPr="009C2953">
        <w:rPr>
          <w:lang w:val="fr-FR"/>
        </w:rPr>
        <w:t>année en cours.</w:t>
      </w:r>
      <w:r w:rsidR="00F34644" w:rsidRPr="009C2953">
        <w:rPr>
          <w:lang w:val="fr-FR"/>
        </w:rPr>
        <w:t xml:space="preserve"> La </w:t>
      </w:r>
      <w:r w:rsidRPr="009C2953">
        <w:rPr>
          <w:lang w:val="fr-FR"/>
        </w:rPr>
        <w:t>représentante de l</w:t>
      </w:r>
      <w:r w:rsidR="00EA2966" w:rsidRPr="009C2953">
        <w:rPr>
          <w:lang w:val="fr-FR"/>
        </w:rPr>
        <w:t>’</w:t>
      </w:r>
      <w:r w:rsidRPr="009C2953">
        <w:rPr>
          <w:lang w:val="fr-FR"/>
        </w:rPr>
        <w:t>Afrique du Sud a indiqué que</w:t>
      </w:r>
      <w:r w:rsidR="00F34644" w:rsidRPr="009C2953">
        <w:rPr>
          <w:lang w:val="fr-FR"/>
        </w:rPr>
        <w:t xml:space="preserve"> son </w:t>
      </w:r>
      <w:r w:rsidRPr="009C2953">
        <w:rPr>
          <w:lang w:val="fr-FR"/>
        </w:rPr>
        <w:t>pays avait accueilli</w:t>
      </w:r>
      <w:r w:rsidR="00F34644" w:rsidRPr="009C2953">
        <w:rPr>
          <w:lang w:val="fr-FR"/>
        </w:rPr>
        <w:t xml:space="preserve"> la </w:t>
      </w:r>
      <w:r w:rsidRPr="009C2953">
        <w:rPr>
          <w:lang w:val="fr-FR"/>
        </w:rPr>
        <w:t>deuxième réunion</w:t>
      </w:r>
      <w:r w:rsidR="00D24DC1" w:rsidRPr="009C2953">
        <w:rPr>
          <w:lang w:val="fr-FR"/>
        </w:rPr>
        <w:t xml:space="preserve"> des </w:t>
      </w:r>
      <w:r w:rsidRPr="009C2953">
        <w:rPr>
          <w:lang w:val="fr-FR"/>
        </w:rPr>
        <w:t>auteur(</w:t>
      </w:r>
      <w:proofErr w:type="spellStart"/>
      <w:r w:rsidRPr="009C2953">
        <w:rPr>
          <w:lang w:val="fr-FR"/>
        </w:rPr>
        <w:t>rice</w:t>
      </w:r>
      <w:proofErr w:type="spellEnd"/>
      <w:r w:rsidRPr="009C2953">
        <w:rPr>
          <w:lang w:val="fr-FR"/>
        </w:rPr>
        <w:t>)s de l</w:t>
      </w:r>
      <w:r w:rsidR="00EA2966" w:rsidRPr="009C2953">
        <w:rPr>
          <w:lang w:val="fr-FR"/>
        </w:rPr>
        <w:t>’</w:t>
      </w:r>
      <w:r w:rsidRPr="009C2953">
        <w:rPr>
          <w:lang w:val="fr-FR"/>
        </w:rPr>
        <w:t>évaluation</w:t>
      </w:r>
      <w:r w:rsidR="00D24DC1" w:rsidRPr="009C2953">
        <w:rPr>
          <w:lang w:val="fr-FR"/>
        </w:rPr>
        <w:t xml:space="preserve"> des </w:t>
      </w:r>
      <w:r w:rsidRPr="009C2953">
        <w:rPr>
          <w:lang w:val="fr-FR"/>
        </w:rPr>
        <w:t>interdépendances, en</w:t>
      </w:r>
      <w:r w:rsidR="00CC5D91" w:rsidRPr="009C2953">
        <w:rPr>
          <w:lang w:val="fr-FR"/>
        </w:rPr>
        <w:t> </w:t>
      </w:r>
      <w:r w:rsidRPr="009C2953">
        <w:rPr>
          <w:lang w:val="fr-FR"/>
        </w:rPr>
        <w:t>mars 2023, et</w:t>
      </w:r>
      <w:r w:rsidR="00B42365" w:rsidRPr="009C2953">
        <w:rPr>
          <w:lang w:val="fr-FR"/>
        </w:rPr>
        <w:t> </w:t>
      </w:r>
      <w:r w:rsidRPr="009C2953">
        <w:rPr>
          <w:lang w:val="fr-FR"/>
        </w:rPr>
        <w:t>a demandé que cette</w:t>
      </w:r>
      <w:r w:rsidR="0000276C" w:rsidRPr="009C2953">
        <w:rPr>
          <w:lang w:val="fr-FR"/>
        </w:rPr>
        <w:t> </w:t>
      </w:r>
      <w:r w:rsidRPr="009C2953">
        <w:rPr>
          <w:lang w:val="fr-FR"/>
        </w:rPr>
        <w:t>contribution en nature soit reflétée dans</w:t>
      </w:r>
      <w:r w:rsidR="00F34644" w:rsidRPr="009C2953">
        <w:rPr>
          <w:lang w:val="fr-FR"/>
        </w:rPr>
        <w:t xml:space="preserve"> le </w:t>
      </w:r>
      <w:r w:rsidRPr="009C2953">
        <w:rPr>
          <w:lang w:val="fr-FR"/>
        </w:rPr>
        <w:t>tableau</w:t>
      </w:r>
      <w:r w:rsidR="00D24DC1" w:rsidRPr="009C2953">
        <w:rPr>
          <w:lang w:val="fr-FR"/>
        </w:rPr>
        <w:t xml:space="preserve"> des </w:t>
      </w:r>
      <w:r w:rsidRPr="009C2953">
        <w:rPr>
          <w:lang w:val="fr-FR"/>
        </w:rPr>
        <w:t>contributions en nature reçues en 2023.</w:t>
      </w:r>
    </w:p>
    <w:p w14:paraId="235AE3C2" w14:textId="219D8D15" w:rsidR="00607B78" w:rsidRPr="009C2953" w:rsidRDefault="00607B78" w:rsidP="008731A8">
      <w:pPr>
        <w:pStyle w:val="Normalnumber"/>
        <w:numPr>
          <w:ilvl w:val="0"/>
          <w:numId w:val="2"/>
        </w:numPr>
        <w:tabs>
          <w:tab w:val="clear" w:pos="1871"/>
        </w:tabs>
        <w:rPr>
          <w:lang w:val="fr-FR"/>
        </w:rPr>
      </w:pPr>
      <w:r w:rsidRPr="009C2953">
        <w:rPr>
          <w:lang w:val="fr-FR"/>
        </w:rPr>
        <w:t>Plusieurs intervenant</w:t>
      </w:r>
      <w:r w:rsidR="00225960" w:rsidRPr="009C2953">
        <w:rPr>
          <w:lang w:val="fr-FR"/>
        </w:rPr>
        <w:t xml:space="preserve">es et intervenants </w:t>
      </w:r>
      <w:r w:rsidRPr="009C2953">
        <w:rPr>
          <w:lang w:val="fr-FR"/>
        </w:rPr>
        <w:t>ont saisi l</w:t>
      </w:r>
      <w:r w:rsidR="00EA2966" w:rsidRPr="009C2953">
        <w:rPr>
          <w:lang w:val="fr-FR"/>
        </w:rPr>
        <w:t>’</w:t>
      </w:r>
      <w:r w:rsidRPr="009C2953">
        <w:rPr>
          <w:lang w:val="fr-FR"/>
        </w:rPr>
        <w:t>occasion pour formuler</w:t>
      </w:r>
      <w:r w:rsidR="00D24DC1" w:rsidRPr="009C2953">
        <w:rPr>
          <w:lang w:val="fr-FR"/>
        </w:rPr>
        <w:t xml:space="preserve"> des </w:t>
      </w:r>
      <w:r w:rsidRPr="009C2953">
        <w:rPr>
          <w:lang w:val="fr-FR"/>
        </w:rPr>
        <w:t>commentaires plus généraux sur</w:t>
      </w:r>
      <w:r w:rsidR="00F34644" w:rsidRPr="009C2953">
        <w:rPr>
          <w:lang w:val="fr-FR"/>
        </w:rPr>
        <w:t xml:space="preserve"> les </w:t>
      </w:r>
      <w:r w:rsidRPr="009C2953">
        <w:rPr>
          <w:lang w:val="fr-FR"/>
        </w:rPr>
        <w:t>dispositifs financiers et budgétaires. L</w:t>
      </w:r>
      <w:r w:rsidR="00EA2966" w:rsidRPr="009C2953">
        <w:rPr>
          <w:lang w:val="fr-FR"/>
        </w:rPr>
        <w:t>’</w:t>
      </w:r>
      <w:r w:rsidRPr="009C2953">
        <w:rPr>
          <w:lang w:val="fr-FR"/>
        </w:rPr>
        <w:t>un</w:t>
      </w:r>
      <w:r w:rsidR="001801DF" w:rsidRPr="009C2953">
        <w:rPr>
          <w:lang w:val="fr-FR"/>
        </w:rPr>
        <w:t>(e)</w:t>
      </w:r>
      <w:r w:rsidRPr="009C2953">
        <w:rPr>
          <w:lang w:val="fr-FR"/>
        </w:rPr>
        <w:t xml:space="preserve"> d</w:t>
      </w:r>
      <w:r w:rsidR="00EA2966" w:rsidRPr="009C2953">
        <w:rPr>
          <w:lang w:val="fr-FR"/>
        </w:rPr>
        <w:t>’</w:t>
      </w:r>
      <w:r w:rsidRPr="009C2953">
        <w:rPr>
          <w:lang w:val="fr-FR"/>
        </w:rPr>
        <w:t>eux a félicité</w:t>
      </w:r>
      <w:r w:rsidR="00F34644" w:rsidRPr="009C2953">
        <w:rPr>
          <w:lang w:val="fr-FR"/>
        </w:rPr>
        <w:t xml:space="preserve"> le </w:t>
      </w:r>
      <w:r w:rsidRPr="009C2953">
        <w:rPr>
          <w:lang w:val="fr-FR"/>
        </w:rPr>
        <w:t>secrétariat pour</w:t>
      </w:r>
      <w:r w:rsidR="00F34644" w:rsidRPr="009C2953">
        <w:rPr>
          <w:lang w:val="fr-FR"/>
        </w:rPr>
        <w:t xml:space="preserve"> les </w:t>
      </w:r>
      <w:r w:rsidRPr="009C2953">
        <w:rPr>
          <w:lang w:val="fr-FR"/>
        </w:rPr>
        <w:t>efforts considérables qu</w:t>
      </w:r>
      <w:r w:rsidR="00EA2966" w:rsidRPr="009C2953">
        <w:rPr>
          <w:lang w:val="fr-FR"/>
        </w:rPr>
        <w:t>’</w:t>
      </w:r>
      <w:r w:rsidRPr="009C2953">
        <w:rPr>
          <w:lang w:val="fr-FR"/>
        </w:rPr>
        <w:t>il avait déployés en vue de collecter</w:t>
      </w:r>
      <w:r w:rsidR="00D24DC1" w:rsidRPr="009C2953">
        <w:rPr>
          <w:lang w:val="fr-FR"/>
        </w:rPr>
        <w:t xml:space="preserve"> des </w:t>
      </w:r>
      <w:r w:rsidRPr="009C2953">
        <w:rPr>
          <w:lang w:val="fr-FR"/>
        </w:rPr>
        <w:t>fonds supplémentaires auprès</w:t>
      </w:r>
      <w:r w:rsidR="00D24DC1" w:rsidRPr="009C2953">
        <w:rPr>
          <w:lang w:val="fr-FR"/>
        </w:rPr>
        <w:t xml:space="preserve"> des </w:t>
      </w:r>
      <w:r w:rsidRPr="009C2953">
        <w:rPr>
          <w:lang w:val="fr-FR"/>
        </w:rPr>
        <w:t>gouvernements,</w:t>
      </w:r>
      <w:r w:rsidR="00D24DC1" w:rsidRPr="009C2953">
        <w:rPr>
          <w:lang w:val="fr-FR"/>
        </w:rPr>
        <w:t xml:space="preserve"> des </w:t>
      </w:r>
      <w:r w:rsidRPr="009C2953">
        <w:rPr>
          <w:lang w:val="fr-FR"/>
        </w:rPr>
        <w:t>organismes</w:t>
      </w:r>
      <w:r w:rsidR="00D24DC1" w:rsidRPr="009C2953">
        <w:rPr>
          <w:lang w:val="fr-FR"/>
        </w:rPr>
        <w:t xml:space="preserve"> des </w:t>
      </w:r>
      <w:r w:rsidRPr="009C2953">
        <w:rPr>
          <w:lang w:val="fr-FR"/>
        </w:rPr>
        <w:t>Nations Unies, du Fonds pour l</w:t>
      </w:r>
      <w:r w:rsidR="00EA2966" w:rsidRPr="009C2953">
        <w:rPr>
          <w:lang w:val="fr-FR"/>
        </w:rPr>
        <w:t>’</w:t>
      </w:r>
      <w:r w:rsidRPr="009C2953">
        <w:rPr>
          <w:lang w:val="fr-FR"/>
        </w:rPr>
        <w:t>environnement mondial et du</w:t>
      </w:r>
      <w:r w:rsidR="005847E4" w:rsidRPr="009C2953">
        <w:rPr>
          <w:lang w:val="fr-FR"/>
        </w:rPr>
        <w:t> </w:t>
      </w:r>
      <w:r w:rsidRPr="009C2953">
        <w:rPr>
          <w:lang w:val="fr-FR"/>
        </w:rPr>
        <w:t>secteur privé, conformément à</w:t>
      </w:r>
      <w:r w:rsidR="00F34644" w:rsidRPr="009C2953">
        <w:rPr>
          <w:lang w:val="fr-FR"/>
        </w:rPr>
        <w:t xml:space="preserve"> la </w:t>
      </w:r>
      <w:r w:rsidRPr="009C2953">
        <w:rPr>
          <w:lang w:val="fr-FR"/>
        </w:rPr>
        <w:t>stratégie définie à</w:t>
      </w:r>
      <w:r w:rsidR="00F34644" w:rsidRPr="009C2953">
        <w:rPr>
          <w:lang w:val="fr-FR"/>
        </w:rPr>
        <w:t xml:space="preserve"> la </w:t>
      </w:r>
      <w:r w:rsidRPr="009C2953">
        <w:rPr>
          <w:lang w:val="fr-FR"/>
        </w:rPr>
        <w:t>cinquième session de</w:t>
      </w:r>
      <w:r w:rsidR="00F34644" w:rsidRPr="009C2953">
        <w:rPr>
          <w:lang w:val="fr-FR"/>
        </w:rPr>
        <w:t xml:space="preserve"> la </w:t>
      </w:r>
      <w:r w:rsidRPr="009C2953">
        <w:rPr>
          <w:lang w:val="fr-FR"/>
        </w:rPr>
        <w:t>Plénière. Plusieurs autres, dont l</w:t>
      </w:r>
      <w:r w:rsidR="00EA2966" w:rsidRPr="009C2953">
        <w:rPr>
          <w:lang w:val="fr-FR"/>
        </w:rPr>
        <w:t>’</w:t>
      </w:r>
      <w:r w:rsidRPr="009C2953">
        <w:rPr>
          <w:lang w:val="fr-FR"/>
        </w:rPr>
        <w:t>un</w:t>
      </w:r>
      <w:r w:rsidR="001801DF" w:rsidRPr="009C2953">
        <w:rPr>
          <w:lang w:val="fr-FR"/>
        </w:rPr>
        <w:t>(e)</w:t>
      </w:r>
      <w:r w:rsidRPr="009C2953">
        <w:rPr>
          <w:lang w:val="fr-FR"/>
        </w:rPr>
        <w:t xml:space="preserve"> s</w:t>
      </w:r>
      <w:r w:rsidR="00EA2966" w:rsidRPr="009C2953">
        <w:rPr>
          <w:lang w:val="fr-FR"/>
        </w:rPr>
        <w:t>’</w:t>
      </w:r>
      <w:r w:rsidRPr="009C2953">
        <w:rPr>
          <w:lang w:val="fr-FR"/>
        </w:rPr>
        <w:t>exprimait au nom d</w:t>
      </w:r>
      <w:r w:rsidR="00EA2966" w:rsidRPr="009C2953">
        <w:rPr>
          <w:lang w:val="fr-FR"/>
        </w:rPr>
        <w:t>’</w:t>
      </w:r>
      <w:r w:rsidRPr="009C2953">
        <w:rPr>
          <w:lang w:val="fr-FR"/>
        </w:rPr>
        <w:t>un groupe de pays, ont néanmoins appelé</w:t>
      </w:r>
      <w:r w:rsidR="00F34644" w:rsidRPr="009C2953">
        <w:rPr>
          <w:lang w:val="fr-FR"/>
        </w:rPr>
        <w:t xml:space="preserve"> les </w:t>
      </w:r>
      <w:r w:rsidRPr="009C2953">
        <w:rPr>
          <w:lang w:val="fr-FR"/>
        </w:rPr>
        <w:t>membres et</w:t>
      </w:r>
      <w:r w:rsidR="00F34644" w:rsidRPr="009C2953">
        <w:rPr>
          <w:lang w:val="fr-FR"/>
        </w:rPr>
        <w:t xml:space="preserve"> le </w:t>
      </w:r>
      <w:r w:rsidRPr="009C2953">
        <w:rPr>
          <w:lang w:val="fr-FR"/>
        </w:rPr>
        <w:t>secrétariat à élargir</w:t>
      </w:r>
      <w:r w:rsidR="00F34644" w:rsidRPr="009C2953">
        <w:rPr>
          <w:lang w:val="fr-FR"/>
        </w:rPr>
        <w:t xml:space="preserve"> la </w:t>
      </w:r>
      <w:r w:rsidRPr="009C2953">
        <w:rPr>
          <w:lang w:val="fr-FR"/>
        </w:rPr>
        <w:t>base</w:t>
      </w:r>
      <w:r w:rsidR="00D24DC1" w:rsidRPr="009C2953">
        <w:rPr>
          <w:lang w:val="fr-FR"/>
        </w:rPr>
        <w:t xml:space="preserve"> des </w:t>
      </w:r>
      <w:r w:rsidRPr="009C2953">
        <w:rPr>
          <w:lang w:val="fr-FR"/>
        </w:rPr>
        <w:t>donateurs. L</w:t>
      </w:r>
      <w:r w:rsidR="00EA2966" w:rsidRPr="009C2953">
        <w:rPr>
          <w:lang w:val="fr-FR"/>
        </w:rPr>
        <w:t>’</w:t>
      </w:r>
      <w:r w:rsidRPr="009C2953">
        <w:rPr>
          <w:lang w:val="fr-FR"/>
        </w:rPr>
        <w:t>un d</w:t>
      </w:r>
      <w:r w:rsidR="00EA2966" w:rsidRPr="009C2953">
        <w:rPr>
          <w:lang w:val="fr-FR"/>
        </w:rPr>
        <w:t>’</w:t>
      </w:r>
      <w:r w:rsidRPr="009C2953">
        <w:rPr>
          <w:lang w:val="fr-FR"/>
        </w:rPr>
        <w:t>entre eux a relevé que, malgré</w:t>
      </w:r>
      <w:r w:rsidR="00F34644" w:rsidRPr="009C2953">
        <w:rPr>
          <w:lang w:val="fr-FR"/>
        </w:rPr>
        <w:t xml:space="preserve"> le </w:t>
      </w:r>
      <w:r w:rsidRPr="009C2953">
        <w:rPr>
          <w:lang w:val="fr-FR"/>
        </w:rPr>
        <w:t>nombre croissant de</w:t>
      </w:r>
      <w:r w:rsidR="005847E4" w:rsidRPr="009C2953">
        <w:rPr>
          <w:lang w:val="fr-FR"/>
        </w:rPr>
        <w:t> </w:t>
      </w:r>
      <w:r w:rsidRPr="009C2953">
        <w:rPr>
          <w:lang w:val="fr-FR"/>
        </w:rPr>
        <w:t>membres, seuls quelques-uns versaient</w:t>
      </w:r>
      <w:r w:rsidR="00D24DC1" w:rsidRPr="009C2953">
        <w:rPr>
          <w:lang w:val="fr-FR"/>
        </w:rPr>
        <w:t xml:space="preserve"> des </w:t>
      </w:r>
      <w:r w:rsidRPr="009C2953">
        <w:rPr>
          <w:lang w:val="fr-FR"/>
        </w:rPr>
        <w:t>contributions, et qu</w:t>
      </w:r>
      <w:r w:rsidR="00EA2966" w:rsidRPr="009C2953">
        <w:rPr>
          <w:lang w:val="fr-FR"/>
        </w:rPr>
        <w:t>’</w:t>
      </w:r>
      <w:r w:rsidRPr="009C2953">
        <w:rPr>
          <w:lang w:val="fr-FR"/>
        </w:rPr>
        <w:t>ils étaient presque tous issus de</w:t>
      </w:r>
      <w:r w:rsidR="00F34644" w:rsidRPr="009C2953">
        <w:rPr>
          <w:lang w:val="fr-FR"/>
        </w:rPr>
        <w:t xml:space="preserve"> la </w:t>
      </w:r>
      <w:r w:rsidRPr="009C2953">
        <w:rPr>
          <w:lang w:val="fr-FR"/>
        </w:rPr>
        <w:t>même région. Il partageait l</w:t>
      </w:r>
      <w:r w:rsidR="00EA2966" w:rsidRPr="009C2953">
        <w:rPr>
          <w:lang w:val="fr-FR"/>
        </w:rPr>
        <w:t>’</w:t>
      </w:r>
      <w:r w:rsidRPr="009C2953">
        <w:rPr>
          <w:lang w:val="fr-FR"/>
        </w:rPr>
        <w:t>avis du représentant s</w:t>
      </w:r>
      <w:r w:rsidR="00EA2966" w:rsidRPr="009C2953">
        <w:rPr>
          <w:lang w:val="fr-FR"/>
        </w:rPr>
        <w:t>’</w:t>
      </w:r>
      <w:r w:rsidRPr="009C2953">
        <w:rPr>
          <w:lang w:val="fr-FR"/>
        </w:rPr>
        <w:t>exprimant au nom d</w:t>
      </w:r>
      <w:r w:rsidR="00EA2966" w:rsidRPr="009C2953">
        <w:rPr>
          <w:lang w:val="fr-FR"/>
        </w:rPr>
        <w:t>’</w:t>
      </w:r>
      <w:r w:rsidRPr="009C2953">
        <w:rPr>
          <w:lang w:val="fr-FR"/>
        </w:rPr>
        <w:t>un groupe de pays selon lequel</w:t>
      </w:r>
      <w:r w:rsidR="00D24DC1" w:rsidRPr="009C2953">
        <w:rPr>
          <w:lang w:val="fr-FR"/>
        </w:rPr>
        <w:t xml:space="preserve"> des </w:t>
      </w:r>
      <w:r w:rsidRPr="009C2953">
        <w:rPr>
          <w:lang w:val="fr-FR"/>
        </w:rPr>
        <w:t>contributions, même modestes, provenant d</w:t>
      </w:r>
      <w:r w:rsidR="00EA2966" w:rsidRPr="009C2953">
        <w:rPr>
          <w:lang w:val="fr-FR"/>
        </w:rPr>
        <w:t>’</w:t>
      </w:r>
      <w:r w:rsidRPr="009C2953">
        <w:rPr>
          <w:lang w:val="fr-FR"/>
        </w:rPr>
        <w:t>une base plus large de donateurs démontreraient que l</w:t>
      </w:r>
      <w:r w:rsidR="00EA2966" w:rsidRPr="009C2953">
        <w:rPr>
          <w:lang w:val="fr-FR"/>
        </w:rPr>
        <w:t>’</w:t>
      </w:r>
      <w:r w:rsidRPr="009C2953">
        <w:rPr>
          <w:lang w:val="fr-FR"/>
        </w:rPr>
        <w:t>IPBES était</w:t>
      </w:r>
      <w:r w:rsidR="00F34644" w:rsidRPr="009C2953">
        <w:rPr>
          <w:lang w:val="fr-FR"/>
        </w:rPr>
        <w:t xml:space="preserve"> une </w:t>
      </w:r>
      <w:r w:rsidRPr="009C2953">
        <w:rPr>
          <w:lang w:val="fr-FR"/>
        </w:rPr>
        <w:t>entreprise commune et renforceraient l</w:t>
      </w:r>
      <w:r w:rsidR="00EA2966" w:rsidRPr="009C2953">
        <w:rPr>
          <w:lang w:val="fr-FR"/>
        </w:rPr>
        <w:t>’</w:t>
      </w:r>
      <w:r w:rsidRPr="009C2953">
        <w:rPr>
          <w:lang w:val="fr-FR"/>
        </w:rPr>
        <w:t>adhésion à</w:t>
      </w:r>
      <w:r w:rsidR="00F34644" w:rsidRPr="009C2953">
        <w:rPr>
          <w:lang w:val="fr-FR"/>
        </w:rPr>
        <w:t xml:space="preserve"> la </w:t>
      </w:r>
      <w:r w:rsidRPr="009C2953">
        <w:rPr>
          <w:lang w:val="fr-FR"/>
        </w:rPr>
        <w:t>Plateforme, tout en estimant que</w:t>
      </w:r>
      <w:r w:rsidR="00F34644" w:rsidRPr="009C2953">
        <w:rPr>
          <w:lang w:val="fr-FR"/>
        </w:rPr>
        <w:t xml:space="preserve"> le </w:t>
      </w:r>
      <w:r w:rsidRPr="009C2953">
        <w:rPr>
          <w:lang w:val="fr-FR"/>
        </w:rPr>
        <w:t>barème</w:t>
      </w:r>
      <w:r w:rsidR="00D24DC1" w:rsidRPr="009C2953">
        <w:rPr>
          <w:lang w:val="fr-FR"/>
        </w:rPr>
        <w:t xml:space="preserve"> des </w:t>
      </w:r>
      <w:r w:rsidRPr="009C2953">
        <w:rPr>
          <w:lang w:val="fr-FR"/>
        </w:rPr>
        <w:t>quotes-parts</w:t>
      </w:r>
      <w:r w:rsidR="00D24DC1" w:rsidRPr="009C2953">
        <w:rPr>
          <w:lang w:val="fr-FR"/>
        </w:rPr>
        <w:t xml:space="preserve"> des </w:t>
      </w:r>
      <w:r w:rsidRPr="009C2953">
        <w:rPr>
          <w:lang w:val="fr-FR"/>
        </w:rPr>
        <w:t>Nations Unies permettait de déterminer quel</w:t>
      </w:r>
      <w:r w:rsidR="005847E4" w:rsidRPr="009C2953">
        <w:rPr>
          <w:lang w:val="fr-FR"/>
        </w:rPr>
        <w:t> </w:t>
      </w:r>
      <w:r w:rsidRPr="009C2953">
        <w:rPr>
          <w:lang w:val="fr-FR"/>
        </w:rPr>
        <w:t>niveau de soutien était approprié.</w:t>
      </w:r>
    </w:p>
    <w:p w14:paraId="70E04C9C" w14:textId="74B14EB6" w:rsidR="00607B78" w:rsidRPr="009C2953" w:rsidRDefault="00607B78" w:rsidP="008731A8">
      <w:pPr>
        <w:pStyle w:val="Normalnumber"/>
        <w:numPr>
          <w:ilvl w:val="0"/>
          <w:numId w:val="2"/>
        </w:numPr>
        <w:tabs>
          <w:tab w:val="clear" w:pos="1871"/>
        </w:tabs>
        <w:rPr>
          <w:lang w:val="fr-FR"/>
        </w:rPr>
      </w:pPr>
      <w:r w:rsidRPr="009C2953">
        <w:rPr>
          <w:lang w:val="fr-FR"/>
        </w:rPr>
        <w:t>Plusieurs représentant</w:t>
      </w:r>
      <w:r w:rsidR="00225960" w:rsidRPr="009C2953">
        <w:rPr>
          <w:lang w:val="fr-FR"/>
        </w:rPr>
        <w:t xml:space="preserve">es et représentants </w:t>
      </w:r>
      <w:r w:rsidRPr="009C2953">
        <w:rPr>
          <w:lang w:val="fr-FR"/>
        </w:rPr>
        <w:t>ont également évoqué</w:t>
      </w:r>
      <w:r w:rsidR="00F34644" w:rsidRPr="009C2953">
        <w:rPr>
          <w:lang w:val="fr-FR"/>
        </w:rPr>
        <w:t xml:space="preserve"> la </w:t>
      </w:r>
      <w:r w:rsidRPr="009C2953">
        <w:rPr>
          <w:lang w:val="fr-FR"/>
        </w:rPr>
        <w:t>nécessité pour</w:t>
      </w:r>
      <w:r w:rsidR="00F34644" w:rsidRPr="009C2953">
        <w:rPr>
          <w:lang w:val="fr-FR"/>
        </w:rPr>
        <w:t xml:space="preserve"> la </w:t>
      </w:r>
      <w:r w:rsidRPr="009C2953">
        <w:rPr>
          <w:lang w:val="fr-FR"/>
        </w:rPr>
        <w:t>Plateforme de fonctionner de manière durable, en notant</w:t>
      </w:r>
      <w:r w:rsidR="00F34644" w:rsidRPr="009C2953">
        <w:rPr>
          <w:lang w:val="fr-FR"/>
        </w:rPr>
        <w:t xml:space="preserve"> le </w:t>
      </w:r>
      <w:r w:rsidRPr="009C2953">
        <w:rPr>
          <w:lang w:val="fr-FR"/>
        </w:rPr>
        <w:t>faible montant du solde estimatif à</w:t>
      </w:r>
      <w:r w:rsidR="00F34644" w:rsidRPr="009C2953">
        <w:rPr>
          <w:lang w:val="fr-FR"/>
        </w:rPr>
        <w:t xml:space="preserve"> la </w:t>
      </w:r>
      <w:r w:rsidRPr="009C2953">
        <w:rPr>
          <w:lang w:val="fr-FR"/>
        </w:rPr>
        <w:t>fin de 2025 et</w:t>
      </w:r>
      <w:r w:rsidR="00F34644" w:rsidRPr="009C2953">
        <w:rPr>
          <w:lang w:val="fr-FR"/>
        </w:rPr>
        <w:t xml:space="preserve"> la </w:t>
      </w:r>
      <w:r w:rsidRPr="009C2953">
        <w:rPr>
          <w:lang w:val="fr-FR"/>
        </w:rPr>
        <w:t>dépendance à l</w:t>
      </w:r>
      <w:r w:rsidR="00EA2966" w:rsidRPr="009C2953">
        <w:rPr>
          <w:lang w:val="fr-FR"/>
        </w:rPr>
        <w:t>’</w:t>
      </w:r>
      <w:r w:rsidRPr="009C2953">
        <w:rPr>
          <w:lang w:val="fr-FR"/>
        </w:rPr>
        <w:t>égard</w:t>
      </w:r>
      <w:r w:rsidR="00D24DC1" w:rsidRPr="009C2953">
        <w:rPr>
          <w:lang w:val="fr-FR"/>
        </w:rPr>
        <w:t xml:space="preserve"> des </w:t>
      </w:r>
      <w:r w:rsidRPr="009C2953">
        <w:rPr>
          <w:lang w:val="fr-FR"/>
        </w:rPr>
        <w:t>économies escomptées. L</w:t>
      </w:r>
      <w:r w:rsidR="00EA2966" w:rsidRPr="009C2953">
        <w:rPr>
          <w:lang w:val="fr-FR"/>
        </w:rPr>
        <w:t>’</w:t>
      </w:r>
      <w:r w:rsidRPr="009C2953">
        <w:rPr>
          <w:lang w:val="fr-FR"/>
        </w:rPr>
        <w:t>un</w:t>
      </w:r>
      <w:r w:rsidR="00793C36" w:rsidRPr="009C2953">
        <w:rPr>
          <w:lang w:val="fr-FR"/>
        </w:rPr>
        <w:t>(e)</w:t>
      </w:r>
      <w:r w:rsidRPr="009C2953">
        <w:rPr>
          <w:lang w:val="fr-FR"/>
        </w:rPr>
        <w:t xml:space="preserve"> d</w:t>
      </w:r>
      <w:r w:rsidR="00EA2966" w:rsidRPr="009C2953">
        <w:rPr>
          <w:lang w:val="fr-FR"/>
        </w:rPr>
        <w:t>’</w:t>
      </w:r>
      <w:r w:rsidRPr="009C2953">
        <w:rPr>
          <w:lang w:val="fr-FR"/>
        </w:rPr>
        <w:t>entre eux a rappelé que</w:t>
      </w:r>
      <w:r w:rsidR="00F34644" w:rsidRPr="009C2953">
        <w:rPr>
          <w:lang w:val="fr-FR"/>
        </w:rPr>
        <w:t xml:space="preserve"> les </w:t>
      </w:r>
      <w:r w:rsidRPr="009C2953">
        <w:rPr>
          <w:lang w:val="fr-FR"/>
        </w:rPr>
        <w:t>engagements annuels devraient rester alignés sur</w:t>
      </w:r>
      <w:r w:rsidR="00F34644" w:rsidRPr="009C2953">
        <w:rPr>
          <w:lang w:val="fr-FR"/>
        </w:rPr>
        <w:t xml:space="preserve"> les </w:t>
      </w:r>
      <w:r w:rsidRPr="009C2953">
        <w:rPr>
          <w:lang w:val="fr-FR"/>
        </w:rPr>
        <w:t>sources de revenus fiables, comme</w:t>
      </w:r>
      <w:r w:rsidR="00F34644" w:rsidRPr="009C2953">
        <w:rPr>
          <w:lang w:val="fr-FR"/>
        </w:rPr>
        <w:t xml:space="preserve"> le </w:t>
      </w:r>
      <w:r w:rsidRPr="009C2953">
        <w:rPr>
          <w:lang w:val="fr-FR"/>
        </w:rPr>
        <w:t>recommandait</w:t>
      </w:r>
      <w:r w:rsidR="00F34644" w:rsidRPr="009C2953">
        <w:rPr>
          <w:lang w:val="fr-FR"/>
        </w:rPr>
        <w:t xml:space="preserve"> le </w:t>
      </w:r>
      <w:r w:rsidRPr="009C2953">
        <w:rPr>
          <w:lang w:val="fr-FR"/>
        </w:rPr>
        <w:t>rapport sur l</w:t>
      </w:r>
      <w:r w:rsidR="00EA2966" w:rsidRPr="009C2953">
        <w:rPr>
          <w:lang w:val="fr-FR"/>
        </w:rPr>
        <w:t>’</w:t>
      </w:r>
      <w:r w:rsidRPr="009C2953">
        <w:rPr>
          <w:lang w:val="fr-FR"/>
        </w:rPr>
        <w:t>examen de l</w:t>
      </w:r>
      <w:r w:rsidR="00EA2966" w:rsidRPr="009C2953">
        <w:rPr>
          <w:lang w:val="fr-FR"/>
        </w:rPr>
        <w:t>’</w:t>
      </w:r>
      <w:r w:rsidRPr="009C2953">
        <w:rPr>
          <w:lang w:val="fr-FR"/>
        </w:rPr>
        <w:t>IPBES à l</w:t>
      </w:r>
      <w:r w:rsidR="00EA2966" w:rsidRPr="009C2953">
        <w:rPr>
          <w:lang w:val="fr-FR"/>
        </w:rPr>
        <w:t>’</w:t>
      </w:r>
      <w:r w:rsidRPr="009C2953">
        <w:rPr>
          <w:lang w:val="fr-FR"/>
        </w:rPr>
        <w:t>issue de</w:t>
      </w:r>
      <w:r w:rsidR="00F34644" w:rsidRPr="009C2953">
        <w:rPr>
          <w:lang w:val="fr-FR"/>
        </w:rPr>
        <w:t xml:space="preserve"> son </w:t>
      </w:r>
      <w:r w:rsidRPr="009C2953">
        <w:rPr>
          <w:lang w:val="fr-FR"/>
        </w:rPr>
        <w:t>premier programme de travail. Ce commentaire a été repris par un</w:t>
      </w:r>
      <w:r w:rsidR="00C0492D" w:rsidRPr="009C2953">
        <w:rPr>
          <w:lang w:val="fr-FR"/>
        </w:rPr>
        <w:t>(e)</w:t>
      </w:r>
      <w:r w:rsidRPr="009C2953">
        <w:rPr>
          <w:lang w:val="fr-FR"/>
        </w:rPr>
        <w:t xml:space="preserve"> autre représentant</w:t>
      </w:r>
      <w:r w:rsidR="00C0492D" w:rsidRPr="009C2953">
        <w:rPr>
          <w:lang w:val="fr-FR"/>
        </w:rPr>
        <w:t>(e)</w:t>
      </w:r>
      <w:r w:rsidRPr="009C2953">
        <w:rPr>
          <w:lang w:val="fr-FR"/>
        </w:rPr>
        <w:t>, qui a reconnu</w:t>
      </w:r>
      <w:r w:rsidR="00F34644" w:rsidRPr="009C2953">
        <w:rPr>
          <w:lang w:val="fr-FR"/>
        </w:rPr>
        <w:t xml:space="preserve"> les </w:t>
      </w:r>
      <w:r w:rsidRPr="009C2953">
        <w:rPr>
          <w:lang w:val="fr-FR"/>
        </w:rPr>
        <w:t>efforts demandés à</w:t>
      </w:r>
      <w:r w:rsidR="00F34644" w:rsidRPr="009C2953">
        <w:rPr>
          <w:lang w:val="fr-FR"/>
        </w:rPr>
        <w:t xml:space="preserve"> la </w:t>
      </w:r>
      <w:r w:rsidRPr="009C2953">
        <w:rPr>
          <w:lang w:val="fr-FR"/>
        </w:rPr>
        <w:t>Plateforme en matière de ressources financières et de charge de travail et a conseillé au secrétariat de veiller à ce que</w:t>
      </w:r>
      <w:r w:rsidR="00F34644" w:rsidRPr="009C2953">
        <w:rPr>
          <w:lang w:val="fr-FR"/>
        </w:rPr>
        <w:t xml:space="preserve"> le </w:t>
      </w:r>
      <w:r w:rsidRPr="009C2953">
        <w:rPr>
          <w:lang w:val="fr-FR"/>
        </w:rPr>
        <w:t>budget et</w:t>
      </w:r>
      <w:r w:rsidR="00F34644" w:rsidRPr="009C2953">
        <w:rPr>
          <w:lang w:val="fr-FR"/>
        </w:rPr>
        <w:t xml:space="preserve"> le </w:t>
      </w:r>
      <w:r w:rsidRPr="009C2953">
        <w:rPr>
          <w:lang w:val="fr-FR"/>
        </w:rPr>
        <w:t>programme de travail continuent de tenir compte de manière réaliste</w:t>
      </w:r>
      <w:r w:rsidR="00D24DC1" w:rsidRPr="009C2953">
        <w:rPr>
          <w:lang w:val="fr-FR"/>
        </w:rPr>
        <w:t xml:space="preserve"> des </w:t>
      </w:r>
      <w:r w:rsidRPr="009C2953">
        <w:rPr>
          <w:lang w:val="fr-FR"/>
        </w:rPr>
        <w:t>ressources existantes.</w:t>
      </w:r>
      <w:r w:rsidR="00F34644" w:rsidRPr="009C2953">
        <w:rPr>
          <w:lang w:val="fr-FR"/>
        </w:rPr>
        <w:t xml:space="preserve"> Le </w:t>
      </w:r>
      <w:r w:rsidRPr="009C2953">
        <w:rPr>
          <w:lang w:val="fr-FR"/>
        </w:rPr>
        <w:t>même représentant a salué</w:t>
      </w:r>
      <w:r w:rsidR="00F34644" w:rsidRPr="009C2953">
        <w:rPr>
          <w:lang w:val="fr-FR"/>
        </w:rPr>
        <w:t xml:space="preserve"> les </w:t>
      </w:r>
      <w:r w:rsidRPr="009C2953">
        <w:rPr>
          <w:lang w:val="fr-FR"/>
        </w:rPr>
        <w:t>efforts constants que</w:t>
      </w:r>
      <w:r w:rsidR="00F34644" w:rsidRPr="009C2953">
        <w:rPr>
          <w:lang w:val="fr-FR"/>
        </w:rPr>
        <w:t xml:space="preserve"> le </w:t>
      </w:r>
      <w:r w:rsidRPr="009C2953">
        <w:rPr>
          <w:lang w:val="fr-FR"/>
        </w:rPr>
        <w:t>secrétariat a</w:t>
      </w:r>
      <w:r w:rsidR="001C526D" w:rsidRPr="009C2953">
        <w:rPr>
          <w:lang w:val="fr-FR"/>
        </w:rPr>
        <w:t>vait</w:t>
      </w:r>
      <w:r w:rsidRPr="009C2953">
        <w:rPr>
          <w:lang w:val="fr-FR"/>
        </w:rPr>
        <w:t xml:space="preserve"> entrepris pour réaliser</w:t>
      </w:r>
      <w:r w:rsidR="00D24DC1" w:rsidRPr="009C2953">
        <w:rPr>
          <w:lang w:val="fr-FR"/>
        </w:rPr>
        <w:t xml:space="preserve"> des </w:t>
      </w:r>
      <w:r w:rsidRPr="009C2953">
        <w:rPr>
          <w:lang w:val="fr-FR"/>
        </w:rPr>
        <w:t>économies, notamment grâce à l</w:t>
      </w:r>
      <w:r w:rsidR="00EA2966" w:rsidRPr="009C2953">
        <w:rPr>
          <w:lang w:val="fr-FR"/>
        </w:rPr>
        <w:t>’</w:t>
      </w:r>
      <w:r w:rsidRPr="009C2953">
        <w:rPr>
          <w:lang w:val="fr-FR"/>
        </w:rPr>
        <w:t>organisation de réunions en ligne ou sous</w:t>
      </w:r>
      <w:r w:rsidR="00F34644" w:rsidRPr="009C2953">
        <w:rPr>
          <w:lang w:val="fr-FR"/>
        </w:rPr>
        <w:t xml:space="preserve"> un </w:t>
      </w:r>
      <w:r w:rsidRPr="009C2953">
        <w:rPr>
          <w:lang w:val="fr-FR"/>
        </w:rPr>
        <w:t xml:space="preserve">format hybride, </w:t>
      </w:r>
      <w:r w:rsidRPr="009C2953">
        <w:rPr>
          <w:lang w:val="fr-FR"/>
        </w:rPr>
        <w:lastRenderedPageBreak/>
        <w:t>comme</w:t>
      </w:r>
      <w:r w:rsidR="00F34644" w:rsidRPr="009C2953">
        <w:rPr>
          <w:lang w:val="fr-FR"/>
        </w:rPr>
        <w:t xml:space="preserve"> la </w:t>
      </w:r>
      <w:r w:rsidRPr="009C2953">
        <w:rPr>
          <w:lang w:val="fr-FR"/>
        </w:rPr>
        <w:t>session plénière en cours, qui avait également l</w:t>
      </w:r>
      <w:r w:rsidR="00EA2966" w:rsidRPr="009C2953">
        <w:rPr>
          <w:lang w:val="fr-FR"/>
        </w:rPr>
        <w:t>’</w:t>
      </w:r>
      <w:r w:rsidRPr="009C2953">
        <w:rPr>
          <w:lang w:val="fr-FR"/>
        </w:rPr>
        <w:t>avantage de permettre</w:t>
      </w:r>
      <w:r w:rsidR="00F34644" w:rsidRPr="009C2953">
        <w:rPr>
          <w:lang w:val="fr-FR"/>
        </w:rPr>
        <w:t xml:space="preserve"> une </w:t>
      </w:r>
      <w:r w:rsidRPr="009C2953">
        <w:rPr>
          <w:lang w:val="fr-FR"/>
        </w:rPr>
        <w:t>plus large participation ; il a encouragé</w:t>
      </w:r>
      <w:r w:rsidR="00F34644" w:rsidRPr="009C2953">
        <w:rPr>
          <w:lang w:val="fr-FR"/>
        </w:rPr>
        <w:t xml:space="preserve"> le </w:t>
      </w:r>
      <w:r w:rsidRPr="009C2953">
        <w:rPr>
          <w:lang w:val="fr-FR"/>
        </w:rPr>
        <w:t>secrétariat à poursuivre ses efforts à cet égard.</w:t>
      </w:r>
    </w:p>
    <w:p w14:paraId="67E7F348" w14:textId="5804ACA9" w:rsidR="00607B78" w:rsidRPr="009C2953" w:rsidRDefault="00607B78" w:rsidP="008731A8">
      <w:pPr>
        <w:pStyle w:val="Normalnumber"/>
        <w:numPr>
          <w:ilvl w:val="0"/>
          <w:numId w:val="2"/>
        </w:numPr>
        <w:tabs>
          <w:tab w:val="clear" w:pos="1871"/>
        </w:tabs>
        <w:rPr>
          <w:lang w:val="fr-FR"/>
        </w:rPr>
      </w:pPr>
      <w:r w:rsidRPr="009C2953">
        <w:rPr>
          <w:lang w:val="fr-FR"/>
        </w:rPr>
        <w:t>La Plénière a créé</w:t>
      </w:r>
      <w:r w:rsidR="00F34644" w:rsidRPr="009C2953">
        <w:rPr>
          <w:lang w:val="fr-FR"/>
        </w:rPr>
        <w:t xml:space="preserve"> un </w:t>
      </w:r>
      <w:r w:rsidRPr="009C2953">
        <w:rPr>
          <w:lang w:val="fr-FR"/>
        </w:rPr>
        <w:t>groupe de contact sur</w:t>
      </w:r>
      <w:r w:rsidR="00F34644" w:rsidRPr="009C2953">
        <w:rPr>
          <w:lang w:val="fr-FR"/>
        </w:rPr>
        <w:t xml:space="preserve"> le </w:t>
      </w:r>
      <w:r w:rsidRPr="009C2953">
        <w:rPr>
          <w:lang w:val="fr-FR"/>
        </w:rPr>
        <w:t xml:space="preserve">budget, coprésidé par MM. Hamid </w:t>
      </w:r>
      <w:proofErr w:type="spellStart"/>
      <w:r w:rsidRPr="009C2953">
        <w:rPr>
          <w:lang w:val="fr-FR"/>
        </w:rPr>
        <w:t>Custovic</w:t>
      </w:r>
      <w:proofErr w:type="spellEnd"/>
      <w:r w:rsidRPr="009C2953">
        <w:rPr>
          <w:lang w:val="fr-FR"/>
        </w:rPr>
        <w:t xml:space="preserve"> (Bosnie-Herzégovine) et Spencer Thomas (Grenade), pour examiner plus avant</w:t>
      </w:r>
      <w:r w:rsidR="00F34644" w:rsidRPr="009C2953">
        <w:rPr>
          <w:lang w:val="fr-FR"/>
        </w:rPr>
        <w:t xml:space="preserve"> les </w:t>
      </w:r>
      <w:r w:rsidRPr="009C2953">
        <w:rPr>
          <w:lang w:val="fr-FR"/>
        </w:rPr>
        <w:t>dispositifs financiers et budgétaires de</w:t>
      </w:r>
      <w:r w:rsidR="00F34644" w:rsidRPr="009C2953">
        <w:rPr>
          <w:lang w:val="fr-FR"/>
        </w:rPr>
        <w:t xml:space="preserve"> la </w:t>
      </w:r>
      <w:r w:rsidRPr="009C2953">
        <w:rPr>
          <w:lang w:val="fr-FR"/>
        </w:rPr>
        <w:t>Plateforme.</w:t>
      </w:r>
    </w:p>
    <w:p w14:paraId="486CFFAD" w14:textId="2B32A43B" w:rsidR="00607B78" w:rsidRPr="009C2953" w:rsidRDefault="00607B78" w:rsidP="008731A8">
      <w:pPr>
        <w:pStyle w:val="Normalnumber"/>
        <w:numPr>
          <w:ilvl w:val="0"/>
          <w:numId w:val="2"/>
        </w:numPr>
        <w:tabs>
          <w:tab w:val="clear" w:pos="1871"/>
        </w:tabs>
        <w:rPr>
          <w:lang w:val="fr-FR"/>
        </w:rPr>
      </w:pPr>
      <w:r w:rsidRPr="009C2953">
        <w:rPr>
          <w:lang w:val="fr-FR"/>
        </w:rPr>
        <w:t>À l</w:t>
      </w:r>
      <w:r w:rsidR="00EA2966" w:rsidRPr="009C2953">
        <w:rPr>
          <w:lang w:val="fr-FR"/>
        </w:rPr>
        <w:t>’</w:t>
      </w:r>
      <w:r w:rsidRPr="009C2953">
        <w:rPr>
          <w:lang w:val="fr-FR"/>
        </w:rPr>
        <w:t>issue</w:t>
      </w:r>
      <w:r w:rsidR="00D24DC1" w:rsidRPr="009C2953">
        <w:rPr>
          <w:lang w:val="fr-FR"/>
        </w:rPr>
        <w:t xml:space="preserve"> des </w:t>
      </w:r>
      <w:r w:rsidRPr="009C2953">
        <w:rPr>
          <w:lang w:val="fr-FR"/>
        </w:rPr>
        <w:t>travaux du groupe de contact sur</w:t>
      </w:r>
      <w:r w:rsidR="00F34644" w:rsidRPr="009C2953">
        <w:rPr>
          <w:lang w:val="fr-FR"/>
        </w:rPr>
        <w:t xml:space="preserve"> le </w:t>
      </w:r>
      <w:r w:rsidRPr="009C2953">
        <w:rPr>
          <w:lang w:val="fr-FR"/>
        </w:rPr>
        <w:t>budget,</w:t>
      </w:r>
      <w:r w:rsidR="00F34644" w:rsidRPr="009C2953">
        <w:rPr>
          <w:lang w:val="fr-FR"/>
        </w:rPr>
        <w:t xml:space="preserve"> le </w:t>
      </w:r>
      <w:r w:rsidRPr="009C2953">
        <w:rPr>
          <w:lang w:val="fr-FR"/>
        </w:rPr>
        <w:t>coprésident a indiqué que</w:t>
      </w:r>
      <w:r w:rsidR="00F34644" w:rsidRPr="009C2953">
        <w:rPr>
          <w:lang w:val="fr-FR"/>
        </w:rPr>
        <w:t xml:space="preserve"> le </w:t>
      </w:r>
      <w:r w:rsidRPr="009C2953">
        <w:rPr>
          <w:lang w:val="fr-FR"/>
        </w:rPr>
        <w:t>groupe était parvenu à</w:t>
      </w:r>
      <w:r w:rsidR="00F34644" w:rsidRPr="009C2953">
        <w:rPr>
          <w:lang w:val="fr-FR"/>
        </w:rPr>
        <w:t xml:space="preserve"> un </w:t>
      </w:r>
      <w:r w:rsidRPr="009C2953">
        <w:rPr>
          <w:lang w:val="fr-FR"/>
        </w:rPr>
        <w:t>consensus sur toutes</w:t>
      </w:r>
      <w:r w:rsidR="00F34644" w:rsidRPr="009C2953">
        <w:rPr>
          <w:lang w:val="fr-FR"/>
        </w:rPr>
        <w:t xml:space="preserve"> les </w:t>
      </w:r>
      <w:r w:rsidRPr="009C2953">
        <w:rPr>
          <w:lang w:val="fr-FR"/>
        </w:rPr>
        <w:t>questions en discussion.</w:t>
      </w:r>
    </w:p>
    <w:p w14:paraId="1899669E" w14:textId="50132E45"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examiné</w:t>
      </w:r>
      <w:r w:rsidR="00F34644" w:rsidRPr="009C2953">
        <w:rPr>
          <w:lang w:val="fr-FR"/>
        </w:rPr>
        <w:t xml:space="preserve"> un </w:t>
      </w:r>
      <w:r w:rsidRPr="009C2953">
        <w:rPr>
          <w:lang w:val="fr-FR"/>
        </w:rPr>
        <w:t>projet de décision sur</w:t>
      </w:r>
      <w:r w:rsidR="00F34644" w:rsidRPr="009C2953">
        <w:rPr>
          <w:lang w:val="fr-FR"/>
        </w:rPr>
        <w:t xml:space="preserve"> la </w:t>
      </w:r>
      <w:r w:rsidRPr="009C2953">
        <w:rPr>
          <w:lang w:val="fr-FR"/>
        </w:rPr>
        <w:t>question (IPBES/10/L.5).</w:t>
      </w:r>
      <w:r w:rsidR="00F34644" w:rsidRPr="009C2953">
        <w:rPr>
          <w:lang w:val="fr-FR"/>
        </w:rPr>
        <w:t xml:space="preserve"> La </w:t>
      </w:r>
      <w:r w:rsidRPr="009C2953">
        <w:rPr>
          <w:lang w:val="fr-FR"/>
        </w:rPr>
        <w:t>Secrétaire exécutive, présentant</w:t>
      </w:r>
      <w:r w:rsidR="00F34644" w:rsidRPr="009C2953">
        <w:rPr>
          <w:lang w:val="fr-FR"/>
        </w:rPr>
        <w:t xml:space="preserve"> le </w:t>
      </w:r>
      <w:r w:rsidRPr="009C2953">
        <w:rPr>
          <w:lang w:val="fr-FR"/>
        </w:rPr>
        <w:t>projet de décision sur</w:t>
      </w:r>
      <w:r w:rsidR="00F34644" w:rsidRPr="009C2953">
        <w:rPr>
          <w:lang w:val="fr-FR"/>
        </w:rPr>
        <w:t xml:space="preserve"> les </w:t>
      </w:r>
      <w:r w:rsidRPr="009C2953">
        <w:rPr>
          <w:lang w:val="fr-FR"/>
        </w:rPr>
        <w:t>dispositifs financiers et budgétaires figurant dans</w:t>
      </w:r>
      <w:r w:rsidR="00F34644" w:rsidRPr="009C2953">
        <w:rPr>
          <w:lang w:val="fr-FR"/>
        </w:rPr>
        <w:t xml:space="preserve"> le </w:t>
      </w:r>
      <w:r w:rsidRPr="009C2953">
        <w:rPr>
          <w:lang w:val="fr-FR"/>
        </w:rPr>
        <w:t>document IPBES/10/L.5, a souligné que</w:t>
      </w:r>
      <w:r w:rsidR="00F34644" w:rsidRPr="009C2953">
        <w:rPr>
          <w:lang w:val="fr-FR"/>
        </w:rPr>
        <w:t xml:space="preserve"> les </w:t>
      </w:r>
      <w:r w:rsidRPr="009C2953">
        <w:rPr>
          <w:lang w:val="fr-FR"/>
        </w:rPr>
        <w:t>paragraphes 10, 11 et 12 du projet de</w:t>
      </w:r>
      <w:r w:rsidR="00733061" w:rsidRPr="009C2953">
        <w:rPr>
          <w:lang w:val="fr-FR"/>
        </w:rPr>
        <w:t> </w:t>
      </w:r>
      <w:r w:rsidRPr="009C2953">
        <w:rPr>
          <w:lang w:val="fr-FR"/>
        </w:rPr>
        <w:t>décision se référaient</w:t>
      </w:r>
      <w:r w:rsidR="00F34644" w:rsidRPr="009C2953">
        <w:rPr>
          <w:lang w:val="fr-FR"/>
        </w:rPr>
        <w:t xml:space="preserve"> aux </w:t>
      </w:r>
      <w:r w:rsidRPr="009C2953">
        <w:rPr>
          <w:lang w:val="fr-FR"/>
        </w:rPr>
        <w:t>budgets pour 2023, 2024 et 2025, lesquels figuraient, respectivement, dans</w:t>
      </w:r>
      <w:r w:rsidR="00F34644" w:rsidRPr="009C2953">
        <w:rPr>
          <w:lang w:val="fr-FR"/>
        </w:rPr>
        <w:t xml:space="preserve"> les </w:t>
      </w:r>
      <w:r w:rsidRPr="009C2953">
        <w:rPr>
          <w:lang w:val="fr-FR"/>
        </w:rPr>
        <w:t>tableaux 6, 7 et 8 et reflétaient l</w:t>
      </w:r>
      <w:r w:rsidR="00EA2966" w:rsidRPr="009C2953">
        <w:rPr>
          <w:lang w:val="fr-FR"/>
        </w:rPr>
        <w:t>’</w:t>
      </w:r>
      <w:r w:rsidRPr="009C2953">
        <w:rPr>
          <w:lang w:val="fr-FR"/>
        </w:rPr>
        <w:t>accord auquel</w:t>
      </w:r>
      <w:r w:rsidR="00F34644" w:rsidRPr="009C2953">
        <w:rPr>
          <w:lang w:val="fr-FR"/>
        </w:rPr>
        <w:t xml:space="preserve"> le </w:t>
      </w:r>
      <w:r w:rsidRPr="009C2953">
        <w:rPr>
          <w:lang w:val="fr-FR"/>
        </w:rPr>
        <w:t>groupe de contact sur</w:t>
      </w:r>
      <w:r w:rsidR="00F34644" w:rsidRPr="009C2953">
        <w:rPr>
          <w:lang w:val="fr-FR"/>
        </w:rPr>
        <w:t xml:space="preserve"> le </w:t>
      </w:r>
      <w:r w:rsidRPr="009C2953">
        <w:rPr>
          <w:lang w:val="fr-FR"/>
        </w:rPr>
        <w:t>budget était parvenu, tel</w:t>
      </w:r>
      <w:r w:rsidR="005847E4" w:rsidRPr="009C2953">
        <w:rPr>
          <w:lang w:val="fr-FR"/>
        </w:rPr>
        <w:t> </w:t>
      </w:r>
      <w:r w:rsidRPr="009C2953">
        <w:rPr>
          <w:lang w:val="fr-FR"/>
        </w:rPr>
        <w:t>que présenté par</w:t>
      </w:r>
      <w:r w:rsidR="00F34644" w:rsidRPr="009C2953">
        <w:rPr>
          <w:lang w:val="fr-FR"/>
        </w:rPr>
        <w:t xml:space="preserve"> le </w:t>
      </w:r>
      <w:r w:rsidRPr="009C2953">
        <w:rPr>
          <w:lang w:val="fr-FR"/>
        </w:rPr>
        <w:t>rapporteur du groupe.</w:t>
      </w:r>
    </w:p>
    <w:p w14:paraId="50027BE9" w14:textId="3FB26D94" w:rsidR="00607B78" w:rsidRPr="009C2953" w:rsidRDefault="00607B78" w:rsidP="008731A8">
      <w:pPr>
        <w:pStyle w:val="Normalnumber"/>
        <w:numPr>
          <w:ilvl w:val="0"/>
          <w:numId w:val="2"/>
        </w:numPr>
        <w:rPr>
          <w:rFonts w:eastAsia="SimSun"/>
          <w:lang w:val="fr-FR"/>
        </w:rPr>
      </w:pPr>
      <w:r w:rsidRPr="009C2953">
        <w:rPr>
          <w:lang w:val="fr-FR"/>
        </w:rPr>
        <w:t>La Plénière a ensuite adopté</w:t>
      </w:r>
      <w:r w:rsidR="00F34644" w:rsidRPr="009C2953">
        <w:rPr>
          <w:lang w:val="fr-FR"/>
        </w:rPr>
        <w:t xml:space="preserve"> la </w:t>
      </w:r>
      <w:r w:rsidRPr="009C2953">
        <w:rPr>
          <w:lang w:val="fr-FR"/>
        </w:rPr>
        <w:t>décision IPBES-10/3 sur</w:t>
      </w:r>
      <w:r w:rsidR="00F34644" w:rsidRPr="009C2953">
        <w:rPr>
          <w:lang w:val="fr-FR"/>
        </w:rPr>
        <w:t xml:space="preserve"> les </w:t>
      </w:r>
      <w:r w:rsidRPr="009C2953">
        <w:rPr>
          <w:lang w:val="fr-FR"/>
        </w:rPr>
        <w:t>dispositifs financiers et budgétaires.</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0A58828C" w14:textId="2021F9C3" w:rsidR="00607B78" w:rsidRPr="009C2953" w:rsidRDefault="00607B78" w:rsidP="00607B78">
      <w:pPr>
        <w:pStyle w:val="CH1"/>
      </w:pPr>
      <w:r w:rsidRPr="009C2953">
        <w:tab/>
        <w:t>VII.</w:t>
      </w:r>
      <w:r w:rsidRPr="009C2953">
        <w:tab/>
        <w:t>Évaluation</w:t>
      </w:r>
      <w:r w:rsidR="00D24DC1" w:rsidRPr="009C2953">
        <w:t xml:space="preserve"> des </w:t>
      </w:r>
      <w:r w:rsidRPr="009C2953">
        <w:t>connaissances</w:t>
      </w:r>
    </w:p>
    <w:p w14:paraId="0094F3BA" w14:textId="4AFF5986" w:rsidR="00607B78" w:rsidRPr="009C2953" w:rsidRDefault="00607B78" w:rsidP="00607B78">
      <w:pPr>
        <w:pStyle w:val="CH2"/>
      </w:pPr>
      <w:r w:rsidRPr="009C2953">
        <w:tab/>
        <w:t>A.</w:t>
      </w:r>
      <w:r w:rsidRPr="009C2953">
        <w:tab/>
        <w:t>Évaluation thématique</w:t>
      </w:r>
      <w:r w:rsidR="00D24DC1" w:rsidRPr="009C2953">
        <w:t xml:space="preserve"> des </w:t>
      </w:r>
      <w:r w:rsidRPr="009C2953">
        <w:t>espèces exotiques envahissantes</w:t>
      </w:r>
    </w:p>
    <w:p w14:paraId="6D56E941" w14:textId="0477A21F" w:rsidR="00607B78" w:rsidRPr="009C2953" w:rsidRDefault="00607B78" w:rsidP="008731A8">
      <w:pPr>
        <w:pStyle w:val="Normalnumber"/>
        <w:numPr>
          <w:ilvl w:val="0"/>
          <w:numId w:val="2"/>
        </w:numPr>
        <w:rPr>
          <w:lang w:val="fr-FR"/>
        </w:rPr>
      </w:pPr>
      <w:r w:rsidRPr="009C2953">
        <w:rPr>
          <w:lang w:val="fr-FR"/>
        </w:rPr>
        <w:t>Présentant ce sous-point,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de l</w:t>
      </w:r>
      <w:r w:rsidR="00EA2966" w:rsidRPr="009C2953">
        <w:rPr>
          <w:lang w:val="fr-FR"/>
        </w:rPr>
        <w:t>’</w:t>
      </w:r>
      <w:r w:rsidRPr="009C2953">
        <w:rPr>
          <w:lang w:val="fr-FR"/>
        </w:rPr>
        <w:t>évaluation</w:t>
      </w:r>
      <w:r w:rsidR="00D24DC1" w:rsidRPr="009C2953">
        <w:rPr>
          <w:lang w:val="fr-FR"/>
        </w:rPr>
        <w:t xml:space="preserve"> des </w:t>
      </w:r>
      <w:r w:rsidRPr="009C2953">
        <w:rPr>
          <w:lang w:val="fr-FR"/>
        </w:rPr>
        <w:t>espèces exotiques envahissantes et de</w:t>
      </w:r>
      <w:r w:rsidR="00F34644" w:rsidRPr="009C2953">
        <w:rPr>
          <w:lang w:val="fr-FR"/>
        </w:rPr>
        <w:t xml:space="preserve"> la </w:t>
      </w:r>
      <w:r w:rsidRPr="009C2953">
        <w:rPr>
          <w:lang w:val="fr-FR"/>
        </w:rPr>
        <w:t>lutte contre</w:t>
      </w:r>
      <w:r w:rsidR="00F34644" w:rsidRPr="009C2953">
        <w:rPr>
          <w:lang w:val="fr-FR"/>
        </w:rPr>
        <w:t xml:space="preserve"> leur </w:t>
      </w:r>
      <w:r w:rsidRPr="009C2953">
        <w:rPr>
          <w:lang w:val="fr-FR"/>
        </w:rPr>
        <w:t>prolifération (IPBES/10/6), ainsi que sur</w:t>
      </w:r>
      <w:r w:rsidR="00F34644" w:rsidRPr="009C2953">
        <w:rPr>
          <w:lang w:val="fr-FR"/>
        </w:rPr>
        <w:t xml:space="preserve"> les </w:t>
      </w:r>
      <w:r w:rsidRPr="009C2953">
        <w:rPr>
          <w:lang w:val="fr-FR"/>
        </w:rPr>
        <w:t>chapitres de l</w:t>
      </w:r>
      <w:r w:rsidR="00EA2966" w:rsidRPr="009C2953">
        <w:rPr>
          <w:lang w:val="fr-FR"/>
        </w:rPr>
        <w:t>’</w:t>
      </w:r>
      <w:r w:rsidRPr="009C2953">
        <w:rPr>
          <w:lang w:val="fr-FR"/>
        </w:rPr>
        <w:t>évaluation thématique (IPBES/10/INF/1) et sur l</w:t>
      </w:r>
      <w:r w:rsidR="00EA2966" w:rsidRPr="009C2953">
        <w:rPr>
          <w:lang w:val="fr-FR"/>
        </w:rPr>
        <w:t>’</w:t>
      </w:r>
      <w:r w:rsidRPr="009C2953">
        <w:rPr>
          <w:lang w:val="fr-FR"/>
        </w:rPr>
        <w:t>aperçu d</w:t>
      </w:r>
      <w:r w:rsidR="00225960" w:rsidRPr="009C2953">
        <w:rPr>
          <w:lang w:val="fr-FR"/>
        </w:rPr>
        <w:t>e</w:t>
      </w:r>
      <w:r w:rsidR="00F34644" w:rsidRPr="009C2953">
        <w:rPr>
          <w:lang w:val="fr-FR"/>
        </w:rPr>
        <w:t xml:space="preserve"> la </w:t>
      </w:r>
      <w:r w:rsidR="00225960" w:rsidRPr="009C2953">
        <w:rPr>
          <w:lang w:val="fr-FR"/>
        </w:rPr>
        <w:t xml:space="preserve">procédure suivie pour produire </w:t>
      </w:r>
      <w:r w:rsidRPr="009C2953">
        <w:rPr>
          <w:lang w:val="fr-FR"/>
        </w:rPr>
        <w:t>l</w:t>
      </w:r>
      <w:r w:rsidR="00EA2966" w:rsidRPr="009C2953">
        <w:rPr>
          <w:lang w:val="fr-FR"/>
        </w:rPr>
        <w:t>’</w:t>
      </w:r>
      <w:r w:rsidRPr="009C2953">
        <w:rPr>
          <w:lang w:val="fr-FR"/>
        </w:rPr>
        <w:t>évaluation (IPBES/10/INF/5). Elle a exprimé</w:t>
      </w:r>
      <w:r w:rsidR="00F34644" w:rsidRPr="009C2953">
        <w:rPr>
          <w:lang w:val="fr-FR"/>
        </w:rPr>
        <w:t xml:space="preserve"> sa </w:t>
      </w:r>
      <w:r w:rsidRPr="009C2953">
        <w:rPr>
          <w:lang w:val="fr-FR"/>
        </w:rPr>
        <w:t>profonde gratitude</w:t>
      </w:r>
      <w:r w:rsidR="00F34644" w:rsidRPr="009C2953">
        <w:rPr>
          <w:lang w:val="fr-FR"/>
        </w:rPr>
        <w:t xml:space="preserve"> aux </w:t>
      </w:r>
      <w:r w:rsidRPr="009C2953">
        <w:rPr>
          <w:lang w:val="fr-FR"/>
        </w:rPr>
        <w:t>coprésidents de l</w:t>
      </w:r>
      <w:r w:rsidR="00EA2966" w:rsidRPr="009C2953">
        <w:rPr>
          <w:lang w:val="fr-FR"/>
        </w:rPr>
        <w:t>’</w:t>
      </w:r>
      <w:r w:rsidRPr="009C2953">
        <w:rPr>
          <w:lang w:val="fr-FR"/>
        </w:rPr>
        <w:t>évaluation thématique pour</w:t>
      </w:r>
      <w:r w:rsidR="00F34644" w:rsidRPr="009C2953">
        <w:rPr>
          <w:lang w:val="fr-FR"/>
        </w:rPr>
        <w:t xml:space="preserve"> leur </w:t>
      </w:r>
      <w:r w:rsidRPr="009C2953">
        <w:rPr>
          <w:lang w:val="fr-FR"/>
        </w:rPr>
        <w:t>temps et</w:t>
      </w:r>
      <w:r w:rsidR="00F34644" w:rsidRPr="009C2953">
        <w:rPr>
          <w:lang w:val="fr-FR"/>
        </w:rPr>
        <w:t xml:space="preserve"> leur </w:t>
      </w:r>
      <w:r w:rsidRPr="009C2953">
        <w:rPr>
          <w:lang w:val="fr-FR"/>
        </w:rPr>
        <w:t>dévouement au cours</w:t>
      </w:r>
      <w:r w:rsidR="00D24DC1" w:rsidRPr="009C2953">
        <w:rPr>
          <w:lang w:val="fr-FR"/>
        </w:rPr>
        <w:t xml:space="preserve"> des </w:t>
      </w:r>
      <w:r w:rsidRPr="009C2953">
        <w:rPr>
          <w:lang w:val="fr-FR"/>
        </w:rPr>
        <w:t>quatre dernières années et, à travers eux,</w:t>
      </w:r>
      <w:r w:rsidR="00F34644" w:rsidRPr="009C2953">
        <w:rPr>
          <w:lang w:val="fr-FR"/>
        </w:rPr>
        <w:t xml:space="preserve"> aux </w:t>
      </w:r>
      <w:r w:rsidRPr="009C2953">
        <w:rPr>
          <w:lang w:val="fr-FR"/>
        </w:rPr>
        <w:t xml:space="preserve">nombreux(ses) expert(e)s qui avaient également contribué de manière importante en temps et en efforts. </w:t>
      </w:r>
    </w:p>
    <w:p w14:paraId="3A3F55C8" w14:textId="27DFFC51" w:rsidR="00607B78" w:rsidRPr="009C2953" w:rsidRDefault="00607B78" w:rsidP="008731A8">
      <w:pPr>
        <w:pStyle w:val="Normalnumber"/>
        <w:numPr>
          <w:ilvl w:val="0"/>
          <w:numId w:val="2"/>
        </w:numPr>
        <w:rPr>
          <w:lang w:val="fr-FR"/>
        </w:rPr>
      </w:pPr>
      <w:r w:rsidRPr="009C2953">
        <w:rPr>
          <w:lang w:val="fr-FR"/>
        </w:rPr>
        <w:t>La Plénière est convenue de prier</w:t>
      </w:r>
      <w:r w:rsidR="00F34644" w:rsidRPr="009C2953">
        <w:rPr>
          <w:lang w:val="fr-FR"/>
        </w:rPr>
        <w:t xml:space="preserve"> le </w:t>
      </w:r>
      <w:r w:rsidRPr="009C2953">
        <w:rPr>
          <w:lang w:val="fr-FR"/>
        </w:rPr>
        <w:t>groupe de travail I d</w:t>
      </w:r>
      <w:r w:rsidR="00EA2966" w:rsidRPr="009C2953">
        <w:rPr>
          <w:lang w:val="fr-FR"/>
        </w:rPr>
        <w:t>’</w:t>
      </w:r>
      <w:r w:rsidRPr="009C2953">
        <w:rPr>
          <w:lang w:val="fr-FR"/>
        </w:rPr>
        <w:t>examiner</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 xml:space="preserve">décideurs </w:t>
      </w:r>
      <w:r w:rsidR="00084FE5" w:rsidRPr="009C2953">
        <w:rPr>
          <w:lang w:val="fr-FR"/>
        </w:rPr>
        <w:t xml:space="preserve">en se fondant </w:t>
      </w:r>
      <w:r w:rsidRPr="009C2953">
        <w:rPr>
          <w:lang w:val="fr-FR"/>
        </w:rPr>
        <w:t>sur</w:t>
      </w:r>
      <w:r w:rsidR="00F34644" w:rsidRPr="009C2953">
        <w:rPr>
          <w:lang w:val="fr-FR"/>
        </w:rPr>
        <w:t xml:space="preserve"> la </w:t>
      </w:r>
      <w:r w:rsidRPr="009C2953">
        <w:rPr>
          <w:lang w:val="fr-FR"/>
        </w:rPr>
        <w:t>note informelle de</w:t>
      </w:r>
      <w:r w:rsidR="00F34644" w:rsidRPr="009C2953">
        <w:rPr>
          <w:lang w:val="fr-FR"/>
        </w:rPr>
        <w:t xml:space="preserve"> la </w:t>
      </w:r>
      <w:r w:rsidRPr="009C2953">
        <w:rPr>
          <w:lang w:val="fr-FR"/>
        </w:rPr>
        <w:t xml:space="preserve">Présidente et </w:t>
      </w:r>
      <w:r w:rsidR="00084FE5" w:rsidRPr="009C2953">
        <w:rPr>
          <w:lang w:val="fr-FR"/>
        </w:rPr>
        <w:t>sur</w:t>
      </w:r>
      <w:r w:rsidR="00F34644" w:rsidRPr="009C2953">
        <w:rPr>
          <w:lang w:val="fr-FR"/>
        </w:rPr>
        <w:t xml:space="preserve"> le </w:t>
      </w:r>
      <w:r w:rsidRPr="009C2953">
        <w:rPr>
          <w:lang w:val="fr-FR"/>
        </w:rPr>
        <w:t>projet de décision figurant dans</w:t>
      </w:r>
      <w:r w:rsidR="00F34644" w:rsidRPr="009C2953">
        <w:rPr>
          <w:lang w:val="fr-FR"/>
        </w:rPr>
        <w:t xml:space="preserve"> le </w:t>
      </w:r>
      <w:r w:rsidRPr="009C2953">
        <w:rPr>
          <w:lang w:val="fr-FR"/>
        </w:rPr>
        <w:t>document IPBES/10/1/Add.2.</w:t>
      </w:r>
      <w:r w:rsidR="00F34644" w:rsidRPr="009C2953">
        <w:rPr>
          <w:lang w:val="fr-FR"/>
        </w:rPr>
        <w:t xml:space="preserve"> La </w:t>
      </w:r>
      <w:r w:rsidRPr="009C2953">
        <w:rPr>
          <w:lang w:val="fr-FR"/>
        </w:rPr>
        <w:t xml:space="preserve">coprésidence du groupe </w:t>
      </w:r>
      <w:r w:rsidR="00084FE5" w:rsidRPr="009C2953">
        <w:rPr>
          <w:lang w:val="fr-FR"/>
        </w:rPr>
        <w:t xml:space="preserve">de travail </w:t>
      </w:r>
      <w:r w:rsidRPr="009C2953">
        <w:rPr>
          <w:lang w:val="fr-FR"/>
        </w:rPr>
        <w:t xml:space="preserve">serait assurée par MM. Douglas Beard (États-Unis) et </w:t>
      </w:r>
      <w:proofErr w:type="spellStart"/>
      <w:r w:rsidRPr="009C2953">
        <w:rPr>
          <w:lang w:val="fr-FR"/>
        </w:rPr>
        <w:t>Sebsebe</w:t>
      </w:r>
      <w:proofErr w:type="spellEnd"/>
      <w:r w:rsidRPr="009C2953">
        <w:rPr>
          <w:lang w:val="fr-FR"/>
        </w:rPr>
        <w:t xml:space="preserve"> </w:t>
      </w:r>
      <w:proofErr w:type="spellStart"/>
      <w:r w:rsidRPr="009C2953">
        <w:rPr>
          <w:lang w:val="fr-FR"/>
        </w:rPr>
        <w:t>Demissew</w:t>
      </w:r>
      <w:proofErr w:type="spellEnd"/>
      <w:r w:rsidRPr="009C2953">
        <w:rPr>
          <w:lang w:val="fr-FR"/>
        </w:rPr>
        <w:t xml:space="preserve"> (Éthiopie), qui seraient remplacés par</w:t>
      </w:r>
      <w:r w:rsidR="00107282" w:rsidRPr="009C2953">
        <w:rPr>
          <w:lang w:val="fr-FR"/>
        </w:rPr>
        <w:t xml:space="preserve"> leurs </w:t>
      </w:r>
      <w:r w:rsidRPr="009C2953">
        <w:rPr>
          <w:lang w:val="fr-FR"/>
        </w:rPr>
        <w:t xml:space="preserve">suppléants respectifs, à savoir Mme Hilde </w:t>
      </w:r>
      <w:proofErr w:type="spellStart"/>
      <w:r w:rsidRPr="009C2953">
        <w:rPr>
          <w:lang w:val="fr-FR"/>
        </w:rPr>
        <w:t>Eggermont</w:t>
      </w:r>
      <w:proofErr w:type="spellEnd"/>
      <w:r w:rsidRPr="009C2953">
        <w:rPr>
          <w:lang w:val="fr-FR"/>
        </w:rPr>
        <w:t xml:space="preserve"> (Belgique) et M. Felix </w:t>
      </w:r>
      <w:proofErr w:type="spellStart"/>
      <w:r w:rsidRPr="009C2953">
        <w:rPr>
          <w:lang w:val="fr-FR"/>
        </w:rPr>
        <w:t>Kanungwe</w:t>
      </w:r>
      <w:proofErr w:type="spellEnd"/>
      <w:r w:rsidRPr="009C2953">
        <w:rPr>
          <w:lang w:val="fr-FR"/>
        </w:rPr>
        <w:t xml:space="preserve"> </w:t>
      </w:r>
      <w:proofErr w:type="spellStart"/>
      <w:r w:rsidRPr="009C2953">
        <w:rPr>
          <w:lang w:val="fr-FR"/>
        </w:rPr>
        <w:t>Kalaba</w:t>
      </w:r>
      <w:proofErr w:type="spellEnd"/>
      <w:r w:rsidRPr="009C2953">
        <w:rPr>
          <w:lang w:val="fr-FR"/>
        </w:rPr>
        <w:t xml:space="preserve"> (Zambie), dans</w:t>
      </w:r>
      <w:r w:rsidR="00F34644" w:rsidRPr="009C2953">
        <w:rPr>
          <w:lang w:val="fr-FR"/>
        </w:rPr>
        <w:t xml:space="preserve"> le </w:t>
      </w:r>
      <w:r w:rsidRPr="009C2953">
        <w:rPr>
          <w:lang w:val="fr-FR"/>
        </w:rPr>
        <w:t>cas où</w:t>
      </w:r>
      <w:r w:rsidR="00F34644" w:rsidRPr="009C2953">
        <w:rPr>
          <w:lang w:val="fr-FR"/>
        </w:rPr>
        <w:t xml:space="preserve"> ils </w:t>
      </w:r>
      <w:r w:rsidRPr="009C2953">
        <w:rPr>
          <w:lang w:val="fr-FR"/>
        </w:rPr>
        <w:t>ne seraient pas en mesure de continuer à assurer</w:t>
      </w:r>
      <w:r w:rsidR="00107282" w:rsidRPr="009C2953">
        <w:rPr>
          <w:lang w:val="fr-FR"/>
        </w:rPr>
        <w:t xml:space="preserve"> leurs </w:t>
      </w:r>
      <w:r w:rsidRPr="009C2953">
        <w:rPr>
          <w:lang w:val="fr-FR"/>
        </w:rPr>
        <w:t>fonctions.</w:t>
      </w:r>
    </w:p>
    <w:p w14:paraId="2ACA9FB7" w14:textId="4596AB78"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examiné</w:t>
      </w:r>
      <w:r w:rsidR="00F34644" w:rsidRPr="009C2953">
        <w:rPr>
          <w:lang w:val="fr-FR"/>
        </w:rPr>
        <w:t xml:space="preserve"> le </w:t>
      </w:r>
      <w:r w:rsidRPr="009C2953">
        <w:rPr>
          <w:lang w:val="fr-FR"/>
        </w:rPr>
        <w:t>projet de 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(IPBES/10/L.3), qui avait été élaboré par</w:t>
      </w:r>
      <w:r w:rsidR="00F34644" w:rsidRPr="009C2953">
        <w:rPr>
          <w:lang w:val="fr-FR"/>
        </w:rPr>
        <w:t xml:space="preserve"> le </w:t>
      </w:r>
      <w:r w:rsidRPr="009C2953">
        <w:rPr>
          <w:lang w:val="fr-FR"/>
        </w:rPr>
        <w:t>groupe de travail, et</w:t>
      </w:r>
      <w:r w:rsidR="00F34644" w:rsidRPr="009C2953">
        <w:rPr>
          <w:lang w:val="fr-FR"/>
        </w:rPr>
        <w:t xml:space="preserve"> un </w:t>
      </w:r>
      <w:r w:rsidRPr="009C2953">
        <w:rPr>
          <w:lang w:val="fr-FR"/>
        </w:rPr>
        <w:t>projet de décision sur</w:t>
      </w:r>
      <w:r w:rsidR="00F34644" w:rsidRPr="009C2953">
        <w:rPr>
          <w:lang w:val="fr-FR"/>
        </w:rPr>
        <w:t xml:space="preserve"> la </w:t>
      </w:r>
      <w:r w:rsidRPr="009C2953">
        <w:rPr>
          <w:lang w:val="fr-FR"/>
        </w:rPr>
        <w:t>question (IPBES/10/L.2, section II), par lequel elle approuverait</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tel que révisé par</w:t>
      </w:r>
      <w:r w:rsidR="00F34644" w:rsidRPr="009C2953">
        <w:rPr>
          <w:lang w:val="fr-FR"/>
        </w:rPr>
        <w:t xml:space="preserve"> le </w:t>
      </w:r>
      <w:r w:rsidRPr="009C2953">
        <w:rPr>
          <w:lang w:val="fr-FR"/>
        </w:rPr>
        <w:t>groupe de travail, et accepterait</w:t>
      </w:r>
      <w:r w:rsidR="00F34644" w:rsidRPr="009C2953">
        <w:rPr>
          <w:lang w:val="fr-FR"/>
        </w:rPr>
        <w:t xml:space="preserve"> les </w:t>
      </w:r>
      <w:r w:rsidRPr="009C2953">
        <w:rPr>
          <w:lang w:val="fr-FR"/>
        </w:rPr>
        <w:t>chapitres de l</w:t>
      </w:r>
      <w:r w:rsidR="00EA2966" w:rsidRPr="009C2953">
        <w:rPr>
          <w:lang w:val="fr-FR"/>
        </w:rPr>
        <w:t>’</w:t>
      </w:r>
      <w:r w:rsidRPr="009C2953">
        <w:rPr>
          <w:lang w:val="fr-FR"/>
        </w:rPr>
        <w:t>évaluation thématique de</w:t>
      </w:r>
      <w:r w:rsidR="00225960" w:rsidRPr="009C2953">
        <w:rPr>
          <w:lang w:val="fr-FR"/>
        </w:rPr>
        <w:t xml:space="preserve"> l</w:t>
      </w:r>
      <w:r w:rsidR="00EA2966" w:rsidRPr="009C2953">
        <w:rPr>
          <w:lang w:val="fr-FR"/>
        </w:rPr>
        <w:t>’</w:t>
      </w:r>
      <w:r w:rsidR="00225960" w:rsidRPr="009C2953">
        <w:rPr>
          <w:lang w:val="fr-FR"/>
        </w:rPr>
        <w:t>utilisation durable</w:t>
      </w:r>
      <w:r w:rsidR="00D24DC1" w:rsidRPr="009C2953">
        <w:rPr>
          <w:lang w:val="fr-FR"/>
        </w:rPr>
        <w:t xml:space="preserve"> des </w:t>
      </w:r>
      <w:r w:rsidR="00225960" w:rsidRPr="009C2953">
        <w:rPr>
          <w:lang w:val="fr-FR"/>
        </w:rPr>
        <w:t xml:space="preserve">espèces sauvages </w:t>
      </w:r>
      <w:r w:rsidRPr="009C2953">
        <w:rPr>
          <w:lang w:val="fr-FR"/>
        </w:rPr>
        <w:t>(IPBES/10/INF/1), étant</w:t>
      </w:r>
      <w:r w:rsidR="00F6028C" w:rsidRPr="009C2953">
        <w:rPr>
          <w:lang w:val="fr-FR"/>
        </w:rPr>
        <w:t> </w:t>
      </w:r>
      <w:r w:rsidRPr="009C2953">
        <w:rPr>
          <w:lang w:val="fr-FR"/>
        </w:rPr>
        <w:t>entendu que</w:t>
      </w:r>
      <w:r w:rsidR="00F34644" w:rsidRPr="009C2953">
        <w:rPr>
          <w:lang w:val="fr-FR"/>
        </w:rPr>
        <w:t xml:space="preserve"> les </w:t>
      </w:r>
      <w:r w:rsidRPr="009C2953">
        <w:rPr>
          <w:lang w:val="fr-FR"/>
        </w:rPr>
        <w:t>chapitres seraient révisés afin de tenir dûment compte du résumé révisé.</w:t>
      </w:r>
    </w:p>
    <w:p w14:paraId="3A5E02F4" w14:textId="5800F4F4" w:rsidR="00607B78" w:rsidRPr="009C2953" w:rsidRDefault="00607B78" w:rsidP="008731A8">
      <w:pPr>
        <w:pStyle w:val="Normalnumber"/>
        <w:numPr>
          <w:ilvl w:val="0"/>
          <w:numId w:val="2"/>
        </w:numPr>
        <w:rPr>
          <w:lang w:val="fr-FR"/>
        </w:rPr>
      </w:pPr>
      <w:r w:rsidRPr="009C2953">
        <w:rPr>
          <w:lang w:val="fr-FR"/>
        </w:rPr>
        <w:t>La Plénière a adopté</w:t>
      </w:r>
      <w:r w:rsidR="00F34644" w:rsidRPr="009C2953">
        <w:rPr>
          <w:lang w:val="fr-FR"/>
        </w:rPr>
        <w:t xml:space="preserve"> la </w:t>
      </w:r>
      <w:r w:rsidRPr="009C2953">
        <w:rPr>
          <w:lang w:val="fr-FR"/>
        </w:rPr>
        <w:t>décision IPBES-10/1 sur</w:t>
      </w:r>
      <w:r w:rsidR="00F34644" w:rsidRPr="009C2953">
        <w:rPr>
          <w:lang w:val="fr-FR"/>
        </w:rPr>
        <w:t xml:space="preserve"> la </w:t>
      </w:r>
      <w:r w:rsidRPr="009C2953">
        <w:rPr>
          <w:lang w:val="fr-FR"/>
        </w:rPr>
        <w:t>mise en œuvre du programme de travail glissant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F34644" w:rsidRPr="009C2953">
        <w:rPr>
          <w:lang w:val="fr-FR"/>
        </w:rPr>
        <w:t xml:space="preserve"> les </w:t>
      </w:r>
      <w:r w:rsidRPr="009C2953">
        <w:rPr>
          <w:lang w:val="fr-FR"/>
        </w:rPr>
        <w:t>services écosystémiques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telle que modifiée oralement,</w:t>
      </w:r>
      <w:r w:rsidR="00F34644" w:rsidRPr="009C2953">
        <w:rPr>
          <w:lang w:val="fr-FR"/>
        </w:rPr>
        <w:t xml:space="preserve"> y </w:t>
      </w:r>
      <w:r w:rsidRPr="009C2953">
        <w:rPr>
          <w:lang w:val="fr-FR"/>
        </w:rPr>
        <w:t>compris</w:t>
      </w:r>
      <w:r w:rsidR="00F34644" w:rsidRPr="009C2953">
        <w:rPr>
          <w:lang w:val="fr-FR"/>
        </w:rPr>
        <w:t xml:space="preserve"> la </w:t>
      </w:r>
      <w:r w:rsidRPr="009C2953">
        <w:rPr>
          <w:lang w:val="fr-FR"/>
        </w:rPr>
        <w:t>partie II intitulée « Évaluation</w:t>
      </w:r>
      <w:r w:rsidR="00D24DC1" w:rsidRPr="009C2953">
        <w:rPr>
          <w:lang w:val="fr-FR"/>
        </w:rPr>
        <w:t xml:space="preserve"> des </w:t>
      </w:r>
      <w:r w:rsidRPr="009C2953">
        <w:rPr>
          <w:lang w:val="fr-FR"/>
        </w:rPr>
        <w:t>connaissances », dans laquelle elle a, entre autres, approuvé</w:t>
      </w:r>
      <w:r w:rsidR="00F34644" w:rsidRPr="009C2953">
        <w:rPr>
          <w:lang w:val="fr-FR"/>
        </w:rPr>
        <w:t xml:space="preserve"> le </w:t>
      </w:r>
      <w:r w:rsidRPr="009C2953">
        <w:rPr>
          <w:lang w:val="fr-FR"/>
        </w:rPr>
        <w:t>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tel que modifié oralement, et accepté</w:t>
      </w:r>
      <w:r w:rsidR="00F34644" w:rsidRPr="009C2953">
        <w:rPr>
          <w:lang w:val="fr-FR"/>
        </w:rPr>
        <w:t xml:space="preserve"> les </w:t>
      </w:r>
      <w:r w:rsidRPr="009C2953">
        <w:rPr>
          <w:lang w:val="fr-FR"/>
        </w:rPr>
        <w:t>différents chapitres de l</w:t>
      </w:r>
      <w:r w:rsidR="00EA2966" w:rsidRPr="009C2953">
        <w:rPr>
          <w:lang w:val="fr-FR"/>
        </w:rPr>
        <w:t>’</w:t>
      </w:r>
      <w:r w:rsidRPr="009C2953">
        <w:rPr>
          <w:lang w:val="fr-FR"/>
        </w:rPr>
        <w:t>évaluation,</w:t>
      </w:r>
      <w:r w:rsidR="00F34644" w:rsidRPr="009C2953">
        <w:rPr>
          <w:lang w:val="fr-FR"/>
        </w:rPr>
        <w:t xml:space="preserve"> y </w:t>
      </w:r>
      <w:r w:rsidRPr="009C2953">
        <w:rPr>
          <w:lang w:val="fr-FR"/>
        </w:rPr>
        <w:t>compris</w:t>
      </w:r>
      <w:r w:rsidR="00107282" w:rsidRPr="009C2953">
        <w:rPr>
          <w:lang w:val="fr-FR"/>
        </w:rPr>
        <w:t xml:space="preserve"> leurs </w:t>
      </w:r>
      <w:r w:rsidRPr="009C2953">
        <w:rPr>
          <w:lang w:val="fr-FR"/>
        </w:rPr>
        <w:t>résumés analytiques.</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43A40B74" w14:textId="08A5CEAF" w:rsidR="00607B78" w:rsidRPr="009C2953" w:rsidRDefault="00607B78" w:rsidP="008731A8">
      <w:pPr>
        <w:pStyle w:val="Normalnumber"/>
        <w:numPr>
          <w:ilvl w:val="0"/>
          <w:numId w:val="2"/>
        </w:numPr>
        <w:rPr>
          <w:lang w:val="fr-FR"/>
        </w:rPr>
      </w:pPr>
      <w:r w:rsidRPr="009C2953">
        <w:rPr>
          <w:lang w:val="fr-FR"/>
        </w:rPr>
        <w:t>Au moment de l</w:t>
      </w:r>
      <w:r w:rsidR="00EA2966" w:rsidRPr="009C2953">
        <w:rPr>
          <w:lang w:val="fr-FR"/>
        </w:rPr>
        <w:t>’</w:t>
      </w:r>
      <w:r w:rsidRPr="009C2953">
        <w:rPr>
          <w:lang w:val="fr-FR"/>
        </w:rPr>
        <w:t>adoption,</w:t>
      </w:r>
      <w:r w:rsidR="00F34644" w:rsidRPr="009C2953">
        <w:rPr>
          <w:lang w:val="fr-FR"/>
        </w:rPr>
        <w:t xml:space="preserve"> une </w:t>
      </w:r>
      <w:r w:rsidRPr="009C2953">
        <w:rPr>
          <w:lang w:val="fr-FR"/>
        </w:rPr>
        <w:t>représentante a déclaré qu</w:t>
      </w:r>
      <w:r w:rsidR="00EA2966" w:rsidRPr="009C2953">
        <w:rPr>
          <w:lang w:val="fr-FR"/>
        </w:rPr>
        <w:t>’</w:t>
      </w:r>
      <w:r w:rsidRPr="009C2953">
        <w:rPr>
          <w:lang w:val="fr-FR"/>
        </w:rPr>
        <w:t>elle avait approuvé l</w:t>
      </w:r>
      <w:r w:rsidR="00EA2966" w:rsidRPr="009C2953">
        <w:rPr>
          <w:lang w:val="fr-FR"/>
        </w:rPr>
        <w:t>’</w:t>
      </w:r>
      <w:r w:rsidRPr="009C2953">
        <w:rPr>
          <w:lang w:val="fr-FR"/>
        </w:rPr>
        <w:t>adoption du résumé à l</w:t>
      </w:r>
      <w:r w:rsidR="00EA2966" w:rsidRPr="009C2953">
        <w:rPr>
          <w:lang w:val="fr-FR"/>
        </w:rPr>
        <w:t>’</w:t>
      </w:r>
      <w:r w:rsidRPr="009C2953">
        <w:rPr>
          <w:lang w:val="fr-FR"/>
        </w:rPr>
        <w:t>intention</w:t>
      </w:r>
      <w:r w:rsidR="00D24DC1" w:rsidRPr="009C2953">
        <w:rPr>
          <w:lang w:val="fr-FR"/>
        </w:rPr>
        <w:t xml:space="preserve"> des </w:t>
      </w:r>
      <w:r w:rsidRPr="009C2953">
        <w:rPr>
          <w:lang w:val="fr-FR"/>
        </w:rPr>
        <w:t>décideurs et l</w:t>
      </w:r>
      <w:r w:rsidR="00EA2966" w:rsidRPr="009C2953">
        <w:rPr>
          <w:lang w:val="fr-FR"/>
        </w:rPr>
        <w:t>’</w:t>
      </w:r>
      <w:r w:rsidRPr="009C2953">
        <w:rPr>
          <w:lang w:val="fr-FR"/>
        </w:rPr>
        <w:t>acceptation</w:t>
      </w:r>
      <w:r w:rsidR="00D24DC1" w:rsidRPr="009C2953">
        <w:rPr>
          <w:lang w:val="fr-FR"/>
        </w:rPr>
        <w:t xml:space="preserve"> des </w:t>
      </w:r>
      <w:r w:rsidRPr="009C2953">
        <w:rPr>
          <w:lang w:val="fr-FR"/>
        </w:rPr>
        <w:t>différents chapitres de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espèces exotiques envahissantes, étant entendu que</w:t>
      </w:r>
      <w:r w:rsidR="00F34644" w:rsidRPr="009C2953">
        <w:rPr>
          <w:lang w:val="fr-FR"/>
        </w:rPr>
        <w:t xml:space="preserve"> les </w:t>
      </w:r>
      <w:r w:rsidRPr="009C2953">
        <w:rPr>
          <w:lang w:val="fr-FR"/>
        </w:rPr>
        <w:t>modifications de forme qui seraient apportées après l</w:t>
      </w:r>
      <w:r w:rsidR="00EA2966" w:rsidRPr="009C2953">
        <w:rPr>
          <w:lang w:val="fr-FR"/>
        </w:rPr>
        <w:t>’</w:t>
      </w:r>
      <w:r w:rsidRPr="009C2953">
        <w:rPr>
          <w:lang w:val="fr-FR"/>
        </w:rPr>
        <w:t>adoption par souci de cohérence avec</w:t>
      </w:r>
      <w:r w:rsidR="00F34644" w:rsidRPr="009C2953">
        <w:rPr>
          <w:lang w:val="fr-FR"/>
        </w:rPr>
        <w:t xml:space="preserve"> les </w:t>
      </w:r>
      <w:r w:rsidRPr="009C2953">
        <w:rPr>
          <w:lang w:val="fr-FR"/>
        </w:rPr>
        <w:t>consignes de rédaction et d</w:t>
      </w:r>
      <w:r w:rsidR="00EA2966" w:rsidRPr="009C2953">
        <w:rPr>
          <w:lang w:val="fr-FR"/>
        </w:rPr>
        <w:t>’</w:t>
      </w:r>
      <w:r w:rsidRPr="009C2953">
        <w:rPr>
          <w:lang w:val="fr-FR"/>
        </w:rPr>
        <w:t>édition</w:t>
      </w:r>
      <w:r w:rsidR="00D24DC1" w:rsidRPr="009C2953">
        <w:rPr>
          <w:lang w:val="fr-FR"/>
        </w:rPr>
        <w:t xml:space="preserve"> des </w:t>
      </w:r>
      <w:r w:rsidRPr="009C2953">
        <w:rPr>
          <w:lang w:val="fr-FR"/>
        </w:rPr>
        <w:t>Nations Unies incluraient</w:t>
      </w:r>
      <w:r w:rsidR="00F34644" w:rsidRPr="009C2953">
        <w:rPr>
          <w:lang w:val="fr-FR"/>
        </w:rPr>
        <w:t xml:space="preserve"> les </w:t>
      </w:r>
      <w:r w:rsidRPr="009C2953">
        <w:rPr>
          <w:lang w:val="fr-FR"/>
        </w:rPr>
        <w:t>changements nécessaires pour assurer</w:t>
      </w:r>
      <w:r w:rsidR="00F34644" w:rsidRPr="009C2953">
        <w:rPr>
          <w:lang w:val="fr-FR"/>
        </w:rPr>
        <w:t xml:space="preserve"> la </w:t>
      </w:r>
      <w:r w:rsidRPr="009C2953">
        <w:rPr>
          <w:lang w:val="fr-FR"/>
        </w:rPr>
        <w:t>cohérence avec</w:t>
      </w:r>
      <w:r w:rsidR="00F34644" w:rsidRPr="009C2953">
        <w:rPr>
          <w:lang w:val="fr-FR"/>
        </w:rPr>
        <w:t xml:space="preserve"> la </w:t>
      </w:r>
      <w:r w:rsidRPr="009C2953">
        <w:rPr>
          <w:lang w:val="fr-FR"/>
        </w:rPr>
        <w:t>directive de rédaction et d</w:t>
      </w:r>
      <w:r w:rsidR="00EA2966" w:rsidRPr="009C2953">
        <w:rPr>
          <w:lang w:val="fr-FR"/>
        </w:rPr>
        <w:t>’</w:t>
      </w:r>
      <w:r w:rsidRPr="009C2953">
        <w:rPr>
          <w:lang w:val="fr-FR"/>
        </w:rPr>
        <w:t>édition ST/CS/SER.A/42 sur</w:t>
      </w:r>
      <w:r w:rsidR="00F34644" w:rsidRPr="009C2953">
        <w:rPr>
          <w:lang w:val="fr-FR"/>
        </w:rPr>
        <w:t xml:space="preserve"> les </w:t>
      </w:r>
      <w:r w:rsidRPr="009C2953">
        <w:rPr>
          <w:lang w:val="fr-FR"/>
        </w:rPr>
        <w:t>appellations devant servir à désigner</w:t>
      </w:r>
      <w:r w:rsidR="00F34644" w:rsidRPr="009C2953">
        <w:rPr>
          <w:lang w:val="fr-FR"/>
        </w:rPr>
        <w:t xml:space="preserve"> le </w:t>
      </w:r>
      <w:r w:rsidRPr="009C2953">
        <w:rPr>
          <w:lang w:val="fr-FR"/>
        </w:rPr>
        <w:t>territoire</w:t>
      </w:r>
      <w:r w:rsidR="00D24DC1" w:rsidRPr="009C2953">
        <w:rPr>
          <w:lang w:val="fr-FR"/>
        </w:rPr>
        <w:t xml:space="preserve"> des </w:t>
      </w:r>
      <w:r w:rsidRPr="009C2953">
        <w:rPr>
          <w:lang w:val="fr-FR"/>
        </w:rPr>
        <w:t>îles Falkland (Malvinas).</w:t>
      </w:r>
    </w:p>
    <w:p w14:paraId="07583F8E" w14:textId="7779251E" w:rsidR="00607B78" w:rsidRPr="009C2953" w:rsidRDefault="00607B78" w:rsidP="00607B78">
      <w:pPr>
        <w:pStyle w:val="CH2"/>
      </w:pPr>
      <w:r w:rsidRPr="009C2953">
        <w:lastRenderedPageBreak/>
        <w:tab/>
        <w:t>B.</w:t>
      </w:r>
      <w:r w:rsidRPr="009C2953">
        <w:tab/>
        <w:t>Collaboration avec</w:t>
      </w:r>
      <w:r w:rsidR="00F34644" w:rsidRPr="009C2953">
        <w:t xml:space="preserve"> le </w:t>
      </w:r>
      <w:r w:rsidRPr="009C2953">
        <w:t>Groupe d</w:t>
      </w:r>
      <w:r w:rsidR="00EA2966" w:rsidRPr="009C2953">
        <w:t>’</w:t>
      </w:r>
      <w:r w:rsidRPr="009C2953">
        <w:t>experts intergouvernemental sur l</w:t>
      </w:r>
      <w:r w:rsidR="00EA2966" w:rsidRPr="009C2953">
        <w:t>’</w:t>
      </w:r>
      <w:r w:rsidRPr="009C2953">
        <w:t>évolution du climat</w:t>
      </w:r>
    </w:p>
    <w:p w14:paraId="5F8AD8F7" w14:textId="6E1E41EF" w:rsidR="00607B78" w:rsidRPr="009C2953" w:rsidRDefault="00607B78" w:rsidP="008731A8">
      <w:pPr>
        <w:pStyle w:val="Normalnumber"/>
        <w:numPr>
          <w:ilvl w:val="0"/>
          <w:numId w:val="2"/>
        </w:numPr>
        <w:rPr>
          <w:lang w:val="fr-FR"/>
        </w:rPr>
      </w:pPr>
      <w:r w:rsidRPr="009C2953">
        <w:rPr>
          <w:lang w:val="fr-FR"/>
        </w:rPr>
        <w:t>Présentant ce sous-point,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la </w:t>
      </w:r>
      <w:r w:rsidRPr="009C2953">
        <w:rPr>
          <w:lang w:val="fr-FR"/>
        </w:rPr>
        <w:t>note du secrétariat concernant</w:t>
      </w:r>
      <w:r w:rsidR="00F34644" w:rsidRPr="009C2953">
        <w:rPr>
          <w:lang w:val="fr-FR"/>
        </w:rPr>
        <w:t xml:space="preserve"> la </w:t>
      </w:r>
      <w:r w:rsidRPr="009C2953">
        <w:rPr>
          <w:lang w:val="fr-FR"/>
        </w:rPr>
        <w:t>collaboration avec</w:t>
      </w:r>
      <w:r w:rsidR="00F34644" w:rsidRPr="009C2953">
        <w:rPr>
          <w:lang w:val="fr-FR"/>
        </w:rPr>
        <w:t xml:space="preserve"> le </w:t>
      </w:r>
      <w:r w:rsidRPr="009C2953">
        <w:rPr>
          <w:lang w:val="fr-FR"/>
        </w:rPr>
        <w:t>Groupe d</w:t>
      </w:r>
      <w:r w:rsidR="00EA2966" w:rsidRPr="009C2953">
        <w:rPr>
          <w:lang w:val="fr-FR"/>
        </w:rPr>
        <w:t>’</w:t>
      </w:r>
      <w:r w:rsidRPr="009C2953">
        <w:rPr>
          <w:lang w:val="fr-FR"/>
        </w:rPr>
        <w:t>experts intergouvernemental sur l</w:t>
      </w:r>
      <w:r w:rsidR="00EA2966" w:rsidRPr="009C2953">
        <w:rPr>
          <w:lang w:val="fr-FR"/>
        </w:rPr>
        <w:t>’</w:t>
      </w:r>
      <w:r w:rsidRPr="009C2953">
        <w:rPr>
          <w:lang w:val="fr-FR"/>
        </w:rPr>
        <w:t>évolution du climat (GIEC) (IPBES/10/7) et sur</w:t>
      </w:r>
      <w:r w:rsidR="00F34644" w:rsidRPr="009C2953">
        <w:rPr>
          <w:lang w:val="fr-FR"/>
        </w:rPr>
        <w:t xml:space="preserve"> la </w:t>
      </w:r>
      <w:r w:rsidRPr="009C2953">
        <w:rPr>
          <w:lang w:val="fr-FR"/>
        </w:rPr>
        <w:t>compilation</w:t>
      </w:r>
      <w:r w:rsidR="00D24DC1" w:rsidRPr="009C2953">
        <w:rPr>
          <w:lang w:val="fr-FR"/>
        </w:rPr>
        <w:t xml:space="preserve"> des </w:t>
      </w:r>
      <w:r w:rsidRPr="009C2953">
        <w:rPr>
          <w:lang w:val="fr-FR"/>
        </w:rPr>
        <w:t>nouvelles suggestions formulées par</w:t>
      </w:r>
      <w:r w:rsidR="00D24DC1" w:rsidRPr="009C2953">
        <w:rPr>
          <w:lang w:val="fr-FR"/>
        </w:rPr>
        <w:t xml:space="preserve"> des </w:t>
      </w:r>
      <w:r w:rsidRPr="009C2953">
        <w:rPr>
          <w:lang w:val="fr-FR"/>
        </w:rPr>
        <w:t>membres de l</w:t>
      </w:r>
      <w:r w:rsidR="00EA2966" w:rsidRPr="009C2953">
        <w:rPr>
          <w:lang w:val="fr-FR"/>
        </w:rPr>
        <w:t>’</w:t>
      </w:r>
      <w:r w:rsidRPr="009C2953">
        <w:rPr>
          <w:lang w:val="fr-FR"/>
        </w:rPr>
        <w:t>IPBES concernant</w:t>
      </w:r>
      <w:r w:rsidR="00D24DC1" w:rsidRPr="009C2953">
        <w:rPr>
          <w:lang w:val="fr-FR"/>
        </w:rPr>
        <w:t xml:space="preserve"> des </w:t>
      </w:r>
      <w:r w:rsidRPr="009C2953">
        <w:rPr>
          <w:lang w:val="fr-FR"/>
        </w:rPr>
        <w:t>questions thématiques ou méthodologiques liées à</w:t>
      </w:r>
      <w:r w:rsidR="00F34644" w:rsidRPr="009C2953">
        <w:rPr>
          <w:lang w:val="fr-FR"/>
        </w:rPr>
        <w:t xml:space="preserve"> la </w:t>
      </w:r>
      <w:r w:rsidRPr="009C2953">
        <w:rPr>
          <w:lang w:val="fr-FR"/>
        </w:rPr>
        <w:t>biodiversité et</w:t>
      </w:r>
      <w:r w:rsidR="00F34644" w:rsidRPr="009C2953">
        <w:rPr>
          <w:lang w:val="fr-FR"/>
        </w:rPr>
        <w:t xml:space="preserve"> aux </w:t>
      </w:r>
      <w:r w:rsidRPr="009C2953">
        <w:rPr>
          <w:lang w:val="fr-FR"/>
        </w:rPr>
        <w:t>changements climatiques qui bénéficieraient d</w:t>
      </w:r>
      <w:r w:rsidR="00EA2966" w:rsidRPr="009C2953">
        <w:rPr>
          <w:lang w:val="fr-FR"/>
        </w:rPr>
        <w:t>’</w:t>
      </w:r>
      <w:r w:rsidRPr="009C2953">
        <w:rPr>
          <w:lang w:val="fr-FR"/>
        </w:rPr>
        <w:t>une collaboration entre</w:t>
      </w:r>
      <w:r w:rsidR="00F34644" w:rsidRPr="009C2953">
        <w:rPr>
          <w:lang w:val="fr-FR"/>
        </w:rPr>
        <w:t xml:space="preserve"> le </w:t>
      </w:r>
      <w:r w:rsidRPr="009C2953">
        <w:rPr>
          <w:lang w:val="fr-FR"/>
        </w:rPr>
        <w:t>GIEC et</w:t>
      </w:r>
      <w:r w:rsidR="00F6028C" w:rsidRPr="009C2953">
        <w:rPr>
          <w:lang w:val="fr-FR"/>
        </w:rPr>
        <w:t> </w:t>
      </w:r>
      <w:r w:rsidRPr="009C2953">
        <w:rPr>
          <w:lang w:val="fr-FR"/>
        </w:rPr>
        <w:t>l</w:t>
      </w:r>
      <w:r w:rsidR="00EA2966" w:rsidRPr="009C2953">
        <w:rPr>
          <w:lang w:val="fr-FR"/>
        </w:rPr>
        <w:t>’</w:t>
      </w:r>
      <w:r w:rsidRPr="009C2953">
        <w:rPr>
          <w:lang w:val="fr-FR"/>
        </w:rPr>
        <w:t>IPBES (IPBES/10/INF/20).</w:t>
      </w:r>
    </w:p>
    <w:p w14:paraId="6CB26647" w14:textId="053D57EA" w:rsidR="00607B78" w:rsidRPr="009C2953" w:rsidRDefault="00607B78" w:rsidP="00B60ED8">
      <w:pPr>
        <w:pStyle w:val="Normalnumber"/>
        <w:keepNext/>
        <w:keepLines/>
        <w:numPr>
          <w:ilvl w:val="0"/>
          <w:numId w:val="2"/>
        </w:numPr>
        <w:rPr>
          <w:lang w:val="fr-FR"/>
        </w:rPr>
      </w:pPr>
      <w:r w:rsidRPr="009C2953">
        <w:rPr>
          <w:lang w:val="fr-FR"/>
        </w:rPr>
        <w:t>La Plénière a décidé de demander au groupe de travail II d</w:t>
      </w:r>
      <w:r w:rsidR="00EA2966" w:rsidRPr="009C2953">
        <w:rPr>
          <w:lang w:val="fr-FR"/>
        </w:rPr>
        <w:t>’</w:t>
      </w:r>
      <w:r w:rsidRPr="009C2953">
        <w:rPr>
          <w:lang w:val="fr-FR"/>
        </w:rPr>
        <w:t>examiner</w:t>
      </w:r>
      <w:r w:rsidR="00F34644" w:rsidRPr="009C2953">
        <w:rPr>
          <w:lang w:val="fr-FR"/>
        </w:rPr>
        <w:t xml:space="preserve"> un </w:t>
      </w:r>
      <w:r w:rsidRPr="009C2953">
        <w:rPr>
          <w:lang w:val="fr-FR"/>
        </w:rPr>
        <w:t>projet de décision, figurant dans</w:t>
      </w:r>
      <w:r w:rsidR="00F34644" w:rsidRPr="009C2953">
        <w:rPr>
          <w:lang w:val="fr-FR"/>
        </w:rPr>
        <w:t xml:space="preserve"> le </w:t>
      </w:r>
      <w:r w:rsidRPr="009C2953">
        <w:rPr>
          <w:lang w:val="fr-FR"/>
        </w:rPr>
        <w:t>document IPBES/10/1/Add.2, en se fondant sur</w:t>
      </w:r>
      <w:r w:rsidR="00F34644" w:rsidRPr="009C2953">
        <w:rPr>
          <w:lang w:val="fr-FR"/>
        </w:rPr>
        <w:t xml:space="preserve"> la </w:t>
      </w:r>
      <w:r w:rsidRPr="009C2953">
        <w:rPr>
          <w:lang w:val="fr-FR"/>
        </w:rPr>
        <w:t>note informelle de</w:t>
      </w:r>
      <w:r w:rsidR="00F34644" w:rsidRPr="009C2953">
        <w:rPr>
          <w:lang w:val="fr-FR"/>
        </w:rPr>
        <w:t xml:space="preserve"> la </w:t>
      </w:r>
      <w:r w:rsidRPr="009C2953">
        <w:rPr>
          <w:lang w:val="fr-FR"/>
        </w:rPr>
        <w:t>Présidente sur</w:t>
      </w:r>
      <w:r w:rsidR="005828A6" w:rsidRPr="009C2953">
        <w:rPr>
          <w:lang w:val="fr-FR"/>
        </w:rPr>
        <w:t> </w:t>
      </w:r>
      <w:r w:rsidR="00F34644" w:rsidRPr="009C2953">
        <w:rPr>
          <w:lang w:val="fr-FR"/>
        </w:rPr>
        <w:t>la </w:t>
      </w:r>
      <w:r w:rsidRPr="009C2953">
        <w:rPr>
          <w:lang w:val="fr-FR"/>
        </w:rPr>
        <w:t>question.</w:t>
      </w:r>
      <w:r w:rsidR="00F34644" w:rsidRPr="009C2953">
        <w:rPr>
          <w:lang w:val="fr-FR"/>
        </w:rPr>
        <w:t xml:space="preserve"> La </w:t>
      </w:r>
      <w:r w:rsidRPr="009C2953">
        <w:rPr>
          <w:lang w:val="fr-FR"/>
        </w:rPr>
        <w:t xml:space="preserve">coprésidence du groupe </w:t>
      </w:r>
      <w:r w:rsidR="00084FE5" w:rsidRPr="009C2953">
        <w:rPr>
          <w:lang w:val="fr-FR"/>
        </w:rPr>
        <w:t xml:space="preserve">de travail </w:t>
      </w:r>
      <w:r w:rsidRPr="009C2953">
        <w:rPr>
          <w:lang w:val="fr-FR"/>
        </w:rPr>
        <w:t>serait assurée par Mme Julia Marton-Lefèvre (France), M. </w:t>
      </w:r>
      <w:proofErr w:type="spellStart"/>
      <w:r w:rsidRPr="009C2953">
        <w:rPr>
          <w:lang w:val="fr-FR"/>
        </w:rPr>
        <w:t>Bishwa</w:t>
      </w:r>
      <w:proofErr w:type="spellEnd"/>
      <w:r w:rsidRPr="009C2953">
        <w:rPr>
          <w:lang w:val="fr-FR"/>
        </w:rPr>
        <w:t xml:space="preserve"> Nath Oli (Népal) et M. Floyd Homer (Trinité-et-Tobago).</w:t>
      </w:r>
    </w:p>
    <w:p w14:paraId="130A96E0" w14:textId="43989283"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adopté</w:t>
      </w:r>
      <w:r w:rsidR="00F34644" w:rsidRPr="009C2953">
        <w:rPr>
          <w:lang w:val="fr-FR"/>
        </w:rPr>
        <w:t xml:space="preserve"> la </w:t>
      </w:r>
      <w:r w:rsidRPr="009C2953">
        <w:rPr>
          <w:lang w:val="fr-FR"/>
        </w:rPr>
        <w:t>décision IPBES-10/1 sur</w:t>
      </w:r>
      <w:r w:rsidR="00F34644" w:rsidRPr="009C2953">
        <w:rPr>
          <w:lang w:val="fr-FR"/>
        </w:rPr>
        <w:t xml:space="preserve"> la </w:t>
      </w:r>
      <w:r w:rsidRPr="009C2953">
        <w:rPr>
          <w:lang w:val="fr-FR"/>
        </w:rPr>
        <w:t>mise en œuvre du programme de</w:t>
      </w:r>
      <w:r w:rsidR="00F6028C" w:rsidRPr="009C2953">
        <w:rPr>
          <w:lang w:val="fr-FR"/>
        </w:rPr>
        <w:t> </w:t>
      </w:r>
      <w:r w:rsidRPr="009C2953">
        <w:rPr>
          <w:lang w:val="fr-FR"/>
        </w:rPr>
        <w:t>travail glissant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5828A6" w:rsidRPr="009C2953">
        <w:rPr>
          <w:lang w:val="fr-FR"/>
        </w:rPr>
        <w:t> </w:t>
      </w:r>
      <w:r w:rsidR="00F34644" w:rsidRPr="009C2953">
        <w:rPr>
          <w:lang w:val="fr-FR"/>
        </w:rPr>
        <w:t>les </w:t>
      </w:r>
      <w:r w:rsidRPr="009C2953">
        <w:rPr>
          <w:lang w:val="fr-FR"/>
        </w:rPr>
        <w:t>services écosystémiques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telle qu</w:t>
      </w:r>
      <w:r w:rsidR="001F33E5" w:rsidRPr="009C2953">
        <w:rPr>
          <w:lang w:val="fr-FR"/>
        </w:rPr>
        <w:t>e modifiée</w:t>
      </w:r>
      <w:r w:rsidRPr="009C2953">
        <w:rPr>
          <w:lang w:val="fr-FR"/>
        </w:rPr>
        <w:t xml:space="preserve"> oralement,</w:t>
      </w:r>
      <w:r w:rsidR="00F34644" w:rsidRPr="009C2953">
        <w:rPr>
          <w:lang w:val="fr-FR"/>
        </w:rPr>
        <w:t xml:space="preserve"> y </w:t>
      </w:r>
      <w:r w:rsidRPr="009C2953">
        <w:rPr>
          <w:lang w:val="fr-FR"/>
        </w:rPr>
        <w:t>compris</w:t>
      </w:r>
      <w:r w:rsidR="00F34644" w:rsidRPr="009C2953">
        <w:rPr>
          <w:lang w:val="fr-FR"/>
        </w:rPr>
        <w:t xml:space="preserve"> la </w:t>
      </w:r>
      <w:r w:rsidRPr="009C2953">
        <w:rPr>
          <w:lang w:val="fr-FR"/>
        </w:rPr>
        <w:t>partie II intitulée « Évaluation</w:t>
      </w:r>
      <w:r w:rsidR="00D24DC1" w:rsidRPr="009C2953">
        <w:rPr>
          <w:lang w:val="fr-FR"/>
        </w:rPr>
        <w:t xml:space="preserve"> des </w:t>
      </w:r>
      <w:r w:rsidRPr="009C2953">
        <w:rPr>
          <w:lang w:val="fr-FR"/>
        </w:rPr>
        <w:t>connaissances », portant notamment sur</w:t>
      </w:r>
      <w:r w:rsidR="00F34644" w:rsidRPr="009C2953">
        <w:rPr>
          <w:lang w:val="fr-FR"/>
        </w:rPr>
        <w:t xml:space="preserve"> la </w:t>
      </w:r>
      <w:r w:rsidRPr="009C2953">
        <w:rPr>
          <w:lang w:val="fr-FR"/>
        </w:rPr>
        <w:t>collaboration avec</w:t>
      </w:r>
      <w:r w:rsidR="00F34644" w:rsidRPr="009C2953">
        <w:rPr>
          <w:lang w:val="fr-FR"/>
        </w:rPr>
        <w:t xml:space="preserve"> le </w:t>
      </w:r>
      <w:r w:rsidRPr="009C2953">
        <w:rPr>
          <w:lang w:val="fr-FR"/>
        </w:rPr>
        <w:t>G</w:t>
      </w:r>
      <w:r w:rsidR="00084FE5" w:rsidRPr="009C2953">
        <w:rPr>
          <w:lang w:val="fr-FR"/>
        </w:rPr>
        <w:t>roupe d</w:t>
      </w:r>
      <w:r w:rsidR="00EA2966" w:rsidRPr="009C2953">
        <w:rPr>
          <w:lang w:val="fr-FR"/>
        </w:rPr>
        <w:t>’</w:t>
      </w:r>
      <w:r w:rsidR="00084FE5" w:rsidRPr="009C2953">
        <w:rPr>
          <w:lang w:val="fr-FR"/>
        </w:rPr>
        <w:t>experts intergouvernemental sur l</w:t>
      </w:r>
      <w:r w:rsidR="00EA2966" w:rsidRPr="009C2953">
        <w:rPr>
          <w:lang w:val="fr-FR"/>
        </w:rPr>
        <w:t>’</w:t>
      </w:r>
      <w:r w:rsidR="00084FE5" w:rsidRPr="009C2953">
        <w:rPr>
          <w:lang w:val="fr-FR"/>
        </w:rPr>
        <w:t>évolution du climat</w:t>
      </w:r>
      <w:r w:rsidRPr="009C2953">
        <w:rPr>
          <w:lang w:val="fr-FR"/>
        </w:rPr>
        <w:t>.</w:t>
      </w:r>
      <w:r w:rsidR="00F34644" w:rsidRPr="009C2953">
        <w:rPr>
          <w:lang w:val="fr-FR"/>
        </w:rPr>
        <w:t xml:space="preserve"> La </w:t>
      </w:r>
      <w:r w:rsidRPr="009C2953">
        <w:rPr>
          <w:lang w:val="fr-FR"/>
        </w:rPr>
        <w:t>décision</w:t>
      </w:r>
      <w:r w:rsidR="001E3B64" w:rsidRPr="009C2953">
        <w:rPr>
          <w:lang w:val="fr-FR"/>
        </w:rPr>
        <w:t> </w:t>
      </w:r>
      <w:r w:rsidRPr="009C2953">
        <w:rPr>
          <w:lang w:val="fr-FR"/>
        </w:rPr>
        <w:t>figure dans l</w:t>
      </w:r>
      <w:r w:rsidR="00EA2966" w:rsidRPr="009C2953">
        <w:rPr>
          <w:lang w:val="fr-FR"/>
        </w:rPr>
        <w:t>’</w:t>
      </w:r>
      <w:r w:rsidRPr="009C2953">
        <w:rPr>
          <w:lang w:val="fr-FR"/>
        </w:rPr>
        <w:t>annexe au présent rapport.</w:t>
      </w:r>
    </w:p>
    <w:p w14:paraId="184AC434" w14:textId="6C1CC601" w:rsidR="00607B78" w:rsidRPr="009C2953" w:rsidRDefault="00607B78" w:rsidP="00607B78">
      <w:pPr>
        <w:pStyle w:val="CH1"/>
      </w:pPr>
      <w:r w:rsidRPr="009C2953">
        <w:tab/>
        <w:t>VIII.</w:t>
      </w:r>
      <w:r w:rsidRPr="009C2953">
        <w:tab/>
        <w:t>Renforcement</w:t>
      </w:r>
      <w:r w:rsidR="00D24DC1" w:rsidRPr="009C2953">
        <w:t xml:space="preserve"> des </w:t>
      </w:r>
      <w:r w:rsidRPr="009C2953">
        <w:t>capacités, consolidation de</w:t>
      </w:r>
      <w:r w:rsidR="00F34644" w:rsidRPr="009C2953">
        <w:t xml:space="preserve"> la </w:t>
      </w:r>
      <w:r w:rsidRPr="009C2953">
        <w:t>base de</w:t>
      </w:r>
      <w:r w:rsidR="009D57E4" w:rsidRPr="009C2953">
        <w:t> </w:t>
      </w:r>
      <w:r w:rsidRPr="009C2953">
        <w:t>connaissances et appui à l</w:t>
      </w:r>
      <w:r w:rsidR="00EA2966" w:rsidRPr="009C2953">
        <w:t>’</w:t>
      </w:r>
      <w:r w:rsidRPr="009C2953">
        <w:t>élaboration</w:t>
      </w:r>
      <w:r w:rsidR="00D24DC1" w:rsidRPr="009C2953">
        <w:t xml:space="preserve"> des </w:t>
      </w:r>
      <w:r w:rsidRPr="009C2953">
        <w:t>politiques</w:t>
      </w:r>
    </w:p>
    <w:p w14:paraId="0755B48B" w14:textId="385790D0"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la </w:t>
      </w:r>
      <w:r w:rsidRPr="009C2953">
        <w:rPr>
          <w:lang w:val="fr-FR"/>
        </w:rPr>
        <w:t>note</w:t>
      </w:r>
      <w:r w:rsidR="009D57E4" w:rsidRPr="009C2953">
        <w:rPr>
          <w:lang w:val="fr-FR"/>
        </w:rPr>
        <w:t> </w:t>
      </w:r>
      <w:r w:rsidRPr="009C2953">
        <w:rPr>
          <w:lang w:val="fr-FR"/>
        </w:rPr>
        <w:t>du secrétariat relative</w:t>
      </w:r>
      <w:r w:rsidR="00F34644" w:rsidRPr="009C2953">
        <w:rPr>
          <w:lang w:val="fr-FR"/>
        </w:rPr>
        <w:t xml:space="preserve"> aux </w:t>
      </w:r>
      <w:r w:rsidRPr="009C2953">
        <w:rPr>
          <w:lang w:val="fr-FR"/>
        </w:rPr>
        <w:t>travaux sur</w:t>
      </w:r>
      <w:r w:rsidR="00F34644" w:rsidRPr="009C2953">
        <w:rPr>
          <w:lang w:val="fr-FR"/>
        </w:rPr>
        <w:t xml:space="preserve"> le </w:t>
      </w:r>
      <w:r w:rsidRPr="009C2953">
        <w:rPr>
          <w:lang w:val="fr-FR"/>
        </w:rPr>
        <w:t>renforcement</w:t>
      </w:r>
      <w:r w:rsidR="00D24DC1" w:rsidRPr="009C2953">
        <w:rPr>
          <w:lang w:val="fr-FR"/>
        </w:rPr>
        <w:t xml:space="preserve"> des </w:t>
      </w:r>
      <w:r w:rsidRPr="009C2953">
        <w:rPr>
          <w:lang w:val="fr-FR"/>
        </w:rPr>
        <w:t>capacités,</w:t>
      </w:r>
      <w:r w:rsidR="00F34644" w:rsidRPr="009C2953">
        <w:rPr>
          <w:lang w:val="fr-FR"/>
        </w:rPr>
        <w:t xml:space="preserve"> la </w:t>
      </w:r>
      <w:r w:rsidRPr="009C2953">
        <w:rPr>
          <w:lang w:val="fr-FR"/>
        </w:rPr>
        <w:t>consolidation de</w:t>
      </w:r>
      <w:r w:rsidR="00F34644" w:rsidRPr="009C2953">
        <w:rPr>
          <w:lang w:val="fr-FR"/>
        </w:rPr>
        <w:t xml:space="preserve"> la </w:t>
      </w:r>
      <w:r w:rsidRPr="009C2953">
        <w:rPr>
          <w:lang w:val="fr-FR"/>
        </w:rPr>
        <w:t>base de connaissances et l</w:t>
      </w:r>
      <w:r w:rsidR="00EA2966" w:rsidRPr="009C2953">
        <w:rPr>
          <w:lang w:val="fr-FR"/>
        </w:rPr>
        <w:t>’</w:t>
      </w:r>
      <w:r w:rsidRPr="009C2953">
        <w:rPr>
          <w:lang w:val="fr-FR"/>
        </w:rPr>
        <w:t>appui à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(IPBES/10/8), qui présentait, entre autres,</w:t>
      </w:r>
      <w:r w:rsidR="00F34644" w:rsidRPr="009C2953">
        <w:rPr>
          <w:lang w:val="fr-FR"/>
        </w:rPr>
        <w:t xml:space="preserve"> les </w:t>
      </w:r>
      <w:r w:rsidRPr="009C2953">
        <w:rPr>
          <w:lang w:val="fr-FR"/>
        </w:rPr>
        <w:t>plans de travail pour</w:t>
      </w:r>
      <w:r w:rsidR="00F34644" w:rsidRPr="009C2953">
        <w:rPr>
          <w:lang w:val="fr-FR"/>
        </w:rPr>
        <w:t xml:space="preserve"> la </w:t>
      </w:r>
      <w:r w:rsidRPr="009C2953">
        <w:rPr>
          <w:lang w:val="fr-FR"/>
        </w:rPr>
        <w:t>mise en œuvre</w:t>
      </w:r>
      <w:r w:rsidR="00D24DC1" w:rsidRPr="009C2953">
        <w:rPr>
          <w:lang w:val="fr-FR"/>
        </w:rPr>
        <w:t xml:space="preserve"> des </w:t>
      </w:r>
      <w:r w:rsidRPr="009C2953">
        <w:rPr>
          <w:lang w:val="fr-FR"/>
        </w:rPr>
        <w:t>objectifs 2, 3 et 4 du programme de travail glissant pour</w:t>
      </w:r>
      <w:r w:rsidR="00F34644" w:rsidRPr="009C2953">
        <w:rPr>
          <w:lang w:val="fr-FR"/>
        </w:rPr>
        <w:t xml:space="preserve"> la </w:t>
      </w:r>
      <w:r w:rsidRPr="009C2953">
        <w:rPr>
          <w:lang w:val="fr-FR"/>
        </w:rPr>
        <w:t>période comprise entre</w:t>
      </w:r>
      <w:r w:rsidR="00F34644" w:rsidRPr="009C2953">
        <w:rPr>
          <w:lang w:val="fr-FR"/>
        </w:rPr>
        <w:t xml:space="preserve"> la </w:t>
      </w:r>
      <w:r w:rsidRPr="009C2953">
        <w:rPr>
          <w:lang w:val="fr-FR"/>
        </w:rPr>
        <w:t>dixième et</w:t>
      </w:r>
      <w:r w:rsidR="00F34644" w:rsidRPr="009C2953">
        <w:rPr>
          <w:lang w:val="fr-FR"/>
        </w:rPr>
        <w:t xml:space="preserve"> la </w:t>
      </w:r>
      <w:r w:rsidRPr="009C2953">
        <w:rPr>
          <w:lang w:val="fr-FR"/>
        </w:rPr>
        <w:t>onzième session</w:t>
      </w:r>
      <w:r w:rsidR="00084FE5" w:rsidRPr="009C2953">
        <w:rPr>
          <w:lang w:val="fr-FR"/>
        </w:rPr>
        <w:t>s</w:t>
      </w:r>
      <w:r w:rsidRPr="009C2953">
        <w:rPr>
          <w:lang w:val="fr-FR"/>
        </w:rPr>
        <w:t>, ainsi que</w:t>
      </w:r>
      <w:r w:rsidR="00F34644" w:rsidRPr="009C2953">
        <w:rPr>
          <w:lang w:val="fr-FR"/>
        </w:rPr>
        <w:t xml:space="preserve"> les </w:t>
      </w:r>
      <w:r w:rsidRPr="009C2953">
        <w:rPr>
          <w:lang w:val="fr-FR"/>
        </w:rPr>
        <w:t>mandats révisés</w:t>
      </w:r>
      <w:r w:rsidR="00D24DC1" w:rsidRPr="009C2953">
        <w:rPr>
          <w:lang w:val="fr-FR"/>
        </w:rPr>
        <w:t xml:space="preserve"> des </w:t>
      </w:r>
      <w:r w:rsidRPr="009C2953">
        <w:rPr>
          <w:lang w:val="fr-FR"/>
        </w:rPr>
        <w:t>équipes spéciales. Des informations sur</w:t>
      </w:r>
      <w:r w:rsidR="00F34644" w:rsidRPr="009C2953">
        <w:rPr>
          <w:lang w:val="fr-FR"/>
        </w:rPr>
        <w:t xml:space="preserve"> les </w:t>
      </w:r>
      <w:r w:rsidRPr="009C2953">
        <w:rPr>
          <w:lang w:val="fr-FR"/>
        </w:rPr>
        <w:t>travaux réalisés par</w:t>
      </w:r>
      <w:r w:rsidR="00F34644" w:rsidRPr="009C2953">
        <w:rPr>
          <w:lang w:val="fr-FR"/>
        </w:rPr>
        <w:t xml:space="preserve"> les </w:t>
      </w:r>
      <w:r w:rsidRPr="009C2953">
        <w:rPr>
          <w:lang w:val="fr-FR"/>
        </w:rPr>
        <w:t>équipes spéciales durant</w:t>
      </w:r>
      <w:r w:rsidR="00F34644" w:rsidRPr="009C2953">
        <w:rPr>
          <w:lang w:val="fr-FR"/>
        </w:rPr>
        <w:t xml:space="preserve"> la </w:t>
      </w:r>
      <w:r w:rsidRPr="009C2953">
        <w:rPr>
          <w:lang w:val="fr-FR"/>
        </w:rPr>
        <w:t>période intersessions précédant</w:t>
      </w:r>
      <w:r w:rsidR="00F34644" w:rsidRPr="009C2953">
        <w:rPr>
          <w:lang w:val="fr-FR"/>
        </w:rPr>
        <w:t xml:space="preserve"> la </w:t>
      </w:r>
      <w:r w:rsidRPr="009C2953">
        <w:rPr>
          <w:lang w:val="fr-FR"/>
        </w:rPr>
        <w:t>session en cours étaient contenues dans</w:t>
      </w:r>
      <w:r w:rsidR="00F34644" w:rsidRPr="009C2953">
        <w:rPr>
          <w:lang w:val="fr-FR"/>
        </w:rPr>
        <w:t xml:space="preserve"> les </w:t>
      </w:r>
      <w:r w:rsidRPr="009C2953">
        <w:rPr>
          <w:lang w:val="fr-FR"/>
        </w:rPr>
        <w:t>documents IPBES/10/INF/9, IPBES/10/INF/10, IPBES/10/INF/11, IPBES/10/INF/12 et IPBES/10/INF/13.</w:t>
      </w:r>
    </w:p>
    <w:p w14:paraId="7DFBEE11" w14:textId="54B7444A" w:rsidR="00607B78" w:rsidRPr="009C2953" w:rsidRDefault="00607B78" w:rsidP="008731A8">
      <w:pPr>
        <w:pStyle w:val="Normalnumber"/>
        <w:numPr>
          <w:ilvl w:val="0"/>
          <w:numId w:val="2"/>
        </w:numPr>
        <w:rPr>
          <w:lang w:val="fr-FR"/>
        </w:rPr>
      </w:pPr>
      <w:r w:rsidRPr="009C2953">
        <w:rPr>
          <w:lang w:val="fr-FR"/>
        </w:rPr>
        <w:t>La Plénière est convenue de prier</w:t>
      </w:r>
      <w:r w:rsidR="00F34644" w:rsidRPr="009C2953">
        <w:rPr>
          <w:lang w:val="fr-FR"/>
        </w:rPr>
        <w:t xml:space="preserve"> le </w:t>
      </w:r>
      <w:r w:rsidRPr="009C2953">
        <w:rPr>
          <w:lang w:val="fr-FR"/>
        </w:rPr>
        <w:t>groupe de travail II d</w:t>
      </w:r>
      <w:r w:rsidR="00EA2966" w:rsidRPr="009C2953">
        <w:rPr>
          <w:lang w:val="fr-FR"/>
        </w:rPr>
        <w:t>’</w:t>
      </w:r>
      <w:r w:rsidRPr="009C2953">
        <w:rPr>
          <w:lang w:val="fr-FR"/>
        </w:rPr>
        <w:t>examiner</w:t>
      </w:r>
      <w:r w:rsidR="00F34644" w:rsidRPr="009C2953">
        <w:rPr>
          <w:lang w:val="fr-FR"/>
        </w:rPr>
        <w:t xml:space="preserve"> les </w:t>
      </w:r>
      <w:r w:rsidRPr="009C2953">
        <w:rPr>
          <w:lang w:val="fr-FR"/>
        </w:rPr>
        <w:t>projets de décision proposés sur</w:t>
      </w:r>
      <w:r w:rsidR="00F34644" w:rsidRPr="009C2953">
        <w:rPr>
          <w:lang w:val="fr-FR"/>
        </w:rPr>
        <w:t xml:space="preserve"> la </w:t>
      </w:r>
      <w:r w:rsidRPr="009C2953">
        <w:rPr>
          <w:lang w:val="fr-FR"/>
        </w:rPr>
        <w:t>question figurant dans</w:t>
      </w:r>
      <w:r w:rsidR="00F34644" w:rsidRPr="009C2953">
        <w:rPr>
          <w:lang w:val="fr-FR"/>
        </w:rPr>
        <w:t xml:space="preserve"> le </w:t>
      </w:r>
      <w:r w:rsidRPr="009C2953">
        <w:rPr>
          <w:lang w:val="fr-FR"/>
        </w:rPr>
        <w:t>document IPBES/10/1/Add.2, ainsi que</w:t>
      </w:r>
      <w:r w:rsidR="00F34644" w:rsidRPr="009C2953">
        <w:rPr>
          <w:lang w:val="fr-FR"/>
        </w:rPr>
        <w:t xml:space="preserve"> les </w:t>
      </w:r>
      <w:r w:rsidRPr="009C2953">
        <w:rPr>
          <w:lang w:val="fr-FR"/>
        </w:rPr>
        <w:t>plans de travail et</w:t>
      </w:r>
      <w:r w:rsidR="005828A6" w:rsidRPr="009C2953">
        <w:rPr>
          <w:lang w:val="fr-FR"/>
        </w:rPr>
        <w:t> </w:t>
      </w:r>
      <w:r w:rsidR="00F34644" w:rsidRPr="009C2953">
        <w:rPr>
          <w:lang w:val="fr-FR"/>
        </w:rPr>
        <w:t>les </w:t>
      </w:r>
      <w:r w:rsidRPr="009C2953">
        <w:rPr>
          <w:lang w:val="fr-FR"/>
        </w:rPr>
        <w:t>mandats</w:t>
      </w:r>
      <w:r w:rsidR="00D24DC1" w:rsidRPr="009C2953">
        <w:rPr>
          <w:lang w:val="fr-FR"/>
        </w:rPr>
        <w:t xml:space="preserve"> des </w:t>
      </w:r>
      <w:r w:rsidRPr="009C2953">
        <w:rPr>
          <w:lang w:val="fr-FR"/>
        </w:rPr>
        <w:t xml:space="preserve">équipes spéciales, </w:t>
      </w:r>
      <w:r w:rsidR="001F33E5" w:rsidRPr="009C2953">
        <w:rPr>
          <w:lang w:val="fr-FR"/>
        </w:rPr>
        <w:t xml:space="preserve">en se fondant </w:t>
      </w:r>
      <w:r w:rsidRPr="009C2953">
        <w:rPr>
          <w:lang w:val="fr-FR"/>
        </w:rPr>
        <w:t>sur</w:t>
      </w:r>
      <w:r w:rsidR="00F34644" w:rsidRPr="009C2953">
        <w:rPr>
          <w:lang w:val="fr-FR"/>
        </w:rPr>
        <w:t xml:space="preserve"> la </w:t>
      </w:r>
      <w:r w:rsidRPr="009C2953">
        <w:rPr>
          <w:lang w:val="fr-FR"/>
        </w:rPr>
        <w:t>note informelle de</w:t>
      </w:r>
      <w:r w:rsidR="00F34644" w:rsidRPr="009C2953">
        <w:rPr>
          <w:lang w:val="fr-FR"/>
        </w:rPr>
        <w:t xml:space="preserve"> la </w:t>
      </w:r>
      <w:r w:rsidRPr="009C2953">
        <w:rPr>
          <w:lang w:val="fr-FR"/>
        </w:rPr>
        <w:t>Présidente.</w:t>
      </w:r>
    </w:p>
    <w:p w14:paraId="44E8FD82" w14:textId="41415C09"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adopté</w:t>
      </w:r>
      <w:r w:rsidR="00F34644" w:rsidRPr="009C2953">
        <w:rPr>
          <w:lang w:val="fr-FR"/>
        </w:rPr>
        <w:t xml:space="preserve"> la </w:t>
      </w:r>
      <w:r w:rsidRPr="009C2953">
        <w:rPr>
          <w:lang w:val="fr-FR"/>
        </w:rPr>
        <w:t>décision IPBES-10/1 relative à</w:t>
      </w:r>
      <w:r w:rsidR="00F34644" w:rsidRPr="009C2953">
        <w:rPr>
          <w:lang w:val="fr-FR"/>
        </w:rPr>
        <w:t xml:space="preserve"> la </w:t>
      </w:r>
      <w:r w:rsidRPr="009C2953">
        <w:rPr>
          <w:lang w:val="fr-FR"/>
        </w:rPr>
        <w:t>mise en œuvre du</w:t>
      </w:r>
      <w:r w:rsidR="00FC0B15" w:rsidRPr="009C2953">
        <w:rPr>
          <w:lang w:val="fr-FR"/>
        </w:rPr>
        <w:t> </w:t>
      </w:r>
      <w:r w:rsidRPr="009C2953">
        <w:rPr>
          <w:lang w:val="fr-FR"/>
        </w:rPr>
        <w:t>programme de travail glissant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F34644" w:rsidRPr="009C2953">
        <w:rPr>
          <w:lang w:val="fr-FR"/>
        </w:rPr>
        <w:t xml:space="preserve"> les </w:t>
      </w:r>
      <w:r w:rsidRPr="009C2953">
        <w:rPr>
          <w:lang w:val="fr-FR"/>
        </w:rPr>
        <w:t>services écosystémiques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telle qu</w:t>
      </w:r>
      <w:r w:rsidR="001F33E5" w:rsidRPr="009C2953">
        <w:rPr>
          <w:lang w:val="fr-FR"/>
        </w:rPr>
        <w:t xml:space="preserve">e modifiée </w:t>
      </w:r>
      <w:r w:rsidRPr="009C2953">
        <w:rPr>
          <w:lang w:val="fr-FR"/>
        </w:rPr>
        <w:t>oralement,</w:t>
      </w:r>
      <w:r w:rsidR="00F34644" w:rsidRPr="009C2953">
        <w:rPr>
          <w:lang w:val="fr-FR"/>
        </w:rPr>
        <w:t xml:space="preserve"> y </w:t>
      </w:r>
      <w:r w:rsidRPr="009C2953">
        <w:rPr>
          <w:lang w:val="fr-FR"/>
        </w:rPr>
        <w:t>compris</w:t>
      </w:r>
      <w:r w:rsidR="00F34644" w:rsidRPr="009C2953">
        <w:rPr>
          <w:lang w:val="fr-FR"/>
        </w:rPr>
        <w:t xml:space="preserve"> les </w:t>
      </w:r>
      <w:r w:rsidRPr="009C2953">
        <w:rPr>
          <w:lang w:val="fr-FR"/>
        </w:rPr>
        <w:t>parties III, IV, V et VII intitulées, respectivement, « Renforcement</w:t>
      </w:r>
      <w:r w:rsidR="00D24DC1" w:rsidRPr="009C2953">
        <w:rPr>
          <w:lang w:val="fr-FR"/>
        </w:rPr>
        <w:t xml:space="preserve"> des </w:t>
      </w:r>
      <w:r w:rsidRPr="009C2953">
        <w:rPr>
          <w:lang w:val="fr-FR"/>
        </w:rPr>
        <w:t>capacités », « Consolidation de</w:t>
      </w:r>
      <w:r w:rsidR="00F34644" w:rsidRPr="009C2953">
        <w:rPr>
          <w:lang w:val="fr-FR"/>
        </w:rPr>
        <w:t xml:space="preserve"> la </w:t>
      </w:r>
      <w:r w:rsidRPr="009C2953">
        <w:rPr>
          <w:lang w:val="fr-FR"/>
        </w:rPr>
        <w:t>base de connaissances », « Appui à l</w:t>
      </w:r>
      <w:r w:rsidR="00EA2966" w:rsidRPr="009C2953">
        <w:rPr>
          <w:lang w:val="fr-FR"/>
        </w:rPr>
        <w:t>’</w:t>
      </w:r>
      <w:r w:rsidRPr="009C2953">
        <w:rPr>
          <w:lang w:val="fr-FR"/>
        </w:rPr>
        <w:t>élaboration</w:t>
      </w:r>
      <w:r w:rsidR="00D24DC1" w:rsidRPr="009C2953">
        <w:rPr>
          <w:lang w:val="fr-FR"/>
        </w:rPr>
        <w:t xml:space="preserve"> des </w:t>
      </w:r>
      <w:r w:rsidRPr="009C2953">
        <w:rPr>
          <w:lang w:val="fr-FR"/>
        </w:rPr>
        <w:t>politiques » et</w:t>
      </w:r>
      <w:r w:rsidR="00B8125F" w:rsidRPr="009C2953">
        <w:rPr>
          <w:lang w:val="fr-FR"/>
        </w:rPr>
        <w:t> </w:t>
      </w:r>
      <w:r w:rsidRPr="009C2953">
        <w:rPr>
          <w:lang w:val="fr-FR"/>
        </w:rPr>
        <w:t>« Appui technique et dispositions institutionnelles nécessaires à</w:t>
      </w:r>
      <w:r w:rsidR="00F34644" w:rsidRPr="009C2953">
        <w:rPr>
          <w:lang w:val="fr-FR"/>
        </w:rPr>
        <w:t xml:space="preserve"> la </w:t>
      </w:r>
      <w:r w:rsidRPr="009C2953">
        <w:rPr>
          <w:lang w:val="fr-FR"/>
        </w:rPr>
        <w:t>mise en œuvre du programme de</w:t>
      </w:r>
      <w:r w:rsidR="00B8125F" w:rsidRPr="009C2953">
        <w:rPr>
          <w:lang w:val="fr-FR"/>
        </w:rPr>
        <w:t> </w:t>
      </w:r>
      <w:r w:rsidRPr="009C2953">
        <w:rPr>
          <w:lang w:val="fr-FR"/>
        </w:rPr>
        <w:t>travail », portant notamment sur</w:t>
      </w:r>
      <w:r w:rsidR="00F34644" w:rsidRPr="009C2953">
        <w:rPr>
          <w:lang w:val="fr-FR"/>
        </w:rPr>
        <w:t xml:space="preserve"> les </w:t>
      </w:r>
      <w:r w:rsidRPr="009C2953">
        <w:rPr>
          <w:lang w:val="fr-FR"/>
        </w:rPr>
        <w:t>mandats et</w:t>
      </w:r>
      <w:r w:rsidR="00F34644" w:rsidRPr="009C2953">
        <w:rPr>
          <w:lang w:val="fr-FR"/>
        </w:rPr>
        <w:t xml:space="preserve"> les </w:t>
      </w:r>
      <w:r w:rsidRPr="009C2953">
        <w:rPr>
          <w:lang w:val="fr-FR"/>
        </w:rPr>
        <w:t>plans de travail</w:t>
      </w:r>
      <w:r w:rsidR="00D24DC1" w:rsidRPr="009C2953">
        <w:rPr>
          <w:lang w:val="fr-FR"/>
        </w:rPr>
        <w:t xml:space="preserve"> des </w:t>
      </w:r>
      <w:r w:rsidRPr="009C2953">
        <w:rPr>
          <w:lang w:val="fr-FR"/>
        </w:rPr>
        <w:t>équipes spéciales.</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39523D78" w14:textId="28CCEC17" w:rsidR="00607B78" w:rsidRPr="009C2953" w:rsidRDefault="00607B78" w:rsidP="00607B78">
      <w:pPr>
        <w:pStyle w:val="CH1"/>
      </w:pPr>
      <w:r w:rsidRPr="009C2953">
        <w:tab/>
        <w:t>IX.</w:t>
      </w:r>
      <w:r w:rsidRPr="009C2953">
        <w:tab/>
        <w:t>Renforcement de l</w:t>
      </w:r>
      <w:r w:rsidR="00EA2966" w:rsidRPr="009C2953">
        <w:t>’</w:t>
      </w:r>
      <w:r w:rsidRPr="009C2953">
        <w:t>efficacité de</w:t>
      </w:r>
      <w:r w:rsidR="00F34644" w:rsidRPr="009C2953">
        <w:t xml:space="preserve"> la </w:t>
      </w:r>
      <w:r w:rsidRPr="009C2953">
        <w:t>Plateforme</w:t>
      </w:r>
    </w:p>
    <w:p w14:paraId="230CE4E2" w14:textId="218989C1"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la </w:t>
      </w:r>
      <w:r w:rsidRPr="009C2953">
        <w:rPr>
          <w:lang w:val="fr-FR"/>
        </w:rPr>
        <w:t>note</w:t>
      </w:r>
      <w:r w:rsidR="00FC0B15" w:rsidRPr="009C2953">
        <w:rPr>
          <w:lang w:val="fr-FR"/>
        </w:rPr>
        <w:t> </w:t>
      </w:r>
      <w:r w:rsidRPr="009C2953">
        <w:rPr>
          <w:lang w:val="fr-FR"/>
        </w:rPr>
        <w:t>du secrétariat relative au renforcement de l</w:t>
      </w:r>
      <w:r w:rsidR="00EA2966" w:rsidRPr="009C2953">
        <w:rPr>
          <w:lang w:val="fr-FR"/>
        </w:rPr>
        <w:t>’</w:t>
      </w:r>
      <w:r w:rsidRPr="009C2953">
        <w:rPr>
          <w:lang w:val="fr-FR"/>
        </w:rPr>
        <w:t>efficacité de</w:t>
      </w:r>
      <w:r w:rsidR="00F34644" w:rsidRPr="009C2953">
        <w:rPr>
          <w:lang w:val="fr-FR"/>
        </w:rPr>
        <w:t xml:space="preserve"> la </w:t>
      </w:r>
      <w:r w:rsidRPr="009C2953">
        <w:rPr>
          <w:lang w:val="fr-FR"/>
        </w:rPr>
        <w:t>Plateforme (IPBES/10/9), qui</w:t>
      </w:r>
      <w:r w:rsidR="00FC0B15" w:rsidRPr="009C2953">
        <w:rPr>
          <w:lang w:val="fr-FR"/>
        </w:rPr>
        <w:t xml:space="preserve"> </w:t>
      </w:r>
      <w:r w:rsidRPr="009C2953">
        <w:rPr>
          <w:lang w:val="fr-FR"/>
        </w:rPr>
        <w:t>contenait notamment</w:t>
      </w:r>
      <w:r w:rsidR="00F34644" w:rsidRPr="009C2953">
        <w:rPr>
          <w:lang w:val="fr-FR"/>
        </w:rPr>
        <w:t xml:space="preserve"> un </w:t>
      </w:r>
      <w:r w:rsidRPr="009C2953">
        <w:rPr>
          <w:lang w:val="fr-FR"/>
        </w:rPr>
        <w:t>projet de cadre révisé concernant l</w:t>
      </w:r>
      <w:r w:rsidR="00EA2966" w:rsidRPr="009C2953">
        <w:rPr>
          <w:lang w:val="fr-FR"/>
        </w:rPr>
        <w:t>’</w:t>
      </w:r>
      <w:r w:rsidRPr="009C2953">
        <w:rPr>
          <w:lang w:val="fr-FR"/>
        </w:rPr>
        <w:t>examen à mi-parcours du programme de</w:t>
      </w:r>
      <w:r w:rsidR="00FC0B15" w:rsidRPr="009C2953">
        <w:rPr>
          <w:lang w:val="fr-FR"/>
        </w:rPr>
        <w:t> </w:t>
      </w:r>
      <w:r w:rsidRPr="009C2953">
        <w:rPr>
          <w:lang w:val="fr-FR"/>
        </w:rPr>
        <w:t>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Elle a également attiré l</w:t>
      </w:r>
      <w:r w:rsidR="00EA2966" w:rsidRPr="009C2953">
        <w:rPr>
          <w:lang w:val="fr-FR"/>
        </w:rPr>
        <w:t>’</w:t>
      </w:r>
      <w:r w:rsidRPr="009C2953">
        <w:rPr>
          <w:lang w:val="fr-FR"/>
        </w:rPr>
        <w:t>attention sur l</w:t>
      </w:r>
      <w:r w:rsidR="00EA2966" w:rsidRPr="009C2953">
        <w:rPr>
          <w:lang w:val="fr-FR"/>
        </w:rPr>
        <w:t>’</w:t>
      </w:r>
      <w:r w:rsidRPr="009C2953">
        <w:rPr>
          <w:lang w:val="fr-FR"/>
        </w:rPr>
        <w:t>aperçu</w:t>
      </w:r>
      <w:r w:rsidR="00D24DC1" w:rsidRPr="009C2953">
        <w:rPr>
          <w:lang w:val="fr-FR"/>
        </w:rPr>
        <w:t xml:space="preserve"> des </w:t>
      </w:r>
      <w:r w:rsidRPr="009C2953">
        <w:rPr>
          <w:lang w:val="fr-FR"/>
        </w:rPr>
        <w:t>suites données par</w:t>
      </w:r>
      <w:r w:rsidR="00F34644" w:rsidRPr="009C2953">
        <w:rPr>
          <w:lang w:val="fr-FR"/>
        </w:rPr>
        <w:t xml:space="preserve"> le </w:t>
      </w:r>
      <w:r w:rsidRPr="009C2953">
        <w:rPr>
          <w:lang w:val="fr-FR"/>
        </w:rPr>
        <w:t>Groupe d</w:t>
      </w:r>
      <w:r w:rsidR="00EA2966" w:rsidRPr="009C2953">
        <w:rPr>
          <w:lang w:val="fr-FR"/>
        </w:rPr>
        <w:t>’</w:t>
      </w:r>
      <w:r w:rsidRPr="009C2953">
        <w:rPr>
          <w:lang w:val="fr-FR"/>
        </w:rPr>
        <w:t>experts multidisciplinaire,</w:t>
      </w:r>
      <w:r w:rsidR="00F34644" w:rsidRPr="009C2953">
        <w:rPr>
          <w:lang w:val="fr-FR"/>
        </w:rPr>
        <w:t xml:space="preserve"> le </w:t>
      </w:r>
      <w:r w:rsidRPr="009C2953">
        <w:rPr>
          <w:lang w:val="fr-FR"/>
        </w:rPr>
        <w:t>Bureau et</w:t>
      </w:r>
      <w:r w:rsidR="00F34644" w:rsidRPr="009C2953">
        <w:rPr>
          <w:lang w:val="fr-FR"/>
        </w:rPr>
        <w:t xml:space="preserve"> la </w:t>
      </w:r>
      <w:r w:rsidRPr="009C2953">
        <w:rPr>
          <w:lang w:val="fr-FR"/>
        </w:rPr>
        <w:t>Secrétaire exécutive</w:t>
      </w:r>
      <w:r w:rsidR="00F34644" w:rsidRPr="009C2953">
        <w:rPr>
          <w:lang w:val="fr-FR"/>
        </w:rPr>
        <w:t xml:space="preserve"> aux </w:t>
      </w:r>
      <w:r w:rsidRPr="009C2953">
        <w:rPr>
          <w:lang w:val="fr-FR"/>
        </w:rPr>
        <w:t>recommandations figurant dans</w:t>
      </w:r>
      <w:r w:rsidR="00F34644" w:rsidRPr="009C2953">
        <w:rPr>
          <w:lang w:val="fr-FR"/>
        </w:rPr>
        <w:t xml:space="preserve"> le </w:t>
      </w:r>
      <w:r w:rsidRPr="009C2953">
        <w:rPr>
          <w:lang w:val="fr-FR"/>
        </w:rPr>
        <w:t>rapport sur l</w:t>
      </w:r>
      <w:r w:rsidR="00EA2966" w:rsidRPr="009C2953">
        <w:rPr>
          <w:lang w:val="fr-FR"/>
        </w:rPr>
        <w:t>’</w:t>
      </w:r>
      <w:r w:rsidRPr="009C2953">
        <w:rPr>
          <w:lang w:val="fr-FR"/>
        </w:rPr>
        <w:t>examen de</w:t>
      </w:r>
      <w:r w:rsidR="00F34644" w:rsidRPr="009C2953">
        <w:rPr>
          <w:lang w:val="fr-FR"/>
        </w:rPr>
        <w:t xml:space="preserve"> la </w:t>
      </w:r>
      <w:r w:rsidR="001F33E5" w:rsidRPr="009C2953">
        <w:rPr>
          <w:lang w:val="fr-FR"/>
        </w:rPr>
        <w:t>Plateforme</w:t>
      </w:r>
      <w:r w:rsidRPr="009C2953">
        <w:rPr>
          <w:lang w:val="fr-FR"/>
        </w:rPr>
        <w:t xml:space="preserve"> à</w:t>
      </w:r>
      <w:r w:rsidR="00FC0B15" w:rsidRPr="009C2953">
        <w:rPr>
          <w:lang w:val="fr-FR"/>
        </w:rPr>
        <w:t> </w:t>
      </w:r>
      <w:r w:rsidRPr="009C2953">
        <w:rPr>
          <w:lang w:val="fr-FR"/>
        </w:rPr>
        <w:t>l</w:t>
      </w:r>
      <w:r w:rsidR="00EA2966" w:rsidRPr="009C2953">
        <w:rPr>
          <w:lang w:val="fr-FR"/>
        </w:rPr>
        <w:t>’</w:t>
      </w:r>
      <w:r w:rsidRPr="009C2953">
        <w:rPr>
          <w:lang w:val="fr-FR"/>
        </w:rPr>
        <w:t>issue de</w:t>
      </w:r>
      <w:r w:rsidR="00F34644" w:rsidRPr="009C2953">
        <w:rPr>
          <w:lang w:val="fr-FR"/>
        </w:rPr>
        <w:t xml:space="preserve"> son </w:t>
      </w:r>
      <w:r w:rsidRPr="009C2953">
        <w:rPr>
          <w:lang w:val="fr-FR"/>
        </w:rPr>
        <w:t>premier programme de travail (IPBES/10/INF/16).</w:t>
      </w:r>
    </w:p>
    <w:p w14:paraId="40B58619" w14:textId="182C0807" w:rsidR="00607B78" w:rsidRPr="009C2953" w:rsidRDefault="00607B78" w:rsidP="008731A8">
      <w:pPr>
        <w:pStyle w:val="Normalnumber"/>
        <w:numPr>
          <w:ilvl w:val="0"/>
          <w:numId w:val="2"/>
        </w:numPr>
        <w:rPr>
          <w:lang w:val="fr-FR"/>
        </w:rPr>
      </w:pPr>
      <w:r w:rsidRPr="009C2953">
        <w:rPr>
          <w:lang w:val="fr-FR"/>
        </w:rPr>
        <w:t>La Plénière est convenue de prier</w:t>
      </w:r>
      <w:r w:rsidR="00F34644" w:rsidRPr="009C2953">
        <w:rPr>
          <w:lang w:val="fr-FR"/>
        </w:rPr>
        <w:t xml:space="preserve"> le </w:t>
      </w:r>
      <w:r w:rsidRPr="009C2953">
        <w:rPr>
          <w:lang w:val="fr-FR"/>
        </w:rPr>
        <w:t>groupe de travail II d</w:t>
      </w:r>
      <w:r w:rsidR="00EA2966" w:rsidRPr="009C2953">
        <w:rPr>
          <w:lang w:val="fr-FR"/>
        </w:rPr>
        <w:t>’</w:t>
      </w:r>
      <w:r w:rsidRPr="009C2953">
        <w:rPr>
          <w:lang w:val="fr-FR"/>
        </w:rPr>
        <w:t>examiner</w:t>
      </w:r>
      <w:r w:rsidR="00F34644" w:rsidRPr="009C2953">
        <w:rPr>
          <w:lang w:val="fr-FR"/>
        </w:rPr>
        <w:t xml:space="preserve"> le </w:t>
      </w:r>
      <w:r w:rsidRPr="009C2953">
        <w:rPr>
          <w:lang w:val="fr-FR"/>
        </w:rPr>
        <w:t>projet de cadre révisé concernant l</w:t>
      </w:r>
      <w:r w:rsidR="00EA2966" w:rsidRPr="009C2953">
        <w:rPr>
          <w:lang w:val="fr-FR"/>
        </w:rPr>
        <w:t>’</w:t>
      </w:r>
      <w:r w:rsidRPr="009C2953">
        <w:rPr>
          <w:lang w:val="fr-FR"/>
        </w:rPr>
        <w:t>examen à mi-parcours du programme de 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et</w:t>
      </w:r>
      <w:r w:rsidR="00F34644" w:rsidRPr="009C2953">
        <w:rPr>
          <w:lang w:val="fr-FR"/>
        </w:rPr>
        <w:t xml:space="preserve"> le </w:t>
      </w:r>
      <w:r w:rsidRPr="009C2953">
        <w:rPr>
          <w:lang w:val="fr-FR"/>
        </w:rPr>
        <w:t>projet de décision sur</w:t>
      </w:r>
      <w:r w:rsidR="00F34644" w:rsidRPr="009C2953">
        <w:rPr>
          <w:lang w:val="fr-FR"/>
        </w:rPr>
        <w:t xml:space="preserve"> le </w:t>
      </w:r>
      <w:r w:rsidRPr="009C2953">
        <w:rPr>
          <w:lang w:val="fr-FR"/>
        </w:rPr>
        <w:t>renforcement de l</w:t>
      </w:r>
      <w:r w:rsidR="00EA2966" w:rsidRPr="009C2953">
        <w:rPr>
          <w:lang w:val="fr-FR"/>
        </w:rPr>
        <w:t>’</w:t>
      </w:r>
      <w:r w:rsidRPr="009C2953">
        <w:rPr>
          <w:lang w:val="fr-FR"/>
        </w:rPr>
        <w:t>efficacité de</w:t>
      </w:r>
      <w:r w:rsidR="00F34644" w:rsidRPr="009C2953">
        <w:rPr>
          <w:lang w:val="fr-FR"/>
        </w:rPr>
        <w:t xml:space="preserve"> la </w:t>
      </w:r>
      <w:r w:rsidRPr="009C2953">
        <w:rPr>
          <w:lang w:val="fr-FR"/>
        </w:rPr>
        <w:t>Plateforme, qui</w:t>
      </w:r>
      <w:r w:rsidR="00585B87" w:rsidRPr="009C2953">
        <w:rPr>
          <w:lang w:val="fr-FR"/>
        </w:rPr>
        <w:t> </w:t>
      </w:r>
      <w:r w:rsidRPr="009C2953">
        <w:rPr>
          <w:lang w:val="fr-FR"/>
        </w:rPr>
        <w:t>figurent dans</w:t>
      </w:r>
      <w:r w:rsidR="00F34644" w:rsidRPr="009C2953">
        <w:rPr>
          <w:lang w:val="fr-FR"/>
        </w:rPr>
        <w:t xml:space="preserve"> le </w:t>
      </w:r>
      <w:r w:rsidRPr="009C2953">
        <w:rPr>
          <w:lang w:val="fr-FR"/>
        </w:rPr>
        <w:t xml:space="preserve">document IPBES/10/1/Add.2, </w:t>
      </w:r>
      <w:r w:rsidR="001F33E5" w:rsidRPr="009C2953">
        <w:rPr>
          <w:lang w:val="fr-FR"/>
        </w:rPr>
        <w:t xml:space="preserve">en se fondant </w:t>
      </w:r>
      <w:r w:rsidRPr="009C2953">
        <w:rPr>
          <w:lang w:val="fr-FR"/>
        </w:rPr>
        <w:t>sur</w:t>
      </w:r>
      <w:r w:rsidR="00F34644" w:rsidRPr="009C2953">
        <w:rPr>
          <w:lang w:val="fr-FR"/>
        </w:rPr>
        <w:t xml:space="preserve"> la </w:t>
      </w:r>
      <w:r w:rsidRPr="009C2953">
        <w:rPr>
          <w:lang w:val="fr-FR"/>
        </w:rPr>
        <w:t>note informelle de</w:t>
      </w:r>
      <w:r w:rsidR="00F34644" w:rsidRPr="009C2953">
        <w:rPr>
          <w:lang w:val="fr-FR"/>
        </w:rPr>
        <w:t xml:space="preserve"> la </w:t>
      </w:r>
      <w:r w:rsidRPr="009C2953">
        <w:rPr>
          <w:lang w:val="fr-FR"/>
        </w:rPr>
        <w:t>Présidente.</w:t>
      </w:r>
    </w:p>
    <w:p w14:paraId="0EE63850" w14:textId="6A92624E"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adopté</w:t>
      </w:r>
      <w:r w:rsidR="00F34644" w:rsidRPr="009C2953">
        <w:rPr>
          <w:lang w:val="fr-FR"/>
        </w:rPr>
        <w:t xml:space="preserve"> la </w:t>
      </w:r>
      <w:r w:rsidRPr="009C2953">
        <w:rPr>
          <w:lang w:val="fr-FR"/>
        </w:rPr>
        <w:t>décision IPBES-10/1 sur</w:t>
      </w:r>
      <w:r w:rsidR="00F34644" w:rsidRPr="009C2953">
        <w:rPr>
          <w:lang w:val="fr-FR"/>
        </w:rPr>
        <w:t xml:space="preserve"> la </w:t>
      </w:r>
      <w:r w:rsidRPr="009C2953">
        <w:rPr>
          <w:lang w:val="fr-FR"/>
        </w:rPr>
        <w:t>mise en œuvre du programme de</w:t>
      </w:r>
      <w:r w:rsidR="00585B87" w:rsidRPr="009C2953">
        <w:rPr>
          <w:lang w:val="fr-FR"/>
        </w:rPr>
        <w:t> </w:t>
      </w:r>
      <w:r w:rsidRPr="009C2953">
        <w:rPr>
          <w:lang w:val="fr-FR"/>
        </w:rPr>
        <w:t>travail glissant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5828A6" w:rsidRPr="009C2953">
        <w:rPr>
          <w:lang w:val="fr-FR"/>
        </w:rPr>
        <w:t> </w:t>
      </w:r>
      <w:r w:rsidR="00F34644" w:rsidRPr="009C2953">
        <w:rPr>
          <w:lang w:val="fr-FR"/>
        </w:rPr>
        <w:t>les </w:t>
      </w:r>
      <w:r w:rsidRPr="009C2953">
        <w:rPr>
          <w:lang w:val="fr-FR"/>
        </w:rPr>
        <w:t>services écosystémiques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telle qu</w:t>
      </w:r>
      <w:r w:rsidR="009823B9" w:rsidRPr="009C2953">
        <w:rPr>
          <w:lang w:val="fr-FR"/>
        </w:rPr>
        <w:t>e modifiée</w:t>
      </w:r>
      <w:r w:rsidRPr="009C2953">
        <w:rPr>
          <w:lang w:val="fr-FR"/>
        </w:rPr>
        <w:t xml:space="preserve"> oralement,</w:t>
      </w:r>
      <w:r w:rsidR="00F34644" w:rsidRPr="009C2953">
        <w:rPr>
          <w:lang w:val="fr-FR"/>
        </w:rPr>
        <w:t xml:space="preserve"> </w:t>
      </w:r>
      <w:r w:rsidR="00F34644" w:rsidRPr="009C2953">
        <w:rPr>
          <w:lang w:val="fr-FR"/>
        </w:rPr>
        <w:lastRenderedPageBreak/>
        <w:t>y </w:t>
      </w:r>
      <w:r w:rsidRPr="009C2953">
        <w:rPr>
          <w:lang w:val="fr-FR"/>
        </w:rPr>
        <w:t>compris</w:t>
      </w:r>
      <w:r w:rsidR="00F34644" w:rsidRPr="009C2953">
        <w:rPr>
          <w:lang w:val="fr-FR"/>
        </w:rPr>
        <w:t xml:space="preserve"> la </w:t>
      </w:r>
      <w:r w:rsidRPr="009C2953">
        <w:rPr>
          <w:lang w:val="fr-FR"/>
        </w:rPr>
        <w:t>partie VI intitulée « Renforcement de l</w:t>
      </w:r>
      <w:r w:rsidR="00EA2966" w:rsidRPr="009C2953">
        <w:rPr>
          <w:lang w:val="fr-FR"/>
        </w:rPr>
        <w:t>’</w:t>
      </w:r>
      <w:r w:rsidRPr="009C2953">
        <w:rPr>
          <w:lang w:val="fr-FR"/>
        </w:rPr>
        <w:t>efficacité de</w:t>
      </w:r>
      <w:r w:rsidR="00F34644" w:rsidRPr="009C2953">
        <w:rPr>
          <w:lang w:val="fr-FR"/>
        </w:rPr>
        <w:t xml:space="preserve"> la </w:t>
      </w:r>
      <w:r w:rsidRPr="009C2953">
        <w:rPr>
          <w:lang w:val="fr-FR"/>
        </w:rPr>
        <w:t>Plateforme ».</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310B16A0" w14:textId="2B64B66A" w:rsidR="00607B78" w:rsidRPr="009C2953" w:rsidRDefault="00607B78" w:rsidP="008731A8">
      <w:pPr>
        <w:pStyle w:val="Normalnumber"/>
        <w:numPr>
          <w:ilvl w:val="0"/>
          <w:numId w:val="2"/>
        </w:numPr>
        <w:rPr>
          <w:lang w:val="fr-FR"/>
        </w:rPr>
      </w:pPr>
      <w:r w:rsidRPr="009C2953">
        <w:rPr>
          <w:lang w:val="fr-FR"/>
        </w:rPr>
        <w:t>Au moment de l</w:t>
      </w:r>
      <w:r w:rsidR="00EA2966" w:rsidRPr="009C2953">
        <w:rPr>
          <w:lang w:val="fr-FR"/>
        </w:rPr>
        <w:t>’</w:t>
      </w:r>
      <w:r w:rsidRPr="009C2953">
        <w:rPr>
          <w:lang w:val="fr-FR"/>
        </w:rPr>
        <w:t>adoption de</w:t>
      </w:r>
      <w:r w:rsidR="00F34644" w:rsidRPr="009C2953">
        <w:rPr>
          <w:lang w:val="fr-FR"/>
        </w:rPr>
        <w:t xml:space="preserve"> la </w:t>
      </w:r>
      <w:r w:rsidRPr="009C2953">
        <w:rPr>
          <w:lang w:val="fr-FR"/>
        </w:rPr>
        <w:t>décision, un</w:t>
      </w:r>
      <w:r w:rsidR="001E6BFB" w:rsidRPr="009C2953">
        <w:rPr>
          <w:lang w:val="fr-FR"/>
        </w:rPr>
        <w:t>(e)</w:t>
      </w:r>
      <w:r w:rsidRPr="009C2953">
        <w:rPr>
          <w:lang w:val="fr-FR"/>
        </w:rPr>
        <w:t xml:space="preserve"> représentant</w:t>
      </w:r>
      <w:r w:rsidR="001E6BFB" w:rsidRPr="009C2953">
        <w:rPr>
          <w:lang w:val="fr-FR"/>
        </w:rPr>
        <w:t xml:space="preserve">(e) </w:t>
      </w:r>
      <w:r w:rsidRPr="009C2953">
        <w:rPr>
          <w:lang w:val="fr-FR"/>
        </w:rPr>
        <w:t>a déclaré qu</w:t>
      </w:r>
      <w:r w:rsidR="00EA2966" w:rsidRPr="009C2953">
        <w:rPr>
          <w:lang w:val="fr-FR"/>
        </w:rPr>
        <w:t>’</w:t>
      </w:r>
      <w:r w:rsidRPr="009C2953">
        <w:rPr>
          <w:lang w:val="fr-FR"/>
        </w:rPr>
        <w:t>au cours</w:t>
      </w:r>
      <w:r w:rsidR="00D24DC1" w:rsidRPr="009C2953">
        <w:rPr>
          <w:lang w:val="fr-FR"/>
        </w:rPr>
        <w:t xml:space="preserve"> des </w:t>
      </w:r>
      <w:r w:rsidRPr="009C2953">
        <w:rPr>
          <w:lang w:val="fr-FR"/>
        </w:rPr>
        <w:t>débats du groupe de travail II sur</w:t>
      </w:r>
      <w:r w:rsidR="00F34644" w:rsidRPr="009C2953">
        <w:rPr>
          <w:lang w:val="fr-FR"/>
        </w:rPr>
        <w:t xml:space="preserve"> le </w:t>
      </w:r>
      <w:r w:rsidRPr="009C2953">
        <w:rPr>
          <w:lang w:val="fr-FR"/>
        </w:rPr>
        <w:t>cadre révisé concernant l</w:t>
      </w:r>
      <w:r w:rsidR="00EA2966" w:rsidRPr="009C2953">
        <w:rPr>
          <w:lang w:val="fr-FR"/>
        </w:rPr>
        <w:t>’</w:t>
      </w:r>
      <w:r w:rsidRPr="009C2953">
        <w:rPr>
          <w:lang w:val="fr-FR"/>
        </w:rPr>
        <w:t>examen à mi-parcours du programme de 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certains représentants avaient proposé que l</w:t>
      </w:r>
      <w:r w:rsidR="00EA2966" w:rsidRPr="009C2953">
        <w:rPr>
          <w:lang w:val="fr-FR"/>
        </w:rPr>
        <w:t>’</w:t>
      </w:r>
      <w:r w:rsidRPr="009C2953">
        <w:rPr>
          <w:lang w:val="fr-FR"/>
        </w:rPr>
        <w:t>examen comprenne</w:t>
      </w:r>
      <w:r w:rsidR="00F34644" w:rsidRPr="009C2953">
        <w:rPr>
          <w:lang w:val="fr-FR"/>
        </w:rPr>
        <w:t xml:space="preserve"> une </w:t>
      </w:r>
      <w:r w:rsidRPr="009C2953">
        <w:rPr>
          <w:lang w:val="fr-FR"/>
        </w:rPr>
        <w:t>évaluation de</w:t>
      </w:r>
      <w:r w:rsidR="00F34644" w:rsidRPr="009C2953">
        <w:rPr>
          <w:lang w:val="fr-FR"/>
        </w:rPr>
        <w:t xml:space="preserve"> la </w:t>
      </w:r>
      <w:r w:rsidRPr="009C2953">
        <w:rPr>
          <w:lang w:val="fr-FR"/>
        </w:rPr>
        <w:t>diversité linguistique, régionale et de genre dans</w:t>
      </w:r>
      <w:r w:rsidR="00F34644" w:rsidRPr="009C2953">
        <w:rPr>
          <w:lang w:val="fr-FR"/>
        </w:rPr>
        <w:t xml:space="preserve"> la </w:t>
      </w:r>
      <w:r w:rsidRPr="009C2953">
        <w:rPr>
          <w:lang w:val="fr-FR"/>
        </w:rPr>
        <w:t>sélection de</w:t>
      </w:r>
      <w:r w:rsidR="00F34644" w:rsidRPr="009C2953">
        <w:rPr>
          <w:lang w:val="fr-FR"/>
        </w:rPr>
        <w:t xml:space="preserve"> la </w:t>
      </w:r>
      <w:r w:rsidRPr="009C2953">
        <w:rPr>
          <w:lang w:val="fr-FR"/>
        </w:rPr>
        <w:t>documentation concernant tous</w:t>
      </w:r>
      <w:r w:rsidR="00F34644" w:rsidRPr="009C2953">
        <w:rPr>
          <w:lang w:val="fr-FR"/>
        </w:rPr>
        <w:t xml:space="preserve"> les </w:t>
      </w:r>
      <w:r w:rsidRPr="009C2953">
        <w:rPr>
          <w:lang w:val="fr-FR"/>
        </w:rPr>
        <w:t>produits de l</w:t>
      </w:r>
      <w:r w:rsidR="00EA2966" w:rsidRPr="009C2953">
        <w:rPr>
          <w:lang w:val="fr-FR"/>
        </w:rPr>
        <w:t>’</w:t>
      </w:r>
      <w:r w:rsidRPr="009C2953">
        <w:rPr>
          <w:lang w:val="fr-FR"/>
        </w:rPr>
        <w:t>IPBES.</w:t>
      </w:r>
      <w:r w:rsidR="00F34644" w:rsidRPr="009C2953">
        <w:rPr>
          <w:lang w:val="fr-FR"/>
        </w:rPr>
        <w:t xml:space="preserve"> Ils </w:t>
      </w:r>
      <w:r w:rsidRPr="009C2953">
        <w:rPr>
          <w:lang w:val="fr-FR"/>
        </w:rPr>
        <w:t>avaient également souligné qu</w:t>
      </w:r>
      <w:r w:rsidR="00EA2966" w:rsidRPr="009C2953">
        <w:rPr>
          <w:lang w:val="fr-FR"/>
        </w:rPr>
        <w:t>’</w:t>
      </w:r>
      <w:r w:rsidRPr="009C2953">
        <w:rPr>
          <w:lang w:val="fr-FR"/>
        </w:rPr>
        <w:t>il était important d</w:t>
      </w:r>
      <w:r w:rsidR="00EA2966" w:rsidRPr="009C2953">
        <w:rPr>
          <w:lang w:val="fr-FR"/>
        </w:rPr>
        <w:t>’</w:t>
      </w:r>
      <w:r w:rsidRPr="009C2953">
        <w:rPr>
          <w:lang w:val="fr-FR"/>
        </w:rPr>
        <w:t>évaluer</w:t>
      </w:r>
      <w:r w:rsidR="00F34644" w:rsidRPr="009C2953">
        <w:rPr>
          <w:lang w:val="fr-FR"/>
        </w:rPr>
        <w:t xml:space="preserve"> la </w:t>
      </w:r>
      <w:r w:rsidRPr="009C2953">
        <w:rPr>
          <w:lang w:val="fr-FR"/>
        </w:rPr>
        <w:t>capacité</w:t>
      </w:r>
      <w:r w:rsidR="00D24DC1" w:rsidRPr="009C2953">
        <w:rPr>
          <w:lang w:val="fr-FR"/>
        </w:rPr>
        <w:t xml:space="preserve"> des </w:t>
      </w:r>
      <w:r w:rsidRPr="009C2953">
        <w:rPr>
          <w:lang w:val="fr-FR"/>
        </w:rPr>
        <w:t>pays en développement à répondre de manière adéquate</w:t>
      </w:r>
      <w:r w:rsidR="00F34644" w:rsidRPr="009C2953">
        <w:rPr>
          <w:lang w:val="fr-FR"/>
        </w:rPr>
        <w:t xml:space="preserve"> aux </w:t>
      </w:r>
      <w:r w:rsidRPr="009C2953">
        <w:rPr>
          <w:lang w:val="fr-FR"/>
        </w:rPr>
        <w:t>appels à contributions et à participer pleinement</w:t>
      </w:r>
      <w:r w:rsidR="00F34644" w:rsidRPr="009C2953">
        <w:rPr>
          <w:lang w:val="fr-FR"/>
        </w:rPr>
        <w:t xml:space="preserve"> aux </w:t>
      </w:r>
      <w:r w:rsidRPr="009C2953">
        <w:rPr>
          <w:lang w:val="fr-FR"/>
        </w:rPr>
        <w:t>processus connexes. Ces</w:t>
      </w:r>
      <w:r w:rsidR="00E72329" w:rsidRPr="009C2953">
        <w:rPr>
          <w:lang w:val="fr-FR"/>
        </w:rPr>
        <w:t> </w:t>
      </w:r>
      <w:r w:rsidRPr="009C2953">
        <w:rPr>
          <w:lang w:val="fr-FR"/>
        </w:rPr>
        <w:t>propositions s</w:t>
      </w:r>
      <w:r w:rsidR="00EA2966" w:rsidRPr="009C2953">
        <w:rPr>
          <w:lang w:val="fr-FR"/>
        </w:rPr>
        <w:t>’</w:t>
      </w:r>
      <w:r w:rsidRPr="009C2953">
        <w:rPr>
          <w:lang w:val="fr-FR"/>
        </w:rPr>
        <w:t>étaient toutefois heurtées à</w:t>
      </w:r>
      <w:r w:rsidR="00F34644" w:rsidRPr="009C2953">
        <w:rPr>
          <w:lang w:val="fr-FR"/>
        </w:rPr>
        <w:t xml:space="preserve"> la </w:t>
      </w:r>
      <w:r w:rsidRPr="009C2953">
        <w:rPr>
          <w:lang w:val="fr-FR"/>
        </w:rPr>
        <w:t>résistance d</w:t>
      </w:r>
      <w:r w:rsidR="00EA2966" w:rsidRPr="009C2953">
        <w:rPr>
          <w:lang w:val="fr-FR"/>
        </w:rPr>
        <w:t>’</w:t>
      </w:r>
      <w:r w:rsidRPr="009C2953">
        <w:rPr>
          <w:lang w:val="fr-FR"/>
        </w:rPr>
        <w:t>autres représentants et n</w:t>
      </w:r>
      <w:r w:rsidR="00EA2966" w:rsidRPr="009C2953">
        <w:rPr>
          <w:lang w:val="fr-FR"/>
        </w:rPr>
        <w:t>’</w:t>
      </w:r>
      <w:r w:rsidRPr="009C2953">
        <w:rPr>
          <w:lang w:val="fr-FR"/>
        </w:rPr>
        <w:t>avaient pas été intégrées dans</w:t>
      </w:r>
      <w:r w:rsidR="00F34644" w:rsidRPr="009C2953">
        <w:rPr>
          <w:lang w:val="fr-FR"/>
        </w:rPr>
        <w:t xml:space="preserve"> le </w:t>
      </w:r>
      <w:r w:rsidRPr="009C2953">
        <w:rPr>
          <w:lang w:val="fr-FR"/>
        </w:rPr>
        <w:t>projet de décision.</w:t>
      </w:r>
      <w:r w:rsidR="00F34644" w:rsidRPr="009C2953">
        <w:rPr>
          <w:lang w:val="fr-FR"/>
        </w:rPr>
        <w:t xml:space="preserve"> Les </w:t>
      </w:r>
      <w:r w:rsidRPr="009C2953">
        <w:rPr>
          <w:lang w:val="fr-FR"/>
        </w:rPr>
        <w:t>représentants qui avaient plaidé en faveur de</w:t>
      </w:r>
      <w:r w:rsidR="00F34644" w:rsidRPr="009C2953">
        <w:rPr>
          <w:lang w:val="fr-FR"/>
        </w:rPr>
        <w:t xml:space="preserve"> leur </w:t>
      </w:r>
      <w:r w:rsidRPr="009C2953">
        <w:rPr>
          <w:lang w:val="fr-FR"/>
        </w:rPr>
        <w:t>inclusion craignaient que ce choix ne soit préjudiciable à l</w:t>
      </w:r>
      <w:r w:rsidR="00EA2966" w:rsidRPr="009C2953">
        <w:rPr>
          <w:lang w:val="fr-FR"/>
        </w:rPr>
        <w:t>’</w:t>
      </w:r>
      <w:r w:rsidRPr="009C2953">
        <w:rPr>
          <w:lang w:val="fr-FR"/>
        </w:rPr>
        <w:t>efficacité de l</w:t>
      </w:r>
      <w:r w:rsidR="00EA2966" w:rsidRPr="009C2953">
        <w:rPr>
          <w:lang w:val="fr-FR"/>
        </w:rPr>
        <w:t>’</w:t>
      </w:r>
      <w:r w:rsidRPr="009C2953">
        <w:rPr>
          <w:lang w:val="fr-FR"/>
        </w:rPr>
        <w:t>examen à mi-parcours.</w:t>
      </w:r>
    </w:p>
    <w:p w14:paraId="116FCF7F" w14:textId="0FE2426B" w:rsidR="00607B78" w:rsidRPr="009C2953" w:rsidRDefault="00607B78" w:rsidP="00607B78">
      <w:pPr>
        <w:pStyle w:val="CH1"/>
      </w:pPr>
      <w:r w:rsidRPr="009C2953">
        <w:tab/>
        <w:t>X.</w:t>
      </w:r>
      <w:r w:rsidRPr="009C2953">
        <w:tab/>
        <w:t>Demandes, contributions et suggestions d</w:t>
      </w:r>
      <w:r w:rsidR="00EA2966" w:rsidRPr="009C2953">
        <w:t>’</w:t>
      </w:r>
      <w:r w:rsidRPr="009C2953">
        <w:t>éléments additionnels au</w:t>
      </w:r>
      <w:r w:rsidR="00F56CA1" w:rsidRPr="009C2953">
        <w:t> </w:t>
      </w:r>
      <w:r w:rsidRPr="009C2953">
        <w:t>programme de travail glissant de</w:t>
      </w:r>
      <w:r w:rsidR="00F34644" w:rsidRPr="009C2953">
        <w:t xml:space="preserve"> la </w:t>
      </w:r>
      <w:r w:rsidRPr="009C2953">
        <w:t>Plateforme pour</w:t>
      </w:r>
      <w:r w:rsidR="00F34644" w:rsidRPr="009C2953">
        <w:t xml:space="preserve"> la </w:t>
      </w:r>
      <w:r w:rsidRPr="009C2953">
        <w:t>période allant jusqu</w:t>
      </w:r>
      <w:r w:rsidR="00EA2966" w:rsidRPr="009C2953">
        <w:t>’</w:t>
      </w:r>
      <w:r w:rsidRPr="009C2953">
        <w:t>en 2030</w:t>
      </w:r>
    </w:p>
    <w:p w14:paraId="0977E6AC" w14:textId="32D97B0B" w:rsidR="00607B78" w:rsidRPr="009C2953" w:rsidRDefault="00607B78" w:rsidP="008731A8">
      <w:pPr>
        <w:pStyle w:val="Normalnumber"/>
        <w:numPr>
          <w:ilvl w:val="0"/>
          <w:numId w:val="2"/>
        </w:numPr>
        <w:rPr>
          <w:lang w:val="fr-FR"/>
        </w:rPr>
      </w:pPr>
      <w:r w:rsidRPr="009C2953">
        <w:rPr>
          <w:lang w:val="fr-FR"/>
        </w:rPr>
        <w:t xml:space="preserve">Présentant ce </w:t>
      </w:r>
      <w:r w:rsidR="009823B9" w:rsidRPr="009C2953">
        <w:rPr>
          <w:lang w:val="fr-FR"/>
        </w:rPr>
        <w:t>po</w:t>
      </w:r>
      <w:r w:rsidRPr="009C2953">
        <w:rPr>
          <w:lang w:val="fr-FR"/>
        </w:rPr>
        <w:t>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le </w:t>
      </w:r>
      <w:r w:rsidRPr="009C2953">
        <w:rPr>
          <w:lang w:val="fr-FR"/>
        </w:rPr>
        <w:t>rapport relatif à</w:t>
      </w:r>
      <w:r w:rsidR="00F34644" w:rsidRPr="009C2953">
        <w:rPr>
          <w:lang w:val="fr-FR"/>
        </w:rPr>
        <w:t xml:space="preserve"> la </w:t>
      </w:r>
      <w:r w:rsidRPr="009C2953">
        <w:rPr>
          <w:lang w:val="fr-FR"/>
        </w:rPr>
        <w:t>hiérarchisation</w:t>
      </w:r>
      <w:r w:rsidR="00D24DC1" w:rsidRPr="009C2953">
        <w:rPr>
          <w:lang w:val="fr-FR"/>
        </w:rPr>
        <w:t xml:space="preserve"> des </w:t>
      </w:r>
      <w:r w:rsidRPr="009C2953">
        <w:rPr>
          <w:lang w:val="fr-FR"/>
        </w:rPr>
        <w:t>demandes, contributions et suggestions d</w:t>
      </w:r>
      <w:r w:rsidR="00EA2966" w:rsidRPr="009C2953">
        <w:rPr>
          <w:lang w:val="fr-FR"/>
        </w:rPr>
        <w:t>’</w:t>
      </w:r>
      <w:r w:rsidRPr="009C2953">
        <w:rPr>
          <w:lang w:val="fr-FR"/>
        </w:rPr>
        <w:t>éléments additionnels au programme de 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w:t>
      </w:r>
      <w:r w:rsidR="00CB508B" w:rsidRPr="009C2953">
        <w:rPr>
          <w:lang w:val="fr-FR"/>
        </w:rPr>
        <w:t> </w:t>
      </w:r>
      <w:r w:rsidRPr="009C2953">
        <w:rPr>
          <w:lang w:val="fr-FR"/>
        </w:rPr>
        <w:t>2030</w:t>
      </w:r>
      <w:r w:rsidR="00CB508B" w:rsidRPr="009C2953">
        <w:rPr>
          <w:lang w:val="fr-FR"/>
        </w:rPr>
        <w:t> </w:t>
      </w:r>
      <w:r w:rsidRPr="009C2953">
        <w:rPr>
          <w:lang w:val="fr-FR"/>
        </w:rPr>
        <w:t>(IPBES/10/10) et sur</w:t>
      </w:r>
      <w:r w:rsidR="00F34644" w:rsidRPr="009C2953">
        <w:rPr>
          <w:lang w:val="fr-FR"/>
        </w:rPr>
        <w:t xml:space="preserve"> le </w:t>
      </w:r>
      <w:r w:rsidRPr="009C2953">
        <w:rPr>
          <w:lang w:val="fr-FR"/>
        </w:rPr>
        <w:t>récapitulatif</w:t>
      </w:r>
      <w:r w:rsidR="00D24DC1" w:rsidRPr="009C2953">
        <w:rPr>
          <w:lang w:val="fr-FR"/>
        </w:rPr>
        <w:t xml:space="preserve"> des </w:t>
      </w:r>
      <w:r w:rsidRPr="009C2953">
        <w:rPr>
          <w:lang w:val="fr-FR"/>
        </w:rPr>
        <w:t>demandes, contributions et suggestions d</w:t>
      </w:r>
      <w:r w:rsidR="00EA2966" w:rsidRPr="009C2953">
        <w:rPr>
          <w:lang w:val="fr-FR"/>
        </w:rPr>
        <w:t>’</w:t>
      </w:r>
      <w:r w:rsidRPr="009C2953">
        <w:rPr>
          <w:lang w:val="fr-FR"/>
        </w:rPr>
        <w:t>éléments additionnels au programme de travail glissant de</w:t>
      </w:r>
      <w:r w:rsidR="00F34644" w:rsidRPr="009C2953">
        <w:rPr>
          <w:lang w:val="fr-FR"/>
        </w:rPr>
        <w:t xml:space="preserve"> la </w:t>
      </w:r>
      <w:r w:rsidRPr="009C2953">
        <w:rPr>
          <w:lang w:val="fr-FR"/>
        </w:rPr>
        <w:t>Plateforme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(IPBES/10/INF/7).</w:t>
      </w:r>
    </w:p>
    <w:p w14:paraId="57D91C6A" w14:textId="5515995B" w:rsidR="00607B78" w:rsidRPr="009C2953" w:rsidRDefault="00607B78" w:rsidP="008731A8">
      <w:pPr>
        <w:pStyle w:val="Normalnumber"/>
        <w:numPr>
          <w:ilvl w:val="0"/>
          <w:numId w:val="2"/>
        </w:numPr>
        <w:rPr>
          <w:lang w:val="fr-FR"/>
        </w:rPr>
      </w:pPr>
      <w:r w:rsidRPr="009C2953">
        <w:rPr>
          <w:lang w:val="fr-FR"/>
        </w:rPr>
        <w:t>La Plénière a décidé de demander au groupe de travail II d</w:t>
      </w:r>
      <w:r w:rsidR="00EA2966" w:rsidRPr="009C2953">
        <w:rPr>
          <w:lang w:val="fr-FR"/>
        </w:rPr>
        <w:t>’</w:t>
      </w:r>
      <w:r w:rsidRPr="009C2953">
        <w:rPr>
          <w:lang w:val="fr-FR"/>
        </w:rPr>
        <w:t>examiner</w:t>
      </w:r>
      <w:r w:rsidR="00F34644" w:rsidRPr="009C2953">
        <w:rPr>
          <w:lang w:val="fr-FR"/>
        </w:rPr>
        <w:t xml:space="preserve"> le </w:t>
      </w:r>
      <w:r w:rsidRPr="009C2953">
        <w:rPr>
          <w:lang w:val="fr-FR"/>
        </w:rPr>
        <w:t>projet de décision, figurant dans</w:t>
      </w:r>
      <w:r w:rsidR="00F34644" w:rsidRPr="009C2953">
        <w:rPr>
          <w:lang w:val="fr-FR"/>
        </w:rPr>
        <w:t xml:space="preserve"> le </w:t>
      </w:r>
      <w:r w:rsidRPr="009C2953">
        <w:rPr>
          <w:lang w:val="fr-FR"/>
        </w:rPr>
        <w:t>document IPBES/10/1/Add.2, en se fondant sur</w:t>
      </w:r>
      <w:r w:rsidR="00F34644" w:rsidRPr="009C2953">
        <w:rPr>
          <w:lang w:val="fr-FR"/>
        </w:rPr>
        <w:t xml:space="preserve"> la </w:t>
      </w:r>
      <w:r w:rsidRPr="009C2953">
        <w:rPr>
          <w:lang w:val="fr-FR"/>
        </w:rPr>
        <w:t>note informelle de</w:t>
      </w:r>
      <w:r w:rsidR="00F34644" w:rsidRPr="009C2953">
        <w:rPr>
          <w:lang w:val="fr-FR"/>
        </w:rPr>
        <w:t xml:space="preserve"> la </w:t>
      </w:r>
      <w:r w:rsidRPr="009C2953">
        <w:rPr>
          <w:lang w:val="fr-FR"/>
        </w:rPr>
        <w:t>Présidente sur</w:t>
      </w:r>
      <w:r w:rsidR="00F34644" w:rsidRPr="009C2953">
        <w:rPr>
          <w:lang w:val="fr-FR"/>
        </w:rPr>
        <w:t xml:space="preserve"> la </w:t>
      </w:r>
      <w:r w:rsidRPr="009C2953">
        <w:rPr>
          <w:lang w:val="fr-FR"/>
        </w:rPr>
        <w:t>question.</w:t>
      </w:r>
    </w:p>
    <w:p w14:paraId="3F23F6BC" w14:textId="0DD9D9D9"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adopté</w:t>
      </w:r>
      <w:r w:rsidR="00F34644" w:rsidRPr="009C2953">
        <w:rPr>
          <w:lang w:val="fr-FR"/>
        </w:rPr>
        <w:t xml:space="preserve"> la </w:t>
      </w:r>
      <w:r w:rsidRPr="009C2953">
        <w:rPr>
          <w:lang w:val="fr-FR"/>
        </w:rPr>
        <w:t>décision IPBES-10/1 sur</w:t>
      </w:r>
      <w:r w:rsidR="00F34644" w:rsidRPr="009C2953">
        <w:rPr>
          <w:lang w:val="fr-FR"/>
        </w:rPr>
        <w:t xml:space="preserve"> la </w:t>
      </w:r>
      <w:r w:rsidRPr="009C2953">
        <w:rPr>
          <w:lang w:val="fr-FR"/>
        </w:rPr>
        <w:t>mise en œuvre du programme de</w:t>
      </w:r>
      <w:r w:rsidR="00CB508B" w:rsidRPr="009C2953">
        <w:rPr>
          <w:lang w:val="fr-FR"/>
        </w:rPr>
        <w:t> </w:t>
      </w:r>
      <w:r w:rsidRPr="009C2953">
        <w:rPr>
          <w:lang w:val="fr-FR"/>
        </w:rPr>
        <w:t>travail glissant de</w:t>
      </w:r>
      <w:r w:rsidR="00F34644" w:rsidRPr="009C2953">
        <w:rPr>
          <w:lang w:val="fr-FR"/>
        </w:rPr>
        <w:t xml:space="preserve"> la </w:t>
      </w:r>
      <w:r w:rsidRPr="009C2953">
        <w:rPr>
          <w:lang w:val="fr-FR"/>
        </w:rPr>
        <w:t>Plateforme intergouvernementale scientifique et politique sur</w:t>
      </w:r>
      <w:r w:rsidR="00F34644" w:rsidRPr="009C2953">
        <w:rPr>
          <w:lang w:val="fr-FR"/>
        </w:rPr>
        <w:t xml:space="preserve"> la </w:t>
      </w:r>
      <w:r w:rsidRPr="009C2953">
        <w:rPr>
          <w:lang w:val="fr-FR"/>
        </w:rPr>
        <w:t>biodiversité et</w:t>
      </w:r>
      <w:r w:rsidR="005828A6" w:rsidRPr="009C2953">
        <w:rPr>
          <w:lang w:val="fr-FR"/>
        </w:rPr>
        <w:t> </w:t>
      </w:r>
      <w:r w:rsidR="00F34644" w:rsidRPr="009C2953">
        <w:rPr>
          <w:lang w:val="fr-FR"/>
        </w:rPr>
        <w:t>les </w:t>
      </w:r>
      <w:r w:rsidRPr="009C2953">
        <w:rPr>
          <w:lang w:val="fr-FR"/>
        </w:rPr>
        <w:t>services écosystémiques pour</w:t>
      </w:r>
      <w:r w:rsidR="00F34644" w:rsidRPr="009C2953">
        <w:rPr>
          <w:lang w:val="fr-FR"/>
        </w:rPr>
        <w:t xml:space="preserve"> la </w:t>
      </w:r>
      <w:r w:rsidRPr="009C2953">
        <w:rPr>
          <w:lang w:val="fr-FR"/>
        </w:rPr>
        <w:t>période allant jusqu</w:t>
      </w:r>
      <w:r w:rsidR="00EA2966" w:rsidRPr="009C2953">
        <w:rPr>
          <w:lang w:val="fr-FR"/>
        </w:rPr>
        <w:t>’</w:t>
      </w:r>
      <w:r w:rsidRPr="009C2953">
        <w:rPr>
          <w:lang w:val="fr-FR"/>
        </w:rPr>
        <w:t>en 2030, telle que modifiée oralement,</w:t>
      </w:r>
      <w:r w:rsidR="00F34644" w:rsidRPr="009C2953">
        <w:rPr>
          <w:lang w:val="fr-FR"/>
        </w:rPr>
        <w:t xml:space="preserve"> y </w:t>
      </w:r>
      <w:r w:rsidRPr="009C2953">
        <w:rPr>
          <w:lang w:val="fr-FR"/>
        </w:rPr>
        <w:t>compris</w:t>
      </w:r>
      <w:r w:rsidR="00F34644" w:rsidRPr="009C2953">
        <w:rPr>
          <w:lang w:val="fr-FR"/>
        </w:rPr>
        <w:t xml:space="preserve"> la </w:t>
      </w:r>
      <w:r w:rsidRPr="009C2953">
        <w:rPr>
          <w:lang w:val="fr-FR"/>
        </w:rPr>
        <w:t>partie II intitulée « Évaluation</w:t>
      </w:r>
      <w:r w:rsidR="00D24DC1" w:rsidRPr="009C2953">
        <w:rPr>
          <w:lang w:val="fr-FR"/>
        </w:rPr>
        <w:t xml:space="preserve"> des </w:t>
      </w:r>
      <w:r w:rsidRPr="009C2953">
        <w:rPr>
          <w:lang w:val="fr-FR"/>
        </w:rPr>
        <w:t>connaissances », dans laquelle, elle a, entre autres, approuvé</w:t>
      </w:r>
      <w:r w:rsidR="00F34644" w:rsidRPr="009C2953">
        <w:rPr>
          <w:lang w:val="fr-FR"/>
        </w:rPr>
        <w:t xml:space="preserve"> une </w:t>
      </w:r>
      <w:r w:rsidRPr="009C2953">
        <w:rPr>
          <w:lang w:val="fr-FR"/>
        </w:rPr>
        <w:t>procédure de cadrage de</w:t>
      </w:r>
      <w:r w:rsidR="00F34644" w:rsidRPr="009C2953">
        <w:rPr>
          <w:lang w:val="fr-FR"/>
        </w:rPr>
        <w:t xml:space="preserve"> la </w:t>
      </w:r>
      <w:r w:rsidRPr="009C2953">
        <w:rPr>
          <w:lang w:val="fr-FR"/>
        </w:rPr>
        <w:t>deuxième évaluation mondiale de</w:t>
      </w:r>
      <w:r w:rsidR="00F34644" w:rsidRPr="009C2953">
        <w:rPr>
          <w:lang w:val="fr-FR"/>
        </w:rPr>
        <w:t xml:space="preserve"> la </w:t>
      </w:r>
      <w:r w:rsidRPr="009C2953">
        <w:rPr>
          <w:lang w:val="fr-FR"/>
        </w:rPr>
        <w:t>biodiversité et</w:t>
      </w:r>
      <w:r w:rsidR="00D24DC1" w:rsidRPr="009C2953">
        <w:rPr>
          <w:lang w:val="fr-FR"/>
        </w:rPr>
        <w:t xml:space="preserve"> des </w:t>
      </w:r>
      <w:r w:rsidRPr="009C2953">
        <w:rPr>
          <w:lang w:val="fr-FR"/>
        </w:rPr>
        <w:t>services écosystémiques et</w:t>
      </w:r>
      <w:r w:rsidR="00F34644" w:rsidRPr="009C2953">
        <w:rPr>
          <w:lang w:val="fr-FR"/>
        </w:rPr>
        <w:t xml:space="preserve"> la </w:t>
      </w:r>
      <w:r w:rsidRPr="009C2953">
        <w:rPr>
          <w:lang w:val="fr-FR"/>
        </w:rPr>
        <w:t>réalisation de deux évaluations méthodologiques accélérées, l</w:t>
      </w:r>
      <w:r w:rsidR="00EA2966" w:rsidRPr="009C2953">
        <w:rPr>
          <w:lang w:val="fr-FR"/>
        </w:rPr>
        <w:t>’</w:t>
      </w:r>
      <w:r w:rsidRPr="009C2953">
        <w:rPr>
          <w:lang w:val="fr-FR"/>
        </w:rPr>
        <w:t>une</w:t>
      </w:r>
      <w:r w:rsidR="00CB508B" w:rsidRPr="009C2953">
        <w:rPr>
          <w:lang w:val="fr-FR"/>
        </w:rPr>
        <w:t> </w:t>
      </w:r>
      <w:r w:rsidRPr="009C2953">
        <w:rPr>
          <w:lang w:val="fr-FR"/>
        </w:rPr>
        <w:t>portant sur</w:t>
      </w:r>
      <w:r w:rsidR="00F34644" w:rsidRPr="009C2953">
        <w:rPr>
          <w:lang w:val="fr-FR"/>
        </w:rPr>
        <w:t xml:space="preserve"> la </w:t>
      </w:r>
      <w:r w:rsidRPr="009C2953">
        <w:rPr>
          <w:lang w:val="fr-FR"/>
        </w:rPr>
        <w:t>surveillance de</w:t>
      </w:r>
      <w:r w:rsidR="00F34644" w:rsidRPr="009C2953">
        <w:rPr>
          <w:lang w:val="fr-FR"/>
        </w:rPr>
        <w:t xml:space="preserve"> la </w:t>
      </w:r>
      <w:r w:rsidRPr="009C2953">
        <w:rPr>
          <w:lang w:val="fr-FR"/>
        </w:rPr>
        <w:t>biodiversité et</w:t>
      </w:r>
      <w:r w:rsidR="00D24DC1" w:rsidRPr="009C2953">
        <w:rPr>
          <w:lang w:val="fr-FR"/>
        </w:rPr>
        <w:t xml:space="preserve"> des </w:t>
      </w:r>
      <w:r w:rsidRPr="009C2953">
        <w:rPr>
          <w:lang w:val="fr-FR"/>
        </w:rPr>
        <w:t>contributions de</w:t>
      </w:r>
      <w:r w:rsidR="00F34644" w:rsidRPr="009C2953">
        <w:rPr>
          <w:lang w:val="fr-FR"/>
        </w:rPr>
        <w:t xml:space="preserve"> la </w:t>
      </w:r>
      <w:r w:rsidRPr="009C2953">
        <w:rPr>
          <w:lang w:val="fr-FR"/>
        </w:rPr>
        <w:t>nature</w:t>
      </w:r>
      <w:r w:rsidR="00F34644" w:rsidRPr="009C2953">
        <w:rPr>
          <w:lang w:val="fr-FR"/>
        </w:rPr>
        <w:t xml:space="preserve"> aux </w:t>
      </w:r>
      <w:r w:rsidRPr="009C2953">
        <w:rPr>
          <w:lang w:val="fr-FR"/>
        </w:rPr>
        <w:t>populations et</w:t>
      </w:r>
      <w:r w:rsidR="004E217C" w:rsidRPr="009C2953">
        <w:rPr>
          <w:lang w:val="fr-FR"/>
        </w:rPr>
        <w:t> </w:t>
      </w:r>
      <w:r w:rsidRPr="009C2953">
        <w:rPr>
          <w:lang w:val="fr-FR"/>
        </w:rPr>
        <w:t>l</w:t>
      </w:r>
      <w:r w:rsidR="00EA2966" w:rsidRPr="009C2953">
        <w:rPr>
          <w:lang w:val="fr-FR"/>
        </w:rPr>
        <w:t>’</w:t>
      </w:r>
      <w:r w:rsidRPr="009C2953">
        <w:rPr>
          <w:lang w:val="fr-FR"/>
        </w:rPr>
        <w:t>autre sur l</w:t>
      </w:r>
      <w:r w:rsidR="00EA2966" w:rsidRPr="009C2953">
        <w:rPr>
          <w:lang w:val="fr-FR"/>
        </w:rPr>
        <w:t>’</w:t>
      </w:r>
      <w:r w:rsidRPr="009C2953">
        <w:rPr>
          <w:lang w:val="fr-FR"/>
        </w:rPr>
        <w:t>aménagement intégré du territoire tenant compte de</w:t>
      </w:r>
      <w:r w:rsidR="00F34644" w:rsidRPr="009C2953">
        <w:rPr>
          <w:lang w:val="fr-FR"/>
        </w:rPr>
        <w:t xml:space="preserve"> la </w:t>
      </w:r>
      <w:r w:rsidRPr="009C2953">
        <w:rPr>
          <w:lang w:val="fr-FR"/>
        </w:rPr>
        <w:t>biodiversité et de</w:t>
      </w:r>
      <w:r w:rsidR="00F34644" w:rsidRPr="009C2953">
        <w:rPr>
          <w:lang w:val="fr-FR"/>
        </w:rPr>
        <w:t xml:space="preserve"> la </w:t>
      </w:r>
      <w:r w:rsidRPr="009C2953">
        <w:rPr>
          <w:lang w:val="fr-FR"/>
        </w:rPr>
        <w:t>connectivité écologique.</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61BD572C" w14:textId="0B0C6F6D" w:rsidR="00607B78" w:rsidRPr="009C2953" w:rsidRDefault="00607B78" w:rsidP="00607B78">
      <w:pPr>
        <w:pStyle w:val="CH1"/>
      </w:pPr>
      <w:r w:rsidRPr="009C2953">
        <w:tab/>
        <w:t>XI.</w:t>
      </w:r>
      <w:r w:rsidRPr="009C2953">
        <w:tab/>
        <w:t>Organisation</w:t>
      </w:r>
      <w:r w:rsidR="00D24DC1" w:rsidRPr="009C2953">
        <w:t xml:space="preserve"> des </w:t>
      </w:r>
      <w:r w:rsidRPr="009C2953">
        <w:t>travaux de</w:t>
      </w:r>
      <w:r w:rsidR="00F34644" w:rsidRPr="009C2953">
        <w:t xml:space="preserve"> la </w:t>
      </w:r>
      <w:r w:rsidRPr="009C2953">
        <w:t>Plénière : date et lieu</w:t>
      </w:r>
      <w:r w:rsidR="00D24DC1" w:rsidRPr="009C2953">
        <w:t xml:space="preserve"> des </w:t>
      </w:r>
      <w:r w:rsidRPr="009C2953">
        <w:t>futures sessions de</w:t>
      </w:r>
      <w:r w:rsidR="00F34644" w:rsidRPr="009C2953">
        <w:t xml:space="preserve"> la </w:t>
      </w:r>
      <w:r w:rsidRPr="009C2953">
        <w:t>Plénière</w:t>
      </w:r>
    </w:p>
    <w:p w14:paraId="37C61AC3" w14:textId="63C302EA"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appelé l</w:t>
      </w:r>
      <w:r w:rsidR="00EA2966" w:rsidRPr="009C2953">
        <w:rPr>
          <w:lang w:val="fr-FR"/>
        </w:rPr>
        <w:t>’</w:t>
      </w:r>
      <w:r w:rsidRPr="009C2953">
        <w:rPr>
          <w:lang w:val="fr-FR"/>
        </w:rPr>
        <w:t>attention</w:t>
      </w:r>
      <w:r w:rsidR="00D24DC1" w:rsidRPr="009C2953">
        <w:rPr>
          <w:lang w:val="fr-FR"/>
        </w:rPr>
        <w:t xml:space="preserve"> des </w:t>
      </w:r>
      <w:r w:rsidRPr="009C2953">
        <w:rPr>
          <w:lang w:val="fr-FR"/>
        </w:rPr>
        <w:t>participantes et participants sur</w:t>
      </w:r>
      <w:r w:rsidR="00F34644" w:rsidRPr="009C2953">
        <w:rPr>
          <w:lang w:val="fr-FR"/>
        </w:rPr>
        <w:t xml:space="preserve"> la </w:t>
      </w:r>
      <w:r w:rsidRPr="009C2953">
        <w:rPr>
          <w:lang w:val="fr-FR"/>
        </w:rPr>
        <w:t>note</w:t>
      </w:r>
      <w:r w:rsidR="004E217C" w:rsidRPr="009C2953">
        <w:rPr>
          <w:lang w:val="fr-FR"/>
        </w:rPr>
        <w:t> </w:t>
      </w:r>
      <w:r w:rsidRPr="009C2953">
        <w:rPr>
          <w:lang w:val="fr-FR"/>
        </w:rPr>
        <w:t>du secrétariat relative à l</w:t>
      </w:r>
      <w:r w:rsidR="00EA2966" w:rsidRPr="009C2953">
        <w:rPr>
          <w:lang w:val="fr-FR"/>
        </w:rPr>
        <w:t>’</w:t>
      </w:r>
      <w:r w:rsidRPr="009C2953">
        <w:rPr>
          <w:lang w:val="fr-FR"/>
        </w:rPr>
        <w:t>organisation</w:t>
      </w:r>
      <w:r w:rsidR="00D24DC1" w:rsidRPr="009C2953">
        <w:rPr>
          <w:lang w:val="fr-FR"/>
        </w:rPr>
        <w:t xml:space="preserve"> des </w:t>
      </w:r>
      <w:r w:rsidRPr="009C2953">
        <w:rPr>
          <w:lang w:val="fr-FR"/>
        </w:rPr>
        <w:t>travaux de</w:t>
      </w:r>
      <w:r w:rsidR="00F34644" w:rsidRPr="009C2953">
        <w:rPr>
          <w:lang w:val="fr-FR"/>
        </w:rPr>
        <w:t xml:space="preserve"> la </w:t>
      </w:r>
      <w:r w:rsidRPr="009C2953">
        <w:rPr>
          <w:lang w:val="fr-FR"/>
        </w:rPr>
        <w:t>Plénière et</w:t>
      </w:r>
      <w:r w:rsidR="00F34644" w:rsidRPr="009C2953">
        <w:rPr>
          <w:lang w:val="fr-FR"/>
        </w:rPr>
        <w:t xml:space="preserve"> aux </w:t>
      </w:r>
      <w:r w:rsidRPr="009C2953">
        <w:rPr>
          <w:lang w:val="fr-FR"/>
        </w:rPr>
        <w:t>dates et lieux</w:t>
      </w:r>
      <w:r w:rsidR="00D24DC1" w:rsidRPr="009C2953">
        <w:rPr>
          <w:lang w:val="fr-FR"/>
        </w:rPr>
        <w:t xml:space="preserve"> des </w:t>
      </w:r>
      <w:r w:rsidRPr="009C2953">
        <w:rPr>
          <w:lang w:val="fr-FR"/>
        </w:rPr>
        <w:t>futures sessions de</w:t>
      </w:r>
      <w:r w:rsidR="00F34644" w:rsidRPr="009C2953">
        <w:rPr>
          <w:lang w:val="fr-FR"/>
        </w:rPr>
        <w:t xml:space="preserve"> la </w:t>
      </w:r>
      <w:r w:rsidRPr="009C2953">
        <w:rPr>
          <w:lang w:val="fr-FR"/>
        </w:rPr>
        <w:t>Plénière (IPBES/10/11), qui contenait notamment</w:t>
      </w:r>
      <w:r w:rsidR="00F34644" w:rsidRPr="009C2953">
        <w:rPr>
          <w:lang w:val="fr-FR"/>
        </w:rPr>
        <w:t xml:space="preserve"> un </w:t>
      </w:r>
      <w:r w:rsidRPr="009C2953">
        <w:rPr>
          <w:lang w:val="fr-FR"/>
        </w:rPr>
        <w:t>projet d</w:t>
      </w:r>
      <w:r w:rsidR="00EA2966" w:rsidRPr="009C2953">
        <w:rPr>
          <w:lang w:val="fr-FR"/>
        </w:rPr>
        <w:t>’</w:t>
      </w:r>
      <w:r w:rsidRPr="009C2953">
        <w:rPr>
          <w:lang w:val="fr-FR"/>
        </w:rPr>
        <w:t>ordre du jour provisoire et</w:t>
      </w:r>
      <w:r w:rsidR="00F34644" w:rsidRPr="009C2953">
        <w:rPr>
          <w:lang w:val="fr-FR"/>
        </w:rPr>
        <w:t xml:space="preserve"> un </w:t>
      </w:r>
      <w:r w:rsidRPr="009C2953">
        <w:rPr>
          <w:lang w:val="fr-FR"/>
        </w:rPr>
        <w:t>projet d</w:t>
      </w:r>
      <w:r w:rsidR="00EA2966" w:rsidRPr="009C2953">
        <w:rPr>
          <w:lang w:val="fr-FR"/>
        </w:rPr>
        <w:t>’</w:t>
      </w:r>
      <w:r w:rsidRPr="009C2953">
        <w:rPr>
          <w:lang w:val="fr-FR"/>
        </w:rPr>
        <w:t>organisation</w:t>
      </w:r>
      <w:r w:rsidR="00D24DC1" w:rsidRPr="009C2953">
        <w:rPr>
          <w:lang w:val="fr-FR"/>
        </w:rPr>
        <w:t xml:space="preserve"> des </w:t>
      </w:r>
      <w:r w:rsidRPr="009C2953">
        <w:rPr>
          <w:lang w:val="fr-FR"/>
        </w:rPr>
        <w:t>travaux</w:t>
      </w:r>
      <w:r w:rsidR="00D24DC1" w:rsidRPr="009C2953">
        <w:rPr>
          <w:lang w:val="fr-FR"/>
        </w:rPr>
        <w:t xml:space="preserve"> des </w:t>
      </w:r>
      <w:r w:rsidRPr="009C2953">
        <w:rPr>
          <w:lang w:val="fr-FR"/>
        </w:rPr>
        <w:t xml:space="preserve">onzième et </w:t>
      </w:r>
      <w:proofErr w:type="gramStart"/>
      <w:r w:rsidRPr="009C2953">
        <w:rPr>
          <w:lang w:val="fr-FR"/>
        </w:rPr>
        <w:t>douzième sessions</w:t>
      </w:r>
      <w:proofErr w:type="gramEnd"/>
      <w:r w:rsidRPr="009C2953">
        <w:rPr>
          <w:lang w:val="fr-FR"/>
        </w:rPr>
        <w:t xml:space="preserve"> de</w:t>
      </w:r>
      <w:r w:rsidR="00F34644" w:rsidRPr="009C2953">
        <w:rPr>
          <w:lang w:val="fr-FR"/>
        </w:rPr>
        <w:t xml:space="preserve"> la </w:t>
      </w:r>
      <w:r w:rsidRPr="009C2953">
        <w:rPr>
          <w:lang w:val="fr-FR"/>
        </w:rPr>
        <w:t>Plénière. Elle a rappelé que</w:t>
      </w:r>
      <w:r w:rsidR="00F34644" w:rsidRPr="009C2953">
        <w:rPr>
          <w:lang w:val="fr-FR"/>
        </w:rPr>
        <w:t xml:space="preserve"> la </w:t>
      </w:r>
      <w:r w:rsidRPr="009C2953">
        <w:rPr>
          <w:lang w:val="fr-FR"/>
        </w:rPr>
        <w:t>Plénière serait invitée, à</w:t>
      </w:r>
      <w:r w:rsidR="00F34644" w:rsidRPr="009C2953">
        <w:rPr>
          <w:lang w:val="fr-FR"/>
        </w:rPr>
        <w:t xml:space="preserve"> sa </w:t>
      </w:r>
      <w:r w:rsidRPr="009C2953">
        <w:rPr>
          <w:lang w:val="fr-FR"/>
        </w:rPr>
        <w:t>onzième session, à examiner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liens d</w:t>
      </w:r>
      <w:r w:rsidR="00EA2966" w:rsidRPr="009C2953">
        <w:rPr>
          <w:lang w:val="fr-FR"/>
        </w:rPr>
        <w:t>’</w:t>
      </w:r>
      <w:r w:rsidRPr="009C2953">
        <w:rPr>
          <w:lang w:val="fr-FR"/>
        </w:rPr>
        <w:t>interdépendance entre</w:t>
      </w:r>
      <w:r w:rsidR="00F34644" w:rsidRPr="009C2953">
        <w:rPr>
          <w:lang w:val="fr-FR"/>
        </w:rPr>
        <w:t xml:space="preserve"> la </w:t>
      </w:r>
      <w:r w:rsidRPr="009C2953">
        <w:rPr>
          <w:lang w:val="fr-FR"/>
        </w:rPr>
        <w:t>biodiversité, l</w:t>
      </w:r>
      <w:r w:rsidR="00EA2966" w:rsidRPr="009C2953">
        <w:rPr>
          <w:lang w:val="fr-FR"/>
        </w:rPr>
        <w:t>’</w:t>
      </w:r>
      <w:r w:rsidRPr="009C2953">
        <w:rPr>
          <w:lang w:val="fr-FR"/>
        </w:rPr>
        <w:t>eau, l</w:t>
      </w:r>
      <w:r w:rsidR="00EA2966" w:rsidRPr="009C2953">
        <w:rPr>
          <w:lang w:val="fr-FR"/>
        </w:rPr>
        <w:t>’</w:t>
      </w:r>
      <w:r w:rsidRPr="009C2953">
        <w:rPr>
          <w:lang w:val="fr-FR"/>
        </w:rPr>
        <w:t>alimentation et</w:t>
      </w:r>
      <w:r w:rsidR="00F34644" w:rsidRPr="009C2953">
        <w:rPr>
          <w:lang w:val="fr-FR"/>
        </w:rPr>
        <w:t xml:space="preserve"> la </w:t>
      </w:r>
      <w:r w:rsidRPr="009C2953">
        <w:rPr>
          <w:lang w:val="fr-FR"/>
        </w:rPr>
        <w:t>santé (évaluation</w:t>
      </w:r>
      <w:r w:rsidR="00D24DC1" w:rsidRPr="009C2953">
        <w:rPr>
          <w:lang w:val="fr-FR"/>
        </w:rPr>
        <w:t xml:space="preserve"> des </w:t>
      </w:r>
      <w:r w:rsidRPr="009C2953">
        <w:rPr>
          <w:lang w:val="fr-FR"/>
        </w:rPr>
        <w:t>interdépendances) ; l</w:t>
      </w:r>
      <w:r w:rsidR="00EA2966" w:rsidRPr="009C2953">
        <w:rPr>
          <w:lang w:val="fr-FR"/>
        </w:rPr>
        <w:t>’</w:t>
      </w:r>
      <w:r w:rsidRPr="009C2953">
        <w:rPr>
          <w:lang w:val="fr-FR"/>
        </w:rPr>
        <w:t>évaluation thématique</w:t>
      </w:r>
      <w:r w:rsidR="00D24DC1" w:rsidRPr="009C2953">
        <w:rPr>
          <w:lang w:val="fr-FR"/>
        </w:rPr>
        <w:t xml:space="preserve"> des </w:t>
      </w:r>
      <w:r w:rsidRPr="009C2953">
        <w:rPr>
          <w:lang w:val="fr-FR"/>
        </w:rPr>
        <w:t>causes sous-jacentes de</w:t>
      </w:r>
      <w:r w:rsidR="00F34644" w:rsidRPr="009C2953">
        <w:rPr>
          <w:lang w:val="fr-FR"/>
        </w:rPr>
        <w:t xml:space="preserve"> la </w:t>
      </w:r>
      <w:r w:rsidRPr="009C2953">
        <w:rPr>
          <w:lang w:val="fr-FR"/>
        </w:rPr>
        <w:t>perte de biodiversité et</w:t>
      </w:r>
      <w:r w:rsidR="005828A6" w:rsidRPr="009C2953">
        <w:rPr>
          <w:lang w:val="fr-FR"/>
        </w:rPr>
        <w:t> </w:t>
      </w:r>
      <w:r w:rsidR="00D24DC1" w:rsidRPr="009C2953">
        <w:rPr>
          <w:lang w:val="fr-FR"/>
        </w:rPr>
        <w:t>des </w:t>
      </w:r>
      <w:r w:rsidRPr="009C2953">
        <w:rPr>
          <w:lang w:val="fr-FR"/>
        </w:rPr>
        <w:t>déterminants du changement transformateur, ainsi que</w:t>
      </w:r>
      <w:r w:rsidR="00D24DC1" w:rsidRPr="009C2953">
        <w:rPr>
          <w:lang w:val="fr-FR"/>
        </w:rPr>
        <w:t xml:space="preserve"> des </w:t>
      </w:r>
      <w:r w:rsidRPr="009C2953">
        <w:rPr>
          <w:lang w:val="fr-FR"/>
        </w:rPr>
        <w:t>solutions possibles afin de réaliser</w:t>
      </w:r>
      <w:r w:rsidR="00F34644" w:rsidRPr="009C2953">
        <w:rPr>
          <w:lang w:val="fr-FR"/>
        </w:rPr>
        <w:t xml:space="preserve"> la </w:t>
      </w:r>
      <w:r w:rsidRPr="009C2953">
        <w:rPr>
          <w:lang w:val="fr-FR"/>
        </w:rPr>
        <w:t>Vision 2050 pour</w:t>
      </w:r>
      <w:r w:rsidR="00F34644" w:rsidRPr="009C2953">
        <w:rPr>
          <w:lang w:val="fr-FR"/>
        </w:rPr>
        <w:t xml:space="preserve"> la </w:t>
      </w:r>
      <w:r w:rsidRPr="009C2953">
        <w:rPr>
          <w:lang w:val="fr-FR"/>
        </w:rPr>
        <w:t>biodiversité (évaluation du changement transformateur) ; et, si</w:t>
      </w:r>
      <w:r w:rsidR="00F34644" w:rsidRPr="009C2953">
        <w:rPr>
          <w:lang w:val="fr-FR"/>
        </w:rPr>
        <w:t xml:space="preserve"> la </w:t>
      </w:r>
      <w:r w:rsidRPr="009C2953">
        <w:rPr>
          <w:lang w:val="fr-FR"/>
        </w:rPr>
        <w:t>Plénière en</w:t>
      </w:r>
      <w:r w:rsidR="00CB508B" w:rsidRPr="009C2953">
        <w:rPr>
          <w:lang w:val="fr-FR"/>
        </w:rPr>
        <w:t> </w:t>
      </w:r>
      <w:r w:rsidRPr="009C2953">
        <w:rPr>
          <w:lang w:val="fr-FR"/>
        </w:rPr>
        <w:t>décidait ainsi à</w:t>
      </w:r>
      <w:r w:rsidR="00F34644" w:rsidRPr="009C2953">
        <w:rPr>
          <w:lang w:val="fr-FR"/>
        </w:rPr>
        <w:t xml:space="preserve"> la </w:t>
      </w:r>
      <w:r w:rsidRPr="009C2953">
        <w:rPr>
          <w:lang w:val="fr-FR"/>
        </w:rPr>
        <w:t>session en cours,</w:t>
      </w:r>
      <w:r w:rsidR="00F34644" w:rsidRPr="009C2953">
        <w:rPr>
          <w:lang w:val="fr-FR"/>
        </w:rPr>
        <w:t xml:space="preserve"> le </w:t>
      </w:r>
      <w:r w:rsidRPr="009C2953">
        <w:rPr>
          <w:lang w:val="fr-FR"/>
        </w:rPr>
        <w:t>rapport de cadrage de</w:t>
      </w:r>
      <w:r w:rsidR="00F34644" w:rsidRPr="009C2953">
        <w:rPr>
          <w:lang w:val="fr-FR"/>
        </w:rPr>
        <w:t xml:space="preserve"> la </w:t>
      </w:r>
      <w:r w:rsidRPr="009C2953">
        <w:rPr>
          <w:lang w:val="fr-FR"/>
        </w:rPr>
        <w:t>deuxième évaluation mondiale de</w:t>
      </w:r>
      <w:r w:rsidR="005828A6" w:rsidRPr="009C2953">
        <w:rPr>
          <w:lang w:val="fr-FR"/>
        </w:rPr>
        <w:t> </w:t>
      </w:r>
      <w:r w:rsidR="00F34644" w:rsidRPr="009C2953">
        <w:rPr>
          <w:lang w:val="fr-FR"/>
        </w:rPr>
        <w:t>la </w:t>
      </w:r>
      <w:r w:rsidRPr="009C2953">
        <w:rPr>
          <w:lang w:val="fr-FR"/>
        </w:rPr>
        <w:t>biodiversité et</w:t>
      </w:r>
      <w:r w:rsidR="00D24DC1" w:rsidRPr="009C2953">
        <w:rPr>
          <w:lang w:val="fr-FR"/>
        </w:rPr>
        <w:t xml:space="preserve"> des </w:t>
      </w:r>
      <w:r w:rsidRPr="009C2953">
        <w:rPr>
          <w:lang w:val="fr-FR"/>
        </w:rPr>
        <w:t>services écosystémiques. À</w:t>
      </w:r>
      <w:r w:rsidR="00F34644" w:rsidRPr="009C2953">
        <w:rPr>
          <w:lang w:val="fr-FR"/>
        </w:rPr>
        <w:t xml:space="preserve"> sa </w:t>
      </w:r>
      <w:r w:rsidRPr="009C2953">
        <w:rPr>
          <w:lang w:val="fr-FR"/>
        </w:rPr>
        <w:t>douzième session,</w:t>
      </w:r>
      <w:r w:rsidR="00F34644" w:rsidRPr="009C2953">
        <w:rPr>
          <w:lang w:val="fr-FR"/>
        </w:rPr>
        <w:t xml:space="preserve"> la </w:t>
      </w:r>
      <w:r w:rsidRPr="009C2953">
        <w:rPr>
          <w:lang w:val="fr-FR"/>
        </w:rPr>
        <w:t>Plénière serait invitée à</w:t>
      </w:r>
      <w:r w:rsidR="004E217C" w:rsidRPr="009C2953">
        <w:rPr>
          <w:lang w:val="fr-FR"/>
        </w:rPr>
        <w:t> </w:t>
      </w:r>
      <w:r w:rsidRPr="009C2953">
        <w:rPr>
          <w:lang w:val="fr-FR"/>
        </w:rPr>
        <w:t>examiner, entre autres, l</w:t>
      </w:r>
      <w:r w:rsidR="00EA2966" w:rsidRPr="009C2953">
        <w:rPr>
          <w:lang w:val="fr-FR"/>
        </w:rPr>
        <w:t>’</w:t>
      </w:r>
      <w:r w:rsidRPr="009C2953">
        <w:rPr>
          <w:lang w:val="fr-FR"/>
        </w:rPr>
        <w:t>évaluation méthodologique</w:t>
      </w:r>
      <w:r w:rsidR="00D24DC1" w:rsidRPr="009C2953">
        <w:rPr>
          <w:lang w:val="fr-FR"/>
        </w:rPr>
        <w:t xml:space="preserve"> des </w:t>
      </w:r>
      <w:r w:rsidRPr="009C2953">
        <w:rPr>
          <w:lang w:val="fr-FR"/>
        </w:rPr>
        <w:t>conséquences de l</w:t>
      </w:r>
      <w:r w:rsidR="00EA2966" w:rsidRPr="009C2953">
        <w:rPr>
          <w:lang w:val="fr-FR"/>
        </w:rPr>
        <w:t>’</w:t>
      </w:r>
      <w:r w:rsidRPr="009C2953">
        <w:rPr>
          <w:lang w:val="fr-FR"/>
        </w:rPr>
        <w:t>activité</w:t>
      </w:r>
      <w:r w:rsidR="00D24DC1" w:rsidRPr="009C2953">
        <w:rPr>
          <w:lang w:val="fr-FR"/>
        </w:rPr>
        <w:t xml:space="preserve"> des </w:t>
      </w:r>
      <w:r w:rsidRPr="009C2953">
        <w:rPr>
          <w:lang w:val="fr-FR"/>
        </w:rPr>
        <w:t>entreprises sur</w:t>
      </w:r>
      <w:r w:rsidR="00F34644" w:rsidRPr="009C2953">
        <w:rPr>
          <w:lang w:val="fr-FR"/>
        </w:rPr>
        <w:t xml:space="preserve"> la </w:t>
      </w:r>
      <w:r w:rsidRPr="009C2953">
        <w:rPr>
          <w:lang w:val="fr-FR"/>
        </w:rPr>
        <w:t>biodiversité et sur</w:t>
      </w:r>
      <w:r w:rsidR="00F34644" w:rsidRPr="009C2953">
        <w:rPr>
          <w:lang w:val="fr-FR"/>
        </w:rPr>
        <w:t xml:space="preserve"> les </w:t>
      </w:r>
      <w:r w:rsidRPr="009C2953">
        <w:rPr>
          <w:lang w:val="fr-FR"/>
        </w:rPr>
        <w:t>contributions de</w:t>
      </w:r>
      <w:r w:rsidR="00F34644" w:rsidRPr="009C2953">
        <w:rPr>
          <w:lang w:val="fr-FR"/>
        </w:rPr>
        <w:t xml:space="preserve"> la </w:t>
      </w:r>
      <w:r w:rsidRPr="009C2953">
        <w:rPr>
          <w:lang w:val="fr-FR"/>
        </w:rPr>
        <w:t>nature</w:t>
      </w:r>
      <w:r w:rsidR="00F34644" w:rsidRPr="009C2953">
        <w:rPr>
          <w:lang w:val="fr-FR"/>
        </w:rPr>
        <w:t xml:space="preserve"> aux </w:t>
      </w:r>
      <w:r w:rsidRPr="009C2953">
        <w:rPr>
          <w:lang w:val="fr-FR"/>
        </w:rPr>
        <w:t>populations et de</w:t>
      </w:r>
      <w:r w:rsidR="00F34644" w:rsidRPr="009C2953">
        <w:rPr>
          <w:lang w:val="fr-FR"/>
        </w:rPr>
        <w:t xml:space="preserve"> la </w:t>
      </w:r>
      <w:r w:rsidRPr="009C2953">
        <w:rPr>
          <w:lang w:val="fr-FR"/>
        </w:rPr>
        <w:t>dépendance</w:t>
      </w:r>
      <w:r w:rsidR="00D24DC1" w:rsidRPr="009C2953">
        <w:rPr>
          <w:lang w:val="fr-FR"/>
        </w:rPr>
        <w:t xml:space="preserve"> des </w:t>
      </w:r>
      <w:r w:rsidRPr="009C2953">
        <w:rPr>
          <w:lang w:val="fr-FR"/>
        </w:rPr>
        <w:t>entreprises à</w:t>
      </w:r>
      <w:r w:rsidR="00F34644" w:rsidRPr="009C2953">
        <w:rPr>
          <w:lang w:val="fr-FR"/>
        </w:rPr>
        <w:t xml:space="preserve"> leur </w:t>
      </w:r>
      <w:r w:rsidRPr="009C2953">
        <w:rPr>
          <w:lang w:val="fr-FR"/>
        </w:rPr>
        <w:t>égard (évaluation</w:t>
      </w:r>
      <w:r w:rsidR="00D24DC1" w:rsidRPr="009C2953">
        <w:rPr>
          <w:lang w:val="fr-FR"/>
        </w:rPr>
        <w:t xml:space="preserve"> des </w:t>
      </w:r>
      <w:r w:rsidRPr="009C2953">
        <w:rPr>
          <w:lang w:val="fr-FR"/>
        </w:rPr>
        <w:t>entreprises et de</w:t>
      </w:r>
      <w:r w:rsidR="00F34644" w:rsidRPr="009C2953">
        <w:rPr>
          <w:lang w:val="fr-FR"/>
        </w:rPr>
        <w:t xml:space="preserve"> la </w:t>
      </w:r>
      <w:r w:rsidRPr="009C2953">
        <w:rPr>
          <w:lang w:val="fr-FR"/>
        </w:rPr>
        <w:t>biodiversité).</w:t>
      </w:r>
    </w:p>
    <w:p w14:paraId="45FD7445" w14:textId="38F5778F" w:rsidR="00607B78" w:rsidRPr="009C2953" w:rsidRDefault="00607B78" w:rsidP="008731A8">
      <w:pPr>
        <w:pStyle w:val="Normalnumber"/>
        <w:numPr>
          <w:ilvl w:val="0"/>
          <w:numId w:val="2"/>
        </w:numPr>
        <w:rPr>
          <w:lang w:val="fr-FR"/>
        </w:rPr>
      </w:pPr>
      <w:r w:rsidRPr="009C2953">
        <w:rPr>
          <w:lang w:val="fr-FR"/>
        </w:rPr>
        <w:t>La Présidente a rappelé que, dans</w:t>
      </w:r>
      <w:r w:rsidR="00F34644" w:rsidRPr="009C2953">
        <w:rPr>
          <w:lang w:val="fr-FR"/>
        </w:rPr>
        <w:t xml:space="preserve"> sa </w:t>
      </w:r>
      <w:r w:rsidRPr="009C2953">
        <w:rPr>
          <w:lang w:val="fr-FR"/>
        </w:rPr>
        <w:t>décision IPBES-9/2,</w:t>
      </w:r>
      <w:r w:rsidR="00F34644" w:rsidRPr="009C2953">
        <w:rPr>
          <w:lang w:val="fr-FR"/>
        </w:rPr>
        <w:t xml:space="preserve"> la </w:t>
      </w:r>
      <w:r w:rsidRPr="009C2953">
        <w:rPr>
          <w:lang w:val="fr-FR"/>
        </w:rPr>
        <w:t>Plénière avait prié</w:t>
      </w:r>
      <w:r w:rsidR="00F34644" w:rsidRPr="009C2953">
        <w:rPr>
          <w:lang w:val="fr-FR"/>
        </w:rPr>
        <w:t xml:space="preserve"> le </w:t>
      </w:r>
      <w:r w:rsidRPr="009C2953">
        <w:rPr>
          <w:lang w:val="fr-FR"/>
        </w:rPr>
        <w:t>Bureau, en</w:t>
      </w:r>
      <w:r w:rsidR="00CB508B" w:rsidRPr="009C2953">
        <w:rPr>
          <w:lang w:val="fr-FR"/>
        </w:rPr>
        <w:t> </w:t>
      </w:r>
      <w:r w:rsidRPr="009C2953">
        <w:rPr>
          <w:lang w:val="fr-FR"/>
        </w:rPr>
        <w:t>consultation avec</w:t>
      </w:r>
      <w:r w:rsidR="00F34644" w:rsidRPr="009C2953">
        <w:rPr>
          <w:lang w:val="fr-FR"/>
        </w:rPr>
        <w:t xml:space="preserve"> les </w:t>
      </w:r>
      <w:r w:rsidRPr="009C2953">
        <w:rPr>
          <w:lang w:val="fr-FR"/>
        </w:rPr>
        <w:t>membres de</w:t>
      </w:r>
      <w:r w:rsidR="00F34644" w:rsidRPr="009C2953">
        <w:rPr>
          <w:lang w:val="fr-FR"/>
        </w:rPr>
        <w:t xml:space="preserve"> la </w:t>
      </w:r>
      <w:r w:rsidRPr="009C2953">
        <w:rPr>
          <w:lang w:val="fr-FR"/>
        </w:rPr>
        <w:t>Plateforme, d</w:t>
      </w:r>
      <w:r w:rsidR="00EA2966" w:rsidRPr="009C2953">
        <w:rPr>
          <w:lang w:val="fr-FR"/>
        </w:rPr>
        <w:t>’</w:t>
      </w:r>
      <w:r w:rsidRPr="009C2953">
        <w:rPr>
          <w:lang w:val="fr-FR"/>
        </w:rPr>
        <w:t>arrêter</w:t>
      </w:r>
      <w:r w:rsidR="00F34644" w:rsidRPr="009C2953">
        <w:rPr>
          <w:lang w:val="fr-FR"/>
        </w:rPr>
        <w:t xml:space="preserve"> les </w:t>
      </w:r>
      <w:r w:rsidRPr="009C2953">
        <w:rPr>
          <w:lang w:val="fr-FR"/>
        </w:rPr>
        <w:t>dates de</w:t>
      </w:r>
      <w:r w:rsidR="00F34644" w:rsidRPr="009C2953">
        <w:rPr>
          <w:lang w:val="fr-FR"/>
        </w:rPr>
        <w:t xml:space="preserve"> sa </w:t>
      </w:r>
      <w:r w:rsidRPr="009C2953">
        <w:rPr>
          <w:lang w:val="fr-FR"/>
        </w:rPr>
        <w:t>onzième session, compte tenu du calendrier</w:t>
      </w:r>
      <w:r w:rsidR="00D24DC1" w:rsidRPr="009C2953">
        <w:rPr>
          <w:lang w:val="fr-FR"/>
        </w:rPr>
        <w:t xml:space="preserve"> des </w:t>
      </w:r>
      <w:r w:rsidRPr="009C2953">
        <w:rPr>
          <w:lang w:val="fr-FR"/>
        </w:rPr>
        <w:t>réunions intergouvernementales pertinentes. Par</w:t>
      </w:r>
      <w:r w:rsidR="00F34644" w:rsidRPr="009C2953">
        <w:rPr>
          <w:lang w:val="fr-FR"/>
        </w:rPr>
        <w:t xml:space="preserve"> la </w:t>
      </w:r>
      <w:r w:rsidRPr="009C2953">
        <w:rPr>
          <w:lang w:val="fr-FR"/>
        </w:rPr>
        <w:t>suite,</w:t>
      </w:r>
      <w:r w:rsidR="00F34644" w:rsidRPr="009C2953">
        <w:rPr>
          <w:lang w:val="fr-FR"/>
        </w:rPr>
        <w:t xml:space="preserve"> le </w:t>
      </w:r>
      <w:r w:rsidRPr="009C2953">
        <w:rPr>
          <w:lang w:val="fr-FR"/>
        </w:rPr>
        <w:t>Bureau avait décidé que</w:t>
      </w:r>
      <w:r w:rsidR="00F34644" w:rsidRPr="009C2953">
        <w:rPr>
          <w:lang w:val="fr-FR"/>
        </w:rPr>
        <w:t xml:space="preserve"> la </w:t>
      </w:r>
      <w:r w:rsidRPr="009C2953">
        <w:rPr>
          <w:lang w:val="fr-FR"/>
        </w:rPr>
        <w:t>onzième session se tiendrait du 10 au 16 décembre 2024. Faisant remarquer que</w:t>
      </w:r>
      <w:r w:rsidR="00F34644" w:rsidRPr="009C2953">
        <w:rPr>
          <w:lang w:val="fr-FR"/>
        </w:rPr>
        <w:t xml:space="preserve"> la </w:t>
      </w:r>
      <w:r w:rsidRPr="009C2953">
        <w:rPr>
          <w:lang w:val="fr-FR"/>
        </w:rPr>
        <w:t>douzième</w:t>
      </w:r>
      <w:r w:rsidR="00FA7442">
        <w:rPr>
          <w:lang w:val="fr-FR"/>
        </w:rPr>
        <w:t> </w:t>
      </w:r>
      <w:r w:rsidRPr="009C2953">
        <w:rPr>
          <w:lang w:val="fr-FR"/>
        </w:rPr>
        <w:t>session était prévue pour</w:t>
      </w:r>
      <w:r w:rsidR="00F34644" w:rsidRPr="009C2953">
        <w:rPr>
          <w:lang w:val="fr-FR"/>
        </w:rPr>
        <w:t xml:space="preserve"> la </w:t>
      </w:r>
      <w:r w:rsidRPr="009C2953">
        <w:rPr>
          <w:lang w:val="fr-FR"/>
        </w:rPr>
        <w:t>fin de l</w:t>
      </w:r>
      <w:r w:rsidR="00EA2966" w:rsidRPr="009C2953">
        <w:rPr>
          <w:lang w:val="fr-FR"/>
        </w:rPr>
        <w:t>’</w:t>
      </w:r>
      <w:r w:rsidRPr="009C2953">
        <w:rPr>
          <w:lang w:val="fr-FR"/>
        </w:rPr>
        <w:t>année 2025,</w:t>
      </w:r>
      <w:r w:rsidR="00F34644" w:rsidRPr="009C2953">
        <w:rPr>
          <w:lang w:val="fr-FR"/>
        </w:rPr>
        <w:t xml:space="preserve"> la </w:t>
      </w:r>
      <w:r w:rsidRPr="009C2953">
        <w:rPr>
          <w:lang w:val="fr-FR"/>
        </w:rPr>
        <w:t>Présidente a invité</w:t>
      </w:r>
      <w:r w:rsidR="00F34644" w:rsidRPr="009C2953">
        <w:rPr>
          <w:lang w:val="fr-FR"/>
        </w:rPr>
        <w:t xml:space="preserve"> les </w:t>
      </w:r>
      <w:r w:rsidR="009823B9" w:rsidRPr="009C2953">
        <w:rPr>
          <w:lang w:val="fr-FR"/>
        </w:rPr>
        <w:t>g</w:t>
      </w:r>
      <w:r w:rsidRPr="009C2953">
        <w:rPr>
          <w:lang w:val="fr-FR"/>
        </w:rPr>
        <w:t xml:space="preserve">ouvernements </w:t>
      </w:r>
      <w:r w:rsidRPr="009C2953">
        <w:rPr>
          <w:lang w:val="fr-FR"/>
        </w:rPr>
        <w:lastRenderedPageBreak/>
        <w:t>souhaitant accueillir</w:t>
      </w:r>
      <w:r w:rsidR="00F34644" w:rsidRPr="009C2953">
        <w:rPr>
          <w:lang w:val="fr-FR"/>
        </w:rPr>
        <w:t xml:space="preserve"> la </w:t>
      </w:r>
      <w:r w:rsidRPr="009C2953">
        <w:rPr>
          <w:lang w:val="fr-FR"/>
        </w:rPr>
        <w:t>onzième ou</w:t>
      </w:r>
      <w:r w:rsidR="00F34644" w:rsidRPr="009C2953">
        <w:rPr>
          <w:lang w:val="fr-FR"/>
        </w:rPr>
        <w:t xml:space="preserve"> la </w:t>
      </w:r>
      <w:r w:rsidRPr="009C2953">
        <w:rPr>
          <w:lang w:val="fr-FR"/>
        </w:rPr>
        <w:t>douzième session de</w:t>
      </w:r>
      <w:r w:rsidR="00F34644" w:rsidRPr="009C2953">
        <w:rPr>
          <w:lang w:val="fr-FR"/>
        </w:rPr>
        <w:t xml:space="preserve"> la </w:t>
      </w:r>
      <w:r w:rsidRPr="009C2953">
        <w:rPr>
          <w:lang w:val="fr-FR"/>
        </w:rPr>
        <w:t>Plénière à contacter</w:t>
      </w:r>
      <w:r w:rsidR="00F34644" w:rsidRPr="009C2953">
        <w:rPr>
          <w:lang w:val="fr-FR"/>
        </w:rPr>
        <w:t xml:space="preserve"> le </w:t>
      </w:r>
      <w:r w:rsidRPr="009C2953">
        <w:rPr>
          <w:lang w:val="fr-FR"/>
        </w:rPr>
        <w:t>secrétariat dès que possible, afin que toutes</w:t>
      </w:r>
      <w:r w:rsidR="00F34644" w:rsidRPr="009C2953">
        <w:rPr>
          <w:lang w:val="fr-FR"/>
        </w:rPr>
        <w:t xml:space="preserve"> les </w:t>
      </w:r>
      <w:r w:rsidRPr="009C2953">
        <w:rPr>
          <w:lang w:val="fr-FR"/>
        </w:rPr>
        <w:t>propositions puissent être examinées à</w:t>
      </w:r>
      <w:r w:rsidR="00F34644" w:rsidRPr="009C2953">
        <w:rPr>
          <w:lang w:val="fr-FR"/>
        </w:rPr>
        <w:t xml:space="preserve"> la </w:t>
      </w:r>
      <w:r w:rsidRPr="009C2953">
        <w:rPr>
          <w:lang w:val="fr-FR"/>
        </w:rPr>
        <w:t>session en cours.</w:t>
      </w:r>
    </w:p>
    <w:p w14:paraId="27625535" w14:textId="72E99709" w:rsidR="00607B78" w:rsidRPr="009C2953" w:rsidRDefault="00607B78" w:rsidP="008731A8">
      <w:pPr>
        <w:pStyle w:val="Normalnumber"/>
        <w:numPr>
          <w:ilvl w:val="0"/>
          <w:numId w:val="2"/>
        </w:numPr>
        <w:rPr>
          <w:lang w:val="fr-FR"/>
        </w:rPr>
      </w:pPr>
      <w:r w:rsidRPr="009C2953">
        <w:rPr>
          <w:lang w:val="fr-FR"/>
        </w:rPr>
        <w:t>Un</w:t>
      </w:r>
      <w:r w:rsidR="00CB508B" w:rsidRPr="009C2953">
        <w:rPr>
          <w:lang w:val="fr-FR"/>
        </w:rPr>
        <w:t>(e)</w:t>
      </w:r>
      <w:r w:rsidRPr="009C2953">
        <w:rPr>
          <w:lang w:val="fr-FR"/>
        </w:rPr>
        <w:t xml:space="preserve"> représentant</w:t>
      </w:r>
      <w:r w:rsidR="00CB508B" w:rsidRPr="009C2953">
        <w:rPr>
          <w:lang w:val="fr-FR"/>
        </w:rPr>
        <w:t>(e)</w:t>
      </w:r>
      <w:r w:rsidRPr="009C2953">
        <w:rPr>
          <w:lang w:val="fr-FR"/>
        </w:rPr>
        <w:t>, s</w:t>
      </w:r>
      <w:r w:rsidR="00EA2966" w:rsidRPr="009C2953">
        <w:rPr>
          <w:lang w:val="fr-FR"/>
        </w:rPr>
        <w:t>’</w:t>
      </w:r>
      <w:r w:rsidRPr="009C2953">
        <w:rPr>
          <w:lang w:val="fr-FR"/>
        </w:rPr>
        <w:t>exprimant au nom</w:t>
      </w:r>
      <w:r w:rsidR="00D24DC1" w:rsidRPr="009C2953">
        <w:rPr>
          <w:lang w:val="fr-FR"/>
        </w:rPr>
        <w:t xml:space="preserve"> des </w:t>
      </w:r>
      <w:r w:rsidRPr="009C2953">
        <w:rPr>
          <w:lang w:val="fr-FR"/>
        </w:rPr>
        <w:t>États membres d</w:t>
      </w:r>
      <w:r w:rsidR="00EA2966" w:rsidRPr="009C2953">
        <w:rPr>
          <w:lang w:val="fr-FR"/>
        </w:rPr>
        <w:t>’</w:t>
      </w:r>
      <w:r w:rsidRPr="009C2953">
        <w:rPr>
          <w:lang w:val="fr-FR"/>
        </w:rPr>
        <w:t>un groupe de pays membres de</w:t>
      </w:r>
      <w:r w:rsidR="00CB508B" w:rsidRPr="009C2953">
        <w:rPr>
          <w:lang w:val="fr-FR"/>
        </w:rPr>
        <w:t> </w:t>
      </w:r>
      <w:r w:rsidRPr="009C2953">
        <w:rPr>
          <w:lang w:val="fr-FR"/>
        </w:rPr>
        <w:t>l</w:t>
      </w:r>
      <w:r w:rsidR="00EA2966" w:rsidRPr="009C2953">
        <w:rPr>
          <w:lang w:val="fr-FR"/>
        </w:rPr>
        <w:t>’</w:t>
      </w:r>
      <w:r w:rsidRPr="009C2953">
        <w:rPr>
          <w:lang w:val="fr-FR"/>
        </w:rPr>
        <w:t>IPBES et observateur</w:t>
      </w:r>
      <w:r w:rsidR="00CB508B" w:rsidRPr="009C2953">
        <w:rPr>
          <w:lang w:val="fr-FR"/>
        </w:rPr>
        <w:t>(</w:t>
      </w:r>
      <w:proofErr w:type="spellStart"/>
      <w:r w:rsidR="00CB508B" w:rsidRPr="009C2953">
        <w:rPr>
          <w:lang w:val="fr-FR"/>
        </w:rPr>
        <w:t>rice</w:t>
      </w:r>
      <w:proofErr w:type="spellEnd"/>
      <w:r w:rsidR="00CB508B" w:rsidRPr="009C2953">
        <w:rPr>
          <w:lang w:val="fr-FR"/>
        </w:rPr>
        <w:t>)</w:t>
      </w:r>
      <w:r w:rsidRPr="009C2953">
        <w:rPr>
          <w:lang w:val="fr-FR"/>
        </w:rPr>
        <w:t xml:space="preserve"> bénéficiant d</w:t>
      </w:r>
      <w:r w:rsidR="00EA2966" w:rsidRPr="009C2953">
        <w:rPr>
          <w:lang w:val="fr-FR"/>
        </w:rPr>
        <w:t>’</w:t>
      </w:r>
      <w:r w:rsidRPr="009C2953">
        <w:rPr>
          <w:lang w:val="fr-FR"/>
        </w:rPr>
        <w:t>une participation renforcée, a noté qu</w:t>
      </w:r>
      <w:r w:rsidR="00EA2966" w:rsidRPr="009C2953">
        <w:rPr>
          <w:lang w:val="fr-FR"/>
        </w:rPr>
        <w:t>’</w:t>
      </w:r>
      <w:r w:rsidRPr="009C2953">
        <w:rPr>
          <w:lang w:val="fr-FR"/>
        </w:rPr>
        <w:t>il était crucial d</w:t>
      </w:r>
      <w:r w:rsidR="00EA2966" w:rsidRPr="009C2953">
        <w:rPr>
          <w:lang w:val="fr-FR"/>
        </w:rPr>
        <w:t>’</w:t>
      </w:r>
      <w:r w:rsidRPr="009C2953">
        <w:rPr>
          <w:lang w:val="fr-FR"/>
        </w:rPr>
        <w:t>indiquer, dans toute décision sur</w:t>
      </w:r>
      <w:r w:rsidR="00F34644" w:rsidRPr="009C2953">
        <w:rPr>
          <w:lang w:val="fr-FR"/>
        </w:rPr>
        <w:t xml:space="preserve"> la </w:t>
      </w:r>
      <w:r w:rsidRPr="009C2953">
        <w:rPr>
          <w:lang w:val="fr-FR"/>
        </w:rPr>
        <w:t>question, que</w:t>
      </w:r>
      <w:r w:rsidR="00F34644" w:rsidRPr="009C2953">
        <w:rPr>
          <w:lang w:val="fr-FR"/>
        </w:rPr>
        <w:t xml:space="preserve"> le </w:t>
      </w:r>
      <w:r w:rsidRPr="009C2953">
        <w:rPr>
          <w:lang w:val="fr-FR"/>
        </w:rPr>
        <w:t>calendrier</w:t>
      </w:r>
      <w:r w:rsidR="00D24DC1" w:rsidRPr="009C2953">
        <w:rPr>
          <w:lang w:val="fr-FR"/>
        </w:rPr>
        <w:t xml:space="preserve"> des </w:t>
      </w:r>
      <w:r w:rsidRPr="009C2953">
        <w:rPr>
          <w:lang w:val="fr-FR"/>
        </w:rPr>
        <w:t>futures sessions de</w:t>
      </w:r>
      <w:r w:rsidR="00F34644" w:rsidRPr="009C2953">
        <w:rPr>
          <w:lang w:val="fr-FR"/>
        </w:rPr>
        <w:t xml:space="preserve"> la </w:t>
      </w:r>
      <w:r w:rsidRPr="009C2953">
        <w:rPr>
          <w:lang w:val="fr-FR"/>
        </w:rPr>
        <w:t>Plénière devrait tenir compte</w:t>
      </w:r>
      <w:r w:rsidR="00D24DC1" w:rsidRPr="009C2953">
        <w:rPr>
          <w:lang w:val="fr-FR"/>
        </w:rPr>
        <w:t xml:space="preserve"> des </w:t>
      </w:r>
      <w:r w:rsidRPr="009C2953">
        <w:rPr>
          <w:lang w:val="fr-FR"/>
        </w:rPr>
        <w:t>dates</w:t>
      </w:r>
      <w:r w:rsidR="00D24DC1" w:rsidRPr="009C2953">
        <w:rPr>
          <w:lang w:val="fr-FR"/>
        </w:rPr>
        <w:t xml:space="preserve"> des </w:t>
      </w:r>
      <w:r w:rsidRPr="009C2953">
        <w:rPr>
          <w:lang w:val="fr-FR"/>
        </w:rPr>
        <w:t>réunions pertinentes de</w:t>
      </w:r>
      <w:r w:rsidR="00F34644" w:rsidRPr="009C2953">
        <w:rPr>
          <w:lang w:val="fr-FR"/>
        </w:rPr>
        <w:t xml:space="preserve"> la </w:t>
      </w:r>
      <w:r w:rsidRPr="009C2953">
        <w:rPr>
          <w:lang w:val="fr-FR"/>
        </w:rPr>
        <w:t>Conférence</w:t>
      </w:r>
      <w:r w:rsidR="00D24DC1" w:rsidRPr="009C2953">
        <w:rPr>
          <w:lang w:val="fr-FR"/>
        </w:rPr>
        <w:t xml:space="preserve"> des </w:t>
      </w:r>
      <w:r w:rsidRPr="009C2953">
        <w:rPr>
          <w:lang w:val="fr-FR"/>
        </w:rPr>
        <w:t>Parties à</w:t>
      </w:r>
      <w:r w:rsidR="00F34644" w:rsidRPr="009C2953">
        <w:rPr>
          <w:lang w:val="fr-FR"/>
        </w:rPr>
        <w:t xml:space="preserve"> la </w:t>
      </w:r>
      <w:r w:rsidRPr="009C2953">
        <w:rPr>
          <w:lang w:val="fr-FR"/>
        </w:rPr>
        <w:t>Convention sur</w:t>
      </w:r>
      <w:r w:rsidR="00F34644" w:rsidRPr="009C2953">
        <w:rPr>
          <w:lang w:val="fr-FR"/>
        </w:rPr>
        <w:t xml:space="preserve"> la </w:t>
      </w:r>
      <w:r w:rsidRPr="009C2953">
        <w:rPr>
          <w:lang w:val="fr-FR"/>
        </w:rPr>
        <w:t>diversité biologique et de ses organes subsidiaires, afin que</w:t>
      </w:r>
      <w:r w:rsidR="00F34644" w:rsidRPr="009C2953">
        <w:rPr>
          <w:lang w:val="fr-FR"/>
        </w:rPr>
        <w:t xml:space="preserve"> les </w:t>
      </w:r>
      <w:r w:rsidRPr="009C2953">
        <w:rPr>
          <w:lang w:val="fr-FR"/>
        </w:rPr>
        <w:t>résultats de ces sessions puissent</w:t>
      </w:r>
      <w:r w:rsidR="00F34644" w:rsidRPr="009C2953">
        <w:rPr>
          <w:lang w:val="fr-FR"/>
        </w:rPr>
        <w:t xml:space="preserve"> y </w:t>
      </w:r>
      <w:r w:rsidRPr="009C2953">
        <w:rPr>
          <w:lang w:val="fr-FR"/>
        </w:rPr>
        <w:t>être examinés.</w:t>
      </w:r>
    </w:p>
    <w:p w14:paraId="026B9971" w14:textId="4A058B09" w:rsidR="00607B78" w:rsidRPr="009C2953" w:rsidRDefault="00607B78" w:rsidP="00B60ED8">
      <w:pPr>
        <w:pStyle w:val="Normalnumber"/>
        <w:keepNext/>
        <w:keepLines/>
        <w:numPr>
          <w:ilvl w:val="0"/>
          <w:numId w:val="2"/>
        </w:numPr>
        <w:rPr>
          <w:lang w:val="fr-FR"/>
        </w:rPr>
      </w:pPr>
      <w:r w:rsidRPr="009C2953">
        <w:rPr>
          <w:lang w:val="fr-FR"/>
        </w:rPr>
        <w:t>Le représentant de</w:t>
      </w:r>
      <w:r w:rsidR="00F34644" w:rsidRPr="009C2953">
        <w:rPr>
          <w:lang w:val="fr-FR"/>
        </w:rPr>
        <w:t xml:space="preserve"> la </w:t>
      </w:r>
      <w:r w:rsidRPr="009C2953">
        <w:rPr>
          <w:lang w:val="fr-FR"/>
        </w:rPr>
        <w:t>Namibie a fait part de l</w:t>
      </w:r>
      <w:r w:rsidR="00EA2966" w:rsidRPr="009C2953">
        <w:rPr>
          <w:lang w:val="fr-FR"/>
        </w:rPr>
        <w:t>’</w:t>
      </w:r>
      <w:r w:rsidRPr="009C2953">
        <w:rPr>
          <w:lang w:val="fr-FR"/>
        </w:rPr>
        <w:t>offre de</w:t>
      </w:r>
      <w:r w:rsidR="00F34644" w:rsidRPr="009C2953">
        <w:rPr>
          <w:lang w:val="fr-FR"/>
        </w:rPr>
        <w:t xml:space="preserve"> son </w:t>
      </w:r>
      <w:r w:rsidRPr="009C2953">
        <w:rPr>
          <w:lang w:val="fr-FR"/>
        </w:rPr>
        <w:t>gouvernement d</w:t>
      </w:r>
      <w:r w:rsidR="00EA2966" w:rsidRPr="009C2953">
        <w:rPr>
          <w:lang w:val="fr-FR"/>
        </w:rPr>
        <w:t>’</w:t>
      </w:r>
      <w:r w:rsidRPr="009C2953">
        <w:rPr>
          <w:lang w:val="fr-FR"/>
        </w:rPr>
        <w:t>accueillir</w:t>
      </w:r>
      <w:r w:rsidR="00F34644" w:rsidRPr="009C2953">
        <w:rPr>
          <w:lang w:val="fr-FR"/>
        </w:rPr>
        <w:t xml:space="preserve"> la </w:t>
      </w:r>
      <w:r w:rsidRPr="009C2953">
        <w:rPr>
          <w:lang w:val="fr-FR"/>
        </w:rPr>
        <w:t>onzième</w:t>
      </w:r>
      <w:r w:rsidR="00361246" w:rsidRPr="009C2953">
        <w:rPr>
          <w:lang w:val="fr-FR"/>
        </w:rPr>
        <w:t> </w:t>
      </w:r>
      <w:r w:rsidRPr="009C2953">
        <w:rPr>
          <w:lang w:val="fr-FR"/>
        </w:rPr>
        <w:t>session de</w:t>
      </w:r>
      <w:r w:rsidR="00F34644" w:rsidRPr="009C2953">
        <w:rPr>
          <w:lang w:val="fr-FR"/>
        </w:rPr>
        <w:t xml:space="preserve"> la </w:t>
      </w:r>
      <w:r w:rsidRPr="009C2953">
        <w:rPr>
          <w:lang w:val="fr-FR"/>
        </w:rPr>
        <w:t>Plénière dans</w:t>
      </w:r>
      <w:r w:rsidR="00F34644" w:rsidRPr="009C2953">
        <w:rPr>
          <w:lang w:val="fr-FR"/>
        </w:rPr>
        <w:t xml:space="preserve"> la </w:t>
      </w:r>
      <w:r w:rsidRPr="009C2953">
        <w:rPr>
          <w:lang w:val="fr-FR"/>
        </w:rPr>
        <w:t>capitale du pays, Windhoek. Il a présenté</w:t>
      </w:r>
      <w:r w:rsidR="00F34644" w:rsidRPr="009C2953">
        <w:rPr>
          <w:lang w:val="fr-FR"/>
        </w:rPr>
        <w:t xml:space="preserve"> une </w:t>
      </w:r>
      <w:r w:rsidRPr="009C2953">
        <w:rPr>
          <w:lang w:val="fr-FR"/>
        </w:rPr>
        <w:t>courte vidéo sur</w:t>
      </w:r>
      <w:r w:rsidR="00F34644" w:rsidRPr="009C2953">
        <w:rPr>
          <w:lang w:val="fr-FR"/>
        </w:rPr>
        <w:t xml:space="preserve"> la </w:t>
      </w:r>
      <w:r w:rsidRPr="009C2953">
        <w:rPr>
          <w:lang w:val="fr-FR"/>
        </w:rPr>
        <w:t>Namibie afin que</w:t>
      </w:r>
      <w:r w:rsidR="00F34644" w:rsidRPr="009C2953">
        <w:rPr>
          <w:lang w:val="fr-FR"/>
        </w:rPr>
        <w:t xml:space="preserve"> les </w:t>
      </w:r>
      <w:r w:rsidRPr="009C2953">
        <w:rPr>
          <w:lang w:val="fr-FR"/>
        </w:rPr>
        <w:t>participantes et participants découvrent</w:t>
      </w:r>
      <w:r w:rsidR="00F34644" w:rsidRPr="009C2953">
        <w:rPr>
          <w:lang w:val="fr-FR"/>
        </w:rPr>
        <w:t xml:space="preserve"> son </w:t>
      </w:r>
      <w:r w:rsidRPr="009C2953">
        <w:rPr>
          <w:lang w:val="fr-FR"/>
        </w:rPr>
        <w:t>pays.</w:t>
      </w:r>
      <w:r w:rsidR="00F34644" w:rsidRPr="009C2953">
        <w:rPr>
          <w:lang w:val="fr-FR"/>
        </w:rPr>
        <w:t xml:space="preserve"> La </w:t>
      </w:r>
      <w:r w:rsidRPr="009C2953">
        <w:rPr>
          <w:lang w:val="fr-FR"/>
        </w:rPr>
        <w:t>Plénière a accepté cette</w:t>
      </w:r>
      <w:r w:rsidR="00CB508B" w:rsidRPr="009C2953">
        <w:rPr>
          <w:lang w:val="fr-FR"/>
        </w:rPr>
        <w:t> </w:t>
      </w:r>
      <w:r w:rsidRPr="009C2953">
        <w:rPr>
          <w:lang w:val="fr-FR"/>
        </w:rPr>
        <w:t>offre avec reconnaissance.</w:t>
      </w:r>
    </w:p>
    <w:p w14:paraId="74EA2697" w14:textId="778E1716" w:rsidR="00607B78" w:rsidRPr="009C2953" w:rsidRDefault="00607B78" w:rsidP="008731A8">
      <w:pPr>
        <w:pStyle w:val="Normalnumber"/>
        <w:numPr>
          <w:ilvl w:val="0"/>
          <w:numId w:val="2"/>
        </w:numPr>
        <w:rPr>
          <w:lang w:val="fr-FR"/>
        </w:rPr>
      </w:pPr>
      <w:r w:rsidRPr="009C2953">
        <w:rPr>
          <w:lang w:val="fr-FR"/>
        </w:rPr>
        <w:t>Par</w:t>
      </w:r>
      <w:r w:rsidR="00F34644" w:rsidRPr="009C2953">
        <w:rPr>
          <w:lang w:val="fr-FR"/>
        </w:rPr>
        <w:t xml:space="preserve"> la </w:t>
      </w:r>
      <w:r w:rsidRPr="009C2953">
        <w:rPr>
          <w:lang w:val="fr-FR"/>
        </w:rPr>
        <w:t>suite,</w:t>
      </w:r>
      <w:r w:rsidR="00F34644" w:rsidRPr="009C2953">
        <w:rPr>
          <w:lang w:val="fr-FR"/>
        </w:rPr>
        <w:t xml:space="preserve"> la </w:t>
      </w:r>
      <w:r w:rsidRPr="009C2953">
        <w:rPr>
          <w:lang w:val="fr-FR"/>
        </w:rPr>
        <w:t>Plénière a examiné</w:t>
      </w:r>
      <w:r w:rsidR="00F34644" w:rsidRPr="009C2953">
        <w:rPr>
          <w:lang w:val="fr-FR"/>
        </w:rPr>
        <w:t xml:space="preserve"> un </w:t>
      </w:r>
      <w:r w:rsidRPr="009C2953">
        <w:rPr>
          <w:lang w:val="fr-FR"/>
        </w:rPr>
        <w:t>projet de décision sur</w:t>
      </w:r>
      <w:r w:rsidR="00F34644" w:rsidRPr="009C2953">
        <w:rPr>
          <w:lang w:val="fr-FR"/>
        </w:rPr>
        <w:t xml:space="preserve"> la </w:t>
      </w:r>
      <w:r w:rsidRPr="009C2953">
        <w:rPr>
          <w:lang w:val="fr-FR"/>
        </w:rPr>
        <w:t>question (IPBES/10/L.4).</w:t>
      </w:r>
      <w:r w:rsidR="00F34644" w:rsidRPr="009C2953">
        <w:rPr>
          <w:lang w:val="fr-FR"/>
        </w:rPr>
        <w:t xml:space="preserve"> La </w:t>
      </w:r>
      <w:r w:rsidRPr="009C2953">
        <w:rPr>
          <w:lang w:val="fr-FR"/>
        </w:rPr>
        <w:t>Plénière a adopté</w:t>
      </w:r>
      <w:r w:rsidR="00F34644" w:rsidRPr="009C2953">
        <w:rPr>
          <w:lang w:val="fr-FR"/>
        </w:rPr>
        <w:t xml:space="preserve"> la </w:t>
      </w:r>
      <w:r w:rsidRPr="009C2953">
        <w:rPr>
          <w:lang w:val="fr-FR"/>
        </w:rPr>
        <w:t>décision IPBES-10/2 sur l</w:t>
      </w:r>
      <w:r w:rsidR="00EA2966" w:rsidRPr="009C2953">
        <w:rPr>
          <w:lang w:val="fr-FR"/>
        </w:rPr>
        <w:t>’</w:t>
      </w:r>
      <w:r w:rsidRPr="009C2953">
        <w:rPr>
          <w:lang w:val="fr-FR"/>
        </w:rPr>
        <w:t>organisation de ses travaux et</w:t>
      </w:r>
      <w:r w:rsidR="00F34644" w:rsidRPr="009C2953">
        <w:rPr>
          <w:lang w:val="fr-FR"/>
        </w:rPr>
        <w:t xml:space="preserve"> la </w:t>
      </w:r>
      <w:r w:rsidRPr="009C2953">
        <w:rPr>
          <w:lang w:val="fr-FR"/>
        </w:rPr>
        <w:t>date et</w:t>
      </w:r>
      <w:r w:rsidR="00F34644" w:rsidRPr="009C2953">
        <w:rPr>
          <w:lang w:val="fr-FR"/>
        </w:rPr>
        <w:t xml:space="preserve"> le </w:t>
      </w:r>
      <w:r w:rsidRPr="009C2953">
        <w:rPr>
          <w:lang w:val="fr-FR"/>
        </w:rPr>
        <w:t>lieu de</w:t>
      </w:r>
      <w:r w:rsidR="009F7D8A" w:rsidRPr="009C2953">
        <w:rPr>
          <w:lang w:val="fr-FR"/>
        </w:rPr>
        <w:t xml:space="preserve"> </w:t>
      </w:r>
      <w:r w:rsidRPr="009C2953">
        <w:rPr>
          <w:lang w:val="fr-FR"/>
        </w:rPr>
        <w:t>ses</w:t>
      </w:r>
      <w:r w:rsidR="00F86270" w:rsidRPr="009C2953">
        <w:rPr>
          <w:lang w:val="fr-FR"/>
        </w:rPr>
        <w:t> </w:t>
      </w:r>
      <w:r w:rsidRPr="009C2953">
        <w:rPr>
          <w:lang w:val="fr-FR"/>
        </w:rPr>
        <w:t>futures sessions, telle qu</w:t>
      </w:r>
      <w:r w:rsidR="009823B9" w:rsidRPr="009C2953">
        <w:rPr>
          <w:lang w:val="fr-FR"/>
        </w:rPr>
        <w:t>e modifié</w:t>
      </w:r>
      <w:r w:rsidRPr="009C2953">
        <w:rPr>
          <w:lang w:val="fr-FR"/>
        </w:rPr>
        <w:t>e oralement.</w:t>
      </w:r>
      <w:r w:rsidR="00F34644" w:rsidRPr="009C2953">
        <w:rPr>
          <w:lang w:val="fr-FR"/>
        </w:rPr>
        <w:t xml:space="preserve"> La </w:t>
      </w:r>
      <w:r w:rsidRPr="009C2953">
        <w:rPr>
          <w:lang w:val="fr-FR"/>
        </w:rPr>
        <w:t>décision figure dans l</w:t>
      </w:r>
      <w:r w:rsidR="00EA2966" w:rsidRPr="009C2953">
        <w:rPr>
          <w:lang w:val="fr-FR"/>
        </w:rPr>
        <w:t>’</w:t>
      </w:r>
      <w:r w:rsidRPr="009C2953">
        <w:rPr>
          <w:lang w:val="fr-FR"/>
        </w:rPr>
        <w:t>annexe au présent rapport.</w:t>
      </w:r>
    </w:p>
    <w:p w14:paraId="55D764F2" w14:textId="48DB7E80" w:rsidR="00607B78" w:rsidRPr="009C2953" w:rsidRDefault="00607B78" w:rsidP="00607B78">
      <w:pPr>
        <w:pStyle w:val="CH1"/>
      </w:pPr>
      <w:r w:rsidRPr="009C2953">
        <w:tab/>
        <w:t>XII.</w:t>
      </w:r>
      <w:r w:rsidRPr="009C2953">
        <w:tab/>
        <w:t>Dispositions institutionnelles : dispositions concernant</w:t>
      </w:r>
      <w:r w:rsidR="00F34644" w:rsidRPr="009C2953">
        <w:t xml:space="preserve"> les </w:t>
      </w:r>
      <w:r w:rsidRPr="009C2953">
        <w:t>partenariats de collaboration</w:t>
      </w:r>
      <w:r w:rsidR="00D24DC1" w:rsidRPr="009C2953">
        <w:t xml:space="preserve"> des </w:t>
      </w:r>
      <w:r w:rsidRPr="009C2953">
        <w:t>Nations Unies pour</w:t>
      </w:r>
      <w:r w:rsidR="00F34644" w:rsidRPr="009C2953">
        <w:t xml:space="preserve"> les </w:t>
      </w:r>
      <w:r w:rsidRPr="009C2953">
        <w:t>travaux de</w:t>
      </w:r>
      <w:r w:rsidR="00F34644" w:rsidRPr="009C2953">
        <w:t xml:space="preserve"> la </w:t>
      </w:r>
      <w:r w:rsidRPr="009C2953">
        <w:t>Plateforme et de</w:t>
      </w:r>
      <w:r w:rsidR="00F34644" w:rsidRPr="009C2953">
        <w:t xml:space="preserve"> son </w:t>
      </w:r>
      <w:r w:rsidRPr="009C2953">
        <w:t>secrétariat</w:t>
      </w:r>
    </w:p>
    <w:p w14:paraId="43486CA8" w14:textId="3EDA13AF" w:rsidR="00607B78" w:rsidRPr="009C2953" w:rsidRDefault="00607B78" w:rsidP="008731A8">
      <w:pPr>
        <w:pStyle w:val="Normalnumber"/>
        <w:numPr>
          <w:ilvl w:val="0"/>
          <w:numId w:val="2"/>
        </w:numPr>
        <w:rPr>
          <w:lang w:val="fr-FR"/>
        </w:rPr>
      </w:pPr>
      <w:r w:rsidRPr="009C2953">
        <w:rPr>
          <w:lang w:val="fr-FR"/>
        </w:rPr>
        <w:t>Présentant ce point,</w:t>
      </w:r>
      <w:r w:rsidR="00F34644" w:rsidRPr="009C2953">
        <w:rPr>
          <w:lang w:val="fr-FR"/>
        </w:rPr>
        <w:t xml:space="preserve"> la </w:t>
      </w:r>
      <w:r w:rsidRPr="009C2953">
        <w:rPr>
          <w:lang w:val="fr-FR"/>
        </w:rPr>
        <w:t>Présidente a rappelé que, dans</w:t>
      </w:r>
      <w:r w:rsidR="00F34644" w:rsidRPr="009C2953">
        <w:rPr>
          <w:lang w:val="fr-FR"/>
        </w:rPr>
        <w:t xml:space="preserve"> sa </w:t>
      </w:r>
      <w:r w:rsidRPr="009C2953">
        <w:rPr>
          <w:lang w:val="fr-FR"/>
        </w:rPr>
        <w:t>décision IPBES-2/8,</w:t>
      </w:r>
      <w:r w:rsidR="00F34644" w:rsidRPr="009C2953">
        <w:rPr>
          <w:lang w:val="fr-FR"/>
        </w:rPr>
        <w:t xml:space="preserve"> la </w:t>
      </w:r>
      <w:r w:rsidRPr="009C2953">
        <w:rPr>
          <w:lang w:val="fr-FR"/>
        </w:rPr>
        <w:t>Plénière avait</w:t>
      </w:r>
      <w:r w:rsidR="00A75AD5" w:rsidRPr="009C2953">
        <w:rPr>
          <w:lang w:val="fr-FR"/>
        </w:rPr>
        <w:t> </w:t>
      </w:r>
      <w:r w:rsidRPr="009C2953">
        <w:rPr>
          <w:lang w:val="fr-FR"/>
        </w:rPr>
        <w:t>approuvé</w:t>
      </w:r>
      <w:r w:rsidR="00F34644" w:rsidRPr="009C2953">
        <w:rPr>
          <w:lang w:val="fr-FR"/>
        </w:rPr>
        <w:t xml:space="preserve"> un </w:t>
      </w:r>
      <w:r w:rsidRPr="009C2953">
        <w:rPr>
          <w:lang w:val="fr-FR"/>
        </w:rPr>
        <w:t>accord de partenariat de collaboration visant à établir</w:t>
      </w:r>
      <w:r w:rsidR="00F34644" w:rsidRPr="009C2953">
        <w:rPr>
          <w:lang w:val="fr-FR"/>
        </w:rPr>
        <w:t xml:space="preserve"> un </w:t>
      </w:r>
      <w:r w:rsidRPr="009C2953">
        <w:rPr>
          <w:lang w:val="fr-FR"/>
        </w:rPr>
        <w:t>lien institutionnel entre</w:t>
      </w:r>
      <w:r w:rsidR="00F34644" w:rsidRPr="009C2953">
        <w:rPr>
          <w:lang w:val="fr-FR"/>
        </w:rPr>
        <w:t xml:space="preserve"> la </w:t>
      </w:r>
      <w:r w:rsidRPr="009C2953">
        <w:rPr>
          <w:lang w:val="fr-FR"/>
        </w:rPr>
        <w:t>Plénière de l</w:t>
      </w:r>
      <w:r w:rsidR="00EA2966" w:rsidRPr="009C2953">
        <w:rPr>
          <w:lang w:val="fr-FR"/>
        </w:rPr>
        <w:t>’</w:t>
      </w:r>
      <w:r w:rsidRPr="009C2953">
        <w:rPr>
          <w:lang w:val="fr-FR"/>
        </w:rPr>
        <w:t>IPBES et</w:t>
      </w:r>
      <w:r w:rsidR="00F34644" w:rsidRPr="009C2953">
        <w:rPr>
          <w:lang w:val="fr-FR"/>
        </w:rPr>
        <w:t xml:space="preserve"> le </w:t>
      </w:r>
      <w:r w:rsidRPr="009C2953">
        <w:rPr>
          <w:lang w:val="fr-FR"/>
        </w:rPr>
        <w:t>PNUE, l</w:t>
      </w:r>
      <w:r w:rsidR="00EA2966" w:rsidRPr="009C2953">
        <w:rPr>
          <w:lang w:val="fr-FR"/>
        </w:rPr>
        <w:t>’</w:t>
      </w:r>
      <w:r w:rsidRPr="009C2953">
        <w:rPr>
          <w:lang w:val="fr-FR"/>
        </w:rPr>
        <w:t>UNESCO,</w:t>
      </w:r>
      <w:r w:rsidR="00F34644" w:rsidRPr="009C2953">
        <w:rPr>
          <w:lang w:val="fr-FR"/>
        </w:rPr>
        <w:t xml:space="preserve"> la </w:t>
      </w:r>
      <w:r w:rsidRPr="009C2953">
        <w:rPr>
          <w:lang w:val="fr-FR"/>
        </w:rPr>
        <w:t>FAO et</w:t>
      </w:r>
      <w:r w:rsidR="00F34644" w:rsidRPr="009C2953">
        <w:rPr>
          <w:lang w:val="fr-FR"/>
        </w:rPr>
        <w:t xml:space="preserve"> le </w:t>
      </w:r>
      <w:r w:rsidRPr="009C2953">
        <w:rPr>
          <w:lang w:val="fr-FR"/>
        </w:rPr>
        <w:t>PNUD, tel que reproduit dans l</w:t>
      </w:r>
      <w:r w:rsidR="00EA2966" w:rsidRPr="009C2953">
        <w:rPr>
          <w:lang w:val="fr-FR"/>
        </w:rPr>
        <w:t>’</w:t>
      </w:r>
      <w:r w:rsidRPr="009C2953">
        <w:rPr>
          <w:lang w:val="fr-FR"/>
        </w:rPr>
        <w:t>annexe à</w:t>
      </w:r>
      <w:r w:rsidR="007074B8" w:rsidRPr="009C2953">
        <w:rPr>
          <w:lang w:val="fr-FR"/>
        </w:rPr>
        <w:t> </w:t>
      </w:r>
      <w:r w:rsidR="00F34644" w:rsidRPr="009C2953">
        <w:rPr>
          <w:lang w:val="fr-FR"/>
        </w:rPr>
        <w:t>la </w:t>
      </w:r>
      <w:r w:rsidRPr="009C2953">
        <w:rPr>
          <w:lang w:val="fr-FR"/>
        </w:rPr>
        <w:t>décision.</w:t>
      </w:r>
    </w:p>
    <w:p w14:paraId="4C7D5394" w14:textId="6769685A" w:rsidR="00607B78" w:rsidRPr="009C2953" w:rsidRDefault="00607B78" w:rsidP="008731A8">
      <w:pPr>
        <w:pStyle w:val="Normalnumber"/>
        <w:numPr>
          <w:ilvl w:val="0"/>
          <w:numId w:val="2"/>
        </w:numPr>
        <w:rPr>
          <w:lang w:val="fr-FR"/>
        </w:rPr>
      </w:pPr>
      <w:r w:rsidRPr="009C2953">
        <w:rPr>
          <w:lang w:val="fr-FR"/>
        </w:rPr>
        <w:t>Un</w:t>
      </w:r>
      <w:r w:rsidR="00265EB4" w:rsidRPr="009C2953">
        <w:rPr>
          <w:lang w:val="fr-FR"/>
        </w:rPr>
        <w:t>(e)</w:t>
      </w:r>
      <w:r w:rsidRPr="009C2953">
        <w:rPr>
          <w:lang w:val="fr-FR"/>
        </w:rPr>
        <w:t xml:space="preserve"> représentant</w:t>
      </w:r>
      <w:r w:rsidR="00265EB4" w:rsidRPr="009C2953">
        <w:rPr>
          <w:lang w:val="fr-FR"/>
        </w:rPr>
        <w:t>(e)</w:t>
      </w:r>
      <w:r w:rsidRPr="009C2953">
        <w:rPr>
          <w:lang w:val="fr-FR"/>
        </w:rPr>
        <w:t xml:space="preserve"> de l</w:t>
      </w:r>
      <w:r w:rsidR="00EA2966" w:rsidRPr="009C2953">
        <w:rPr>
          <w:lang w:val="fr-FR"/>
        </w:rPr>
        <w:t>’</w:t>
      </w:r>
      <w:r w:rsidRPr="009C2953">
        <w:rPr>
          <w:lang w:val="fr-FR"/>
        </w:rPr>
        <w:t>UNESCO, s</w:t>
      </w:r>
      <w:r w:rsidR="00EA2966" w:rsidRPr="009C2953">
        <w:rPr>
          <w:lang w:val="fr-FR"/>
        </w:rPr>
        <w:t>’</w:t>
      </w:r>
      <w:r w:rsidRPr="009C2953">
        <w:rPr>
          <w:lang w:val="fr-FR"/>
        </w:rPr>
        <w:t>exprimant au nom</w:t>
      </w:r>
      <w:r w:rsidR="00D24DC1" w:rsidRPr="009C2953">
        <w:rPr>
          <w:lang w:val="fr-FR"/>
        </w:rPr>
        <w:t xml:space="preserve"> des </w:t>
      </w:r>
      <w:r w:rsidRPr="009C2953">
        <w:rPr>
          <w:lang w:val="fr-FR"/>
        </w:rPr>
        <w:t>quatre partenaires de l</w:t>
      </w:r>
      <w:r w:rsidR="00EA2966" w:rsidRPr="009C2953">
        <w:rPr>
          <w:lang w:val="fr-FR"/>
        </w:rPr>
        <w:t>’</w:t>
      </w:r>
      <w:r w:rsidR="00533B63" w:rsidRPr="009C2953">
        <w:rPr>
          <w:lang w:val="fr-FR"/>
        </w:rPr>
        <w:t xml:space="preserve">IPBES </w:t>
      </w:r>
      <w:r w:rsidRPr="009C2953">
        <w:rPr>
          <w:lang w:val="fr-FR"/>
        </w:rPr>
        <w:t>au</w:t>
      </w:r>
      <w:r w:rsidR="00265EB4" w:rsidRPr="009C2953">
        <w:rPr>
          <w:lang w:val="fr-FR"/>
        </w:rPr>
        <w:t> </w:t>
      </w:r>
      <w:r w:rsidRPr="009C2953">
        <w:rPr>
          <w:lang w:val="fr-FR"/>
        </w:rPr>
        <w:t>sein du système</w:t>
      </w:r>
      <w:r w:rsidR="00D24DC1" w:rsidRPr="009C2953">
        <w:rPr>
          <w:lang w:val="fr-FR"/>
        </w:rPr>
        <w:t xml:space="preserve"> des </w:t>
      </w:r>
      <w:r w:rsidRPr="009C2953">
        <w:rPr>
          <w:lang w:val="fr-FR"/>
        </w:rPr>
        <w:t>Nations Unies, a présenté</w:t>
      </w:r>
      <w:r w:rsidR="00F34644" w:rsidRPr="009C2953">
        <w:rPr>
          <w:lang w:val="fr-FR"/>
        </w:rPr>
        <w:t xml:space="preserve"> le </w:t>
      </w:r>
      <w:r w:rsidRPr="009C2953">
        <w:rPr>
          <w:lang w:val="fr-FR"/>
        </w:rPr>
        <w:t>rapport d</w:t>
      </w:r>
      <w:r w:rsidR="00EA2966" w:rsidRPr="009C2953">
        <w:rPr>
          <w:lang w:val="fr-FR"/>
        </w:rPr>
        <w:t>’</w:t>
      </w:r>
      <w:r w:rsidRPr="009C2953">
        <w:rPr>
          <w:lang w:val="fr-FR"/>
        </w:rPr>
        <w:t>activité sur l</w:t>
      </w:r>
      <w:r w:rsidR="00EA2966" w:rsidRPr="009C2953">
        <w:rPr>
          <w:lang w:val="fr-FR"/>
        </w:rPr>
        <w:t>’</w:t>
      </w:r>
      <w:r w:rsidRPr="009C2953">
        <w:rPr>
          <w:lang w:val="fr-FR"/>
        </w:rPr>
        <w:t>accord de partenariat de collaboration</w:t>
      </w:r>
      <w:r w:rsidR="00D24DC1" w:rsidRPr="009C2953">
        <w:rPr>
          <w:lang w:val="fr-FR"/>
        </w:rPr>
        <w:t xml:space="preserve"> des </w:t>
      </w:r>
      <w:r w:rsidRPr="009C2953">
        <w:rPr>
          <w:lang w:val="fr-FR"/>
        </w:rPr>
        <w:t>Nations Unies (IPBES/10/INF/19).</w:t>
      </w:r>
    </w:p>
    <w:p w14:paraId="7EFC39D7" w14:textId="38F4E6D5" w:rsidR="00607B78" w:rsidRPr="009C2953" w:rsidRDefault="00607B78" w:rsidP="008731A8">
      <w:pPr>
        <w:pStyle w:val="Normalnumber"/>
        <w:numPr>
          <w:ilvl w:val="0"/>
          <w:numId w:val="2"/>
        </w:numPr>
        <w:rPr>
          <w:lang w:val="fr-FR"/>
        </w:rPr>
      </w:pPr>
      <w:r w:rsidRPr="009C2953">
        <w:rPr>
          <w:lang w:val="fr-FR"/>
        </w:rPr>
        <w:t>Un</w:t>
      </w:r>
      <w:r w:rsidR="00265EB4" w:rsidRPr="009C2953">
        <w:rPr>
          <w:lang w:val="fr-FR"/>
        </w:rPr>
        <w:t>(e)</w:t>
      </w:r>
      <w:r w:rsidRPr="009C2953">
        <w:rPr>
          <w:lang w:val="fr-FR"/>
        </w:rPr>
        <w:t xml:space="preserve"> autre représentant</w:t>
      </w:r>
      <w:r w:rsidR="00265EB4" w:rsidRPr="009C2953">
        <w:rPr>
          <w:lang w:val="fr-FR"/>
        </w:rPr>
        <w:t>(e)</w:t>
      </w:r>
      <w:r w:rsidRPr="009C2953">
        <w:rPr>
          <w:lang w:val="fr-FR"/>
        </w:rPr>
        <w:t>, s</w:t>
      </w:r>
      <w:r w:rsidR="00EA2966" w:rsidRPr="009C2953">
        <w:rPr>
          <w:lang w:val="fr-FR"/>
        </w:rPr>
        <w:t>’</w:t>
      </w:r>
      <w:r w:rsidRPr="009C2953">
        <w:rPr>
          <w:lang w:val="fr-FR"/>
        </w:rPr>
        <w:t>exprimant au nom</w:t>
      </w:r>
      <w:r w:rsidR="00D24DC1" w:rsidRPr="009C2953">
        <w:rPr>
          <w:lang w:val="fr-FR"/>
        </w:rPr>
        <w:t xml:space="preserve"> des </w:t>
      </w:r>
      <w:r w:rsidRPr="009C2953">
        <w:rPr>
          <w:lang w:val="fr-FR"/>
        </w:rPr>
        <w:t>États membres d</w:t>
      </w:r>
      <w:r w:rsidR="00EA2966" w:rsidRPr="009C2953">
        <w:rPr>
          <w:lang w:val="fr-FR"/>
        </w:rPr>
        <w:t>’</w:t>
      </w:r>
      <w:r w:rsidRPr="009C2953">
        <w:rPr>
          <w:lang w:val="fr-FR"/>
        </w:rPr>
        <w:t>un groupe de pays membres de l</w:t>
      </w:r>
      <w:r w:rsidR="00EA2966" w:rsidRPr="009C2953">
        <w:rPr>
          <w:lang w:val="fr-FR"/>
        </w:rPr>
        <w:t>’</w:t>
      </w:r>
      <w:r w:rsidRPr="009C2953">
        <w:rPr>
          <w:lang w:val="fr-FR"/>
        </w:rPr>
        <w:t>IPBES et observateur bénéficiant d</w:t>
      </w:r>
      <w:r w:rsidR="00EA2966" w:rsidRPr="009C2953">
        <w:rPr>
          <w:lang w:val="fr-FR"/>
        </w:rPr>
        <w:t>’</w:t>
      </w:r>
      <w:r w:rsidRPr="009C2953">
        <w:rPr>
          <w:lang w:val="fr-FR"/>
        </w:rPr>
        <w:t>une participation renforcée, a pris note du rapport, s</w:t>
      </w:r>
      <w:r w:rsidR="00EA2966" w:rsidRPr="009C2953">
        <w:rPr>
          <w:lang w:val="fr-FR"/>
        </w:rPr>
        <w:t>’</w:t>
      </w:r>
      <w:r w:rsidRPr="009C2953">
        <w:rPr>
          <w:lang w:val="fr-FR"/>
        </w:rPr>
        <w:t>est félicité de</w:t>
      </w:r>
      <w:r w:rsidR="00F34644" w:rsidRPr="009C2953">
        <w:rPr>
          <w:lang w:val="fr-FR"/>
        </w:rPr>
        <w:t xml:space="preserve"> la </w:t>
      </w:r>
      <w:r w:rsidRPr="009C2953">
        <w:rPr>
          <w:lang w:val="fr-FR"/>
        </w:rPr>
        <w:t>poursuite de</w:t>
      </w:r>
      <w:r w:rsidR="00F34644" w:rsidRPr="009C2953">
        <w:rPr>
          <w:lang w:val="fr-FR"/>
        </w:rPr>
        <w:t xml:space="preserve"> la </w:t>
      </w:r>
      <w:r w:rsidRPr="009C2953">
        <w:rPr>
          <w:lang w:val="fr-FR"/>
        </w:rPr>
        <w:t>collaboration avec</w:t>
      </w:r>
      <w:r w:rsidR="00F34644" w:rsidRPr="009C2953">
        <w:rPr>
          <w:lang w:val="fr-FR"/>
        </w:rPr>
        <w:t xml:space="preserve"> le </w:t>
      </w:r>
      <w:r w:rsidRPr="009C2953">
        <w:rPr>
          <w:lang w:val="fr-FR"/>
        </w:rPr>
        <w:t>PNUE, l</w:t>
      </w:r>
      <w:r w:rsidR="00EA2966" w:rsidRPr="009C2953">
        <w:rPr>
          <w:lang w:val="fr-FR"/>
        </w:rPr>
        <w:t>’</w:t>
      </w:r>
      <w:r w:rsidRPr="009C2953">
        <w:rPr>
          <w:lang w:val="fr-FR"/>
        </w:rPr>
        <w:t>UNESCO,</w:t>
      </w:r>
      <w:r w:rsidR="00F34644" w:rsidRPr="009C2953">
        <w:rPr>
          <w:lang w:val="fr-FR"/>
        </w:rPr>
        <w:t xml:space="preserve"> la </w:t>
      </w:r>
      <w:r w:rsidRPr="009C2953">
        <w:rPr>
          <w:lang w:val="fr-FR"/>
        </w:rPr>
        <w:t>FAO et</w:t>
      </w:r>
      <w:r w:rsidR="00F34644" w:rsidRPr="009C2953">
        <w:rPr>
          <w:lang w:val="fr-FR"/>
        </w:rPr>
        <w:t xml:space="preserve"> le </w:t>
      </w:r>
      <w:r w:rsidRPr="009C2953">
        <w:rPr>
          <w:lang w:val="fr-FR"/>
        </w:rPr>
        <w:t>PNUD, et</w:t>
      </w:r>
      <w:r w:rsidR="00265EB4" w:rsidRPr="009C2953">
        <w:rPr>
          <w:lang w:val="fr-FR"/>
        </w:rPr>
        <w:t> </w:t>
      </w:r>
      <w:r w:rsidRPr="009C2953">
        <w:rPr>
          <w:lang w:val="fr-FR"/>
        </w:rPr>
        <w:t>a</w:t>
      </w:r>
      <w:r w:rsidR="00265EB4" w:rsidRPr="009C2953">
        <w:rPr>
          <w:lang w:val="fr-FR"/>
        </w:rPr>
        <w:t> </w:t>
      </w:r>
      <w:r w:rsidRPr="009C2953">
        <w:rPr>
          <w:lang w:val="fr-FR"/>
        </w:rPr>
        <w:t>encouragé à</w:t>
      </w:r>
      <w:r w:rsidR="00F34644" w:rsidRPr="009C2953">
        <w:rPr>
          <w:lang w:val="fr-FR"/>
        </w:rPr>
        <w:t xml:space="preserve"> la </w:t>
      </w:r>
      <w:r w:rsidRPr="009C2953">
        <w:rPr>
          <w:lang w:val="fr-FR"/>
        </w:rPr>
        <w:t>fois</w:t>
      </w:r>
      <w:r w:rsidR="00F34644" w:rsidRPr="009C2953">
        <w:rPr>
          <w:lang w:val="fr-FR"/>
        </w:rPr>
        <w:t xml:space="preserve"> la </w:t>
      </w:r>
      <w:r w:rsidRPr="009C2953">
        <w:rPr>
          <w:lang w:val="fr-FR"/>
        </w:rPr>
        <w:t>collaboration avec</w:t>
      </w:r>
      <w:r w:rsidR="00F34644" w:rsidRPr="009C2953">
        <w:rPr>
          <w:lang w:val="fr-FR"/>
        </w:rPr>
        <w:t xml:space="preserve"> les </w:t>
      </w:r>
      <w:r w:rsidRPr="009C2953">
        <w:rPr>
          <w:lang w:val="fr-FR"/>
        </w:rPr>
        <w:t>initiatives fondées sur</w:t>
      </w:r>
      <w:r w:rsidR="00F34644" w:rsidRPr="009C2953">
        <w:rPr>
          <w:lang w:val="fr-FR"/>
        </w:rPr>
        <w:t xml:space="preserve"> la </w:t>
      </w:r>
      <w:r w:rsidRPr="009C2953">
        <w:rPr>
          <w:lang w:val="fr-FR"/>
        </w:rPr>
        <w:t>science pertinentes de ces</w:t>
      </w:r>
      <w:r w:rsidR="00265EB4" w:rsidRPr="009C2953">
        <w:rPr>
          <w:lang w:val="fr-FR"/>
        </w:rPr>
        <w:t> </w:t>
      </w:r>
      <w:r w:rsidRPr="009C2953">
        <w:rPr>
          <w:lang w:val="fr-FR"/>
        </w:rPr>
        <w:t>organisations et</w:t>
      </w:r>
      <w:r w:rsidR="00F34644" w:rsidRPr="009C2953">
        <w:rPr>
          <w:lang w:val="fr-FR"/>
        </w:rPr>
        <w:t xml:space="preserve"> la </w:t>
      </w:r>
      <w:r w:rsidRPr="009C2953">
        <w:rPr>
          <w:lang w:val="fr-FR"/>
        </w:rPr>
        <w:t>coopération avec</w:t>
      </w:r>
      <w:r w:rsidR="00F34644" w:rsidRPr="009C2953">
        <w:rPr>
          <w:lang w:val="fr-FR"/>
        </w:rPr>
        <w:t xml:space="preserve"> les </w:t>
      </w:r>
      <w:r w:rsidRPr="009C2953">
        <w:rPr>
          <w:lang w:val="fr-FR"/>
        </w:rPr>
        <w:t>accords multilatéraux sur l</w:t>
      </w:r>
      <w:r w:rsidR="00EA2966" w:rsidRPr="009C2953">
        <w:rPr>
          <w:lang w:val="fr-FR"/>
        </w:rPr>
        <w:t>’</w:t>
      </w:r>
      <w:r w:rsidRPr="009C2953">
        <w:rPr>
          <w:lang w:val="fr-FR"/>
        </w:rPr>
        <w:t>environnement et d</w:t>
      </w:r>
      <w:r w:rsidR="00EA2966" w:rsidRPr="009C2953">
        <w:rPr>
          <w:lang w:val="fr-FR"/>
        </w:rPr>
        <w:t>’</w:t>
      </w:r>
      <w:r w:rsidRPr="009C2953">
        <w:rPr>
          <w:lang w:val="fr-FR"/>
        </w:rPr>
        <w:t>autres organisations internationales.</w:t>
      </w:r>
    </w:p>
    <w:p w14:paraId="2D43EE95" w14:textId="001F1075" w:rsidR="00607B78" w:rsidRPr="009C2953" w:rsidRDefault="00607B78" w:rsidP="008731A8">
      <w:pPr>
        <w:pStyle w:val="Normalnumber"/>
        <w:numPr>
          <w:ilvl w:val="0"/>
          <w:numId w:val="2"/>
        </w:numPr>
        <w:rPr>
          <w:lang w:val="fr-FR"/>
        </w:rPr>
      </w:pPr>
      <w:r w:rsidRPr="009C2953">
        <w:rPr>
          <w:lang w:val="fr-FR"/>
        </w:rPr>
        <w:t>La Présidente a remercié</w:t>
      </w:r>
      <w:r w:rsidR="00F34644" w:rsidRPr="009C2953">
        <w:rPr>
          <w:lang w:val="fr-FR"/>
        </w:rPr>
        <w:t xml:space="preserve"> le </w:t>
      </w:r>
      <w:r w:rsidRPr="009C2953">
        <w:rPr>
          <w:lang w:val="fr-FR"/>
        </w:rPr>
        <w:t>PNUE, l</w:t>
      </w:r>
      <w:r w:rsidR="00EA2966" w:rsidRPr="009C2953">
        <w:rPr>
          <w:lang w:val="fr-FR"/>
        </w:rPr>
        <w:t>’</w:t>
      </w:r>
      <w:r w:rsidRPr="009C2953">
        <w:rPr>
          <w:lang w:val="fr-FR"/>
        </w:rPr>
        <w:t>UNESCO,</w:t>
      </w:r>
      <w:r w:rsidR="00F34644" w:rsidRPr="009C2953">
        <w:rPr>
          <w:lang w:val="fr-FR"/>
        </w:rPr>
        <w:t xml:space="preserve"> la </w:t>
      </w:r>
      <w:r w:rsidRPr="009C2953">
        <w:rPr>
          <w:lang w:val="fr-FR"/>
        </w:rPr>
        <w:t>FAO et</w:t>
      </w:r>
      <w:r w:rsidR="00F34644" w:rsidRPr="009C2953">
        <w:rPr>
          <w:lang w:val="fr-FR"/>
        </w:rPr>
        <w:t xml:space="preserve"> le </w:t>
      </w:r>
      <w:r w:rsidRPr="009C2953">
        <w:rPr>
          <w:lang w:val="fr-FR"/>
        </w:rPr>
        <w:t>PNUD pour l</w:t>
      </w:r>
      <w:r w:rsidR="00EA2966" w:rsidRPr="009C2953">
        <w:rPr>
          <w:lang w:val="fr-FR"/>
        </w:rPr>
        <w:t>’</w:t>
      </w:r>
      <w:r w:rsidRPr="009C2953">
        <w:rPr>
          <w:lang w:val="fr-FR"/>
        </w:rPr>
        <w:t>appui qu</w:t>
      </w:r>
      <w:r w:rsidR="00EA2966" w:rsidRPr="009C2953">
        <w:rPr>
          <w:lang w:val="fr-FR"/>
        </w:rPr>
        <w:t>’</w:t>
      </w:r>
      <w:r w:rsidRPr="009C2953">
        <w:rPr>
          <w:lang w:val="fr-FR"/>
        </w:rPr>
        <w:t>ils avaient fourni à l</w:t>
      </w:r>
      <w:r w:rsidR="00EA2966" w:rsidRPr="009C2953">
        <w:rPr>
          <w:lang w:val="fr-FR"/>
        </w:rPr>
        <w:t>’</w:t>
      </w:r>
      <w:r w:rsidRPr="009C2953">
        <w:rPr>
          <w:lang w:val="fr-FR"/>
        </w:rPr>
        <w:t>IPBES et</w:t>
      </w:r>
      <w:r w:rsidR="00F34644" w:rsidRPr="009C2953">
        <w:rPr>
          <w:lang w:val="fr-FR"/>
        </w:rPr>
        <w:t xml:space="preserve"> leur </w:t>
      </w:r>
      <w:r w:rsidRPr="009C2953">
        <w:rPr>
          <w:lang w:val="fr-FR"/>
        </w:rPr>
        <w:t>a demandé de continuer à fournir</w:t>
      </w:r>
      <w:r w:rsidR="00F34644" w:rsidRPr="009C2953">
        <w:rPr>
          <w:lang w:val="fr-FR"/>
        </w:rPr>
        <w:t xml:space="preserve"> un </w:t>
      </w:r>
      <w:r w:rsidRPr="009C2953">
        <w:rPr>
          <w:lang w:val="fr-FR"/>
        </w:rPr>
        <w:t>tel appui au cours de</w:t>
      </w:r>
      <w:r w:rsidR="00F34644" w:rsidRPr="009C2953">
        <w:rPr>
          <w:lang w:val="fr-FR"/>
        </w:rPr>
        <w:t xml:space="preserve"> la </w:t>
      </w:r>
      <w:r w:rsidRPr="009C2953">
        <w:rPr>
          <w:lang w:val="fr-FR"/>
        </w:rPr>
        <w:t>période suivante.</w:t>
      </w:r>
    </w:p>
    <w:p w14:paraId="22249F2D" w14:textId="33CB8C5E" w:rsidR="00607B78" w:rsidRPr="009C2953" w:rsidRDefault="00607B78" w:rsidP="00607B78">
      <w:pPr>
        <w:pStyle w:val="CH1"/>
      </w:pPr>
      <w:r w:rsidRPr="009C2953">
        <w:tab/>
        <w:t>XIII.</w:t>
      </w:r>
      <w:r w:rsidRPr="009C2953">
        <w:tab/>
        <w:t>Adoption</w:t>
      </w:r>
      <w:r w:rsidR="00D24DC1" w:rsidRPr="009C2953">
        <w:t xml:space="preserve"> des </w:t>
      </w:r>
      <w:r w:rsidRPr="009C2953">
        <w:t>décisions et du rapport sur</w:t>
      </w:r>
      <w:r w:rsidR="00F34644" w:rsidRPr="009C2953">
        <w:t xml:space="preserve"> les </w:t>
      </w:r>
      <w:r w:rsidRPr="009C2953">
        <w:t>travaux de</w:t>
      </w:r>
      <w:r w:rsidR="00F34644" w:rsidRPr="009C2953">
        <w:t xml:space="preserve"> la </w:t>
      </w:r>
      <w:r w:rsidRPr="009C2953">
        <w:t>session</w:t>
      </w:r>
    </w:p>
    <w:p w14:paraId="71FB3B0A" w14:textId="0ADEE2E0" w:rsidR="00607B78" w:rsidRPr="009C2953" w:rsidRDefault="00607B78" w:rsidP="008731A8">
      <w:pPr>
        <w:pStyle w:val="Normalnumber"/>
        <w:numPr>
          <w:ilvl w:val="0"/>
          <w:numId w:val="2"/>
        </w:numPr>
        <w:rPr>
          <w:lang w:val="fr-FR"/>
        </w:rPr>
      </w:pPr>
      <w:r w:rsidRPr="009C2953">
        <w:rPr>
          <w:lang w:val="fr-FR"/>
        </w:rPr>
        <w:t>La Plénière a adopté</w:t>
      </w:r>
      <w:r w:rsidR="00F34644" w:rsidRPr="009C2953">
        <w:rPr>
          <w:lang w:val="fr-FR"/>
        </w:rPr>
        <w:t xml:space="preserve"> le </w:t>
      </w:r>
      <w:r w:rsidRPr="009C2953">
        <w:rPr>
          <w:lang w:val="fr-FR"/>
        </w:rPr>
        <w:t>présent rapport sur</w:t>
      </w:r>
      <w:r w:rsidR="00F34644" w:rsidRPr="009C2953">
        <w:rPr>
          <w:lang w:val="fr-FR"/>
        </w:rPr>
        <w:t xml:space="preserve"> la </w:t>
      </w:r>
      <w:r w:rsidRPr="009C2953">
        <w:rPr>
          <w:lang w:val="fr-FR"/>
        </w:rPr>
        <w:t>base du projet de rapport qui avait été distribué, étant entendu que</w:t>
      </w:r>
      <w:r w:rsidR="00F34644" w:rsidRPr="009C2953">
        <w:rPr>
          <w:lang w:val="fr-FR"/>
        </w:rPr>
        <w:t xml:space="preserve"> la </w:t>
      </w:r>
      <w:r w:rsidRPr="009C2953">
        <w:rPr>
          <w:lang w:val="fr-FR"/>
        </w:rPr>
        <w:t>version définitive du rapport serait établie par</w:t>
      </w:r>
      <w:r w:rsidR="00F34644" w:rsidRPr="009C2953">
        <w:rPr>
          <w:lang w:val="fr-FR"/>
        </w:rPr>
        <w:t xml:space="preserve"> le </w:t>
      </w:r>
      <w:r w:rsidRPr="009C2953">
        <w:rPr>
          <w:lang w:val="fr-FR"/>
        </w:rPr>
        <w:t>secrétariat sous</w:t>
      </w:r>
      <w:r w:rsidR="00F34644" w:rsidRPr="009C2953">
        <w:rPr>
          <w:lang w:val="fr-FR"/>
        </w:rPr>
        <w:t xml:space="preserve"> la </w:t>
      </w:r>
      <w:r w:rsidRPr="009C2953">
        <w:rPr>
          <w:lang w:val="fr-FR"/>
        </w:rPr>
        <w:t>supervision du</w:t>
      </w:r>
      <w:r w:rsidR="00B618F3" w:rsidRPr="009C2953">
        <w:rPr>
          <w:lang w:val="fr-FR"/>
        </w:rPr>
        <w:t> </w:t>
      </w:r>
      <w:r w:rsidRPr="009C2953">
        <w:rPr>
          <w:lang w:val="fr-FR"/>
        </w:rPr>
        <w:t>Bureau.</w:t>
      </w:r>
    </w:p>
    <w:p w14:paraId="4E14E997" w14:textId="0EE1CC5E" w:rsidR="00607B78" w:rsidRPr="009C2953" w:rsidRDefault="00607B78" w:rsidP="00607B78">
      <w:pPr>
        <w:pStyle w:val="CH1"/>
      </w:pPr>
      <w:r w:rsidRPr="009C2953">
        <w:tab/>
        <w:t>XIV.</w:t>
      </w:r>
      <w:r w:rsidRPr="009C2953">
        <w:tab/>
        <w:t>Clôture de</w:t>
      </w:r>
      <w:r w:rsidR="00F34644" w:rsidRPr="009C2953">
        <w:t xml:space="preserve"> la </w:t>
      </w:r>
      <w:r w:rsidRPr="009C2953">
        <w:t>session</w:t>
      </w:r>
      <w:bookmarkEnd w:id="5"/>
    </w:p>
    <w:p w14:paraId="1352228B" w14:textId="6829591B" w:rsidR="00607B78" w:rsidRPr="009C2953" w:rsidRDefault="00607B78" w:rsidP="008731A8">
      <w:pPr>
        <w:pStyle w:val="Normalnumber"/>
        <w:numPr>
          <w:ilvl w:val="0"/>
          <w:numId w:val="2"/>
        </w:numPr>
        <w:rPr>
          <w:lang w:val="fr-FR"/>
        </w:rPr>
      </w:pPr>
      <w:r w:rsidRPr="009C2953">
        <w:rPr>
          <w:lang w:val="fr-FR"/>
        </w:rPr>
        <w:t>Après</w:t>
      </w:r>
      <w:r w:rsidR="00F34644" w:rsidRPr="009C2953">
        <w:rPr>
          <w:lang w:val="fr-FR"/>
        </w:rPr>
        <w:t xml:space="preserve"> les </w:t>
      </w:r>
      <w:r w:rsidRPr="009C2953">
        <w:rPr>
          <w:lang w:val="fr-FR"/>
        </w:rPr>
        <w:t>échanges de courtoisie d</w:t>
      </w:r>
      <w:r w:rsidR="00EA2966" w:rsidRPr="009C2953">
        <w:rPr>
          <w:lang w:val="fr-FR"/>
        </w:rPr>
        <w:t>’</w:t>
      </w:r>
      <w:r w:rsidRPr="009C2953">
        <w:rPr>
          <w:lang w:val="fr-FR"/>
        </w:rPr>
        <w:t>usage,</w:t>
      </w:r>
      <w:r w:rsidR="00F34644" w:rsidRPr="009C2953">
        <w:rPr>
          <w:lang w:val="fr-FR"/>
        </w:rPr>
        <w:t xml:space="preserve"> la </w:t>
      </w:r>
      <w:r w:rsidRPr="009C2953">
        <w:rPr>
          <w:lang w:val="fr-FR"/>
        </w:rPr>
        <w:t>Présidente a déclaré</w:t>
      </w:r>
      <w:r w:rsidR="00F34644" w:rsidRPr="009C2953">
        <w:rPr>
          <w:lang w:val="fr-FR"/>
        </w:rPr>
        <w:t xml:space="preserve"> la </w:t>
      </w:r>
      <w:r w:rsidRPr="009C2953">
        <w:rPr>
          <w:lang w:val="fr-FR"/>
        </w:rPr>
        <w:t>session close</w:t>
      </w:r>
      <w:r w:rsidR="00F34644" w:rsidRPr="009C2953">
        <w:rPr>
          <w:lang w:val="fr-FR"/>
        </w:rPr>
        <w:t xml:space="preserve"> le </w:t>
      </w:r>
      <w:r w:rsidRPr="009C2953">
        <w:rPr>
          <w:lang w:val="fr-FR"/>
        </w:rPr>
        <w:t xml:space="preserve">samedi 2 septembre 2023 à 13 heures. </w:t>
      </w:r>
    </w:p>
    <w:p w14:paraId="7FE75F26" w14:textId="77777777" w:rsidR="00607B78" w:rsidRPr="009C2953" w:rsidRDefault="00607B78">
      <w:pPr>
        <w:tabs>
          <w:tab w:val="clear" w:pos="1247"/>
          <w:tab w:val="clear" w:pos="1814"/>
          <w:tab w:val="clear" w:pos="2381"/>
          <w:tab w:val="clear" w:pos="2948"/>
          <w:tab w:val="clear" w:pos="3515"/>
        </w:tabs>
        <w:spacing w:after="160" w:line="259" w:lineRule="auto"/>
        <w:rPr>
          <w:b/>
          <w:bCs/>
          <w:sz w:val="28"/>
          <w:szCs w:val="22"/>
          <w:lang w:val="fr-FR"/>
        </w:rPr>
      </w:pPr>
      <w:r w:rsidRPr="009C2953">
        <w:rPr>
          <w:lang w:val="fr-FR"/>
        </w:rPr>
        <w:br w:type="page"/>
      </w:r>
    </w:p>
    <w:p w14:paraId="5494D1C8" w14:textId="04B71D30" w:rsidR="00607B78" w:rsidRPr="009C2953" w:rsidRDefault="00607B78" w:rsidP="00607B78">
      <w:pPr>
        <w:pStyle w:val="ZZAnxheader"/>
      </w:pPr>
      <w:r w:rsidRPr="009C2953">
        <w:lastRenderedPageBreak/>
        <w:t>Annexe</w:t>
      </w:r>
    </w:p>
    <w:p w14:paraId="6C40C50A" w14:textId="5F548189" w:rsidR="00607B78" w:rsidRPr="009C2953" w:rsidRDefault="00607B78" w:rsidP="00143756">
      <w:pPr>
        <w:pStyle w:val="ZZAnxtitle"/>
        <w:rPr>
          <w:szCs w:val="28"/>
        </w:rPr>
      </w:pPr>
      <w:r w:rsidRPr="009C2953">
        <w:t>Décisions adoptées par</w:t>
      </w:r>
      <w:r w:rsidR="00F34644" w:rsidRPr="009C2953">
        <w:t xml:space="preserve"> la </w:t>
      </w:r>
      <w:r w:rsidRPr="009C2953">
        <w:t>Plénière de</w:t>
      </w:r>
      <w:r w:rsidR="00F34644" w:rsidRPr="009C2953">
        <w:t xml:space="preserve"> la </w:t>
      </w:r>
      <w:r w:rsidRPr="009C2953">
        <w:t>Plateforme intergouvernementale scientifique et politique sur</w:t>
      </w:r>
      <w:r w:rsidR="00F34644" w:rsidRPr="009C2953">
        <w:t xml:space="preserve"> la </w:t>
      </w:r>
      <w:r w:rsidRPr="009C2953">
        <w:t>biodiversité</w:t>
      </w:r>
      <w:r w:rsidR="00C6216B" w:rsidRPr="009C2953">
        <w:t xml:space="preserve"> </w:t>
      </w:r>
      <w:r w:rsidRPr="009C2953">
        <w:t>et</w:t>
      </w:r>
      <w:r w:rsidR="00780461" w:rsidRPr="009C2953">
        <w:t> </w:t>
      </w:r>
      <w:r w:rsidR="00F34644" w:rsidRPr="009C2953">
        <w:t>les </w:t>
      </w:r>
      <w:r w:rsidRPr="009C2953">
        <w:t>services écosystémiques à</w:t>
      </w:r>
      <w:r w:rsidR="00F34644" w:rsidRPr="009C2953">
        <w:t xml:space="preserve"> sa </w:t>
      </w:r>
      <w:r w:rsidRPr="009C2953">
        <w:t>dixième session</w:t>
      </w:r>
    </w:p>
    <w:p w14:paraId="0BD3F33E" w14:textId="2C863508" w:rsidR="00607B78" w:rsidRPr="009C2953" w:rsidRDefault="00607B78" w:rsidP="00FA7442">
      <w:pPr>
        <w:pStyle w:val="Normal-pool"/>
        <w:tabs>
          <w:tab w:val="clear" w:pos="1247"/>
        </w:tabs>
        <w:spacing w:before="240" w:after="120"/>
        <w:ind w:left="2494" w:hanging="1247"/>
      </w:pPr>
      <w:r w:rsidRPr="009C2953">
        <w:t>IPBES-10/1 :</w:t>
      </w:r>
      <w:r w:rsidRPr="009C2953">
        <w:tab/>
        <w:t>Mise en œuvre du programme de travail glissant de</w:t>
      </w:r>
      <w:r w:rsidR="00F34644" w:rsidRPr="009C2953">
        <w:t xml:space="preserve"> la </w:t>
      </w:r>
      <w:r w:rsidRPr="009C2953">
        <w:t>Plateforme intergouvernementale scientifique et politique sur</w:t>
      </w:r>
      <w:r w:rsidR="00F34644" w:rsidRPr="009C2953">
        <w:t xml:space="preserve"> la </w:t>
      </w:r>
      <w:r w:rsidRPr="009C2953">
        <w:t>biodiversité et</w:t>
      </w:r>
      <w:r w:rsidR="00F34644" w:rsidRPr="009C2953">
        <w:t xml:space="preserve"> les </w:t>
      </w:r>
      <w:r w:rsidRPr="009C2953">
        <w:t>services écosystémiques pour</w:t>
      </w:r>
      <w:r w:rsidR="00F34644" w:rsidRPr="009C2953">
        <w:t xml:space="preserve"> la </w:t>
      </w:r>
      <w:r w:rsidRPr="009C2953">
        <w:t>période allant jusqu</w:t>
      </w:r>
      <w:r w:rsidR="00EA2966" w:rsidRPr="009C2953">
        <w:t>’</w:t>
      </w:r>
      <w:r w:rsidRPr="009C2953">
        <w:t>en 2030</w:t>
      </w:r>
    </w:p>
    <w:p w14:paraId="5D27467F" w14:textId="54DCA609" w:rsidR="00607B78" w:rsidRPr="009C2953" w:rsidRDefault="00607B78" w:rsidP="00607B78">
      <w:pPr>
        <w:pStyle w:val="Normal-pool"/>
        <w:tabs>
          <w:tab w:val="clear" w:pos="1247"/>
        </w:tabs>
        <w:spacing w:before="120" w:after="120"/>
        <w:ind w:left="2494" w:hanging="1247"/>
      </w:pPr>
      <w:r w:rsidRPr="009C2953">
        <w:t>IPBES-10/2 :</w:t>
      </w:r>
      <w:r w:rsidRPr="009C2953">
        <w:tab/>
        <w:t>Organisation</w:t>
      </w:r>
      <w:r w:rsidR="00D24DC1" w:rsidRPr="009C2953">
        <w:t xml:space="preserve"> des </w:t>
      </w:r>
      <w:r w:rsidRPr="009C2953">
        <w:t>travaux de</w:t>
      </w:r>
      <w:r w:rsidR="00F34644" w:rsidRPr="009C2953">
        <w:t xml:space="preserve"> la </w:t>
      </w:r>
      <w:r w:rsidRPr="009C2953">
        <w:t xml:space="preserve">Plénière et date et lieu de ses futures sessions </w:t>
      </w:r>
    </w:p>
    <w:p w14:paraId="101AFFB1" w14:textId="3D739B67" w:rsidR="00607B78" w:rsidRPr="009C2953" w:rsidRDefault="00607B78" w:rsidP="008E44D1">
      <w:pPr>
        <w:pStyle w:val="Normal-pool"/>
        <w:tabs>
          <w:tab w:val="clear" w:pos="1247"/>
        </w:tabs>
        <w:spacing w:before="120" w:after="120"/>
        <w:ind w:left="2494" w:hanging="1247"/>
        <w:sectPr w:rsidR="00607B78" w:rsidRPr="009C2953" w:rsidSect="00603A5E">
          <w:headerReference w:type="even" r:id="rId12"/>
          <w:headerReference w:type="default" r:id="rId13"/>
          <w:footerReference w:type="even" r:id="rId14"/>
          <w:footerReference w:type="default" r:id="rId15"/>
          <w:footerReference w:type="first" r:id="rId16"/>
          <w:footnotePr>
            <w:numRestart w:val="eachSect"/>
          </w:footnotePr>
          <w:pgSz w:w="11907" w:h="16839" w:code="9"/>
          <w:pgMar w:top="907" w:right="992" w:bottom="1418" w:left="1418" w:header="539" w:footer="975" w:gutter="0"/>
          <w:cols w:space="539"/>
          <w:titlePg/>
          <w:docGrid w:linePitch="360"/>
        </w:sectPr>
      </w:pPr>
      <w:r w:rsidRPr="009C2953">
        <w:t>IPBES-10/3 :</w:t>
      </w:r>
      <w:r w:rsidRPr="009C2953">
        <w:tab/>
        <w:t>Dispositifs financiers et budgétaires pour</w:t>
      </w:r>
      <w:r w:rsidR="00F34644" w:rsidRPr="009C2953">
        <w:t xml:space="preserve"> la </w:t>
      </w:r>
      <w:r w:rsidRPr="009C2953">
        <w:t>Plateforme</w:t>
      </w:r>
    </w:p>
    <w:p w14:paraId="0ABC4FEF" w14:textId="77777777" w:rsidR="00EC2484" w:rsidRPr="009C2953" w:rsidRDefault="00EC2484">
      <w:pPr>
        <w:tabs>
          <w:tab w:val="clear" w:pos="1247"/>
          <w:tab w:val="clear" w:pos="1814"/>
          <w:tab w:val="clear" w:pos="2381"/>
          <w:tab w:val="clear" w:pos="2948"/>
          <w:tab w:val="clear" w:pos="3515"/>
        </w:tabs>
        <w:spacing w:after="160" w:line="259" w:lineRule="auto"/>
        <w:rPr>
          <w:b/>
          <w:sz w:val="28"/>
          <w:szCs w:val="28"/>
          <w:lang w:val="fr-FR"/>
        </w:rPr>
      </w:pPr>
      <w:bookmarkStart w:id="6" w:name="_heading=h.3znysh7"/>
      <w:bookmarkStart w:id="7" w:name="_heading=h.2et92p0" w:colFirst="0" w:colLast="0"/>
      <w:bookmarkStart w:id="8" w:name="_heading=h.26in1rg"/>
      <w:bookmarkStart w:id="9" w:name="_heading=h.lnxbz9"/>
      <w:bookmarkStart w:id="10" w:name="_heading=h.35nkun2"/>
      <w:bookmarkStart w:id="11" w:name="_heading=h.30j0zll"/>
      <w:bookmarkStart w:id="12" w:name="_heading=h.1fob9te"/>
      <w:bookmarkStart w:id="13" w:name="_heading=h.ycfsiil0lk3p"/>
      <w:bookmarkStart w:id="14" w:name="_heading=h.3dy6vkm"/>
      <w:bookmarkStart w:id="15" w:name="_heading=h.1t3h5sf"/>
      <w:bookmarkStart w:id="16" w:name="_heading=h.4d34og8"/>
      <w:bookmarkStart w:id="17" w:name="_heading=h.2s8eyo1"/>
      <w:bookmarkStart w:id="18" w:name="_heading=h.wqqxfjws4ti"/>
      <w:bookmarkStart w:id="19" w:name="_heading=h.z6aq8ms65wnh"/>
      <w:bookmarkStart w:id="20" w:name="_heading=h.17dp8vu"/>
      <w:bookmarkStart w:id="21" w:name="_heading=h.3rdcrjn"/>
      <w:bookmarkStart w:id="22" w:name="_heading=h.1ksv4uv"/>
      <w:bookmarkStart w:id="23" w:name="_heading=h.gjdgx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C2953">
        <w:rPr>
          <w:lang w:val="fr-FR"/>
        </w:rPr>
        <w:br w:type="page"/>
      </w:r>
    </w:p>
    <w:p w14:paraId="76CFD8A7" w14:textId="1A83CA73" w:rsidR="00607B78" w:rsidRPr="009C2953" w:rsidRDefault="00EC2484" w:rsidP="00607B78">
      <w:pPr>
        <w:pStyle w:val="CH1"/>
      </w:pPr>
      <w:r w:rsidRPr="009C2953">
        <w:lastRenderedPageBreak/>
        <w:tab/>
      </w:r>
      <w:r w:rsidRPr="009C2953">
        <w:tab/>
      </w:r>
      <w:r w:rsidR="00607B78" w:rsidRPr="009C2953">
        <w:t>Décision IPBES-10/1 : Mise en œuvre du programme de travail glissant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pour</w:t>
      </w:r>
      <w:r w:rsidR="00F34644" w:rsidRPr="009C2953">
        <w:t xml:space="preserve"> la </w:t>
      </w:r>
      <w:r w:rsidR="00607B78" w:rsidRPr="009C2953">
        <w:t>période allant jusqu</w:t>
      </w:r>
      <w:r w:rsidR="00EA2966" w:rsidRPr="009C2953">
        <w:t>’</w:t>
      </w:r>
      <w:r w:rsidR="00607B78" w:rsidRPr="009C2953">
        <w:t>en 2030</w:t>
      </w:r>
    </w:p>
    <w:p w14:paraId="1EB77715" w14:textId="6F761F0D" w:rsidR="00607B78" w:rsidRPr="009C2953" w:rsidRDefault="00092A02" w:rsidP="00092A02">
      <w:pPr>
        <w:pStyle w:val="NormalNonumber"/>
        <w:rPr>
          <w:i/>
          <w:iCs/>
        </w:rPr>
      </w:pPr>
      <w:r w:rsidRPr="009C2953">
        <w:tab/>
      </w:r>
      <w:r w:rsidR="00607B78" w:rsidRPr="009C2953">
        <w:rPr>
          <w:i/>
          <w:iCs/>
        </w:rPr>
        <w:t>La Plénière,</w:t>
      </w:r>
    </w:p>
    <w:p w14:paraId="7F601034" w14:textId="3BD507B9" w:rsidR="00607B78" w:rsidRPr="009C2953" w:rsidRDefault="00092A02" w:rsidP="00092A02">
      <w:pPr>
        <w:pStyle w:val="NormalNonumber"/>
      </w:pPr>
      <w:r w:rsidRPr="009C2953">
        <w:rPr>
          <w:i/>
        </w:rPr>
        <w:tab/>
      </w:r>
      <w:r w:rsidR="00607B78" w:rsidRPr="009C2953">
        <w:rPr>
          <w:i/>
        </w:rPr>
        <w:t>Accueillant avec satisfaction</w:t>
      </w:r>
      <w:r w:rsidR="00F34644" w:rsidRPr="009C2953">
        <w:t xml:space="preserve"> le </w:t>
      </w:r>
      <w:r w:rsidR="00607B78" w:rsidRPr="009C2953">
        <w:t>rapport de</w:t>
      </w:r>
      <w:r w:rsidR="00F34644" w:rsidRPr="009C2953">
        <w:t xml:space="preserve"> la </w:t>
      </w:r>
      <w:r w:rsidR="00607B78" w:rsidRPr="009C2953">
        <w:t>Secrétaire exécutive sur</w:t>
      </w:r>
      <w:r w:rsidR="00F34644" w:rsidRPr="009C2953">
        <w:t xml:space="preserve"> les </w:t>
      </w:r>
      <w:r w:rsidR="00607B78" w:rsidRPr="009C2953">
        <w:t>progrès accomplis dans</w:t>
      </w:r>
      <w:r w:rsidR="00F34644" w:rsidRPr="009C2953">
        <w:t xml:space="preserve"> la </w:t>
      </w:r>
      <w:r w:rsidR="00607B78" w:rsidRPr="009C2953">
        <w:t>mise en œuvre du programme de travail glissant pour</w:t>
      </w:r>
      <w:r w:rsidR="00F34644" w:rsidRPr="009C2953">
        <w:t xml:space="preserve"> la </w:t>
      </w:r>
      <w:r w:rsidR="00607B78" w:rsidRPr="009C2953">
        <w:t>période allant jusqu</w:t>
      </w:r>
      <w:r w:rsidR="00EA2966" w:rsidRPr="009C2953">
        <w:t>’</w:t>
      </w:r>
      <w:r w:rsidR="00607B78" w:rsidRPr="009C2953">
        <w:t>en 2030</w:t>
      </w:r>
      <w:r w:rsidR="00607B78" w:rsidRPr="009C2953">
        <w:rPr>
          <w:vertAlign w:val="superscript"/>
        </w:rPr>
        <w:footnoteReference w:id="2"/>
      </w:r>
      <w:r w:rsidR="00607B78" w:rsidRPr="009C2953">
        <w:t>,</w:t>
      </w:r>
    </w:p>
    <w:p w14:paraId="235AA835" w14:textId="02C518E4" w:rsidR="00607B78" w:rsidRPr="009C2953" w:rsidRDefault="00092A02" w:rsidP="00092A02">
      <w:pPr>
        <w:pStyle w:val="NormalNonumber"/>
      </w:pPr>
      <w:r w:rsidRPr="009C2953">
        <w:rPr>
          <w:i/>
        </w:rPr>
        <w:tab/>
      </w:r>
      <w:r w:rsidR="00607B78" w:rsidRPr="009C2953">
        <w:rPr>
          <w:i/>
        </w:rPr>
        <w:t>Se félicitant</w:t>
      </w:r>
      <w:r w:rsidR="00D24DC1" w:rsidRPr="009C2953">
        <w:t xml:space="preserve"> des </w:t>
      </w:r>
      <w:r w:rsidR="00607B78" w:rsidRPr="009C2953">
        <w:t xml:space="preserve">contributions remarquables apportées par </w:t>
      </w:r>
      <w:proofErr w:type="spellStart"/>
      <w:r w:rsidR="00607B78" w:rsidRPr="009C2953">
        <w:t>tou</w:t>
      </w:r>
      <w:proofErr w:type="spellEnd"/>
      <w:r w:rsidR="00321253" w:rsidRPr="009C2953">
        <w:t>(te)</w:t>
      </w:r>
      <w:r w:rsidR="00607B78" w:rsidRPr="009C2953">
        <w:t>s</w:t>
      </w:r>
      <w:r w:rsidR="00F34644" w:rsidRPr="009C2953">
        <w:t xml:space="preserve"> les </w:t>
      </w:r>
      <w:r w:rsidR="00607B78" w:rsidRPr="009C2953">
        <w:t>expert</w:t>
      </w:r>
      <w:r w:rsidR="00321253" w:rsidRPr="009C2953">
        <w:t>(e)</w:t>
      </w:r>
      <w:r w:rsidR="00607B78" w:rsidRPr="009C2953">
        <w:t>s associés à</w:t>
      </w:r>
      <w:r w:rsidR="00A75B45" w:rsidRPr="009C2953">
        <w:t> </w:t>
      </w:r>
      <w:r w:rsidR="00607B78" w:rsidRPr="009C2953">
        <w:t>ce</w:t>
      </w:r>
      <w:r w:rsidR="00321253" w:rsidRPr="009C2953">
        <w:t> </w:t>
      </w:r>
      <w:r w:rsidR="00607B78" w:rsidRPr="009C2953">
        <w:t>jour à</w:t>
      </w:r>
      <w:r w:rsidR="00F34644" w:rsidRPr="009C2953">
        <w:t xml:space="preserve"> la </w:t>
      </w:r>
      <w:r w:rsidR="00607B78" w:rsidRPr="009C2953">
        <w:t>mise en œuvre du programme de travail et remerciant ces derniers de</w:t>
      </w:r>
      <w:r w:rsidR="00F34644" w:rsidRPr="009C2953">
        <w:t xml:space="preserve"> leur </w:t>
      </w:r>
      <w:r w:rsidR="00607B78" w:rsidRPr="009C2953">
        <w:t>dévouement sans</w:t>
      </w:r>
      <w:r w:rsidR="00321253" w:rsidRPr="009C2953">
        <w:t> </w:t>
      </w:r>
      <w:r w:rsidR="00607B78" w:rsidRPr="009C2953">
        <w:t>faille,</w:t>
      </w:r>
    </w:p>
    <w:p w14:paraId="67F3C2E8" w14:textId="12452670" w:rsidR="00607B78" w:rsidRPr="009C2953" w:rsidRDefault="00092A02" w:rsidP="00092A02">
      <w:pPr>
        <w:pStyle w:val="NormalNonumber"/>
      </w:pPr>
      <w:r w:rsidRPr="009C2953">
        <w:rPr>
          <w:i/>
        </w:rPr>
        <w:tab/>
      </w:r>
      <w:r w:rsidR="00607B78" w:rsidRPr="009C2953">
        <w:rPr>
          <w:i/>
        </w:rPr>
        <w:t>Engageant</w:t>
      </w:r>
      <w:r w:rsidR="00F34644" w:rsidRPr="009C2953">
        <w:t xml:space="preserve"> les </w:t>
      </w:r>
      <w:r w:rsidR="00607B78" w:rsidRPr="009C2953">
        <w:t>gouvernements et</w:t>
      </w:r>
      <w:r w:rsidR="00F34644" w:rsidRPr="009C2953">
        <w:t xml:space="preserve"> les </w:t>
      </w:r>
      <w:r w:rsidR="00607B78" w:rsidRPr="009C2953">
        <w:t>organisations concernées à participer activement à</w:t>
      </w:r>
      <w:r w:rsidR="00A75B45" w:rsidRPr="009C2953">
        <w:t> </w:t>
      </w:r>
      <w:r w:rsidR="00F34644" w:rsidRPr="009C2953">
        <w:t>la </w:t>
      </w:r>
      <w:r w:rsidR="00607B78" w:rsidRPr="009C2953">
        <w:t>mise</w:t>
      </w:r>
      <w:r w:rsidR="00321253" w:rsidRPr="009C2953">
        <w:t> </w:t>
      </w:r>
      <w:r w:rsidR="00607B78" w:rsidRPr="009C2953">
        <w:t>en œuvre du programme de travail,</w:t>
      </w:r>
    </w:p>
    <w:p w14:paraId="0D892D54" w14:textId="77777777" w:rsidR="00607B78" w:rsidRPr="009C2953" w:rsidRDefault="00607B78" w:rsidP="00607B78">
      <w:pPr>
        <w:pStyle w:val="CH2"/>
        <w:tabs>
          <w:tab w:val="left" w:pos="2552"/>
        </w:tabs>
        <w:ind w:firstLine="0"/>
        <w:jc w:val="center"/>
      </w:pPr>
      <w:r w:rsidRPr="009C2953">
        <w:t>I</w:t>
      </w:r>
    </w:p>
    <w:p w14:paraId="629CAA55" w14:textId="4A47E1A5" w:rsidR="00607B78" w:rsidRPr="009C2953" w:rsidRDefault="00607B78" w:rsidP="00607B78">
      <w:pPr>
        <w:pStyle w:val="CH2"/>
        <w:tabs>
          <w:tab w:val="clear" w:pos="851"/>
          <w:tab w:val="clear" w:pos="1247"/>
          <w:tab w:val="clear" w:pos="1871"/>
          <w:tab w:val="clear" w:pos="2495"/>
          <w:tab w:val="clear" w:pos="3119"/>
          <w:tab w:val="clear" w:pos="3742"/>
          <w:tab w:val="clear" w:pos="4366"/>
        </w:tabs>
        <w:spacing w:before="0"/>
        <w:ind w:firstLine="0"/>
        <w:jc w:val="center"/>
      </w:pPr>
      <w:r w:rsidRPr="009C2953">
        <w:t>Mise en œuvre du programme de travail de</w:t>
      </w:r>
      <w:r w:rsidR="00F34644" w:rsidRPr="009C2953">
        <w:t xml:space="preserve"> la </w:t>
      </w:r>
      <w:r w:rsidRPr="009C2953">
        <w:t>Plateforme pour</w:t>
      </w:r>
      <w:r w:rsidR="00F34644" w:rsidRPr="009C2953">
        <w:t xml:space="preserve"> la </w:t>
      </w:r>
      <w:r w:rsidRPr="009C2953">
        <w:t>période</w:t>
      </w:r>
      <w:r w:rsidR="000D47E2" w:rsidRPr="009C2953">
        <w:t> </w:t>
      </w:r>
      <w:r w:rsidRPr="009C2953">
        <w:t>allant jusqu</w:t>
      </w:r>
      <w:r w:rsidR="00EA2966" w:rsidRPr="009C2953">
        <w:t>’</w:t>
      </w:r>
      <w:r w:rsidRPr="009C2953">
        <w:t>en 2030</w:t>
      </w:r>
    </w:p>
    <w:p w14:paraId="2F3F6F46" w14:textId="536CFDC3" w:rsidR="00607B78" w:rsidRPr="009C2953" w:rsidRDefault="00092A02" w:rsidP="00092A02">
      <w:pPr>
        <w:pStyle w:val="NormalNonumber"/>
        <w:rPr>
          <w:iCs/>
        </w:rPr>
      </w:pPr>
      <w:r w:rsidRPr="009C2953">
        <w:rPr>
          <w:iCs/>
        </w:rPr>
        <w:tab/>
        <w:t>1.</w:t>
      </w:r>
      <w:r w:rsidRPr="009C2953">
        <w:rPr>
          <w:iCs/>
        </w:rPr>
        <w:tab/>
      </w:r>
      <w:r w:rsidR="00607B78" w:rsidRPr="009C2953">
        <w:rPr>
          <w:i/>
        </w:rPr>
        <w:t>Décide</w:t>
      </w:r>
      <w:r w:rsidR="00607B78" w:rsidRPr="009C2953">
        <w:t xml:space="preserve"> de procéder à</w:t>
      </w:r>
      <w:r w:rsidR="00F34644" w:rsidRPr="009C2953">
        <w:t xml:space="preserve"> la </w:t>
      </w:r>
      <w:r w:rsidR="00607B78" w:rsidRPr="009C2953">
        <w:t>mise en œuvre du programme de travail conformément</w:t>
      </w:r>
      <w:r w:rsidR="00F34644" w:rsidRPr="009C2953">
        <w:t xml:space="preserve"> aux </w:t>
      </w:r>
      <w:r w:rsidR="00607B78" w:rsidRPr="009C2953">
        <w:t>décisions adoptées lors de ses précédentes sessions, à</w:t>
      </w:r>
      <w:r w:rsidR="00F34644" w:rsidRPr="009C2953">
        <w:t xml:space="preserve"> la </w:t>
      </w:r>
      <w:r w:rsidR="00607B78" w:rsidRPr="009C2953">
        <w:t>présente décision et au budget approuvé, qui</w:t>
      </w:r>
      <w:r w:rsidR="00E06D61" w:rsidRPr="009C2953">
        <w:t> </w:t>
      </w:r>
      <w:r w:rsidR="00607B78" w:rsidRPr="009C2953">
        <w:t>figure dans</w:t>
      </w:r>
      <w:r w:rsidR="00F34644" w:rsidRPr="009C2953">
        <w:t xml:space="preserve"> la </w:t>
      </w:r>
      <w:r w:rsidR="00607B78" w:rsidRPr="009C2953">
        <w:t>décision IPBES</w:t>
      </w:r>
      <w:r w:rsidR="00607B78" w:rsidRPr="009C2953">
        <w:noBreakHyphen/>
        <w:t>10/3 ;</w:t>
      </w:r>
    </w:p>
    <w:p w14:paraId="2F9C9597" w14:textId="27795840" w:rsidR="00607B78" w:rsidRPr="009C2953" w:rsidRDefault="00092A02" w:rsidP="00092A02">
      <w:pPr>
        <w:pStyle w:val="NormalNonumber"/>
        <w:rPr>
          <w:iCs/>
        </w:rPr>
      </w:pPr>
      <w:r w:rsidRPr="009C2953">
        <w:rPr>
          <w:i/>
        </w:rPr>
        <w:tab/>
      </w:r>
      <w:r w:rsidRPr="009C2953">
        <w:rPr>
          <w:iCs/>
        </w:rPr>
        <w:t>2.</w:t>
      </w:r>
      <w:r w:rsidRPr="009C2953">
        <w:rPr>
          <w:iCs/>
        </w:rPr>
        <w:tab/>
      </w:r>
      <w:r w:rsidR="00607B78" w:rsidRPr="009C2953">
        <w:rPr>
          <w:i/>
        </w:rPr>
        <w:t>Prie</w:t>
      </w:r>
      <w:r w:rsidR="00F34644" w:rsidRPr="009C2953">
        <w:t xml:space="preserve"> la </w:t>
      </w:r>
      <w:r w:rsidR="00607B78" w:rsidRPr="009C2953">
        <w:t>Secrétaire exécutive de lui présenter, à</w:t>
      </w:r>
      <w:r w:rsidR="00F34644" w:rsidRPr="009C2953">
        <w:t xml:space="preserve"> sa </w:t>
      </w:r>
      <w:r w:rsidR="00607B78" w:rsidRPr="009C2953">
        <w:t>onzième session,</w:t>
      </w:r>
      <w:r w:rsidR="00F34644" w:rsidRPr="009C2953">
        <w:t xml:space="preserve"> un </w:t>
      </w:r>
      <w:r w:rsidR="00607B78" w:rsidRPr="009C2953">
        <w:t>rapport sur</w:t>
      </w:r>
      <w:r w:rsidR="00F34644" w:rsidRPr="009C2953">
        <w:t xml:space="preserve"> les </w:t>
      </w:r>
      <w:r w:rsidR="00607B78" w:rsidRPr="009C2953">
        <w:t>progrès accomplis dans l</w:t>
      </w:r>
      <w:r w:rsidR="00EA2966" w:rsidRPr="009C2953">
        <w:t>’</w:t>
      </w:r>
      <w:r w:rsidR="00607B78" w:rsidRPr="009C2953">
        <w:t>exécution du programme de travail ;</w:t>
      </w:r>
    </w:p>
    <w:p w14:paraId="25238E6F" w14:textId="77777777" w:rsidR="00607B78" w:rsidRPr="009C2953" w:rsidRDefault="00607B78" w:rsidP="00607B78">
      <w:pPr>
        <w:pStyle w:val="CH2"/>
        <w:tabs>
          <w:tab w:val="left" w:pos="2552"/>
        </w:tabs>
        <w:ind w:firstLine="0"/>
        <w:jc w:val="center"/>
      </w:pPr>
      <w:r w:rsidRPr="009C2953">
        <w:t>II</w:t>
      </w:r>
    </w:p>
    <w:p w14:paraId="601C043A" w14:textId="3EE8C9BD" w:rsidR="00607B78" w:rsidRPr="009C2953" w:rsidRDefault="00607B78" w:rsidP="00607B78">
      <w:pPr>
        <w:pStyle w:val="CH2"/>
        <w:tabs>
          <w:tab w:val="clear" w:pos="851"/>
          <w:tab w:val="clear" w:pos="1247"/>
          <w:tab w:val="clear" w:pos="1871"/>
          <w:tab w:val="clear" w:pos="2495"/>
          <w:tab w:val="clear" w:pos="3119"/>
          <w:tab w:val="clear" w:pos="3742"/>
          <w:tab w:val="clear" w:pos="4366"/>
        </w:tabs>
        <w:spacing w:before="0"/>
        <w:ind w:firstLine="0"/>
        <w:jc w:val="center"/>
      </w:pPr>
      <w:r w:rsidRPr="009C2953">
        <w:t>Évaluation</w:t>
      </w:r>
      <w:r w:rsidR="00D24DC1" w:rsidRPr="009C2953">
        <w:t xml:space="preserve"> des </w:t>
      </w:r>
      <w:r w:rsidRPr="009C2953">
        <w:t>connaissances</w:t>
      </w:r>
    </w:p>
    <w:p w14:paraId="2DDAFEFC" w14:textId="6ADC5378" w:rsidR="00607B78" w:rsidRPr="009C2953" w:rsidRDefault="00092A02" w:rsidP="00092A02">
      <w:pPr>
        <w:pStyle w:val="NormalNonumber"/>
      </w:pPr>
      <w:r w:rsidRPr="009C2953">
        <w:rPr>
          <w:iCs/>
        </w:rPr>
        <w:tab/>
        <w:t>3.</w:t>
      </w:r>
      <w:r w:rsidRPr="009C2953">
        <w:rPr>
          <w:iCs/>
        </w:rPr>
        <w:tab/>
      </w:r>
      <w:r w:rsidR="00607B78" w:rsidRPr="009C2953">
        <w:rPr>
          <w:i/>
        </w:rPr>
        <w:t>Approuve</w:t>
      </w:r>
      <w:r w:rsidR="00F34644" w:rsidRPr="009C2953">
        <w:t xml:space="preserve"> le </w:t>
      </w:r>
      <w:r w:rsidR="00607B78" w:rsidRPr="009C2953">
        <w:t>résumé à l</w:t>
      </w:r>
      <w:r w:rsidR="00EA2966" w:rsidRPr="009C2953">
        <w:t>’</w:t>
      </w:r>
      <w:r w:rsidR="00607B78" w:rsidRPr="009C2953">
        <w:t>intention</w:t>
      </w:r>
      <w:r w:rsidR="00D24DC1" w:rsidRPr="009C2953">
        <w:t xml:space="preserve"> des </w:t>
      </w:r>
      <w:r w:rsidR="00607B78" w:rsidRPr="009C2953">
        <w:t>décideurs de l</w:t>
      </w:r>
      <w:r w:rsidR="00EA2966" w:rsidRPr="009C2953">
        <w:t>’</w:t>
      </w:r>
      <w:r w:rsidR="00607B78" w:rsidRPr="009C2953">
        <w:t>évaluation thématique</w:t>
      </w:r>
      <w:r w:rsidR="00D24DC1" w:rsidRPr="009C2953">
        <w:t xml:space="preserve"> des </w:t>
      </w:r>
      <w:r w:rsidR="00607B78" w:rsidRPr="009C2953">
        <w:t>espèces exotiques envahissantes et de</w:t>
      </w:r>
      <w:r w:rsidR="00F34644" w:rsidRPr="009C2953">
        <w:t xml:space="preserve"> la </w:t>
      </w:r>
      <w:r w:rsidR="00607B78" w:rsidRPr="009C2953">
        <w:t>lutte contre</w:t>
      </w:r>
      <w:r w:rsidR="00F34644" w:rsidRPr="009C2953">
        <w:t xml:space="preserve"> leur </w:t>
      </w:r>
      <w:r w:rsidR="00607B78" w:rsidRPr="009C2953">
        <w:t>prolifération</w:t>
      </w:r>
      <w:r w:rsidR="00607B78" w:rsidRPr="009C2953">
        <w:rPr>
          <w:vertAlign w:val="superscript"/>
        </w:rPr>
        <w:footnoteReference w:id="3"/>
      </w:r>
      <w:r w:rsidR="00607B78" w:rsidRPr="009C2953">
        <w:t>, et accepte</w:t>
      </w:r>
      <w:r w:rsidR="00F34644" w:rsidRPr="009C2953">
        <w:t xml:space="preserve"> les </w:t>
      </w:r>
      <w:r w:rsidR="00607B78" w:rsidRPr="009C2953">
        <w:t>chapitres de l</w:t>
      </w:r>
      <w:r w:rsidR="00EA2966" w:rsidRPr="009C2953">
        <w:t>’</w:t>
      </w:r>
      <w:r w:rsidR="00607B78" w:rsidRPr="009C2953">
        <w:t>évaluation,</w:t>
      </w:r>
      <w:r w:rsidR="00F34644" w:rsidRPr="009C2953">
        <w:t xml:space="preserve"> y </w:t>
      </w:r>
      <w:r w:rsidR="00607B78" w:rsidRPr="009C2953">
        <w:t>compris</w:t>
      </w:r>
      <w:r w:rsidR="00107282" w:rsidRPr="009C2953">
        <w:t xml:space="preserve"> leurs </w:t>
      </w:r>
      <w:r w:rsidR="00607B78" w:rsidRPr="009C2953">
        <w:t>résumés analytiques ;</w:t>
      </w:r>
    </w:p>
    <w:p w14:paraId="4574E230" w14:textId="09D0966F" w:rsidR="00607B78" w:rsidRPr="009C2953" w:rsidRDefault="00092A02" w:rsidP="00092A02">
      <w:pPr>
        <w:pStyle w:val="NormalNonumber"/>
        <w:rPr>
          <w:color w:val="000000"/>
        </w:rPr>
      </w:pPr>
      <w:r w:rsidRPr="009C2953">
        <w:rPr>
          <w:iCs/>
          <w:color w:val="000000"/>
        </w:rPr>
        <w:tab/>
        <w:t>4.</w:t>
      </w:r>
      <w:r w:rsidRPr="009C2953">
        <w:rPr>
          <w:iCs/>
          <w:color w:val="000000"/>
        </w:rPr>
        <w:tab/>
      </w:r>
      <w:r w:rsidR="00607B78" w:rsidRPr="009C2953">
        <w:rPr>
          <w:i/>
          <w:color w:val="000000"/>
        </w:rPr>
        <w:t>Approuve également</w:t>
      </w:r>
      <w:r w:rsidR="00607B78" w:rsidRPr="009C2953">
        <w:rPr>
          <w:color w:val="000000"/>
        </w:rPr>
        <w:t>, pour examen par</w:t>
      </w:r>
      <w:r w:rsidR="00F34644" w:rsidRPr="009C2953">
        <w:rPr>
          <w:color w:val="000000"/>
        </w:rPr>
        <w:t xml:space="preserve"> la </w:t>
      </w:r>
      <w:r w:rsidR="00607B78" w:rsidRPr="009C2953">
        <w:rPr>
          <w:color w:val="000000"/>
        </w:rPr>
        <w:t>Plénière à</w:t>
      </w:r>
      <w:r w:rsidR="00F34644" w:rsidRPr="009C2953">
        <w:rPr>
          <w:color w:val="000000"/>
        </w:rPr>
        <w:t xml:space="preserve"> sa </w:t>
      </w:r>
      <w:r w:rsidR="00607B78" w:rsidRPr="009C2953">
        <w:rPr>
          <w:color w:val="000000"/>
        </w:rPr>
        <w:t>onzième session,</w:t>
      </w:r>
      <w:r w:rsidR="00F34644" w:rsidRPr="009C2953">
        <w:rPr>
          <w:color w:val="000000"/>
        </w:rPr>
        <w:t xml:space="preserve"> une </w:t>
      </w:r>
      <w:r w:rsidR="00607B78" w:rsidRPr="009C2953">
        <w:rPr>
          <w:color w:val="000000"/>
        </w:rPr>
        <w:t>procédure de</w:t>
      </w:r>
      <w:r w:rsidR="00A322B1" w:rsidRPr="009C2953">
        <w:rPr>
          <w:color w:val="000000"/>
        </w:rPr>
        <w:t> </w:t>
      </w:r>
      <w:r w:rsidR="00607B78" w:rsidRPr="009C2953">
        <w:rPr>
          <w:color w:val="000000"/>
        </w:rPr>
        <w:t>cadrage de</w:t>
      </w:r>
      <w:r w:rsidR="00F34644" w:rsidRPr="009C2953">
        <w:rPr>
          <w:color w:val="000000"/>
        </w:rPr>
        <w:t xml:space="preserve"> la </w:t>
      </w:r>
      <w:r w:rsidR="00607B78" w:rsidRPr="009C2953">
        <w:rPr>
          <w:color w:val="000000"/>
        </w:rPr>
        <w:t>deuxième évaluation mondiale de</w:t>
      </w:r>
      <w:r w:rsidR="00F34644" w:rsidRPr="009C2953">
        <w:rPr>
          <w:color w:val="000000"/>
        </w:rPr>
        <w:t xml:space="preserve"> la </w:t>
      </w:r>
      <w:r w:rsidR="00607B78" w:rsidRPr="009C2953">
        <w:rPr>
          <w:color w:val="000000"/>
        </w:rPr>
        <w:t>biodiversité et</w:t>
      </w:r>
      <w:r w:rsidR="00D24DC1" w:rsidRPr="009C2953">
        <w:rPr>
          <w:color w:val="000000"/>
        </w:rPr>
        <w:t xml:space="preserve"> des </w:t>
      </w:r>
      <w:r w:rsidR="00607B78" w:rsidRPr="009C2953">
        <w:rPr>
          <w:color w:val="000000"/>
        </w:rPr>
        <w:t>services écosystémiques, conformément</w:t>
      </w:r>
      <w:r w:rsidR="00F34644" w:rsidRPr="009C2953">
        <w:rPr>
          <w:color w:val="000000"/>
        </w:rPr>
        <w:t xml:space="preserve"> aux </w:t>
      </w:r>
      <w:r w:rsidR="00607B78" w:rsidRPr="009C2953">
        <w:rPr>
          <w:color w:val="000000"/>
        </w:rPr>
        <w:t>procédures d</w:t>
      </w:r>
      <w:r w:rsidR="00EA2966" w:rsidRPr="009C2953">
        <w:rPr>
          <w:color w:val="000000"/>
        </w:rPr>
        <w:t>’</w:t>
      </w:r>
      <w:r w:rsidR="00607B78" w:rsidRPr="009C2953">
        <w:rPr>
          <w:color w:val="000000"/>
        </w:rPr>
        <w:t>établissement</w:t>
      </w:r>
      <w:r w:rsidR="00D24DC1" w:rsidRPr="009C2953">
        <w:rPr>
          <w:color w:val="000000"/>
        </w:rPr>
        <w:t xml:space="preserve"> des </w:t>
      </w:r>
      <w:r w:rsidR="00607B78" w:rsidRPr="009C2953">
        <w:rPr>
          <w:color w:val="000000"/>
        </w:rPr>
        <w:t>produits de</w:t>
      </w:r>
      <w:r w:rsidR="00F34644" w:rsidRPr="009C2953">
        <w:rPr>
          <w:color w:val="000000"/>
        </w:rPr>
        <w:t xml:space="preserve"> la </w:t>
      </w:r>
      <w:r w:rsidR="00607B78" w:rsidRPr="009C2953">
        <w:rPr>
          <w:color w:val="000000"/>
        </w:rPr>
        <w:t>Plateforme</w:t>
      </w:r>
      <w:r w:rsidR="00607B78" w:rsidRPr="009C2953">
        <w:rPr>
          <w:color w:val="000000"/>
          <w:vertAlign w:val="superscript"/>
        </w:rPr>
        <w:footnoteReference w:id="4"/>
      </w:r>
      <w:r w:rsidR="00607B78" w:rsidRPr="009C2953">
        <w:rPr>
          <w:color w:val="000000"/>
        </w:rPr>
        <w:t xml:space="preserve"> et sur</w:t>
      </w:r>
      <w:r w:rsidR="00F34644" w:rsidRPr="009C2953">
        <w:rPr>
          <w:color w:val="000000"/>
        </w:rPr>
        <w:t xml:space="preserve"> la </w:t>
      </w:r>
      <w:r w:rsidR="00607B78" w:rsidRPr="009C2953">
        <w:rPr>
          <w:color w:val="000000"/>
        </w:rPr>
        <w:t>base du rapport de cadrage initial</w:t>
      </w:r>
      <w:r w:rsidR="00607B78" w:rsidRPr="009C2953">
        <w:rPr>
          <w:rStyle w:val="FootnoteReference"/>
          <w:color w:val="000000"/>
        </w:rPr>
        <w:footnoteReference w:id="5"/>
      </w:r>
      <w:r w:rsidR="00607B78" w:rsidRPr="009C2953">
        <w:rPr>
          <w:color w:val="000000"/>
        </w:rPr>
        <w:t> ;</w:t>
      </w:r>
    </w:p>
    <w:p w14:paraId="301620B5" w14:textId="7BB066F5" w:rsidR="00607B78" w:rsidRPr="009C2953" w:rsidRDefault="00092A02" w:rsidP="00092A02">
      <w:pPr>
        <w:pStyle w:val="NormalNonumber"/>
      </w:pPr>
      <w:r w:rsidRPr="009C2953">
        <w:rPr>
          <w:i/>
        </w:rPr>
        <w:tab/>
      </w:r>
      <w:r w:rsidRPr="009C2953">
        <w:rPr>
          <w:iCs/>
        </w:rPr>
        <w:t>5.</w:t>
      </w:r>
      <w:r w:rsidRPr="009C2953">
        <w:rPr>
          <w:iCs/>
        </w:rPr>
        <w:tab/>
      </w:r>
      <w:r w:rsidR="00607B78" w:rsidRPr="009C2953">
        <w:rPr>
          <w:i/>
        </w:rPr>
        <w:t>Demande</w:t>
      </w:r>
      <w:r w:rsidR="00607B78" w:rsidRPr="009C2953">
        <w:t xml:space="preserve"> au Groupe d</w:t>
      </w:r>
      <w:r w:rsidR="00EA2966" w:rsidRPr="009C2953">
        <w:t>’</w:t>
      </w:r>
      <w:r w:rsidR="00607B78" w:rsidRPr="009C2953">
        <w:t>experts multidisciplinaire d</w:t>
      </w:r>
      <w:r w:rsidR="00EA2966" w:rsidRPr="009C2953">
        <w:t>’</w:t>
      </w:r>
      <w:r w:rsidR="00607B78" w:rsidRPr="009C2953">
        <w:t>accorder l</w:t>
      </w:r>
      <w:r w:rsidR="00EA2966" w:rsidRPr="009C2953">
        <w:t>’</w:t>
      </w:r>
      <w:r w:rsidR="00607B78" w:rsidRPr="009C2953">
        <w:t>attention voulue à</w:t>
      </w:r>
      <w:r w:rsidR="00F34644" w:rsidRPr="009C2953">
        <w:t xml:space="preserve"> la </w:t>
      </w:r>
      <w:r w:rsidR="00607B78" w:rsidRPr="009C2953">
        <w:t>prise en</w:t>
      </w:r>
      <w:r w:rsidR="00A322B1" w:rsidRPr="009C2953">
        <w:t> </w:t>
      </w:r>
      <w:r w:rsidR="00607B78" w:rsidRPr="009C2953">
        <w:t>considération et à l</w:t>
      </w:r>
      <w:r w:rsidR="00EA2966" w:rsidRPr="009C2953">
        <w:t>’</w:t>
      </w:r>
      <w:r w:rsidR="00607B78" w:rsidRPr="009C2953">
        <w:t>utilisation</w:t>
      </w:r>
      <w:r w:rsidR="00D24DC1" w:rsidRPr="009C2953">
        <w:t xml:space="preserve"> des </w:t>
      </w:r>
      <w:r w:rsidR="00607B78" w:rsidRPr="009C2953">
        <w:t>savoirs autochtones et locaux s</w:t>
      </w:r>
      <w:r w:rsidR="00EA2966" w:rsidRPr="009C2953">
        <w:t>’</w:t>
      </w:r>
      <w:r w:rsidR="00607B78" w:rsidRPr="009C2953">
        <w:t>agissant du cadrage de</w:t>
      </w:r>
      <w:r w:rsidR="00F34644" w:rsidRPr="009C2953">
        <w:t xml:space="preserve"> la </w:t>
      </w:r>
      <w:r w:rsidR="00607B78" w:rsidRPr="009C2953">
        <w:t>deuxième évaluation mondiale de</w:t>
      </w:r>
      <w:r w:rsidR="00F34644" w:rsidRPr="009C2953">
        <w:t xml:space="preserve"> la </w:t>
      </w:r>
      <w:r w:rsidR="00607B78" w:rsidRPr="009C2953">
        <w:t>biodiversité et</w:t>
      </w:r>
      <w:r w:rsidR="00D24DC1" w:rsidRPr="009C2953">
        <w:t xml:space="preserve"> des </w:t>
      </w:r>
      <w:r w:rsidR="00607B78" w:rsidRPr="009C2953">
        <w:t>services écosystémiques, en consacrant</w:t>
      </w:r>
      <w:r w:rsidR="00F34644" w:rsidRPr="009C2953">
        <w:t xml:space="preserve"> un </w:t>
      </w:r>
      <w:r w:rsidR="00607B78" w:rsidRPr="009C2953">
        <w:t>chapitre de l</w:t>
      </w:r>
      <w:r w:rsidR="00EA2966" w:rsidRPr="009C2953">
        <w:t>’</w:t>
      </w:r>
      <w:r w:rsidR="00607B78" w:rsidRPr="009C2953">
        <w:t>évaluation</w:t>
      </w:r>
      <w:r w:rsidR="00F34644" w:rsidRPr="009C2953">
        <w:t xml:space="preserve"> aux </w:t>
      </w:r>
      <w:r w:rsidR="00607B78" w:rsidRPr="009C2953">
        <w:t>différents systèmes de connaissances,</w:t>
      </w:r>
      <w:r w:rsidR="00F34644" w:rsidRPr="009C2953">
        <w:t xml:space="preserve"> y </w:t>
      </w:r>
      <w:r w:rsidR="00607B78" w:rsidRPr="009C2953">
        <w:t>compris, entre autres,</w:t>
      </w:r>
      <w:r w:rsidR="00F34644" w:rsidRPr="009C2953">
        <w:t xml:space="preserve"> le </w:t>
      </w:r>
      <w:r w:rsidR="00607B78" w:rsidRPr="009C2953">
        <w:t>concept de vie en équilibre et en harmonie avec</w:t>
      </w:r>
      <w:r w:rsidR="00F34644" w:rsidRPr="009C2953">
        <w:t xml:space="preserve"> la </w:t>
      </w:r>
      <w:r w:rsidR="00607B78" w:rsidRPr="009C2953">
        <w:t xml:space="preserve">Terre </w:t>
      </w:r>
      <w:r w:rsidR="00BB1264" w:rsidRPr="009C2953">
        <w:t>nourricière</w:t>
      </w:r>
      <w:r w:rsidR="00607B78" w:rsidRPr="009C2953">
        <w:t>, et en intégrant</w:t>
      </w:r>
      <w:r w:rsidR="00F34644" w:rsidRPr="009C2953">
        <w:t xml:space="preserve"> les </w:t>
      </w:r>
      <w:r w:rsidR="00607B78" w:rsidRPr="009C2953">
        <w:t>savoirs autochtones et locaux dans tous</w:t>
      </w:r>
      <w:r w:rsidR="00F34644" w:rsidRPr="009C2953">
        <w:t xml:space="preserve"> les </w:t>
      </w:r>
      <w:r w:rsidR="00607B78" w:rsidRPr="009C2953">
        <w:t>chapitres, selon qu</w:t>
      </w:r>
      <w:r w:rsidR="00EA2966" w:rsidRPr="009C2953">
        <w:t>’</w:t>
      </w:r>
      <w:r w:rsidR="00607B78" w:rsidRPr="009C2953">
        <w:t>il convient, comme indiqué dans</w:t>
      </w:r>
      <w:r w:rsidR="00F34644" w:rsidRPr="009C2953">
        <w:t xml:space="preserve"> le </w:t>
      </w:r>
      <w:r w:rsidR="00607B78" w:rsidRPr="009C2953">
        <w:t>cadre conceptuel de</w:t>
      </w:r>
      <w:r w:rsidR="00F34644" w:rsidRPr="009C2953">
        <w:t xml:space="preserve"> la </w:t>
      </w:r>
      <w:r w:rsidR="00607B78" w:rsidRPr="009C2953">
        <w:t>Plateforme ;</w:t>
      </w:r>
    </w:p>
    <w:p w14:paraId="5BF18E5A" w14:textId="4D4AD463" w:rsidR="00607B78" w:rsidRPr="009C2953" w:rsidRDefault="00092A02" w:rsidP="00092A02">
      <w:pPr>
        <w:pStyle w:val="NormalNonumber"/>
        <w:rPr>
          <w:color w:val="000000"/>
        </w:rPr>
      </w:pPr>
      <w:r w:rsidRPr="009C2953">
        <w:rPr>
          <w:color w:val="000000"/>
        </w:rPr>
        <w:tab/>
      </w:r>
      <w:r w:rsidR="00092DBA" w:rsidRPr="009C2953">
        <w:rPr>
          <w:color w:val="000000"/>
        </w:rPr>
        <w:t>6.</w:t>
      </w:r>
      <w:r w:rsidR="00092DBA" w:rsidRPr="009C2953">
        <w:rPr>
          <w:color w:val="000000"/>
        </w:rPr>
        <w:tab/>
      </w:r>
      <w:r w:rsidR="00607B78" w:rsidRPr="009C2953">
        <w:rPr>
          <w:i/>
          <w:iCs/>
          <w:color w:val="000000"/>
        </w:rPr>
        <w:t>Approuve</w:t>
      </w:r>
      <w:r w:rsidR="00F34644" w:rsidRPr="009C2953">
        <w:rPr>
          <w:color w:val="000000"/>
        </w:rPr>
        <w:t xml:space="preserve"> la </w:t>
      </w:r>
      <w:r w:rsidR="00607B78" w:rsidRPr="009C2953">
        <w:rPr>
          <w:color w:val="000000"/>
        </w:rPr>
        <w:t>réalisation</w:t>
      </w:r>
      <w:r w:rsidR="00D24DC1" w:rsidRPr="009C2953">
        <w:rPr>
          <w:color w:val="000000"/>
        </w:rPr>
        <w:t xml:space="preserve"> des </w:t>
      </w:r>
      <w:r w:rsidR="00607B78" w:rsidRPr="009C2953">
        <w:rPr>
          <w:color w:val="000000"/>
        </w:rPr>
        <w:t>évaluations accélérées ci-après, conformément</w:t>
      </w:r>
      <w:r w:rsidR="00F34644" w:rsidRPr="009C2953">
        <w:rPr>
          <w:color w:val="000000"/>
        </w:rPr>
        <w:t xml:space="preserve"> aux </w:t>
      </w:r>
      <w:r w:rsidR="00607B78" w:rsidRPr="009C2953">
        <w:rPr>
          <w:color w:val="000000"/>
        </w:rPr>
        <w:t>procédures d</w:t>
      </w:r>
      <w:r w:rsidR="00EA2966" w:rsidRPr="009C2953">
        <w:rPr>
          <w:color w:val="000000"/>
        </w:rPr>
        <w:t>’</w:t>
      </w:r>
      <w:r w:rsidR="00607B78" w:rsidRPr="009C2953">
        <w:rPr>
          <w:color w:val="000000"/>
        </w:rPr>
        <w:t>établissement</w:t>
      </w:r>
      <w:r w:rsidR="00D24DC1" w:rsidRPr="009C2953">
        <w:rPr>
          <w:color w:val="000000"/>
        </w:rPr>
        <w:t xml:space="preserve"> des </w:t>
      </w:r>
      <w:r w:rsidR="00607B78" w:rsidRPr="009C2953">
        <w:rPr>
          <w:color w:val="000000"/>
        </w:rPr>
        <w:t>produits de</w:t>
      </w:r>
      <w:r w:rsidR="00F34644" w:rsidRPr="009C2953">
        <w:rPr>
          <w:color w:val="000000"/>
        </w:rPr>
        <w:t xml:space="preserve"> la </w:t>
      </w:r>
      <w:r w:rsidR="00607B78" w:rsidRPr="009C2953">
        <w:rPr>
          <w:color w:val="000000"/>
        </w:rPr>
        <w:t>Plateforme</w:t>
      </w:r>
      <w:r w:rsidR="00607B78" w:rsidRPr="009C2953">
        <w:rPr>
          <w:color w:val="000000"/>
          <w:vertAlign w:val="superscript"/>
        </w:rPr>
        <w:footnoteReference w:id="6"/>
      </w:r>
      <w:r w:rsidR="00607B78" w:rsidRPr="009C2953">
        <w:rPr>
          <w:color w:val="000000"/>
        </w:rPr>
        <w:t> :</w:t>
      </w:r>
    </w:p>
    <w:p w14:paraId="5CEF014A" w14:textId="7E6A7002" w:rsidR="00607B78" w:rsidRPr="009C2953" w:rsidRDefault="00092DBA" w:rsidP="00092DBA">
      <w:pPr>
        <w:pStyle w:val="NormalNonumber"/>
      </w:pPr>
      <w:r w:rsidRPr="009C2953">
        <w:tab/>
        <w:t>a)</w:t>
      </w:r>
      <w:r w:rsidRPr="009C2953">
        <w:tab/>
      </w:r>
      <w:r w:rsidR="00607B78" w:rsidRPr="009C2953">
        <w:t>Une évaluation méthodologique de</w:t>
      </w:r>
      <w:r w:rsidR="00F34644" w:rsidRPr="009C2953">
        <w:t xml:space="preserve"> la </w:t>
      </w:r>
      <w:r w:rsidR="00607B78" w:rsidRPr="009C2953">
        <w:t>surveillance de</w:t>
      </w:r>
      <w:r w:rsidR="00F34644" w:rsidRPr="009C2953">
        <w:t xml:space="preserve"> la </w:t>
      </w:r>
      <w:r w:rsidR="00607B78" w:rsidRPr="009C2953">
        <w:t>biodiversité et</w:t>
      </w:r>
      <w:r w:rsidR="0037676F" w:rsidRPr="009C2953">
        <w:t> </w:t>
      </w:r>
      <w:r w:rsidR="00D24DC1" w:rsidRPr="009C2953">
        <w:t>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comme indiqué dans</w:t>
      </w:r>
      <w:r w:rsidR="00F34644" w:rsidRPr="009C2953">
        <w:t xml:space="preserve"> le </w:t>
      </w:r>
      <w:r w:rsidR="00607B78" w:rsidRPr="009C2953">
        <w:t>rapport de cadrage de</w:t>
      </w:r>
      <w:r w:rsidR="0037676F" w:rsidRPr="009C2953">
        <w:t> </w:t>
      </w:r>
      <w:r w:rsidR="00607B78" w:rsidRPr="009C2953">
        <w:t>l</w:t>
      </w:r>
      <w:r w:rsidR="00EA2966" w:rsidRPr="009C2953">
        <w:t>’</w:t>
      </w:r>
      <w:r w:rsidR="00607B78" w:rsidRPr="009C2953">
        <w:t>évaluation figurant dans</w:t>
      </w:r>
      <w:r w:rsidR="008E44D1" w:rsidRPr="009C2953">
        <w:t> </w:t>
      </w:r>
      <w:r w:rsidR="00607B78" w:rsidRPr="009C2953">
        <w:t>l</w:t>
      </w:r>
      <w:r w:rsidR="00EA2966" w:rsidRPr="009C2953">
        <w:t>’</w:t>
      </w:r>
      <w:r w:rsidR="00607B78" w:rsidRPr="009C2953">
        <w:t>annexe I de</w:t>
      </w:r>
      <w:r w:rsidR="00F34644" w:rsidRPr="009C2953">
        <w:t xml:space="preserve"> la </w:t>
      </w:r>
      <w:r w:rsidR="00607B78" w:rsidRPr="009C2953">
        <w:t>présente décision, pour qu</w:t>
      </w:r>
      <w:r w:rsidR="00EA2966" w:rsidRPr="009C2953">
        <w:t>’</w:t>
      </w:r>
      <w:r w:rsidR="00607B78" w:rsidRPr="009C2953">
        <w:t>elle l</w:t>
      </w:r>
      <w:r w:rsidR="00EA2966" w:rsidRPr="009C2953">
        <w:t>’</w:t>
      </w:r>
      <w:r w:rsidR="00607B78" w:rsidRPr="009C2953">
        <w:t>examine à</w:t>
      </w:r>
      <w:r w:rsidR="0037676F" w:rsidRPr="009C2953">
        <w:t> </w:t>
      </w:r>
      <w:r w:rsidR="00F34644" w:rsidRPr="009C2953">
        <w:t>sa </w:t>
      </w:r>
      <w:r w:rsidR="00607B78" w:rsidRPr="009C2953">
        <w:t>treizième</w:t>
      </w:r>
      <w:r w:rsidR="0037676F" w:rsidRPr="009C2953">
        <w:t> </w:t>
      </w:r>
      <w:r w:rsidR="00607B78" w:rsidRPr="009C2953">
        <w:t>session ;</w:t>
      </w:r>
    </w:p>
    <w:p w14:paraId="5811519E" w14:textId="0BCD451D" w:rsidR="00607B78" w:rsidRPr="009C2953" w:rsidRDefault="00092DBA" w:rsidP="0037676F">
      <w:pPr>
        <w:pStyle w:val="NormalNonumber"/>
        <w:keepNext/>
        <w:keepLines/>
      </w:pPr>
      <w:r w:rsidRPr="009C2953">
        <w:lastRenderedPageBreak/>
        <w:tab/>
        <w:t>b)</w:t>
      </w:r>
      <w:r w:rsidRPr="009C2953">
        <w:tab/>
      </w:r>
      <w:r w:rsidR="00607B78" w:rsidRPr="009C2953">
        <w:t>Une évaluation méthodologique de l</w:t>
      </w:r>
      <w:r w:rsidR="00EA2966" w:rsidRPr="009C2953">
        <w:t>’</w:t>
      </w:r>
      <w:r w:rsidR="00607B78" w:rsidRPr="009C2953">
        <w:t>aménagement du territoire intégré tenant compte de</w:t>
      </w:r>
      <w:r w:rsidR="00F34644" w:rsidRPr="009C2953">
        <w:t xml:space="preserve"> la </w:t>
      </w:r>
      <w:r w:rsidR="00607B78" w:rsidRPr="009C2953">
        <w:t>diversité biologique et de</w:t>
      </w:r>
      <w:r w:rsidR="00F34644" w:rsidRPr="009C2953">
        <w:t xml:space="preserve"> la </w:t>
      </w:r>
      <w:r w:rsidR="00607B78" w:rsidRPr="009C2953">
        <w:t>connectivité écologique, comme indiqué dans</w:t>
      </w:r>
      <w:r w:rsidR="00F34644" w:rsidRPr="009C2953">
        <w:t xml:space="preserve"> le </w:t>
      </w:r>
      <w:r w:rsidR="00607B78" w:rsidRPr="009C2953">
        <w:t>rapport de cadrage de l</w:t>
      </w:r>
      <w:r w:rsidR="00EA2966" w:rsidRPr="009C2953">
        <w:t>’</w:t>
      </w:r>
      <w:r w:rsidR="00607B78" w:rsidRPr="009C2953">
        <w:t>évaluation figurant dans l</w:t>
      </w:r>
      <w:r w:rsidR="00EA2966" w:rsidRPr="009C2953">
        <w:t>’</w:t>
      </w:r>
      <w:r w:rsidR="00607B78" w:rsidRPr="009C2953">
        <w:t>annexe II de</w:t>
      </w:r>
      <w:r w:rsidR="00F34644" w:rsidRPr="009C2953">
        <w:t xml:space="preserve"> la </w:t>
      </w:r>
      <w:r w:rsidR="00607B78" w:rsidRPr="009C2953">
        <w:t>présente décision, pour qu</w:t>
      </w:r>
      <w:r w:rsidR="00EA2966" w:rsidRPr="009C2953">
        <w:t>’</w:t>
      </w:r>
      <w:r w:rsidR="00607B78" w:rsidRPr="009C2953">
        <w:t>elle l</w:t>
      </w:r>
      <w:r w:rsidR="00EA2966" w:rsidRPr="009C2953">
        <w:t>’</w:t>
      </w:r>
      <w:r w:rsidR="00607B78" w:rsidRPr="009C2953">
        <w:t>examine à</w:t>
      </w:r>
      <w:r w:rsidR="00F34644" w:rsidRPr="009C2953">
        <w:t xml:space="preserve"> sa </w:t>
      </w:r>
      <w:r w:rsidR="00607B78" w:rsidRPr="009C2953">
        <w:t>quatorzième session ;</w:t>
      </w:r>
    </w:p>
    <w:p w14:paraId="2B74FD28" w14:textId="718D4380" w:rsidR="00607B78" w:rsidRPr="009C2953" w:rsidRDefault="00092DBA" w:rsidP="00092DBA">
      <w:pPr>
        <w:pStyle w:val="NormalNonumber"/>
        <w:rPr>
          <w:color w:val="000000"/>
        </w:rPr>
      </w:pPr>
      <w:r w:rsidRPr="009C2953">
        <w:rPr>
          <w:i/>
        </w:rPr>
        <w:tab/>
      </w:r>
      <w:r w:rsidRPr="009C2953">
        <w:rPr>
          <w:iCs/>
        </w:rPr>
        <w:t>7.</w:t>
      </w:r>
      <w:r w:rsidRPr="009C2953">
        <w:rPr>
          <w:iCs/>
        </w:rPr>
        <w:tab/>
      </w:r>
      <w:r w:rsidR="00607B78" w:rsidRPr="009C2953">
        <w:rPr>
          <w:i/>
        </w:rPr>
        <w:t>Prie</w:t>
      </w:r>
      <w:r w:rsidR="00F34644" w:rsidRPr="009C2953">
        <w:t xml:space="preserve"> la </w:t>
      </w:r>
      <w:r w:rsidR="00607B78" w:rsidRPr="009C2953">
        <w:t>Secrétaire exécutive de lancer</w:t>
      </w:r>
      <w:r w:rsidR="00F34644" w:rsidRPr="009C2953">
        <w:t xml:space="preserve"> un </w:t>
      </w:r>
      <w:r w:rsidR="00607B78" w:rsidRPr="009C2953">
        <w:t>appel, conformément à</w:t>
      </w:r>
      <w:r w:rsidR="00F34644" w:rsidRPr="009C2953">
        <w:t xml:space="preserve"> la </w:t>
      </w:r>
      <w:r w:rsidR="00607B78" w:rsidRPr="009C2953">
        <w:t>décision IPBES-1/3, après</w:t>
      </w:r>
      <w:r w:rsidR="00F34644" w:rsidRPr="009C2953">
        <w:t xml:space="preserve"> la </w:t>
      </w:r>
      <w:r w:rsidR="00607B78" w:rsidRPr="009C2953">
        <w:t>onzième session de</w:t>
      </w:r>
      <w:r w:rsidR="00F34644" w:rsidRPr="009C2953">
        <w:t xml:space="preserve"> la </w:t>
      </w:r>
      <w:r w:rsidR="00607B78" w:rsidRPr="009C2953">
        <w:t>Plénière, sollicitant de nouvelles demandes, contributions et suggestions au programme de travail ;</w:t>
      </w:r>
    </w:p>
    <w:p w14:paraId="4220AA71" w14:textId="46AFB755" w:rsidR="00607B78" w:rsidRPr="009C2953" w:rsidRDefault="00092DBA" w:rsidP="00092DBA">
      <w:pPr>
        <w:pStyle w:val="NormalNonumber"/>
        <w:rPr>
          <w:color w:val="000000"/>
        </w:rPr>
      </w:pPr>
      <w:r w:rsidRPr="009C2953">
        <w:rPr>
          <w:i/>
        </w:rPr>
        <w:tab/>
      </w:r>
      <w:r w:rsidRPr="009C2953">
        <w:rPr>
          <w:iCs/>
        </w:rPr>
        <w:t>8.</w:t>
      </w:r>
      <w:r w:rsidRPr="009C2953">
        <w:rPr>
          <w:iCs/>
        </w:rPr>
        <w:tab/>
      </w:r>
      <w:r w:rsidR="00607B78" w:rsidRPr="009C2953">
        <w:rPr>
          <w:i/>
        </w:rPr>
        <w:t>Décide</w:t>
      </w:r>
      <w:r w:rsidR="00607B78" w:rsidRPr="009C2953">
        <w:t xml:space="preserve"> de déterminer, à</w:t>
      </w:r>
      <w:r w:rsidR="00F34644" w:rsidRPr="009C2953">
        <w:t xml:space="preserve"> sa </w:t>
      </w:r>
      <w:r w:rsidR="00607B78" w:rsidRPr="009C2953">
        <w:t>douzième session,</w:t>
      </w:r>
      <w:r w:rsidR="00F34644" w:rsidRPr="009C2953">
        <w:t xml:space="preserve"> le </w:t>
      </w:r>
      <w:r w:rsidR="00607B78" w:rsidRPr="009C2953">
        <w:t>sujet exact d</w:t>
      </w:r>
      <w:r w:rsidR="00EA2966" w:rsidRPr="009C2953">
        <w:t>’</w:t>
      </w:r>
      <w:r w:rsidR="00607B78" w:rsidRPr="009C2953">
        <w:t>une nouvelle évaluation pour</w:t>
      </w:r>
      <w:r w:rsidR="00F34644" w:rsidRPr="009C2953">
        <w:t xml:space="preserve"> la </w:t>
      </w:r>
      <w:r w:rsidR="00607B78" w:rsidRPr="009C2953">
        <w:t>période allant jusqu</w:t>
      </w:r>
      <w:r w:rsidR="00EA2966" w:rsidRPr="009C2953">
        <w:t>’</w:t>
      </w:r>
      <w:r w:rsidR="00607B78" w:rsidRPr="009C2953">
        <w:t>en 2030 ;</w:t>
      </w:r>
    </w:p>
    <w:p w14:paraId="3B86CAA3" w14:textId="1053FD82" w:rsidR="002F6B0F" w:rsidRPr="009C2953" w:rsidRDefault="00092DBA" w:rsidP="00092DBA">
      <w:pPr>
        <w:pStyle w:val="NormalNonumber"/>
        <w:rPr>
          <w:color w:val="000000"/>
        </w:rPr>
      </w:pPr>
      <w:r w:rsidRPr="009C2953">
        <w:rPr>
          <w:i/>
        </w:rPr>
        <w:tab/>
      </w:r>
      <w:r w:rsidRPr="009C2953">
        <w:rPr>
          <w:iCs/>
        </w:rPr>
        <w:t>9.</w:t>
      </w:r>
      <w:r w:rsidRPr="009C2953">
        <w:rPr>
          <w:iCs/>
        </w:rPr>
        <w:tab/>
      </w:r>
      <w:r w:rsidR="00607B78" w:rsidRPr="009C2953">
        <w:rPr>
          <w:i/>
        </w:rPr>
        <w:t>Se félicite</w:t>
      </w:r>
      <w:r w:rsidR="00607B78" w:rsidRPr="009C2953">
        <w:t xml:space="preserve"> de</w:t>
      </w:r>
      <w:r w:rsidR="00F34644" w:rsidRPr="009C2953">
        <w:t xml:space="preserve"> la </w:t>
      </w:r>
      <w:r w:rsidR="00607B78" w:rsidRPr="009C2953">
        <w:t>note du secrétariat sur</w:t>
      </w:r>
      <w:r w:rsidR="00F34644" w:rsidRPr="009C2953">
        <w:t xml:space="preserve"> la </w:t>
      </w:r>
      <w:r w:rsidR="00607B78" w:rsidRPr="009C2953">
        <w:t>collaboration avec</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w:t>
      </w:r>
      <w:r w:rsidR="00607B78" w:rsidRPr="009C2953">
        <w:rPr>
          <w:vertAlign w:val="superscript"/>
        </w:rPr>
        <w:footnoteReference w:id="7"/>
      </w:r>
      <w:r w:rsidR="00607B78" w:rsidRPr="009C2953">
        <w:t> ;</w:t>
      </w:r>
      <w:r w:rsidR="00607B78" w:rsidRPr="009C2953">
        <w:rPr>
          <w:color w:val="000000"/>
        </w:rPr>
        <w:t xml:space="preserve"> </w:t>
      </w:r>
    </w:p>
    <w:p w14:paraId="4105F0EC" w14:textId="232E4541" w:rsidR="00607B78" w:rsidRPr="009C2953" w:rsidRDefault="0009688F" w:rsidP="0009688F">
      <w:pPr>
        <w:pStyle w:val="NormalNonumber"/>
      </w:pPr>
      <w:r w:rsidRPr="009C2953">
        <w:rPr>
          <w:i/>
        </w:rPr>
        <w:tab/>
      </w:r>
      <w:r w:rsidRPr="009C2953">
        <w:rPr>
          <w:iCs/>
        </w:rPr>
        <w:t>10.</w:t>
      </w:r>
      <w:r w:rsidRPr="009C2953">
        <w:rPr>
          <w:iCs/>
        </w:rPr>
        <w:tab/>
      </w:r>
      <w:r w:rsidR="00607B78" w:rsidRPr="009C2953">
        <w:rPr>
          <w:i/>
        </w:rPr>
        <w:t>Prend acte</w:t>
      </w:r>
      <w:r w:rsidR="00607B78" w:rsidRPr="009C2953">
        <w:t xml:space="preserve"> de</w:t>
      </w:r>
      <w:r w:rsidR="00F34644" w:rsidRPr="009C2953">
        <w:t xml:space="preserve"> la </w:t>
      </w:r>
      <w:r w:rsidR="00607B78" w:rsidRPr="009C2953">
        <w:t>compilation</w:t>
      </w:r>
      <w:r w:rsidR="00D24DC1" w:rsidRPr="009C2953">
        <w:t xml:space="preserve"> des </w:t>
      </w:r>
      <w:r w:rsidR="00607B78" w:rsidRPr="009C2953">
        <w:t>nouvelles suggestions formulées par</w:t>
      </w:r>
      <w:r w:rsidR="00D24DC1" w:rsidRPr="009C2953">
        <w:t xml:space="preserve"> des </w:t>
      </w:r>
      <w:r w:rsidR="00607B78" w:rsidRPr="009C2953">
        <w:t>membres de</w:t>
      </w:r>
      <w:r w:rsidR="00F34644" w:rsidRPr="009C2953">
        <w:t xml:space="preserve"> la </w:t>
      </w:r>
      <w:r w:rsidR="00607B78" w:rsidRPr="009C2953">
        <w:t>Plateforme concernant</w:t>
      </w:r>
      <w:r w:rsidR="00F34644" w:rsidRPr="009C2953">
        <w:t xml:space="preserve"> les </w:t>
      </w:r>
      <w:r w:rsidR="00607B78" w:rsidRPr="009C2953">
        <w:t>questions thématiques ou méthodologiques liées à</w:t>
      </w:r>
      <w:r w:rsidR="00F34644" w:rsidRPr="009C2953">
        <w:t xml:space="preserve"> la </w:t>
      </w:r>
      <w:r w:rsidR="00607B78" w:rsidRPr="009C2953">
        <w:t>biodiversité et</w:t>
      </w:r>
      <w:r w:rsidR="00F34644" w:rsidRPr="009C2953">
        <w:t xml:space="preserve"> aux </w:t>
      </w:r>
      <w:r w:rsidR="00607B78" w:rsidRPr="009C2953">
        <w:t>changements climatiques qui bénéficieraient d</w:t>
      </w:r>
      <w:r w:rsidR="00EA2966" w:rsidRPr="009C2953">
        <w:t>’</w:t>
      </w:r>
      <w:r w:rsidR="00607B78" w:rsidRPr="009C2953">
        <w:t>une collaboration entre</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 et</w:t>
      </w:r>
      <w:r w:rsidR="00F34644" w:rsidRPr="009C2953">
        <w:t xml:space="preserve"> la </w:t>
      </w:r>
      <w:r w:rsidR="00607B78" w:rsidRPr="009C2953">
        <w:t>Plateforme</w:t>
      </w:r>
      <w:r w:rsidR="00607B78" w:rsidRPr="009C2953">
        <w:rPr>
          <w:vertAlign w:val="superscript"/>
        </w:rPr>
        <w:footnoteReference w:id="8"/>
      </w:r>
      <w:r w:rsidR="00607B78" w:rsidRPr="009C2953">
        <w:t> ;</w:t>
      </w:r>
    </w:p>
    <w:p w14:paraId="1BF85C7D" w14:textId="78BBD57A" w:rsidR="00607B78" w:rsidRPr="009C2953" w:rsidRDefault="0009688F" w:rsidP="0009688F">
      <w:pPr>
        <w:pStyle w:val="NormalNonumber"/>
      </w:pPr>
      <w:r w:rsidRPr="009C2953">
        <w:rPr>
          <w:i/>
        </w:rPr>
        <w:tab/>
      </w:r>
      <w:r w:rsidRPr="009C2953">
        <w:rPr>
          <w:iCs/>
        </w:rPr>
        <w:t>11.</w:t>
      </w:r>
      <w:r w:rsidRPr="009C2953">
        <w:rPr>
          <w:iCs/>
        </w:rPr>
        <w:tab/>
      </w:r>
      <w:r w:rsidR="00607B78" w:rsidRPr="009C2953">
        <w:rPr>
          <w:i/>
        </w:rPr>
        <w:t>Invite</w:t>
      </w:r>
      <w:r w:rsidR="00F34644" w:rsidRPr="009C2953">
        <w:t xml:space="preserve"> les </w:t>
      </w:r>
      <w:r w:rsidR="00607B78" w:rsidRPr="009C2953">
        <w:t>correspondant(e)s nationaux(ales) de</w:t>
      </w:r>
      <w:r w:rsidR="00F34644" w:rsidRPr="009C2953">
        <w:t xml:space="preserve"> la </w:t>
      </w:r>
      <w:r w:rsidR="00607B78" w:rsidRPr="009C2953">
        <w:t>Plateforme à continuer de collaborer avec</w:t>
      </w:r>
      <w:r w:rsidR="00107282" w:rsidRPr="009C2953">
        <w:t xml:space="preserve"> leurs </w:t>
      </w:r>
      <w:r w:rsidR="00607B78" w:rsidRPr="009C2953">
        <w:t>homologues du GIEC afin d</w:t>
      </w:r>
      <w:r w:rsidR="00EA2966" w:rsidRPr="009C2953">
        <w:t>’</w:t>
      </w:r>
      <w:r w:rsidR="00607B78" w:rsidRPr="009C2953">
        <w:t>examiner conjointement</w:t>
      </w:r>
      <w:r w:rsidR="00F34644" w:rsidRPr="009C2953">
        <w:t xml:space="preserve"> les </w:t>
      </w:r>
      <w:r w:rsidR="00607B78" w:rsidRPr="009C2953">
        <w:t>moyens potentiels d</w:t>
      </w:r>
      <w:r w:rsidR="00EA2966" w:rsidRPr="009C2953">
        <w:t>’</w:t>
      </w:r>
      <w:r w:rsidR="00607B78" w:rsidRPr="009C2953">
        <w:t>accroître</w:t>
      </w:r>
      <w:r w:rsidR="00F34644" w:rsidRPr="009C2953">
        <w:t xml:space="preserve"> la </w:t>
      </w:r>
      <w:r w:rsidR="00607B78" w:rsidRPr="009C2953">
        <w:t>coopération scientifique et l</w:t>
      </w:r>
      <w:r w:rsidR="00EA2966" w:rsidRPr="009C2953">
        <w:t>’</w:t>
      </w:r>
      <w:r w:rsidR="00607B78" w:rsidRPr="009C2953">
        <w:t>échange d</w:t>
      </w:r>
      <w:r w:rsidR="00EA2966" w:rsidRPr="009C2953">
        <w:t>’</w:t>
      </w:r>
      <w:r w:rsidR="00607B78" w:rsidRPr="009C2953">
        <w:t>informations et d</w:t>
      </w:r>
      <w:r w:rsidR="00EA2966" w:rsidRPr="009C2953">
        <w:t>’</w:t>
      </w:r>
      <w:r w:rsidR="00607B78" w:rsidRPr="009C2953">
        <w:t>améliorer</w:t>
      </w:r>
      <w:r w:rsidR="00F34644" w:rsidRPr="009C2953">
        <w:t xml:space="preserve"> la </w:t>
      </w:r>
      <w:r w:rsidR="00607B78" w:rsidRPr="009C2953">
        <w:t>compréhension</w:t>
      </w:r>
      <w:r w:rsidR="00D24DC1" w:rsidRPr="009C2953">
        <w:t xml:space="preserve"> des </w:t>
      </w:r>
      <w:r w:rsidR="00607B78" w:rsidRPr="009C2953">
        <w:t>processus, procédures et plans de travail pertinents</w:t>
      </w:r>
      <w:r w:rsidR="00607B78" w:rsidRPr="009C2953">
        <w:rPr>
          <w:vertAlign w:val="superscript"/>
        </w:rPr>
        <w:footnoteReference w:id="9"/>
      </w:r>
      <w:r w:rsidR="00607B78" w:rsidRPr="009C2953">
        <w:t> ;</w:t>
      </w:r>
    </w:p>
    <w:p w14:paraId="2200D737" w14:textId="7C53D226" w:rsidR="00607B78" w:rsidRPr="009C2953" w:rsidRDefault="0053601F" w:rsidP="0053601F">
      <w:pPr>
        <w:pStyle w:val="NormalNonumber"/>
        <w:rPr>
          <w:strike/>
        </w:rPr>
      </w:pPr>
      <w:r w:rsidRPr="009C2953">
        <w:rPr>
          <w:iCs/>
        </w:rPr>
        <w:tab/>
        <w:t>12.</w:t>
      </w:r>
      <w:r w:rsidRPr="009C2953">
        <w:rPr>
          <w:iCs/>
        </w:rPr>
        <w:tab/>
      </w:r>
      <w:r w:rsidR="00607B78" w:rsidRPr="009C2953">
        <w:rPr>
          <w:i/>
        </w:rPr>
        <w:t>Invite à nouveau</w:t>
      </w:r>
      <w:r w:rsidR="00F34644" w:rsidRPr="009C2953">
        <w:t xml:space="preserve"> les </w:t>
      </w:r>
      <w:r w:rsidR="00607B78" w:rsidRPr="009C2953">
        <w:t>membres de</w:t>
      </w:r>
      <w:r w:rsidR="00F34644" w:rsidRPr="009C2953">
        <w:t xml:space="preserve"> la </w:t>
      </w:r>
      <w:r w:rsidR="00ED1F28" w:rsidRPr="009C2953">
        <w:t>Plateforme</w:t>
      </w:r>
      <w:r w:rsidR="00607B78" w:rsidRPr="009C2953">
        <w:t>,</w:t>
      </w:r>
      <w:r w:rsidR="00F34644" w:rsidRPr="009C2953">
        <w:t xml:space="preserve"> les </w:t>
      </w:r>
      <w:r w:rsidR="00607B78" w:rsidRPr="009C2953">
        <w:t>parties prenantes intéressées,</w:t>
      </w:r>
      <w:r w:rsidR="00F34644" w:rsidRPr="009C2953">
        <w:t xml:space="preserve"> les </w:t>
      </w:r>
      <w:r w:rsidR="00607B78" w:rsidRPr="009C2953">
        <w:t>organismes scientifiques et</w:t>
      </w:r>
      <w:r w:rsidR="00F34644" w:rsidRPr="009C2953">
        <w:t xml:space="preserve"> les </w:t>
      </w:r>
      <w:r w:rsidR="00607B78" w:rsidRPr="009C2953">
        <w:t>instituts de recherche à entreprendre</w:t>
      </w:r>
      <w:r w:rsidR="00D24DC1" w:rsidRPr="009C2953">
        <w:t xml:space="preserve"> des </w:t>
      </w:r>
      <w:r w:rsidR="00607B78" w:rsidRPr="009C2953">
        <w:t>activités d</w:t>
      </w:r>
      <w:r w:rsidR="00EA2966" w:rsidRPr="009C2953">
        <w:t>’</w:t>
      </w:r>
      <w:r w:rsidR="00607B78" w:rsidRPr="009C2953">
        <w:t>élaboration</w:t>
      </w:r>
      <w:r w:rsidR="00D24DC1" w:rsidRPr="009C2953">
        <w:t xml:space="preserve"> des </w:t>
      </w:r>
      <w:r w:rsidR="00607B78" w:rsidRPr="009C2953">
        <w:t>connaissances et de recherche au sujet</w:t>
      </w:r>
      <w:r w:rsidR="00D24DC1" w:rsidRPr="009C2953">
        <w:t xml:space="preserve"> des </w:t>
      </w:r>
      <w:r w:rsidR="00607B78" w:rsidRPr="009C2953">
        <w:t>liens entre</w:t>
      </w:r>
      <w:r w:rsidR="00F34644" w:rsidRPr="009C2953">
        <w:t xml:space="preserve"> la </w:t>
      </w:r>
      <w:r w:rsidR="00607B78" w:rsidRPr="009C2953">
        <w:t>biodiversité et</w:t>
      </w:r>
      <w:r w:rsidR="00F34644" w:rsidRPr="009C2953">
        <w:t xml:space="preserve"> les </w:t>
      </w:r>
      <w:r w:rsidR="00607B78" w:rsidRPr="009C2953">
        <w:t>changements climatiques,</w:t>
      </w:r>
      <w:r w:rsidR="00F34644" w:rsidRPr="009C2953">
        <w:t xml:space="preserve"> y </w:t>
      </w:r>
      <w:r w:rsidR="00607B78" w:rsidRPr="009C2953">
        <w:t>compris</w:t>
      </w:r>
      <w:r w:rsidR="00F34644" w:rsidRPr="009C2953">
        <w:t xml:space="preserve"> les </w:t>
      </w:r>
      <w:r w:rsidR="00607B78" w:rsidRPr="009C2953">
        <w:t>impacts</w:t>
      </w:r>
      <w:r w:rsidR="00D24DC1" w:rsidRPr="009C2953">
        <w:t xml:space="preserve"> des </w:t>
      </w:r>
      <w:r w:rsidR="00607B78" w:rsidRPr="009C2953">
        <w:t>changements climatiques ;</w:t>
      </w:r>
    </w:p>
    <w:p w14:paraId="154D2E7A" w14:textId="46DB51A2" w:rsidR="00607B78" w:rsidRPr="009C2953" w:rsidRDefault="0053601F" w:rsidP="0053601F">
      <w:pPr>
        <w:pStyle w:val="NormalNonumber"/>
      </w:pPr>
      <w:r w:rsidRPr="009C2953">
        <w:rPr>
          <w:iCs/>
        </w:rPr>
        <w:tab/>
        <w:t>13.</w:t>
      </w:r>
      <w:r w:rsidRPr="009C2953">
        <w:rPr>
          <w:iCs/>
        </w:rPr>
        <w:tab/>
      </w:r>
      <w:r w:rsidR="00607B78" w:rsidRPr="009C2953">
        <w:rPr>
          <w:i/>
        </w:rPr>
        <w:t>Invite</w:t>
      </w:r>
      <w:r w:rsidR="00F34644" w:rsidRPr="009C2953">
        <w:t xml:space="preserve"> le </w:t>
      </w:r>
      <w:r w:rsidR="00607B78" w:rsidRPr="009C2953">
        <w:t>Bureau et</w:t>
      </w:r>
      <w:r w:rsidR="00F34644" w:rsidRPr="009C2953">
        <w:t xml:space="preserve"> la </w:t>
      </w:r>
      <w:r w:rsidR="00607B78" w:rsidRPr="009C2953">
        <w:t>Secrétaire exécutive de</w:t>
      </w:r>
      <w:r w:rsidR="00F34644" w:rsidRPr="009C2953">
        <w:t xml:space="preserve"> la </w:t>
      </w:r>
      <w:r w:rsidR="00607B78" w:rsidRPr="009C2953">
        <w:t>Plateforme à continuer d</w:t>
      </w:r>
      <w:r w:rsidR="00EA2966" w:rsidRPr="009C2953">
        <w:t>’</w:t>
      </w:r>
      <w:r w:rsidR="00607B78" w:rsidRPr="009C2953">
        <w:t>étudier avec</w:t>
      </w:r>
      <w:r w:rsidR="00B47222" w:rsidRPr="009C2953">
        <w:t> </w:t>
      </w:r>
      <w:r w:rsidR="00F34644" w:rsidRPr="009C2953">
        <w:t>le </w:t>
      </w:r>
      <w:r w:rsidR="00607B78" w:rsidRPr="009C2953">
        <w:t>Groupe d</w:t>
      </w:r>
      <w:r w:rsidR="00EA2966" w:rsidRPr="009C2953">
        <w:t>’</w:t>
      </w:r>
      <w:r w:rsidR="00607B78" w:rsidRPr="009C2953">
        <w:t>experts intergouvernemental sur l</w:t>
      </w:r>
      <w:r w:rsidR="00EA2966" w:rsidRPr="009C2953">
        <w:t>’</w:t>
      </w:r>
      <w:r w:rsidR="00607B78" w:rsidRPr="009C2953">
        <w:t>évolution du climat, au début de</w:t>
      </w:r>
      <w:r w:rsidR="00F34644" w:rsidRPr="009C2953">
        <w:t xml:space="preserve"> son </w:t>
      </w:r>
      <w:r w:rsidR="00607B78" w:rsidRPr="009C2953">
        <w:t>septième</w:t>
      </w:r>
      <w:r w:rsidR="00B47222" w:rsidRPr="009C2953">
        <w:t> </w:t>
      </w:r>
      <w:r w:rsidR="00607B78" w:rsidRPr="009C2953">
        <w:t>cycle</w:t>
      </w:r>
      <w:r w:rsidR="008E44D1" w:rsidRPr="009C2953">
        <w:t> </w:t>
      </w:r>
      <w:r w:rsidR="00607B78" w:rsidRPr="009C2953">
        <w:t>d</w:t>
      </w:r>
      <w:r w:rsidR="00EA2966" w:rsidRPr="009C2953">
        <w:t>’</w:t>
      </w:r>
      <w:r w:rsidR="00607B78" w:rsidRPr="009C2953">
        <w:t>évaluation,</w:t>
      </w:r>
      <w:r w:rsidR="00D24DC1" w:rsidRPr="009C2953">
        <w:t xml:space="preserve"> des </w:t>
      </w:r>
      <w:r w:rsidR="00607B78" w:rsidRPr="009C2953">
        <w:t>modalités pratiques régissant</w:t>
      </w:r>
      <w:r w:rsidR="00F34644" w:rsidRPr="009C2953">
        <w:t xml:space="preserve"> la </w:t>
      </w:r>
      <w:r w:rsidR="00607B78" w:rsidRPr="009C2953">
        <w:t>coopération du GIEC et de</w:t>
      </w:r>
      <w:r w:rsidR="00F34644" w:rsidRPr="009C2953">
        <w:t xml:space="preserve"> la </w:t>
      </w:r>
      <w:r w:rsidR="00607B78" w:rsidRPr="009C2953">
        <w:t>Plateforme et</w:t>
      </w:r>
      <w:r w:rsidR="00F34644" w:rsidRPr="009C2953">
        <w:t xml:space="preserve"> les </w:t>
      </w:r>
      <w:r w:rsidR="00607B78" w:rsidRPr="009C2953">
        <w:t>activités qu</w:t>
      </w:r>
      <w:r w:rsidR="00EA2966" w:rsidRPr="009C2953">
        <w:t>’</w:t>
      </w:r>
      <w:r w:rsidR="00607B78" w:rsidRPr="009C2953">
        <w:t>ils pourraient mener conjointement, notamment dans</w:t>
      </w:r>
      <w:r w:rsidR="00F34644" w:rsidRPr="009C2953">
        <w:t xml:space="preserve"> le </w:t>
      </w:r>
      <w:r w:rsidR="00607B78" w:rsidRPr="009C2953">
        <w:t>cadre du septième cycle d</w:t>
      </w:r>
      <w:r w:rsidR="00EA2966" w:rsidRPr="009C2953">
        <w:t>’</w:t>
      </w:r>
      <w:r w:rsidR="00607B78" w:rsidRPr="009C2953">
        <w:t>évaluation du GIEC, en réaffirmant</w:t>
      </w:r>
      <w:r w:rsidR="00F34644" w:rsidRPr="009C2953">
        <w:t xml:space="preserve"> la </w:t>
      </w:r>
      <w:r w:rsidR="00607B78" w:rsidRPr="009C2953">
        <w:t>nécessité d</w:t>
      </w:r>
      <w:r w:rsidR="00EA2966" w:rsidRPr="009C2953">
        <w:t>’</w:t>
      </w:r>
      <w:r w:rsidR="00607B78" w:rsidRPr="009C2953">
        <w:t>assurer</w:t>
      </w:r>
      <w:r w:rsidR="00F34644" w:rsidRPr="009C2953">
        <w:t xml:space="preserve"> la </w:t>
      </w:r>
      <w:r w:rsidR="00607B78" w:rsidRPr="009C2953">
        <w:t>transparence de toute activité, conformément</w:t>
      </w:r>
      <w:r w:rsidR="00F34644" w:rsidRPr="009C2953">
        <w:t xml:space="preserve"> aux </w:t>
      </w:r>
      <w:r w:rsidR="00607B78" w:rsidRPr="009C2953">
        <w:t>décisions du GIEC et de</w:t>
      </w:r>
      <w:r w:rsidR="00F34644" w:rsidRPr="009C2953">
        <w:t xml:space="preserve"> la </w:t>
      </w:r>
      <w:r w:rsidR="00607B78" w:rsidRPr="009C2953">
        <w:t>Plateforme et à</w:t>
      </w:r>
      <w:r w:rsidR="00107282" w:rsidRPr="009C2953">
        <w:t xml:space="preserve"> leurs </w:t>
      </w:r>
      <w:r w:rsidR="00607B78" w:rsidRPr="009C2953">
        <w:t>politiques et procédures respectives ;</w:t>
      </w:r>
    </w:p>
    <w:p w14:paraId="4CFCBB76" w14:textId="442B14A0" w:rsidR="00607B78" w:rsidRPr="009C2953" w:rsidRDefault="004B7F6F" w:rsidP="004B7F6F">
      <w:pPr>
        <w:pStyle w:val="NormalNonumber"/>
      </w:pPr>
      <w:r w:rsidRPr="009C2953">
        <w:rPr>
          <w:iCs/>
        </w:rPr>
        <w:tab/>
        <w:t>14.</w:t>
      </w:r>
      <w:r w:rsidRPr="009C2953">
        <w:rPr>
          <w:iCs/>
        </w:rPr>
        <w:tab/>
      </w:r>
      <w:r w:rsidR="00607B78" w:rsidRPr="009C2953">
        <w:rPr>
          <w:i/>
        </w:rPr>
        <w:t>Prie</w:t>
      </w:r>
      <w:r w:rsidR="00F34644" w:rsidRPr="009C2953">
        <w:t xml:space="preserve"> la </w:t>
      </w:r>
      <w:r w:rsidR="00607B78" w:rsidRPr="009C2953">
        <w:t>Secrétaire exécutive de lancer</w:t>
      </w:r>
      <w:r w:rsidR="00F34644" w:rsidRPr="009C2953">
        <w:t xml:space="preserve"> un </w:t>
      </w:r>
      <w:r w:rsidR="00607B78" w:rsidRPr="009C2953">
        <w:t>appel supplémentaire sollicitant de nouvelles suggestions concernant</w:t>
      </w:r>
      <w:r w:rsidR="00F34644" w:rsidRPr="009C2953">
        <w:t xml:space="preserve"> les </w:t>
      </w:r>
      <w:r w:rsidR="00607B78" w:rsidRPr="009C2953">
        <w:t>questions thématiques ou méthodologiques liées à</w:t>
      </w:r>
      <w:r w:rsidR="00F34644" w:rsidRPr="009C2953">
        <w:t xml:space="preserve"> la </w:t>
      </w:r>
      <w:r w:rsidR="00607B78" w:rsidRPr="009C2953">
        <w:t>biodiversité et</w:t>
      </w:r>
      <w:r w:rsidR="00F34644" w:rsidRPr="009C2953">
        <w:t xml:space="preserve"> aux </w:t>
      </w:r>
      <w:r w:rsidR="00607B78" w:rsidRPr="009C2953">
        <w:t>changements climatiques qui bénéficieraient d</w:t>
      </w:r>
      <w:r w:rsidR="00EA2966" w:rsidRPr="009C2953">
        <w:t>’</w:t>
      </w:r>
      <w:r w:rsidR="00607B78" w:rsidRPr="009C2953">
        <w:t>une collaboration entre</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 et</w:t>
      </w:r>
      <w:r w:rsidR="00F34644" w:rsidRPr="009C2953">
        <w:t xml:space="preserve"> la </w:t>
      </w:r>
      <w:r w:rsidR="00607B78" w:rsidRPr="009C2953">
        <w:t>Plateforme ;</w:t>
      </w:r>
    </w:p>
    <w:p w14:paraId="16B0801A" w14:textId="64CE9618" w:rsidR="00607B78" w:rsidRPr="009C2953" w:rsidRDefault="004B7F6F" w:rsidP="004B7F6F">
      <w:pPr>
        <w:pStyle w:val="NormalNonumber"/>
      </w:pPr>
      <w:r w:rsidRPr="009C2953">
        <w:rPr>
          <w:iCs/>
        </w:rPr>
        <w:tab/>
        <w:t>15.</w:t>
      </w:r>
      <w:r w:rsidRPr="009C2953">
        <w:rPr>
          <w:iCs/>
        </w:rPr>
        <w:tab/>
      </w:r>
      <w:r w:rsidR="00607B78" w:rsidRPr="009C2953">
        <w:rPr>
          <w:i/>
        </w:rPr>
        <w:t>Prie</w:t>
      </w:r>
      <w:r w:rsidR="00F34644" w:rsidRPr="009C2953">
        <w:t xml:space="preserve"> le </w:t>
      </w:r>
      <w:r w:rsidR="00607B78" w:rsidRPr="009C2953">
        <w:t>secrétariat d</w:t>
      </w:r>
      <w:r w:rsidR="00EA2966" w:rsidRPr="009C2953">
        <w:t>’</w:t>
      </w:r>
      <w:r w:rsidR="00607B78" w:rsidRPr="009C2953">
        <w:t>établir</w:t>
      </w:r>
      <w:r w:rsidR="00F34644" w:rsidRPr="009C2953">
        <w:t xml:space="preserve"> une </w:t>
      </w:r>
      <w:r w:rsidR="00607B78" w:rsidRPr="009C2953">
        <w:t>compilation</w:t>
      </w:r>
      <w:r w:rsidR="00D24DC1" w:rsidRPr="009C2953">
        <w:t xml:space="preserve"> des </w:t>
      </w:r>
      <w:r w:rsidR="00607B78" w:rsidRPr="009C2953">
        <w:t>suggestions,</w:t>
      </w:r>
      <w:r w:rsidR="00F34644" w:rsidRPr="009C2953">
        <w:t xml:space="preserve"> y </w:t>
      </w:r>
      <w:r w:rsidR="00607B78" w:rsidRPr="009C2953">
        <w:t>compris</w:t>
      </w:r>
      <w:r w:rsidR="00F34644" w:rsidRPr="009C2953">
        <w:t xml:space="preserve"> les </w:t>
      </w:r>
      <w:r w:rsidR="00607B78" w:rsidRPr="009C2953">
        <w:t>informations contenues dans</w:t>
      </w:r>
      <w:r w:rsidR="00F34644" w:rsidRPr="009C2953">
        <w:t xml:space="preserve"> les </w:t>
      </w:r>
      <w:r w:rsidR="00607B78" w:rsidRPr="009C2953">
        <w:t>notes du secrétariat sur</w:t>
      </w:r>
      <w:r w:rsidR="00F34644" w:rsidRPr="009C2953">
        <w:t xml:space="preserve"> les </w:t>
      </w:r>
      <w:r w:rsidR="00607B78" w:rsidRPr="009C2953">
        <w:t>compilations</w:t>
      </w:r>
      <w:r w:rsidR="00D24DC1" w:rsidRPr="009C2953">
        <w:t xml:space="preserve"> des </w:t>
      </w:r>
      <w:r w:rsidR="00607B78" w:rsidRPr="009C2953">
        <w:t>nouvelles suggestions formulées par</w:t>
      </w:r>
      <w:r w:rsidR="00D24DC1" w:rsidRPr="009C2953">
        <w:t xml:space="preserve"> des </w:t>
      </w:r>
      <w:r w:rsidR="00607B78" w:rsidRPr="009C2953">
        <w:t>membres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concernant</w:t>
      </w:r>
      <w:r w:rsidR="00F34644" w:rsidRPr="009C2953">
        <w:t xml:space="preserve"> les </w:t>
      </w:r>
      <w:r w:rsidR="00607B78" w:rsidRPr="009C2953">
        <w:t>questions thématiques ou méthodologiques liées à</w:t>
      </w:r>
      <w:r w:rsidR="00F34644" w:rsidRPr="009C2953">
        <w:t xml:space="preserve"> la </w:t>
      </w:r>
      <w:r w:rsidR="00607B78" w:rsidRPr="009C2953">
        <w:t>biodiversité et</w:t>
      </w:r>
      <w:r w:rsidR="00F34644" w:rsidRPr="009C2953">
        <w:t xml:space="preserve"> aux </w:t>
      </w:r>
      <w:r w:rsidR="00607B78" w:rsidRPr="009C2953">
        <w:t>changements climatiques qui bénéficieraient d</w:t>
      </w:r>
      <w:r w:rsidR="00EA2966" w:rsidRPr="009C2953">
        <w:t>’</w:t>
      </w:r>
      <w:r w:rsidR="00607B78" w:rsidRPr="009C2953">
        <w:t>une</w:t>
      </w:r>
      <w:r w:rsidRPr="009C2953">
        <w:t> </w:t>
      </w:r>
      <w:r w:rsidR="00607B78" w:rsidRPr="009C2953">
        <w:t>collaboration entre</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 et</w:t>
      </w:r>
      <w:r w:rsidR="00F34644" w:rsidRPr="009C2953">
        <w:t xml:space="preserve"> la </w:t>
      </w:r>
      <w:r w:rsidR="00607B78" w:rsidRPr="009C2953">
        <w:t>Plateforme</w:t>
      </w:r>
      <w:r w:rsidR="00607B78" w:rsidRPr="009C2953">
        <w:rPr>
          <w:rStyle w:val="FootnoteReference"/>
        </w:rPr>
        <w:footnoteReference w:id="10"/>
      </w:r>
      <w:r w:rsidR="00607B78" w:rsidRPr="009C2953">
        <w:t>, ainsi que</w:t>
      </w:r>
      <w:r w:rsidR="00F34644" w:rsidRPr="009C2953">
        <w:t xml:space="preserve"> les </w:t>
      </w:r>
      <w:r w:rsidR="00607B78" w:rsidRPr="009C2953">
        <w:t>suites données à l</w:t>
      </w:r>
      <w:r w:rsidR="00EA2966" w:rsidRPr="009C2953">
        <w:t>’</w:t>
      </w:r>
      <w:r w:rsidR="00607B78" w:rsidRPr="009C2953">
        <w:t>appel supplémentaire sollicitant de nouvelles suggestions visé au paragraphe 14 de</w:t>
      </w:r>
      <w:r w:rsidR="00F34644" w:rsidRPr="009C2953">
        <w:t xml:space="preserve"> la </w:t>
      </w:r>
      <w:r w:rsidR="00607B78" w:rsidRPr="009C2953">
        <w:t>présente décision, et</w:t>
      </w:r>
      <w:r w:rsidR="00F34644" w:rsidRPr="009C2953">
        <w:t xml:space="preserve"> les </w:t>
      </w:r>
      <w:r w:rsidR="00607B78" w:rsidRPr="009C2953">
        <w:t>options énoncées dans</w:t>
      </w:r>
      <w:r w:rsidR="00F34644" w:rsidRPr="009C2953">
        <w:t xml:space="preserve"> la </w:t>
      </w:r>
      <w:r w:rsidR="00607B78" w:rsidRPr="009C2953">
        <w:t>section II de</w:t>
      </w:r>
      <w:r w:rsidR="00107282" w:rsidRPr="009C2953">
        <w:t> </w:t>
      </w:r>
      <w:r w:rsidR="00F34644" w:rsidRPr="009C2953">
        <w:t>la </w:t>
      </w:r>
      <w:r w:rsidR="00607B78" w:rsidRPr="009C2953">
        <w:t>note du secrétariat sur</w:t>
      </w:r>
      <w:r w:rsidR="00F34644" w:rsidRPr="009C2953">
        <w:t xml:space="preserve"> les </w:t>
      </w:r>
      <w:r w:rsidR="00607B78" w:rsidRPr="009C2953">
        <w:t>travaux relatifs à</w:t>
      </w:r>
      <w:r w:rsidR="00F34644" w:rsidRPr="009C2953">
        <w:t xml:space="preserve"> la </w:t>
      </w:r>
      <w:r w:rsidR="00607B78" w:rsidRPr="009C2953">
        <w:t>biodiversité et</w:t>
      </w:r>
      <w:r w:rsidR="00F34644" w:rsidRPr="009C2953">
        <w:t xml:space="preserve"> aux </w:t>
      </w:r>
      <w:r w:rsidR="00607B78" w:rsidRPr="009C2953">
        <w:t>changements climatiques et</w:t>
      </w:r>
      <w:r w:rsidR="00F34644" w:rsidRPr="009C2953">
        <w:t xml:space="preserve"> la </w:t>
      </w:r>
      <w:r w:rsidR="00607B78" w:rsidRPr="009C2953">
        <w:t>collaboration avec</w:t>
      </w:r>
      <w:r w:rsidR="00F34644" w:rsidRPr="009C2953">
        <w:t xml:space="preserve"> le </w:t>
      </w:r>
      <w:r w:rsidR="00607B78" w:rsidRPr="009C2953">
        <w:t>GIEC</w:t>
      </w:r>
      <w:r w:rsidR="00607B78" w:rsidRPr="009C2953">
        <w:rPr>
          <w:color w:val="000000"/>
          <w:vertAlign w:val="superscript"/>
        </w:rPr>
        <w:footnoteReference w:id="11"/>
      </w:r>
      <w:r w:rsidR="00607B78" w:rsidRPr="009C2953">
        <w:t xml:space="preserve"> et de</w:t>
      </w:r>
      <w:r w:rsidR="00F34644" w:rsidRPr="009C2953">
        <w:t xml:space="preserve"> la </w:t>
      </w:r>
      <w:r w:rsidR="00607B78" w:rsidRPr="009C2953">
        <w:t>soumettre à</w:t>
      </w:r>
      <w:r w:rsidR="00F34644" w:rsidRPr="009C2953">
        <w:t xml:space="preserve"> un </w:t>
      </w:r>
      <w:r w:rsidR="00607B78" w:rsidRPr="009C2953">
        <w:t>examen par</w:t>
      </w:r>
      <w:r w:rsidR="00F34644" w:rsidRPr="009C2953">
        <w:t xml:space="preserve"> les </w:t>
      </w:r>
      <w:r w:rsidR="00607B78" w:rsidRPr="009C2953">
        <w:t>pair(e)s en temps voulu pour qu</w:t>
      </w:r>
      <w:r w:rsidR="00EA2966" w:rsidRPr="009C2953">
        <w:t>’</w:t>
      </w:r>
      <w:r w:rsidR="00607B78" w:rsidRPr="009C2953">
        <w:t>une version définitive de</w:t>
      </w:r>
      <w:r w:rsidR="00F34644" w:rsidRPr="009C2953">
        <w:t xml:space="preserve"> la </w:t>
      </w:r>
      <w:r w:rsidR="00607B78" w:rsidRPr="009C2953">
        <w:t>proposition soit arrêtée afin que</w:t>
      </w:r>
      <w:r w:rsidR="00F34644" w:rsidRPr="009C2953">
        <w:t xml:space="preserve"> la </w:t>
      </w:r>
      <w:r w:rsidR="00607B78" w:rsidRPr="009C2953">
        <w:t>Plénière puisse l</w:t>
      </w:r>
      <w:r w:rsidR="00EA2966" w:rsidRPr="009C2953">
        <w:t>’</w:t>
      </w:r>
      <w:r w:rsidR="00607B78" w:rsidRPr="009C2953">
        <w:t>examiner et</w:t>
      </w:r>
      <w:r w:rsidR="00F34644" w:rsidRPr="009C2953">
        <w:t xml:space="preserve"> y </w:t>
      </w:r>
      <w:r w:rsidR="00607B78" w:rsidRPr="009C2953">
        <w:t>donner suite à</w:t>
      </w:r>
      <w:r w:rsidR="00F34644" w:rsidRPr="009C2953">
        <w:t xml:space="preserve"> sa </w:t>
      </w:r>
      <w:r w:rsidR="00607B78" w:rsidRPr="009C2953">
        <w:t>onzième session ;</w:t>
      </w:r>
    </w:p>
    <w:p w14:paraId="0C2F1DF2" w14:textId="6FC070DF" w:rsidR="00607B78" w:rsidRPr="009C2953" w:rsidRDefault="00562E6E" w:rsidP="00F22F58">
      <w:pPr>
        <w:pStyle w:val="NormalNonumber"/>
        <w:keepNext/>
        <w:keepLines/>
        <w:rPr>
          <w:shd w:val="clear" w:color="auto" w:fill="D9D9D9"/>
        </w:rPr>
      </w:pPr>
      <w:r w:rsidRPr="009C2953">
        <w:rPr>
          <w:iCs/>
        </w:rPr>
        <w:lastRenderedPageBreak/>
        <w:tab/>
        <w:t>16.</w:t>
      </w:r>
      <w:r w:rsidRPr="009C2953">
        <w:rPr>
          <w:iCs/>
        </w:rPr>
        <w:tab/>
      </w:r>
      <w:r w:rsidR="00607B78" w:rsidRPr="009C2953">
        <w:rPr>
          <w:i/>
        </w:rPr>
        <w:t>Demande</w:t>
      </w:r>
      <w:r w:rsidR="00607B78" w:rsidRPr="009C2953">
        <w:t xml:space="preserve"> à</w:t>
      </w:r>
      <w:r w:rsidR="00F34644" w:rsidRPr="009C2953">
        <w:t xml:space="preserve"> la </w:t>
      </w:r>
      <w:r w:rsidR="00607B78" w:rsidRPr="009C2953">
        <w:t>Secrétaire exécutive de représenter</w:t>
      </w:r>
      <w:r w:rsidR="00F34644" w:rsidRPr="009C2953">
        <w:t xml:space="preserve"> la </w:t>
      </w:r>
      <w:r w:rsidR="00607B78" w:rsidRPr="009C2953">
        <w:t>Plateforme à</w:t>
      </w:r>
      <w:r w:rsidR="00F34644" w:rsidRPr="009C2953">
        <w:t xml:space="preserve"> la </w:t>
      </w:r>
      <w:r w:rsidR="00607B78" w:rsidRPr="009C2953">
        <w:t>soixantième session du</w:t>
      </w:r>
      <w:r w:rsidR="00B70A99" w:rsidRPr="009C2953">
        <w:t> </w:t>
      </w:r>
      <w:r w:rsidR="00607B78" w:rsidRPr="009C2953">
        <w:t>Groupe d</w:t>
      </w:r>
      <w:r w:rsidR="00EA2966" w:rsidRPr="009C2953">
        <w:t>’</w:t>
      </w:r>
      <w:r w:rsidR="00607B78" w:rsidRPr="009C2953">
        <w:t>experts intergouvernemental sur l</w:t>
      </w:r>
      <w:r w:rsidR="00EA2966" w:rsidRPr="009C2953">
        <w:t>’</w:t>
      </w:r>
      <w:r w:rsidR="00607B78" w:rsidRPr="009C2953">
        <w:t>évolution du climat et de présenter</w:t>
      </w:r>
      <w:r w:rsidR="00F34644" w:rsidRPr="009C2953">
        <w:t xml:space="preserve"> les </w:t>
      </w:r>
      <w:r w:rsidR="00607B78" w:rsidRPr="009C2953">
        <w:t>résultats de</w:t>
      </w:r>
      <w:r w:rsidR="00F34644" w:rsidRPr="009C2953">
        <w:t xml:space="preserve"> la </w:t>
      </w:r>
      <w:r w:rsidR="00607B78" w:rsidRPr="009C2953">
        <w:t>dixième session de</w:t>
      </w:r>
      <w:r w:rsidR="00F34644" w:rsidRPr="009C2953">
        <w:t xml:space="preserve"> la </w:t>
      </w:r>
      <w:r w:rsidR="00607B78" w:rsidRPr="009C2953">
        <w:t>Plénière, en particulier sur</w:t>
      </w:r>
      <w:r w:rsidR="00F34644" w:rsidRPr="009C2953">
        <w:t xml:space="preserve"> la </w:t>
      </w:r>
      <w:r w:rsidR="00607B78" w:rsidRPr="009C2953">
        <w:t>collaboration entre</w:t>
      </w:r>
      <w:r w:rsidR="00F34644" w:rsidRPr="009C2953">
        <w:t xml:space="preserve"> la </w:t>
      </w:r>
      <w:r w:rsidR="00607B78" w:rsidRPr="009C2953">
        <w:t>Plateforme et</w:t>
      </w:r>
      <w:r w:rsidR="00F34644" w:rsidRPr="009C2953">
        <w:t xml:space="preserve"> le </w:t>
      </w:r>
      <w:r w:rsidR="00607B78" w:rsidRPr="009C2953">
        <w:t>GIEC, dans</w:t>
      </w:r>
      <w:r w:rsidR="00F34644" w:rsidRPr="009C2953">
        <w:t xml:space="preserve"> le </w:t>
      </w:r>
      <w:r w:rsidR="00607B78" w:rsidRPr="009C2953">
        <w:t>cadre</w:t>
      </w:r>
      <w:r w:rsidR="00D24DC1" w:rsidRPr="009C2953">
        <w:t xml:space="preserve"> des </w:t>
      </w:r>
      <w:r w:rsidR="00607B78" w:rsidRPr="009C2953">
        <w:t>débats sur</w:t>
      </w:r>
      <w:r w:rsidR="00F34644" w:rsidRPr="009C2953">
        <w:t xml:space="preserve"> le </w:t>
      </w:r>
      <w:r w:rsidR="00607B78" w:rsidRPr="009C2953">
        <w:t>plan de travail du septième cycle d</w:t>
      </w:r>
      <w:r w:rsidR="00EA2966" w:rsidRPr="009C2953">
        <w:t>’</w:t>
      </w:r>
      <w:r w:rsidR="00607B78" w:rsidRPr="009C2953">
        <w:t>évaluation du GIEC ;</w:t>
      </w:r>
    </w:p>
    <w:p w14:paraId="069C7EBF" w14:textId="24D59488" w:rsidR="00607B78" w:rsidRPr="009C2953" w:rsidRDefault="00562E6E" w:rsidP="00562E6E">
      <w:pPr>
        <w:pStyle w:val="NormalNonumber"/>
      </w:pPr>
      <w:r w:rsidRPr="009C2953">
        <w:rPr>
          <w:iCs/>
        </w:rPr>
        <w:tab/>
        <w:t>17.</w:t>
      </w:r>
      <w:r w:rsidRPr="009C2953">
        <w:rPr>
          <w:iCs/>
        </w:rPr>
        <w:tab/>
      </w:r>
      <w:r w:rsidR="00607B78" w:rsidRPr="009C2953">
        <w:rPr>
          <w:i/>
        </w:rPr>
        <w:t>Décide</w:t>
      </w:r>
      <w:r w:rsidR="00607B78" w:rsidRPr="009C2953">
        <w:t>, nonobstant</w:t>
      </w:r>
      <w:r w:rsidR="00F34644" w:rsidRPr="009C2953">
        <w:t xml:space="preserve"> la </w:t>
      </w:r>
      <w:r w:rsidR="00607B78" w:rsidRPr="009C2953">
        <w:t>section 3.1 et</w:t>
      </w:r>
      <w:r w:rsidR="00F34644" w:rsidRPr="009C2953">
        <w:t xml:space="preserve"> les </w:t>
      </w:r>
      <w:r w:rsidR="00607B78" w:rsidRPr="009C2953">
        <w:t>dispositions connexes</w:t>
      </w:r>
      <w:r w:rsidR="00D24DC1" w:rsidRPr="009C2953">
        <w:t xml:space="preserve"> des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rPr>
          <w:vertAlign w:val="superscript"/>
        </w:rPr>
        <w:footnoteReference w:id="12"/>
      </w:r>
      <w:r w:rsidR="00607B78" w:rsidRPr="009C2953">
        <w:t>, de permettre</w:t>
      </w:r>
      <w:r w:rsidR="00F34644" w:rsidRPr="009C2953">
        <w:t xml:space="preserve"> aux </w:t>
      </w:r>
      <w:r w:rsidR="00607B78" w:rsidRPr="009C2953">
        <w:t>gouvernements d</w:t>
      </w:r>
      <w:r w:rsidR="00EA2966" w:rsidRPr="009C2953">
        <w:t>’</w:t>
      </w:r>
      <w:r w:rsidR="00607B78" w:rsidRPr="009C2953">
        <w:t>entreprendre</w:t>
      </w:r>
      <w:r w:rsidR="00F34644" w:rsidRPr="009C2953">
        <w:t xml:space="preserve"> un </w:t>
      </w:r>
      <w:r w:rsidR="00607B78" w:rsidRPr="009C2953">
        <w:t>examen supplémentaire du résumé à l</w:t>
      </w:r>
      <w:r w:rsidR="00EA2966" w:rsidRPr="009C2953">
        <w:t>’</w:t>
      </w:r>
      <w:r w:rsidR="00607B78" w:rsidRPr="009C2953">
        <w:t>intention</w:t>
      </w:r>
      <w:r w:rsidR="00D24DC1" w:rsidRPr="009C2953">
        <w:t xml:space="preserve"> des </w:t>
      </w:r>
      <w:r w:rsidR="00607B78" w:rsidRPr="009C2953">
        <w:t>décideurs</w:t>
      </w:r>
      <w:r w:rsidR="00D24DC1" w:rsidRPr="009C2953">
        <w:t xml:space="preserve"> des </w:t>
      </w:r>
      <w:r w:rsidR="00607B78" w:rsidRPr="009C2953">
        <w:t>évaluations</w:t>
      </w:r>
      <w:r w:rsidR="00D24DC1" w:rsidRPr="009C2953">
        <w:t xml:space="preserve"> des </w:t>
      </w:r>
      <w:r w:rsidR="00607B78" w:rsidRPr="009C2953">
        <w:t>interdépendances</w:t>
      </w:r>
      <w:r w:rsidR="00B91F08" w:rsidRPr="009C2953">
        <w:t> </w:t>
      </w:r>
      <w:r w:rsidR="00607B78" w:rsidRPr="009C2953">
        <w:t>et du changement transformateur, si</w:t>
      </w:r>
      <w:r w:rsidR="00F34644" w:rsidRPr="009C2953">
        <w:t xml:space="preserve"> le </w:t>
      </w:r>
      <w:r w:rsidR="00607B78" w:rsidRPr="009C2953">
        <w:t>Groupe d</w:t>
      </w:r>
      <w:r w:rsidR="00EA2966" w:rsidRPr="009C2953">
        <w:t>’</w:t>
      </w:r>
      <w:r w:rsidR="00607B78" w:rsidRPr="009C2953">
        <w:t>experts multidisciplinaire et</w:t>
      </w:r>
      <w:r w:rsidR="00F34644" w:rsidRPr="009C2953">
        <w:t xml:space="preserve"> les </w:t>
      </w:r>
      <w:r w:rsidR="00607B78" w:rsidRPr="009C2953">
        <w:t>coprésidences</w:t>
      </w:r>
      <w:r w:rsidR="00D24DC1" w:rsidRPr="009C2953">
        <w:t xml:space="preserve"> des </w:t>
      </w:r>
      <w:r w:rsidR="00607B78" w:rsidRPr="009C2953">
        <w:t>évaluations</w:t>
      </w:r>
      <w:r w:rsidR="00F34644" w:rsidRPr="009C2953">
        <w:t xml:space="preserve"> le </w:t>
      </w:r>
      <w:r w:rsidR="00607B78" w:rsidRPr="009C2953">
        <w:t>jugent faisable dans</w:t>
      </w:r>
      <w:r w:rsidR="00F34644" w:rsidRPr="009C2953">
        <w:t xml:space="preserve"> les </w:t>
      </w:r>
      <w:r w:rsidR="00607B78" w:rsidRPr="009C2953">
        <w:t>délais impartis par</w:t>
      </w:r>
      <w:r w:rsidR="00F34644" w:rsidRPr="009C2953">
        <w:t xml:space="preserve"> les </w:t>
      </w:r>
      <w:r w:rsidR="00607B78" w:rsidRPr="009C2953">
        <w:t>évaluations ;</w:t>
      </w:r>
    </w:p>
    <w:p w14:paraId="3CB710D8" w14:textId="77777777" w:rsidR="00607B78" w:rsidRPr="009C2953" w:rsidRDefault="00607B78" w:rsidP="00607B78">
      <w:pPr>
        <w:pStyle w:val="CH2"/>
        <w:tabs>
          <w:tab w:val="left" w:pos="2552"/>
        </w:tabs>
        <w:ind w:firstLine="0"/>
        <w:jc w:val="center"/>
      </w:pPr>
      <w:r w:rsidRPr="009C2953">
        <w:t>III</w:t>
      </w:r>
    </w:p>
    <w:p w14:paraId="560E15CB" w14:textId="0C1E0CAD" w:rsidR="00607B78" w:rsidRPr="009C2953" w:rsidRDefault="00607B78" w:rsidP="00607B78">
      <w:pPr>
        <w:pStyle w:val="CH2"/>
        <w:tabs>
          <w:tab w:val="left" w:pos="2552"/>
        </w:tabs>
        <w:ind w:firstLine="0"/>
        <w:jc w:val="center"/>
      </w:pPr>
      <w:r w:rsidRPr="009C2953">
        <w:t>Renforcement</w:t>
      </w:r>
      <w:r w:rsidR="00D24DC1" w:rsidRPr="009C2953">
        <w:t xml:space="preserve"> des </w:t>
      </w:r>
      <w:r w:rsidRPr="009C2953">
        <w:t>capacités</w:t>
      </w:r>
    </w:p>
    <w:p w14:paraId="7566F917" w14:textId="6F7D4668" w:rsidR="00607B78" w:rsidRPr="009C2953" w:rsidRDefault="0002455E" w:rsidP="0002455E">
      <w:pPr>
        <w:pStyle w:val="NormalNonumber"/>
      </w:pPr>
      <w:r w:rsidRPr="009C2953">
        <w:rPr>
          <w:iCs/>
        </w:rPr>
        <w:tab/>
        <w:t>18.</w:t>
      </w:r>
      <w:r w:rsidRPr="009C2953">
        <w:rPr>
          <w:iCs/>
        </w:rPr>
        <w:tab/>
      </w:r>
      <w:r w:rsidR="00607B78" w:rsidRPr="009C2953">
        <w:rPr>
          <w:i/>
        </w:rPr>
        <w:t>Se félicite</w:t>
      </w:r>
      <w:r w:rsidR="00D24DC1" w:rsidRPr="009C2953">
        <w:t xml:space="preserve"> des </w:t>
      </w:r>
      <w:r w:rsidR="00607B78" w:rsidRPr="009C2953">
        <w:t xml:space="preserve">progrès </w:t>
      </w:r>
      <w:r w:rsidR="009D4798" w:rsidRPr="009C2953">
        <w:t>accomplis</w:t>
      </w:r>
      <w:r w:rsidR="00607B78" w:rsidRPr="009C2953">
        <w:t xml:space="preserve"> par 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 dans</w:t>
      </w:r>
      <w:r w:rsidR="00F34644" w:rsidRPr="009C2953">
        <w:t xml:space="preserve"> la </w:t>
      </w:r>
      <w:r w:rsidR="00607B78" w:rsidRPr="009C2953">
        <w:t>réalisation</w:t>
      </w:r>
      <w:r w:rsidR="00D24DC1" w:rsidRPr="009C2953">
        <w:t xml:space="preserve"> des </w:t>
      </w:r>
      <w:r w:rsidR="00607B78" w:rsidRPr="009C2953">
        <w:t>objectifs 2 a), 2 b) et 2 c) sur</w:t>
      </w:r>
      <w:r w:rsidR="00F34644" w:rsidRPr="009C2953">
        <w:t xml:space="preserve"> le </w:t>
      </w:r>
      <w:r w:rsidR="00607B78" w:rsidRPr="009C2953">
        <w:t>renforcement</w:t>
      </w:r>
      <w:r w:rsidR="00D24DC1" w:rsidRPr="009C2953">
        <w:t xml:space="preserve"> des </w:t>
      </w:r>
      <w:r w:rsidR="00607B78" w:rsidRPr="009C2953">
        <w:t>capacités du programme de</w:t>
      </w:r>
      <w:r w:rsidR="00FA3078" w:rsidRPr="009C2953">
        <w:t> </w:t>
      </w:r>
      <w:r w:rsidR="00607B78" w:rsidRPr="009C2953">
        <w:t>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w:t>
      </w:r>
    </w:p>
    <w:p w14:paraId="0A6EDA39" w14:textId="05BBA374" w:rsidR="00607B78" w:rsidRPr="009C2953" w:rsidRDefault="0002455E" w:rsidP="0002455E">
      <w:pPr>
        <w:pStyle w:val="NormalNonumber"/>
      </w:pPr>
      <w:r w:rsidRPr="009C2953">
        <w:rPr>
          <w:iCs/>
        </w:rPr>
        <w:tab/>
        <w:t>19.</w:t>
      </w:r>
      <w:r w:rsidRPr="009C2953">
        <w:rPr>
          <w:iCs/>
        </w:rPr>
        <w:tab/>
      </w:r>
      <w:r w:rsidR="00607B78" w:rsidRPr="009C2953">
        <w:rPr>
          <w:i/>
        </w:rPr>
        <w:t>Approuve</w:t>
      </w:r>
      <w:r w:rsidR="00F34644" w:rsidRPr="009C2953">
        <w:t xml:space="preserve"> le </w:t>
      </w:r>
      <w:r w:rsidR="00607B78" w:rsidRPr="009C2953">
        <w:t>plan de travail pour l</w:t>
      </w:r>
      <w:r w:rsidR="00EA2966" w:rsidRPr="009C2953">
        <w:t>’</w:t>
      </w:r>
      <w:r w:rsidR="00607B78" w:rsidRPr="009C2953">
        <w:t>objectif 2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7A3AAB" w:rsidRPr="009C2953">
        <w:rPr>
          <w:color w:val="000000"/>
        </w:rPr>
        <w:t>–</w:t>
      </w:r>
      <w:r w:rsidR="00607B78" w:rsidRPr="009C2953">
        <w:t>2024, qui figure dans l</w:t>
      </w:r>
      <w:r w:rsidR="00EA2966" w:rsidRPr="009C2953">
        <w:t>’</w:t>
      </w:r>
      <w:r w:rsidR="00607B78" w:rsidRPr="009C2953">
        <w:t>annexe III de</w:t>
      </w:r>
      <w:r w:rsidR="00F34644" w:rsidRPr="009C2953">
        <w:t xml:space="preserve"> la </w:t>
      </w:r>
      <w:r w:rsidR="00607B78" w:rsidRPr="009C2953">
        <w:t>présente décision ;</w:t>
      </w:r>
    </w:p>
    <w:p w14:paraId="59B681B7" w14:textId="77777777" w:rsidR="00607B78" w:rsidRPr="009C2953" w:rsidRDefault="00607B78" w:rsidP="00607B78">
      <w:pPr>
        <w:pStyle w:val="CH2"/>
        <w:tabs>
          <w:tab w:val="left" w:pos="2552"/>
        </w:tabs>
        <w:ind w:firstLine="0"/>
        <w:jc w:val="center"/>
      </w:pPr>
      <w:r w:rsidRPr="009C2953">
        <w:t>IV</w:t>
      </w:r>
    </w:p>
    <w:p w14:paraId="499B2E7C" w14:textId="1A26A9CA" w:rsidR="00607B78" w:rsidRPr="009C2953" w:rsidRDefault="00607B78" w:rsidP="00607B78">
      <w:pPr>
        <w:pStyle w:val="CH2"/>
        <w:tabs>
          <w:tab w:val="clear" w:pos="851"/>
          <w:tab w:val="clear" w:pos="1247"/>
          <w:tab w:val="clear" w:pos="3119"/>
        </w:tabs>
        <w:spacing w:before="0"/>
        <w:ind w:firstLine="0"/>
        <w:jc w:val="center"/>
      </w:pPr>
      <w:r w:rsidRPr="009C2953">
        <w:t>Consolidation de</w:t>
      </w:r>
      <w:r w:rsidR="00F34644" w:rsidRPr="009C2953">
        <w:t xml:space="preserve"> la </w:t>
      </w:r>
      <w:r w:rsidRPr="009C2953">
        <w:t>base de connaissances</w:t>
      </w:r>
    </w:p>
    <w:p w14:paraId="61531F31" w14:textId="5EEF1950" w:rsidR="00607B78" w:rsidRPr="009C2953" w:rsidRDefault="00D7756A" w:rsidP="00D7756A">
      <w:pPr>
        <w:pStyle w:val="NormalNonumber"/>
      </w:pPr>
      <w:r w:rsidRPr="009C2953">
        <w:rPr>
          <w:iCs/>
        </w:rPr>
        <w:tab/>
        <w:t>20.</w:t>
      </w:r>
      <w:r w:rsidRPr="009C2953">
        <w:rPr>
          <w:iCs/>
        </w:rPr>
        <w:tab/>
      </w:r>
      <w:r w:rsidR="00607B78" w:rsidRPr="009C2953">
        <w:rPr>
          <w:i/>
        </w:rPr>
        <w:t>Se félicite</w:t>
      </w:r>
      <w:r w:rsidR="00D24DC1" w:rsidRPr="009C2953">
        <w:t xml:space="preserve"> des </w:t>
      </w:r>
      <w:r w:rsidR="00607B78" w:rsidRPr="009C2953">
        <w:t>progrès accomplis par l</w:t>
      </w:r>
      <w:r w:rsidR="00EA2966" w:rsidRPr="009C2953">
        <w:t>’</w:t>
      </w:r>
      <w:r w:rsidR="00607B78" w:rsidRPr="009C2953">
        <w:t>équipe spéciale sur</w:t>
      </w:r>
      <w:r w:rsidR="00F34644" w:rsidRPr="009C2953">
        <w:t xml:space="preserve"> les </w:t>
      </w:r>
      <w:r w:rsidR="00607B78" w:rsidRPr="009C2953">
        <w:t>connaissances et</w:t>
      </w:r>
      <w:r w:rsidR="00F34644" w:rsidRPr="009C2953">
        <w:t xml:space="preserve"> les </w:t>
      </w:r>
      <w:r w:rsidR="00607B78" w:rsidRPr="009C2953">
        <w:t>données dans</w:t>
      </w:r>
      <w:r w:rsidR="00F34644" w:rsidRPr="009C2953">
        <w:t xml:space="preserve"> la </w:t>
      </w:r>
      <w:r w:rsidR="00607B78" w:rsidRPr="009C2953">
        <w:t>réalisation de l</w:t>
      </w:r>
      <w:r w:rsidR="00EA2966" w:rsidRPr="009C2953">
        <w:t>’</w:t>
      </w:r>
      <w:r w:rsidR="00607B78" w:rsidRPr="009C2953">
        <w:t>objectif 3 a) sur</w:t>
      </w:r>
      <w:r w:rsidR="00F34644" w:rsidRPr="009C2953">
        <w:t xml:space="preserve"> les </w:t>
      </w:r>
      <w:r w:rsidR="00607B78" w:rsidRPr="009C2953">
        <w:t>travaux avancés sur</w:t>
      </w:r>
      <w:r w:rsidR="00F34644" w:rsidRPr="009C2953">
        <w:t xml:space="preserve"> les </w:t>
      </w:r>
      <w:r w:rsidR="00607B78" w:rsidRPr="009C2953">
        <w:t>connaissances et</w:t>
      </w:r>
      <w:r w:rsidR="00F34644" w:rsidRPr="009C2953">
        <w:t xml:space="preserve"> les </w:t>
      </w:r>
      <w:r w:rsidR="00607B78" w:rsidRPr="009C2953">
        <w:t>données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w:t>
      </w:r>
    </w:p>
    <w:p w14:paraId="4CE073F7" w14:textId="5216BD1A" w:rsidR="00607B78" w:rsidRPr="009C2953" w:rsidRDefault="00D7756A" w:rsidP="00D7756A">
      <w:pPr>
        <w:pStyle w:val="NormalNonumber"/>
        <w:rPr>
          <w:color w:val="000000"/>
        </w:rPr>
      </w:pPr>
      <w:r w:rsidRPr="009C2953">
        <w:rPr>
          <w:iCs/>
        </w:rPr>
        <w:tab/>
        <w:t>21.</w:t>
      </w:r>
      <w:r w:rsidRPr="009C2953">
        <w:rPr>
          <w:iCs/>
        </w:rPr>
        <w:tab/>
      </w:r>
      <w:r w:rsidR="00607B78" w:rsidRPr="009C2953">
        <w:rPr>
          <w:i/>
        </w:rPr>
        <w:t>Approuve</w:t>
      </w:r>
      <w:r w:rsidR="00F34644" w:rsidRPr="009C2953">
        <w:t xml:space="preserve"> le </w:t>
      </w:r>
      <w:r w:rsidR="00607B78" w:rsidRPr="009C2953">
        <w:t>plan de travail pour</w:t>
      </w:r>
      <w:r w:rsidR="00F34644" w:rsidRPr="009C2953">
        <w:t xml:space="preserve"> la </w:t>
      </w:r>
      <w:r w:rsidR="00607B78" w:rsidRPr="009C2953">
        <w:t>composante de l</w:t>
      </w:r>
      <w:r w:rsidR="00EA2966" w:rsidRPr="009C2953">
        <w:t>’</w:t>
      </w:r>
      <w:r w:rsidR="00607B78" w:rsidRPr="009C2953">
        <w:t>objectif 3 a) relative à</w:t>
      </w:r>
      <w:r w:rsidR="00F34644" w:rsidRPr="009C2953">
        <w:t xml:space="preserve"> la </w:t>
      </w:r>
      <w:r w:rsidR="00607B78" w:rsidRPr="009C2953">
        <w:t>gestion</w:t>
      </w:r>
      <w:r w:rsidR="00D24DC1" w:rsidRPr="009C2953">
        <w:t xml:space="preserve"> des </w:t>
      </w:r>
      <w:r w:rsidR="00607B78" w:rsidRPr="009C2953">
        <w:t>données et</w:t>
      </w:r>
      <w:r w:rsidR="00D24DC1" w:rsidRPr="009C2953">
        <w:t xml:space="preserve"> des </w:t>
      </w:r>
      <w:r w:rsidR="00607B78" w:rsidRPr="009C2953">
        <w:t>connaissances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D47F15" w:rsidRPr="009C2953">
        <w:rPr>
          <w:color w:val="000000"/>
        </w:rPr>
        <w:t>–</w:t>
      </w:r>
      <w:r w:rsidR="00607B78" w:rsidRPr="009C2953">
        <w:t>2024, qui figure dans l</w:t>
      </w:r>
      <w:r w:rsidR="00EA2966" w:rsidRPr="009C2953">
        <w:t>’</w:t>
      </w:r>
      <w:r w:rsidR="00607B78" w:rsidRPr="009C2953">
        <w:t>annexe IV de</w:t>
      </w:r>
      <w:r w:rsidR="00F34644" w:rsidRPr="009C2953">
        <w:t xml:space="preserve"> la </w:t>
      </w:r>
      <w:r w:rsidR="00607B78" w:rsidRPr="009C2953">
        <w:t>présente décision ;</w:t>
      </w:r>
    </w:p>
    <w:p w14:paraId="59CDAA6A" w14:textId="4D601C70" w:rsidR="00607B78" w:rsidRPr="009C2953" w:rsidRDefault="00D7756A" w:rsidP="00D7756A">
      <w:pPr>
        <w:pStyle w:val="NormalNonumber"/>
        <w:rPr>
          <w:color w:val="000000"/>
          <w:shd w:val="clear" w:color="auto" w:fill="D9D9D9"/>
        </w:rPr>
      </w:pPr>
      <w:r w:rsidRPr="009C2953">
        <w:rPr>
          <w:iCs/>
        </w:rPr>
        <w:tab/>
        <w:t>22.</w:t>
      </w:r>
      <w:r w:rsidRPr="009C2953">
        <w:rPr>
          <w:iCs/>
        </w:rPr>
        <w:tab/>
      </w:r>
      <w:r w:rsidR="00607B78" w:rsidRPr="009C2953">
        <w:rPr>
          <w:i/>
        </w:rPr>
        <w:t>Prie</w:t>
      </w:r>
      <w:r w:rsidR="00F34644" w:rsidRPr="009C2953">
        <w:t xml:space="preserve"> la </w:t>
      </w:r>
      <w:r w:rsidR="00607B78" w:rsidRPr="009C2953">
        <w:t>Secrétaire exécutive d</w:t>
      </w:r>
      <w:r w:rsidR="00EA2966" w:rsidRPr="009C2953">
        <w:t>’</w:t>
      </w:r>
      <w:r w:rsidR="00607B78" w:rsidRPr="009C2953">
        <w:t>inviter</w:t>
      </w:r>
      <w:r w:rsidR="00F34644" w:rsidRPr="009C2953">
        <w:t xml:space="preserve"> les </w:t>
      </w:r>
      <w:r w:rsidR="00607B78" w:rsidRPr="009C2953">
        <w:t>membres,</w:t>
      </w:r>
      <w:r w:rsidR="00F34644" w:rsidRPr="009C2953">
        <w:t xml:space="preserve"> les </w:t>
      </w:r>
      <w:r w:rsidR="00607B78" w:rsidRPr="009C2953">
        <w:t>observateurs et</w:t>
      </w:r>
      <w:r w:rsidR="00F34644" w:rsidRPr="009C2953">
        <w:t xml:space="preserve"> les </w:t>
      </w:r>
      <w:r w:rsidR="00607B78" w:rsidRPr="009C2953">
        <w:t>parties prenantes</w:t>
      </w:r>
      <w:r w:rsidR="00FA3078" w:rsidRPr="009C2953">
        <w:t> </w:t>
      </w:r>
      <w:r w:rsidR="00607B78" w:rsidRPr="009C2953">
        <w:t>à communiquer</w:t>
      </w:r>
      <w:r w:rsidR="00107282" w:rsidRPr="009C2953">
        <w:t xml:space="preserve"> leurs </w:t>
      </w:r>
      <w:r w:rsidR="00607B78" w:rsidRPr="009C2953">
        <w:t>vues sur</w:t>
      </w:r>
      <w:r w:rsidR="00F34644" w:rsidRPr="009C2953">
        <w:t xml:space="preserve"> les </w:t>
      </w:r>
      <w:r w:rsidR="00607B78" w:rsidRPr="009C2953">
        <w:t>moyens de renforcer</w:t>
      </w:r>
      <w:r w:rsidR="00F34644" w:rsidRPr="009C2953">
        <w:t xml:space="preserve"> la </w:t>
      </w:r>
      <w:r w:rsidR="00607B78" w:rsidRPr="009C2953">
        <w:t>réalisation de</w:t>
      </w:r>
      <w:r w:rsidR="00F34644" w:rsidRPr="009C2953">
        <w:t xml:space="preserve"> la </w:t>
      </w:r>
      <w:r w:rsidR="00607B78" w:rsidRPr="009C2953">
        <w:t>composante de</w:t>
      </w:r>
      <w:r w:rsidR="00FA3078" w:rsidRPr="009C2953">
        <w:t> </w:t>
      </w:r>
      <w:r w:rsidR="00607B78" w:rsidRPr="009C2953">
        <w:t>l</w:t>
      </w:r>
      <w:r w:rsidR="00EA2966" w:rsidRPr="009C2953">
        <w:t>’</w:t>
      </w:r>
      <w:r w:rsidR="00607B78" w:rsidRPr="009C2953">
        <w:t>objectif 3</w:t>
      </w:r>
      <w:r w:rsidR="00FA3078" w:rsidRPr="009C2953">
        <w:t> </w:t>
      </w:r>
      <w:r w:rsidR="00607B78" w:rsidRPr="009C2953">
        <w:t>a) relative à</w:t>
      </w:r>
      <w:r w:rsidR="00F34644" w:rsidRPr="009C2953">
        <w:t xml:space="preserve"> la </w:t>
      </w:r>
      <w:r w:rsidR="00607B78" w:rsidRPr="009C2953">
        <w:t>facilitation de</w:t>
      </w:r>
      <w:r w:rsidR="00F34644" w:rsidRPr="009C2953">
        <w:t xml:space="preserve"> la </w:t>
      </w:r>
      <w:r w:rsidR="00607B78" w:rsidRPr="009C2953">
        <w:t>production de connaissances ;</w:t>
      </w:r>
    </w:p>
    <w:p w14:paraId="420F7CA0" w14:textId="5D4DA8B4" w:rsidR="00607B78" w:rsidRPr="009C2953" w:rsidRDefault="00D7756A" w:rsidP="00D7756A">
      <w:pPr>
        <w:pStyle w:val="NormalNonumber"/>
        <w:rPr>
          <w:color w:val="000000"/>
          <w:shd w:val="clear" w:color="auto" w:fill="D9D9D9"/>
        </w:rPr>
      </w:pPr>
      <w:r w:rsidRPr="009C2953">
        <w:rPr>
          <w:iCs/>
        </w:rPr>
        <w:tab/>
        <w:t>23.</w:t>
      </w:r>
      <w:r w:rsidRPr="009C2953">
        <w:rPr>
          <w:iCs/>
        </w:rPr>
        <w:tab/>
      </w:r>
      <w:r w:rsidR="00607B78" w:rsidRPr="009C2953">
        <w:rPr>
          <w:i/>
        </w:rPr>
        <w:t>Approuve</w:t>
      </w:r>
      <w:r w:rsidR="00F34644" w:rsidRPr="009C2953">
        <w:t xml:space="preserve"> le </w:t>
      </w:r>
      <w:r w:rsidR="00607B78" w:rsidRPr="009C2953">
        <w:t>plan de travail pour</w:t>
      </w:r>
      <w:r w:rsidR="00F34644" w:rsidRPr="009C2953">
        <w:t xml:space="preserve"> la </w:t>
      </w:r>
      <w:r w:rsidR="00607B78" w:rsidRPr="009C2953">
        <w:t>composante de l</w:t>
      </w:r>
      <w:r w:rsidR="00EA2966" w:rsidRPr="009C2953">
        <w:t>’</w:t>
      </w:r>
      <w:r w:rsidR="00607B78" w:rsidRPr="009C2953">
        <w:t>objectif 3 a) relative à</w:t>
      </w:r>
      <w:r w:rsidR="00F34644" w:rsidRPr="009C2953">
        <w:t xml:space="preserve"> la </w:t>
      </w:r>
      <w:r w:rsidR="00607B78" w:rsidRPr="009C2953">
        <w:t>facilitation de</w:t>
      </w:r>
      <w:r w:rsidR="00F34644" w:rsidRPr="009C2953">
        <w:t xml:space="preserve"> la </w:t>
      </w:r>
      <w:r w:rsidR="00607B78" w:rsidRPr="009C2953">
        <w:t>production de connaissances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FA7442">
        <w:t>–</w:t>
      </w:r>
      <w:r w:rsidR="00607B78" w:rsidRPr="009C2953">
        <w:t>2024, qui figure dans l</w:t>
      </w:r>
      <w:r w:rsidR="00EA2966" w:rsidRPr="009C2953">
        <w:t>’</w:t>
      </w:r>
      <w:r w:rsidR="00607B78" w:rsidRPr="009C2953">
        <w:t>annexe V de</w:t>
      </w:r>
      <w:r w:rsidR="000D47E2" w:rsidRPr="009C2953">
        <w:t> </w:t>
      </w:r>
      <w:r w:rsidR="00F34644" w:rsidRPr="009C2953">
        <w:t>la </w:t>
      </w:r>
      <w:r w:rsidR="00607B78" w:rsidRPr="009C2953">
        <w:t>présente décision ;</w:t>
      </w:r>
    </w:p>
    <w:p w14:paraId="672CD0FA" w14:textId="1F05F279" w:rsidR="00607B78" w:rsidRPr="009C2953" w:rsidRDefault="00085306" w:rsidP="00085306">
      <w:pPr>
        <w:pStyle w:val="NormalNonumber"/>
      </w:pPr>
      <w:r w:rsidRPr="009C2953">
        <w:rPr>
          <w:iCs/>
        </w:rPr>
        <w:tab/>
        <w:t>24.</w:t>
      </w:r>
      <w:r w:rsidRPr="009C2953">
        <w:rPr>
          <w:iCs/>
        </w:rPr>
        <w:tab/>
      </w:r>
      <w:r w:rsidR="00607B78" w:rsidRPr="009C2953">
        <w:rPr>
          <w:i/>
        </w:rPr>
        <w:t>Se félicite</w:t>
      </w:r>
      <w:r w:rsidR="00D24DC1" w:rsidRPr="009C2953">
        <w:t xml:space="preserve"> des </w:t>
      </w:r>
      <w:r w:rsidR="00607B78" w:rsidRPr="009C2953">
        <w:t>progrès accomplis par l</w:t>
      </w:r>
      <w:r w:rsidR="00EA2966" w:rsidRPr="009C2953">
        <w:t>’</w:t>
      </w:r>
      <w:r w:rsidR="00607B78" w:rsidRPr="009C2953">
        <w:t>équipe spéciale sur</w:t>
      </w:r>
      <w:r w:rsidR="00F34644" w:rsidRPr="009C2953">
        <w:t xml:space="preserve"> les </w:t>
      </w:r>
      <w:r w:rsidR="00607B78" w:rsidRPr="009C2953">
        <w:t>savoirs autochtones et</w:t>
      </w:r>
      <w:r w:rsidRPr="009C2953">
        <w:t> </w:t>
      </w:r>
      <w:r w:rsidR="00607B78" w:rsidRPr="009C2953">
        <w:t>locaux dans</w:t>
      </w:r>
      <w:r w:rsidR="00F34644" w:rsidRPr="009C2953">
        <w:t xml:space="preserve"> la </w:t>
      </w:r>
      <w:r w:rsidR="00607B78" w:rsidRPr="009C2953">
        <w:t>réalisation de l</w:t>
      </w:r>
      <w:r w:rsidR="00EA2966" w:rsidRPr="009C2953">
        <w:t>’</w:t>
      </w:r>
      <w:r w:rsidR="00607B78" w:rsidRPr="009C2953">
        <w:t>objectif 3 b) sur</w:t>
      </w:r>
      <w:r w:rsidR="00F34644" w:rsidRPr="009C2953">
        <w:t xml:space="preserve"> la </w:t>
      </w:r>
      <w:r w:rsidR="00607B78" w:rsidRPr="009C2953">
        <w:t>reconnaissance et l</w:t>
      </w:r>
      <w:r w:rsidR="00EA2966" w:rsidRPr="009C2953">
        <w:t>’</w:t>
      </w:r>
      <w:r w:rsidR="00607B78" w:rsidRPr="009C2953">
        <w:t>utilisation améliorées</w:t>
      </w:r>
      <w:r w:rsidR="00D24DC1" w:rsidRPr="009C2953">
        <w:t xml:space="preserve"> des </w:t>
      </w:r>
      <w:r w:rsidR="00607B78" w:rsidRPr="009C2953">
        <w:t>systèmes de savoirs autochtones et locaux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w:t>
      </w:r>
      <w:r w:rsidR="00FA3078" w:rsidRPr="009C2953">
        <w:t> </w:t>
      </w:r>
      <w:r w:rsidR="00607B78" w:rsidRPr="009C2953">
        <w:t>2030 ;</w:t>
      </w:r>
    </w:p>
    <w:p w14:paraId="3D59F245" w14:textId="65DF32A6" w:rsidR="00607B78" w:rsidRPr="009C2953" w:rsidRDefault="00915FB2" w:rsidP="00915FB2">
      <w:pPr>
        <w:pStyle w:val="NormalNonumber"/>
      </w:pPr>
      <w:r w:rsidRPr="009C2953">
        <w:rPr>
          <w:iCs/>
        </w:rPr>
        <w:tab/>
        <w:t>25.</w:t>
      </w:r>
      <w:r w:rsidRPr="009C2953">
        <w:rPr>
          <w:iCs/>
        </w:rPr>
        <w:tab/>
      </w:r>
      <w:r w:rsidR="00607B78" w:rsidRPr="009C2953">
        <w:rPr>
          <w:i/>
        </w:rPr>
        <w:t>Approuve</w:t>
      </w:r>
      <w:r w:rsidR="00F34644" w:rsidRPr="009C2953">
        <w:t xml:space="preserve"> le </w:t>
      </w:r>
      <w:r w:rsidR="00607B78" w:rsidRPr="009C2953">
        <w:t>plan de travail pour l</w:t>
      </w:r>
      <w:r w:rsidR="00EA2966" w:rsidRPr="009C2953">
        <w:t>’</w:t>
      </w:r>
      <w:r w:rsidR="00607B78" w:rsidRPr="009C2953">
        <w:t>objectif 3 b)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3012D0" w:rsidRPr="009C2953">
        <w:rPr>
          <w:color w:val="000000"/>
        </w:rPr>
        <w:t>–</w:t>
      </w:r>
      <w:r w:rsidR="00607B78" w:rsidRPr="009C2953">
        <w:t>2024, qui</w:t>
      </w:r>
      <w:r w:rsidRPr="009C2953">
        <w:t> </w:t>
      </w:r>
      <w:r w:rsidR="00607B78" w:rsidRPr="009C2953">
        <w:t>figure</w:t>
      </w:r>
      <w:r w:rsidRPr="009C2953">
        <w:t> </w:t>
      </w:r>
      <w:r w:rsidR="00607B78" w:rsidRPr="009C2953">
        <w:t>dans l</w:t>
      </w:r>
      <w:r w:rsidR="00EA2966" w:rsidRPr="009C2953">
        <w:t>’</w:t>
      </w:r>
      <w:r w:rsidR="00607B78" w:rsidRPr="009C2953">
        <w:t>annexe VI de</w:t>
      </w:r>
      <w:r w:rsidR="00F34644" w:rsidRPr="009C2953">
        <w:t xml:space="preserve"> la </w:t>
      </w:r>
      <w:r w:rsidR="00607B78" w:rsidRPr="009C2953">
        <w:t>présente décision ;</w:t>
      </w:r>
    </w:p>
    <w:p w14:paraId="3EB006AD" w14:textId="77777777" w:rsidR="00607B78" w:rsidRPr="009C2953" w:rsidRDefault="00607B78" w:rsidP="00607B78">
      <w:pPr>
        <w:pStyle w:val="CH2"/>
        <w:tabs>
          <w:tab w:val="left" w:pos="2552"/>
        </w:tabs>
        <w:ind w:firstLine="0"/>
        <w:jc w:val="center"/>
      </w:pPr>
      <w:r w:rsidRPr="009C2953">
        <w:t>V</w:t>
      </w:r>
    </w:p>
    <w:p w14:paraId="01FCEAE0" w14:textId="2573DB21" w:rsidR="00607B78" w:rsidRPr="009C2953" w:rsidRDefault="00607B78" w:rsidP="00607B78">
      <w:pPr>
        <w:pStyle w:val="CH2"/>
        <w:tabs>
          <w:tab w:val="clear" w:pos="851"/>
          <w:tab w:val="clear" w:pos="1247"/>
          <w:tab w:val="clear" w:pos="3119"/>
        </w:tabs>
        <w:spacing w:before="0"/>
        <w:ind w:firstLine="0"/>
        <w:jc w:val="center"/>
      </w:pPr>
      <w:r w:rsidRPr="009C2953">
        <w:t>Appui à l</w:t>
      </w:r>
      <w:r w:rsidR="00EA2966" w:rsidRPr="009C2953">
        <w:t>’</w:t>
      </w:r>
      <w:r w:rsidRPr="009C2953">
        <w:t>élaboration</w:t>
      </w:r>
      <w:r w:rsidR="00D24DC1" w:rsidRPr="009C2953">
        <w:t xml:space="preserve"> des </w:t>
      </w:r>
      <w:r w:rsidRPr="009C2953">
        <w:t xml:space="preserve">politiques </w:t>
      </w:r>
    </w:p>
    <w:p w14:paraId="5ECB468D" w14:textId="3A4C068C" w:rsidR="00607B78" w:rsidRPr="009C2953" w:rsidRDefault="00A72A27" w:rsidP="00A72A27">
      <w:pPr>
        <w:pStyle w:val="NormalNonumber"/>
      </w:pPr>
      <w:r w:rsidRPr="009C2953">
        <w:rPr>
          <w:iCs/>
        </w:rPr>
        <w:tab/>
        <w:t>26.</w:t>
      </w:r>
      <w:r w:rsidRPr="009C2953">
        <w:rPr>
          <w:iCs/>
        </w:rPr>
        <w:tab/>
      </w:r>
      <w:r w:rsidR="00607B78" w:rsidRPr="009C2953">
        <w:rPr>
          <w:i/>
        </w:rPr>
        <w:t>Se félicite</w:t>
      </w:r>
      <w:r w:rsidR="00D24DC1" w:rsidRPr="009C2953">
        <w:t xml:space="preserve"> des </w:t>
      </w:r>
      <w:r w:rsidR="00607B78" w:rsidRPr="009C2953">
        <w:t>progrès accomplis par l</w:t>
      </w:r>
      <w:r w:rsidR="00EA2966" w:rsidRPr="009C2953">
        <w:t>’</w:t>
      </w:r>
      <w:r w:rsidR="00607B78" w:rsidRPr="009C2953">
        <w:t>équipe spéciale sur</w:t>
      </w:r>
      <w:r w:rsidR="00F34644" w:rsidRPr="009C2953">
        <w:t xml:space="preserve"> les </w:t>
      </w:r>
      <w:r w:rsidR="00607B78" w:rsidRPr="009C2953">
        <w:t>outils et méthodes d</w:t>
      </w:r>
      <w:r w:rsidR="00EA2966" w:rsidRPr="009C2953">
        <w:t>’</w:t>
      </w:r>
      <w:r w:rsidR="00607B78" w:rsidRPr="009C2953">
        <w:t>élaboration</w:t>
      </w:r>
      <w:r w:rsidR="00D24DC1" w:rsidRPr="009C2953">
        <w:t xml:space="preserve"> des </w:t>
      </w:r>
      <w:r w:rsidR="00607B78" w:rsidRPr="009C2953">
        <w:t>politiques dans</w:t>
      </w:r>
      <w:r w:rsidR="00F34644" w:rsidRPr="009C2953">
        <w:t xml:space="preserve"> la </w:t>
      </w:r>
      <w:r w:rsidR="00607B78" w:rsidRPr="009C2953">
        <w:t>réalisation de l</w:t>
      </w:r>
      <w:r w:rsidR="00EA2966" w:rsidRPr="009C2953">
        <w:t>’</w:t>
      </w:r>
      <w:r w:rsidR="00607B78" w:rsidRPr="009C2953">
        <w:t>objectif 4 a) sur</w:t>
      </w:r>
      <w:r w:rsidR="00F34644" w:rsidRPr="009C2953">
        <w:t xml:space="preserve"> les </w:t>
      </w:r>
      <w:r w:rsidR="00607B78" w:rsidRPr="009C2953">
        <w:t>travaux avancés sur</w:t>
      </w:r>
      <w:r w:rsidR="00F34644" w:rsidRPr="009C2953">
        <w:t xml:space="preserve"> les </w:t>
      </w:r>
      <w:r w:rsidR="00607B78" w:rsidRPr="009C2953">
        <w:t>moyens d</w:t>
      </w:r>
      <w:r w:rsidR="00EA2966" w:rsidRPr="009C2953">
        <w:t>’</w:t>
      </w:r>
      <w:r w:rsidR="00607B78" w:rsidRPr="009C2953">
        <w:t>action,</w:t>
      </w:r>
      <w:r w:rsidR="00F34644" w:rsidRPr="009C2953">
        <w:t xml:space="preserve"> les </w:t>
      </w:r>
      <w:r w:rsidR="00607B78" w:rsidRPr="009C2953">
        <w:t xml:space="preserve">outils </w:t>
      </w:r>
      <w:r w:rsidR="009D4798" w:rsidRPr="009C2953">
        <w:t xml:space="preserve">et méthodes </w:t>
      </w:r>
      <w:r w:rsidR="00607B78" w:rsidRPr="009C2953">
        <w:t>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w:t>
      </w:r>
    </w:p>
    <w:p w14:paraId="375E6B63" w14:textId="7D304E44" w:rsidR="00607B78" w:rsidRPr="009C2953" w:rsidRDefault="00A72A27" w:rsidP="00A72A27">
      <w:pPr>
        <w:pStyle w:val="NormalNonumber"/>
      </w:pPr>
      <w:r w:rsidRPr="009C2953">
        <w:rPr>
          <w:iCs/>
        </w:rPr>
        <w:lastRenderedPageBreak/>
        <w:tab/>
        <w:t>27.</w:t>
      </w:r>
      <w:r w:rsidRPr="009C2953">
        <w:rPr>
          <w:iCs/>
        </w:rPr>
        <w:tab/>
      </w:r>
      <w:r w:rsidR="00607B78" w:rsidRPr="009C2953">
        <w:rPr>
          <w:i/>
        </w:rPr>
        <w:t>Approuve</w:t>
      </w:r>
      <w:r w:rsidR="00F34644" w:rsidRPr="009C2953">
        <w:t xml:space="preserve"> le </w:t>
      </w:r>
      <w:r w:rsidR="00607B78" w:rsidRPr="009C2953">
        <w:t>plan de travail pour l</w:t>
      </w:r>
      <w:r w:rsidR="00EA2966" w:rsidRPr="009C2953">
        <w:t>’</w:t>
      </w:r>
      <w:r w:rsidR="00607B78" w:rsidRPr="009C2953">
        <w:t>objectif 4 a)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9054A8" w:rsidRPr="009C2953">
        <w:rPr>
          <w:color w:val="000000"/>
        </w:rPr>
        <w:t>–</w:t>
      </w:r>
      <w:r w:rsidR="00607B78" w:rsidRPr="009C2953">
        <w:t>2024, qui</w:t>
      </w:r>
      <w:r w:rsidRPr="009C2953">
        <w:t> </w:t>
      </w:r>
      <w:r w:rsidR="00607B78" w:rsidRPr="009C2953">
        <w:t>figure</w:t>
      </w:r>
      <w:r w:rsidRPr="009C2953">
        <w:t> </w:t>
      </w:r>
      <w:r w:rsidR="00607B78" w:rsidRPr="009C2953">
        <w:t>dans l</w:t>
      </w:r>
      <w:r w:rsidR="00EA2966" w:rsidRPr="009C2953">
        <w:t>’</w:t>
      </w:r>
      <w:r w:rsidR="00607B78" w:rsidRPr="009C2953">
        <w:t>annexe VII de</w:t>
      </w:r>
      <w:r w:rsidR="00F34644" w:rsidRPr="009C2953">
        <w:t xml:space="preserve"> la </w:t>
      </w:r>
      <w:r w:rsidR="00607B78" w:rsidRPr="009C2953">
        <w:t>présente décision ;</w:t>
      </w:r>
    </w:p>
    <w:p w14:paraId="3C4A8F7B" w14:textId="14AEDF9B" w:rsidR="00607B78" w:rsidRPr="009C2953" w:rsidRDefault="00A36E76" w:rsidP="00A36E76">
      <w:pPr>
        <w:pStyle w:val="NormalNonumber"/>
        <w:rPr>
          <w:color w:val="000000"/>
        </w:rPr>
      </w:pPr>
      <w:r w:rsidRPr="009C2953">
        <w:rPr>
          <w:iCs/>
        </w:rPr>
        <w:tab/>
        <w:t>28.</w:t>
      </w:r>
      <w:r w:rsidRPr="009C2953">
        <w:rPr>
          <w:iCs/>
        </w:rPr>
        <w:tab/>
      </w:r>
      <w:r w:rsidR="00607B78" w:rsidRPr="009C2953">
        <w:rPr>
          <w:i/>
        </w:rPr>
        <w:t>Prie</w:t>
      </w:r>
      <w:r w:rsidR="00F34644" w:rsidRPr="009C2953">
        <w:t xml:space="preserve"> la </w:t>
      </w:r>
      <w:r w:rsidR="00607B78" w:rsidRPr="009C2953">
        <w:t>Secrétaire exécutive d</w:t>
      </w:r>
      <w:r w:rsidR="00EA2966" w:rsidRPr="009C2953">
        <w:t>’</w:t>
      </w:r>
      <w:r w:rsidR="00607B78" w:rsidRPr="009C2953">
        <w:t>inviter</w:t>
      </w:r>
      <w:r w:rsidR="00F34644" w:rsidRPr="009C2953">
        <w:t xml:space="preserve"> les </w:t>
      </w:r>
      <w:r w:rsidR="00607B78" w:rsidRPr="009C2953">
        <w:t>membres,</w:t>
      </w:r>
      <w:r w:rsidR="00F34644" w:rsidRPr="009C2953">
        <w:t xml:space="preserve"> les </w:t>
      </w:r>
      <w:r w:rsidR="00607B78" w:rsidRPr="009C2953">
        <w:t>observateurs et</w:t>
      </w:r>
      <w:r w:rsidR="00F34644" w:rsidRPr="009C2953">
        <w:t xml:space="preserve"> les </w:t>
      </w:r>
      <w:r w:rsidR="00607B78" w:rsidRPr="009C2953">
        <w:t>parties prenantes à communiquer</w:t>
      </w:r>
      <w:r w:rsidR="00107282" w:rsidRPr="009C2953">
        <w:t xml:space="preserve"> leurs </w:t>
      </w:r>
      <w:r w:rsidR="00607B78" w:rsidRPr="009C2953">
        <w:t>vues sur</w:t>
      </w:r>
      <w:r w:rsidR="00F34644" w:rsidRPr="009C2953">
        <w:t xml:space="preserve"> le </w:t>
      </w:r>
      <w:r w:rsidR="00607B78" w:rsidRPr="009C2953">
        <w:t>rôle futur de</w:t>
      </w:r>
      <w:r w:rsidR="00F34644" w:rsidRPr="009C2953">
        <w:t xml:space="preserve"> la </w:t>
      </w:r>
      <w:r w:rsidR="00607B78" w:rsidRPr="009C2953">
        <w:t>fonction 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et sur</w:t>
      </w:r>
      <w:r w:rsidR="00F34644" w:rsidRPr="009C2953">
        <w:t xml:space="preserve"> les </w:t>
      </w:r>
      <w:r w:rsidR="00607B78" w:rsidRPr="009C2953">
        <w:t>moyens de renforcer</w:t>
      </w:r>
      <w:r w:rsidR="00F34644" w:rsidRPr="009C2953">
        <w:t xml:space="preserve"> la </w:t>
      </w:r>
      <w:r w:rsidR="00607B78" w:rsidRPr="009C2953">
        <w:t>réalisation de l</w:t>
      </w:r>
      <w:r w:rsidR="00EA2966" w:rsidRPr="009C2953">
        <w:t>’</w:t>
      </w:r>
      <w:r w:rsidR="00607B78" w:rsidRPr="009C2953">
        <w:t>objectif 4 a) du programme de travail glissant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w:t>
      </w:r>
      <w:r w:rsidR="00607B78" w:rsidRPr="009C2953">
        <w:rPr>
          <w:color w:val="000000"/>
        </w:rPr>
        <w:t xml:space="preserve"> </w:t>
      </w:r>
    </w:p>
    <w:p w14:paraId="136F2559" w14:textId="104D121A" w:rsidR="00607B78" w:rsidRPr="009C2953" w:rsidRDefault="002A5D20" w:rsidP="002A5D20">
      <w:pPr>
        <w:pStyle w:val="NormalNonumber"/>
      </w:pPr>
      <w:r w:rsidRPr="009C2953">
        <w:rPr>
          <w:iCs/>
        </w:rPr>
        <w:tab/>
        <w:t>29.</w:t>
      </w:r>
      <w:r w:rsidRPr="009C2953">
        <w:rPr>
          <w:iCs/>
        </w:rPr>
        <w:tab/>
      </w:r>
      <w:r w:rsidR="00607B78" w:rsidRPr="009C2953">
        <w:rPr>
          <w:i/>
        </w:rPr>
        <w:t>Se félicite</w:t>
      </w:r>
      <w:r w:rsidR="00D24DC1" w:rsidRPr="009C2953">
        <w:t xml:space="preserve"> des </w:t>
      </w:r>
      <w:r w:rsidR="00607B78" w:rsidRPr="009C2953">
        <w:t>progrès accomplis par l</w:t>
      </w:r>
      <w:r w:rsidR="00EA2966" w:rsidRPr="009C2953">
        <w:t>’</w:t>
      </w:r>
      <w:r w:rsidR="00607B78" w:rsidRPr="009C2953">
        <w:t>équipe spéciale sur</w:t>
      </w:r>
      <w:r w:rsidR="00F34644" w:rsidRPr="009C2953">
        <w:t xml:space="preserve"> les </w:t>
      </w:r>
      <w:r w:rsidR="00607B78" w:rsidRPr="009C2953">
        <w:t>scénarios et</w:t>
      </w:r>
      <w:r w:rsidR="00F34644" w:rsidRPr="009C2953">
        <w:t xml:space="preserve"> les </w:t>
      </w:r>
      <w:r w:rsidR="00607B78" w:rsidRPr="009C2953">
        <w:t>modèles de</w:t>
      </w:r>
      <w:r w:rsidR="00F34644" w:rsidRPr="009C2953">
        <w:t xml:space="preserve"> la </w:t>
      </w:r>
      <w:r w:rsidR="00607B78" w:rsidRPr="009C2953">
        <w:t>biodiversité et</w:t>
      </w:r>
      <w:r w:rsidR="00D24DC1" w:rsidRPr="009C2953">
        <w:t xml:space="preserve"> des </w:t>
      </w:r>
      <w:r w:rsidR="00607B78" w:rsidRPr="009C2953">
        <w:t>services écosystémiques dans</w:t>
      </w:r>
      <w:r w:rsidR="00F34644" w:rsidRPr="009C2953">
        <w:t xml:space="preserve"> la </w:t>
      </w:r>
      <w:r w:rsidR="00607B78" w:rsidRPr="009C2953">
        <w:t>réalisation de l</w:t>
      </w:r>
      <w:r w:rsidR="00EA2966" w:rsidRPr="009C2953">
        <w:t>’</w:t>
      </w:r>
      <w:r w:rsidR="00607B78" w:rsidRPr="009C2953">
        <w:t>objectif 4 b) sur</w:t>
      </w:r>
      <w:r w:rsidR="00F34644" w:rsidRPr="009C2953">
        <w:t xml:space="preserve"> les </w:t>
      </w:r>
      <w:r w:rsidR="00607B78" w:rsidRPr="009C2953">
        <w:t>travaux avancés sur</w:t>
      </w:r>
      <w:r w:rsidR="00F34644" w:rsidRPr="009C2953">
        <w:t xml:space="preserve"> les </w:t>
      </w:r>
      <w:r w:rsidR="00607B78" w:rsidRPr="009C2953">
        <w:t>scénarios et</w:t>
      </w:r>
      <w:r w:rsidR="00F34644" w:rsidRPr="009C2953">
        <w:t xml:space="preserve"> la </w:t>
      </w:r>
      <w:r w:rsidR="00607B78" w:rsidRPr="009C2953">
        <w:t>modélisation de</w:t>
      </w:r>
      <w:r w:rsidR="00F34644" w:rsidRPr="009C2953">
        <w:t xml:space="preserve"> la </w:t>
      </w:r>
      <w:r w:rsidR="00607B78" w:rsidRPr="009C2953">
        <w:t>biodiversité et</w:t>
      </w:r>
      <w:r w:rsidR="00D24DC1" w:rsidRPr="009C2953">
        <w:t xml:space="preserve"> des </w:t>
      </w:r>
      <w:r w:rsidR="00607B78" w:rsidRPr="009C2953">
        <w:t>fonctions et services écosystémiques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w:t>
      </w:r>
    </w:p>
    <w:p w14:paraId="29F87BA2" w14:textId="23A89A71" w:rsidR="00607B78" w:rsidRPr="009C2953" w:rsidRDefault="002A5D20" w:rsidP="002A5D20">
      <w:pPr>
        <w:pStyle w:val="NormalNonumber"/>
      </w:pPr>
      <w:r w:rsidRPr="009C2953">
        <w:rPr>
          <w:iCs/>
        </w:rPr>
        <w:tab/>
        <w:t>30.</w:t>
      </w:r>
      <w:r w:rsidRPr="009C2953">
        <w:rPr>
          <w:iCs/>
        </w:rPr>
        <w:tab/>
      </w:r>
      <w:r w:rsidR="00607B78" w:rsidRPr="009C2953">
        <w:rPr>
          <w:i/>
        </w:rPr>
        <w:t>Approuve</w:t>
      </w:r>
      <w:r w:rsidR="00F34644" w:rsidRPr="009C2953">
        <w:t xml:space="preserve"> le </w:t>
      </w:r>
      <w:r w:rsidR="00607B78" w:rsidRPr="009C2953">
        <w:t>plan de travail pour l</w:t>
      </w:r>
      <w:r w:rsidR="00EA2966" w:rsidRPr="009C2953">
        <w:t>’</w:t>
      </w:r>
      <w:r w:rsidR="00607B78" w:rsidRPr="009C2953">
        <w:t>objectif 4 b)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pour</w:t>
      </w:r>
      <w:r w:rsidR="00F34644" w:rsidRPr="009C2953">
        <w:t xml:space="preserve"> la </w:t>
      </w:r>
      <w:r w:rsidR="00607B78" w:rsidRPr="009C2953">
        <w:t>période intersessions 2023</w:t>
      </w:r>
      <w:r w:rsidR="008A4C29" w:rsidRPr="009C2953">
        <w:rPr>
          <w:color w:val="000000"/>
        </w:rPr>
        <w:t>–</w:t>
      </w:r>
      <w:r w:rsidR="00607B78" w:rsidRPr="009C2953">
        <w:t>2024, qui</w:t>
      </w:r>
      <w:r w:rsidRPr="009C2953">
        <w:t> </w:t>
      </w:r>
      <w:r w:rsidR="00607B78" w:rsidRPr="009C2953">
        <w:t>figure</w:t>
      </w:r>
      <w:r w:rsidRPr="009C2953">
        <w:t> </w:t>
      </w:r>
      <w:r w:rsidR="00607B78" w:rsidRPr="009C2953">
        <w:t>dans l</w:t>
      </w:r>
      <w:r w:rsidR="00EA2966" w:rsidRPr="009C2953">
        <w:t>’</w:t>
      </w:r>
      <w:r w:rsidR="00607B78" w:rsidRPr="009C2953">
        <w:t>annexe VIII de</w:t>
      </w:r>
      <w:r w:rsidR="00F34644" w:rsidRPr="009C2953">
        <w:t xml:space="preserve"> la </w:t>
      </w:r>
      <w:r w:rsidR="00607B78" w:rsidRPr="009C2953">
        <w:t>présente décision ;</w:t>
      </w:r>
    </w:p>
    <w:p w14:paraId="3CABC773" w14:textId="77777777" w:rsidR="00607B78" w:rsidRPr="009C2953" w:rsidRDefault="00607B78" w:rsidP="00607B78">
      <w:pPr>
        <w:pStyle w:val="CH2"/>
        <w:tabs>
          <w:tab w:val="left" w:pos="2552"/>
        </w:tabs>
        <w:ind w:firstLine="0"/>
        <w:jc w:val="center"/>
      </w:pPr>
      <w:r w:rsidRPr="009C2953">
        <w:t>VI</w:t>
      </w:r>
    </w:p>
    <w:p w14:paraId="250F5933" w14:textId="3F00174B" w:rsidR="00607B78" w:rsidRPr="009C2953" w:rsidRDefault="00607B78" w:rsidP="00607B78">
      <w:pPr>
        <w:pStyle w:val="CH2"/>
        <w:tabs>
          <w:tab w:val="clear" w:pos="851"/>
          <w:tab w:val="clear" w:pos="1247"/>
          <w:tab w:val="clear" w:pos="3119"/>
        </w:tabs>
        <w:spacing w:before="0"/>
        <w:ind w:firstLine="0"/>
        <w:jc w:val="center"/>
      </w:pPr>
      <w:r w:rsidRPr="009C2953">
        <w:t>Renforcement de l</w:t>
      </w:r>
      <w:r w:rsidR="00EA2966" w:rsidRPr="009C2953">
        <w:t>’</w:t>
      </w:r>
      <w:r w:rsidRPr="009C2953">
        <w:t>efficacité de</w:t>
      </w:r>
      <w:r w:rsidR="00F34644" w:rsidRPr="009C2953">
        <w:t xml:space="preserve"> la</w:t>
      </w:r>
      <w:r w:rsidR="0027660D" w:rsidRPr="009C2953">
        <w:t xml:space="preserve"> </w:t>
      </w:r>
      <w:r w:rsidRPr="009C2953">
        <w:t>Plateforme</w:t>
      </w:r>
    </w:p>
    <w:p w14:paraId="58DDCBDF" w14:textId="38F6B444" w:rsidR="00607B78" w:rsidRPr="009C2953" w:rsidRDefault="009B5D74" w:rsidP="009B5D74">
      <w:pPr>
        <w:pStyle w:val="NormalNonumber"/>
      </w:pPr>
      <w:r w:rsidRPr="009C2953">
        <w:rPr>
          <w:iCs/>
        </w:rPr>
        <w:tab/>
        <w:t>31.</w:t>
      </w:r>
      <w:r w:rsidRPr="009C2953">
        <w:rPr>
          <w:iCs/>
        </w:rPr>
        <w:tab/>
      </w:r>
      <w:r w:rsidR="00607B78" w:rsidRPr="009C2953">
        <w:rPr>
          <w:i/>
        </w:rPr>
        <w:t>Se félicite</w:t>
      </w:r>
      <w:r w:rsidR="00607B78" w:rsidRPr="009C2953">
        <w:t xml:space="preserve"> de</w:t>
      </w:r>
      <w:r w:rsidR="00F34644" w:rsidRPr="009C2953">
        <w:t xml:space="preserve"> la </w:t>
      </w:r>
      <w:r w:rsidR="00607B78" w:rsidRPr="009C2953">
        <w:t>note du secrétariat sur</w:t>
      </w:r>
      <w:r w:rsidR="00F34644" w:rsidRPr="009C2953">
        <w:t xml:space="preserve"> le </w:t>
      </w:r>
      <w:r w:rsidR="00607B78" w:rsidRPr="009C2953">
        <w:t>renforcement de l</w:t>
      </w:r>
      <w:r w:rsidR="00EA2966" w:rsidRPr="009C2953">
        <w:t>’</w:t>
      </w:r>
      <w:r w:rsidR="00607B78" w:rsidRPr="009C2953">
        <w:t>efficacité de</w:t>
      </w:r>
      <w:r w:rsidR="00F34644" w:rsidRPr="009C2953">
        <w:t xml:space="preserve"> la </w:t>
      </w:r>
      <w:r w:rsidR="00607B78" w:rsidRPr="009C2953">
        <w:t>Plateforme</w:t>
      </w:r>
      <w:r w:rsidR="00607B78" w:rsidRPr="009C2953">
        <w:rPr>
          <w:vertAlign w:val="superscript"/>
        </w:rPr>
        <w:footnoteReference w:id="13"/>
      </w:r>
      <w:r w:rsidR="00607B78" w:rsidRPr="009C2953">
        <w:t> ;</w:t>
      </w:r>
    </w:p>
    <w:p w14:paraId="4FE31BC1" w14:textId="48C46D29" w:rsidR="00607B78" w:rsidRPr="009C2953" w:rsidRDefault="009B5D74" w:rsidP="009B5D74">
      <w:pPr>
        <w:pStyle w:val="NormalNonumber"/>
      </w:pPr>
      <w:r w:rsidRPr="009C2953">
        <w:rPr>
          <w:iCs/>
        </w:rPr>
        <w:tab/>
        <w:t>32.</w:t>
      </w:r>
      <w:r w:rsidRPr="009C2953">
        <w:rPr>
          <w:iCs/>
        </w:rPr>
        <w:tab/>
      </w:r>
      <w:r w:rsidR="00607B78" w:rsidRPr="009C2953">
        <w:rPr>
          <w:i/>
        </w:rPr>
        <w:t>Prie</w:t>
      </w:r>
      <w:r w:rsidR="00F34644" w:rsidRPr="009C2953">
        <w:t xml:space="preserve"> le </w:t>
      </w:r>
      <w:r w:rsidR="00607B78" w:rsidRPr="009C2953">
        <w:t>Bureau,</w:t>
      </w:r>
      <w:r w:rsidR="00F34644" w:rsidRPr="009C2953">
        <w:t xml:space="preserve"> le </w:t>
      </w:r>
      <w:r w:rsidR="00607B78" w:rsidRPr="009C2953">
        <w:t>Groupe d</w:t>
      </w:r>
      <w:r w:rsidR="00EA2966" w:rsidRPr="009C2953">
        <w:t>’</w:t>
      </w:r>
      <w:r w:rsidR="00607B78" w:rsidRPr="009C2953">
        <w:t>experts multidisciplinaire et</w:t>
      </w:r>
      <w:r w:rsidR="00F34644" w:rsidRPr="009C2953">
        <w:t xml:space="preserve"> la </w:t>
      </w:r>
      <w:r w:rsidR="00607B78" w:rsidRPr="009C2953">
        <w:t>Secrétaire exécutive, conformément à</w:t>
      </w:r>
      <w:r w:rsidR="00107282" w:rsidRPr="009C2953">
        <w:t xml:space="preserve"> leurs </w:t>
      </w:r>
      <w:r w:rsidR="00607B78" w:rsidRPr="009C2953">
        <w:t>mandats respectifs, de continuer à tenir compte</w:t>
      </w:r>
      <w:r w:rsidR="00D24DC1" w:rsidRPr="009C2953">
        <w:t xml:space="preserve"> des </w:t>
      </w:r>
      <w:r w:rsidR="00607B78" w:rsidRPr="009C2953">
        <w:t>recommandations formulées</w:t>
      </w:r>
      <w:r w:rsidRPr="009C2953">
        <w:t> </w:t>
      </w:r>
      <w:r w:rsidR="00607B78" w:rsidRPr="009C2953">
        <w:t>dans</w:t>
      </w:r>
      <w:r w:rsidR="00F34644" w:rsidRPr="009C2953">
        <w:t xml:space="preserve"> le </w:t>
      </w:r>
      <w:r w:rsidR="00607B78" w:rsidRPr="009C2953">
        <w:t>rapport sur l</w:t>
      </w:r>
      <w:r w:rsidR="00EA2966" w:rsidRPr="009C2953">
        <w:t>’</w:t>
      </w:r>
      <w:r w:rsidR="00607B78" w:rsidRPr="009C2953">
        <w:t>examen de</w:t>
      </w:r>
      <w:r w:rsidR="00F34644" w:rsidRPr="009C2953">
        <w:t xml:space="preserve"> la </w:t>
      </w:r>
      <w:r w:rsidR="00607B78" w:rsidRPr="009C2953">
        <w:t>Plateforme à l</w:t>
      </w:r>
      <w:r w:rsidR="00EA2966" w:rsidRPr="009C2953">
        <w:t>’</w:t>
      </w:r>
      <w:r w:rsidR="00607B78" w:rsidRPr="009C2953">
        <w:t>issue de</w:t>
      </w:r>
      <w:r w:rsidR="00F34644" w:rsidRPr="009C2953">
        <w:t xml:space="preserve"> son </w:t>
      </w:r>
      <w:r w:rsidR="00607B78" w:rsidRPr="009C2953">
        <w:t>premier programme de travail</w:t>
      </w:r>
      <w:r w:rsidRPr="009C2953">
        <w:t> </w:t>
      </w:r>
      <w:r w:rsidR="00607B78" w:rsidRPr="009C2953">
        <w:t>dans</w:t>
      </w:r>
      <w:r w:rsidR="00F34644" w:rsidRPr="009C2953">
        <w:t xml:space="preserve"> la </w:t>
      </w:r>
      <w:r w:rsidR="00607B78" w:rsidRPr="009C2953">
        <w:t>mise en œuvre du programme de travail glissant de</w:t>
      </w:r>
      <w:r w:rsidR="00F34644" w:rsidRPr="009C2953">
        <w:t xml:space="preserve"> la </w:t>
      </w:r>
      <w:r w:rsidR="00607B78" w:rsidRPr="009C2953">
        <w:t>Plateforme pour</w:t>
      </w:r>
      <w:r w:rsidR="00F34644" w:rsidRPr="009C2953">
        <w:t xml:space="preserve"> la </w:t>
      </w:r>
      <w:r w:rsidR="00607B78" w:rsidRPr="009C2953">
        <w:t>période allant</w:t>
      </w:r>
      <w:r w:rsidRPr="009C2953">
        <w:t> </w:t>
      </w:r>
      <w:r w:rsidR="00607B78" w:rsidRPr="009C2953">
        <w:t>jusqu</w:t>
      </w:r>
      <w:r w:rsidR="00EA2966" w:rsidRPr="009C2953">
        <w:t>’</w:t>
      </w:r>
      <w:r w:rsidR="00607B78" w:rsidRPr="009C2953">
        <w:t>en</w:t>
      </w:r>
      <w:r w:rsidR="00170A53" w:rsidRPr="009C2953">
        <w:t> </w:t>
      </w:r>
      <w:r w:rsidR="00607B78" w:rsidRPr="009C2953">
        <w:t>2030</w:t>
      </w:r>
      <w:r w:rsidR="00607B78" w:rsidRPr="009C2953">
        <w:rPr>
          <w:vertAlign w:val="superscript"/>
        </w:rPr>
        <w:footnoteReference w:id="14"/>
      </w:r>
      <w:r w:rsidR="00607B78" w:rsidRPr="009C2953">
        <w:t xml:space="preserve"> et de lui faire rapport à</w:t>
      </w:r>
      <w:r w:rsidR="00F34644" w:rsidRPr="009C2953">
        <w:t xml:space="preserve"> sa </w:t>
      </w:r>
      <w:r w:rsidR="00607B78" w:rsidRPr="009C2953">
        <w:t>onzième session sur</w:t>
      </w:r>
      <w:r w:rsidR="00F34644" w:rsidRPr="009C2953">
        <w:t xml:space="preserve"> les </w:t>
      </w:r>
      <w:r w:rsidR="00607B78" w:rsidRPr="009C2953">
        <w:t>progrès accomplis,</w:t>
      </w:r>
      <w:r w:rsidR="00F34644" w:rsidRPr="009C2953">
        <w:t xml:space="preserve"> y </w:t>
      </w:r>
      <w:r w:rsidR="00607B78" w:rsidRPr="009C2953">
        <w:t>compris</w:t>
      </w:r>
      <w:r w:rsidRPr="009C2953">
        <w:t> </w:t>
      </w:r>
      <w:r w:rsidR="00607B78" w:rsidRPr="009C2953">
        <w:t>sur</w:t>
      </w:r>
      <w:r w:rsidR="00F34644" w:rsidRPr="009C2953">
        <w:t xml:space="preserve"> les </w:t>
      </w:r>
      <w:r w:rsidR="00607B78" w:rsidRPr="009C2953">
        <w:t>questions supplémentaires et</w:t>
      </w:r>
      <w:r w:rsidR="00F34644" w:rsidRPr="009C2953">
        <w:t xml:space="preserve"> les </w:t>
      </w:r>
      <w:r w:rsidR="00607B78" w:rsidRPr="009C2953">
        <w:t>solutions ;</w:t>
      </w:r>
    </w:p>
    <w:p w14:paraId="56AC8A9C" w14:textId="1BA6EA3C" w:rsidR="00607B78" w:rsidRPr="009C2953" w:rsidRDefault="00740785" w:rsidP="00740785">
      <w:pPr>
        <w:pStyle w:val="NormalNonumber"/>
      </w:pPr>
      <w:r w:rsidRPr="009C2953">
        <w:rPr>
          <w:iCs/>
        </w:rPr>
        <w:tab/>
        <w:t>33.</w:t>
      </w:r>
      <w:r w:rsidRPr="009C2953">
        <w:rPr>
          <w:iCs/>
        </w:rPr>
        <w:tab/>
      </w:r>
      <w:r w:rsidR="00607B78" w:rsidRPr="009C2953">
        <w:rPr>
          <w:i/>
        </w:rPr>
        <w:t>Approuve</w:t>
      </w:r>
      <w:r w:rsidR="00F34644" w:rsidRPr="009C2953">
        <w:t xml:space="preserve"> le </w:t>
      </w:r>
      <w:r w:rsidR="00607B78" w:rsidRPr="009C2953">
        <w:t>cadre d</w:t>
      </w:r>
      <w:r w:rsidR="00EA2966" w:rsidRPr="009C2953">
        <w:t>’</w:t>
      </w:r>
      <w:r w:rsidR="00607B78" w:rsidRPr="009C2953">
        <w:t>examen à mi-parcours du programme de travail glissant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qui figure à l</w:t>
      </w:r>
      <w:r w:rsidR="00EA2966" w:rsidRPr="009C2953">
        <w:t>’</w:t>
      </w:r>
      <w:r w:rsidR="00607B78" w:rsidRPr="009C2953">
        <w:t>annexe IX de</w:t>
      </w:r>
      <w:r w:rsidR="00F34644" w:rsidRPr="009C2953">
        <w:t xml:space="preserve"> la </w:t>
      </w:r>
      <w:r w:rsidR="00607B78" w:rsidRPr="009C2953">
        <w:t>présente décision ;</w:t>
      </w:r>
    </w:p>
    <w:p w14:paraId="344E7829" w14:textId="11AEDD37" w:rsidR="00607B78" w:rsidRPr="009C2953" w:rsidRDefault="00740785" w:rsidP="00740785">
      <w:pPr>
        <w:pStyle w:val="NormalNonumber"/>
      </w:pPr>
      <w:r w:rsidRPr="009C2953">
        <w:rPr>
          <w:iCs/>
        </w:rPr>
        <w:tab/>
        <w:t>34.</w:t>
      </w:r>
      <w:r w:rsidRPr="009C2953">
        <w:rPr>
          <w:iCs/>
        </w:rPr>
        <w:tab/>
      </w:r>
      <w:r w:rsidR="00607B78" w:rsidRPr="009C2953">
        <w:rPr>
          <w:i/>
        </w:rPr>
        <w:t>Prie</w:t>
      </w:r>
      <w:r w:rsidR="00F34644" w:rsidRPr="009C2953">
        <w:t xml:space="preserve"> le </w:t>
      </w:r>
      <w:r w:rsidR="00607B78" w:rsidRPr="009C2953">
        <w:t>Bureau et</w:t>
      </w:r>
      <w:r w:rsidR="00F34644" w:rsidRPr="009C2953">
        <w:t xml:space="preserve"> le </w:t>
      </w:r>
      <w:r w:rsidR="00607B78" w:rsidRPr="009C2953">
        <w:t>Groupe d</w:t>
      </w:r>
      <w:r w:rsidR="00EA2966" w:rsidRPr="009C2953">
        <w:t>’</w:t>
      </w:r>
      <w:r w:rsidR="00607B78" w:rsidRPr="009C2953">
        <w:t>experts multidisciplinaire de réaliser</w:t>
      </w:r>
      <w:r w:rsidR="00F34644" w:rsidRPr="009C2953">
        <w:t xml:space="preserve"> un </w:t>
      </w:r>
      <w:r w:rsidR="00607B78" w:rsidRPr="009C2953">
        <w:t>examen interne, conformément au cadre susvisé au paragraphe 33 de</w:t>
      </w:r>
      <w:r w:rsidR="00F34644" w:rsidRPr="009C2953">
        <w:t xml:space="preserve"> la </w:t>
      </w:r>
      <w:r w:rsidR="00607B78" w:rsidRPr="009C2953">
        <w:t>présente décision, et de lui présenter</w:t>
      </w:r>
      <w:r w:rsidR="00F34644" w:rsidRPr="009C2953">
        <w:t xml:space="preserve"> un </w:t>
      </w:r>
      <w:r w:rsidR="00607B78" w:rsidRPr="009C2953">
        <w:t>rapport sur</w:t>
      </w:r>
      <w:r w:rsidR="00F34644" w:rsidRPr="009C2953">
        <w:t xml:space="preserve"> les </w:t>
      </w:r>
      <w:r w:rsidR="00607B78" w:rsidRPr="009C2953">
        <w:t>résultats de l</w:t>
      </w:r>
      <w:r w:rsidR="00EA2966" w:rsidRPr="009C2953">
        <w:t>’</w:t>
      </w:r>
      <w:r w:rsidR="00607B78" w:rsidRPr="009C2953">
        <w:t>examen, pour qu</w:t>
      </w:r>
      <w:r w:rsidR="00EA2966" w:rsidRPr="009C2953">
        <w:t>’</w:t>
      </w:r>
      <w:r w:rsidR="00607B78" w:rsidRPr="009C2953">
        <w:t>elle l</w:t>
      </w:r>
      <w:r w:rsidR="00EA2966" w:rsidRPr="009C2953">
        <w:t>’</w:t>
      </w:r>
      <w:r w:rsidR="00607B78" w:rsidRPr="009C2953">
        <w:t>examine à</w:t>
      </w:r>
      <w:r w:rsidR="00F34644" w:rsidRPr="009C2953">
        <w:t xml:space="preserve"> sa </w:t>
      </w:r>
      <w:r w:rsidR="00607B78" w:rsidRPr="009C2953">
        <w:t>onzième session ;</w:t>
      </w:r>
    </w:p>
    <w:p w14:paraId="41648F8A" w14:textId="2701E042" w:rsidR="00607B78" w:rsidRPr="009C2953" w:rsidRDefault="00740785" w:rsidP="00740785">
      <w:pPr>
        <w:pStyle w:val="NormalNonumber"/>
        <w:rPr>
          <w:color w:val="000000"/>
        </w:rPr>
      </w:pPr>
      <w:r w:rsidRPr="009C2953">
        <w:rPr>
          <w:iCs/>
        </w:rPr>
        <w:tab/>
        <w:t>35.</w:t>
      </w:r>
      <w:r w:rsidRPr="009C2953">
        <w:rPr>
          <w:iCs/>
        </w:rPr>
        <w:tab/>
      </w:r>
      <w:r w:rsidR="00607B78" w:rsidRPr="009C2953">
        <w:rPr>
          <w:i/>
        </w:rPr>
        <w:t>Prie</w:t>
      </w:r>
      <w:r w:rsidR="00F34644" w:rsidRPr="009C2953">
        <w:t xml:space="preserve"> la </w:t>
      </w:r>
      <w:r w:rsidR="00607B78" w:rsidRPr="009C2953">
        <w:t>Secrétaire exécutive de lancer</w:t>
      </w:r>
      <w:r w:rsidR="00F34644" w:rsidRPr="009C2953">
        <w:t xml:space="preserve"> un </w:t>
      </w:r>
      <w:r w:rsidR="00607B78" w:rsidRPr="009C2953">
        <w:t>appel à candidatures pour siéger à</w:t>
      </w:r>
      <w:r w:rsidR="00F34644" w:rsidRPr="009C2953">
        <w:t xml:space="preserve"> la </w:t>
      </w:r>
      <w:r w:rsidR="00607B78" w:rsidRPr="009C2953">
        <w:t>commission d</w:t>
      </w:r>
      <w:r w:rsidR="00EA2966" w:rsidRPr="009C2953">
        <w:t>’</w:t>
      </w:r>
      <w:r w:rsidR="00607B78" w:rsidRPr="009C2953">
        <w:t>examen, dont</w:t>
      </w:r>
      <w:r w:rsidR="00F34644" w:rsidRPr="009C2953">
        <w:t xml:space="preserve"> les </w:t>
      </w:r>
      <w:r w:rsidR="00607B78" w:rsidRPr="009C2953">
        <w:t xml:space="preserve">membres seront </w:t>
      </w:r>
      <w:proofErr w:type="gramStart"/>
      <w:r w:rsidR="00607B78" w:rsidRPr="009C2953">
        <w:t>sélectionné</w:t>
      </w:r>
      <w:proofErr w:type="gramEnd"/>
      <w:r w:rsidR="00607B78" w:rsidRPr="009C2953">
        <w:t>(e)s par</w:t>
      </w:r>
      <w:r w:rsidR="00F34644" w:rsidRPr="009C2953">
        <w:t xml:space="preserve"> le </w:t>
      </w:r>
      <w:r w:rsidR="00607B78" w:rsidRPr="009C2953">
        <w:t>Bureau en tenant compte de</w:t>
      </w:r>
      <w:r w:rsidRPr="009C2953">
        <w:t> </w:t>
      </w:r>
      <w:r w:rsidR="00607B78" w:rsidRPr="009C2953">
        <w:t>l</w:t>
      </w:r>
      <w:r w:rsidR="00EA2966" w:rsidRPr="009C2953">
        <w:t>’</w:t>
      </w:r>
      <w:r w:rsidR="00607B78" w:rsidRPr="009C2953">
        <w:t>équilibre entre</w:t>
      </w:r>
      <w:r w:rsidR="00F34644" w:rsidRPr="009C2953">
        <w:t xml:space="preserve"> les </w:t>
      </w:r>
      <w:r w:rsidR="00607B78" w:rsidRPr="009C2953">
        <w:t>genres,</w:t>
      </w:r>
      <w:r w:rsidR="00F34644" w:rsidRPr="009C2953">
        <w:t xml:space="preserve"> les </w:t>
      </w:r>
      <w:r w:rsidR="00607B78" w:rsidRPr="009C2953">
        <w:t>régions et</w:t>
      </w:r>
      <w:r w:rsidR="00F34644" w:rsidRPr="009C2953">
        <w:t xml:space="preserve"> les </w:t>
      </w:r>
      <w:r w:rsidR="00607B78" w:rsidRPr="009C2953">
        <w:t>disciplines et</w:t>
      </w:r>
      <w:r w:rsidR="00D24DC1" w:rsidRPr="009C2953">
        <w:t xml:space="preserve"> des </w:t>
      </w:r>
      <w:r w:rsidR="00607B78" w:rsidRPr="009C2953">
        <w:t>compétences dans</w:t>
      </w:r>
      <w:r w:rsidR="00F34644" w:rsidRPr="009C2953">
        <w:t xml:space="preserve"> les </w:t>
      </w:r>
      <w:r w:rsidR="00607B78" w:rsidRPr="009C2953">
        <w:t>domaines de</w:t>
      </w:r>
      <w:r w:rsidR="00F34644" w:rsidRPr="009C2953">
        <w:t xml:space="preserve"> la </w:t>
      </w:r>
      <w:r w:rsidR="00607B78" w:rsidRPr="009C2953">
        <w:t>sensibilisation et de</w:t>
      </w:r>
      <w:r w:rsidR="00F34644" w:rsidRPr="009C2953">
        <w:t xml:space="preserve"> la </w:t>
      </w:r>
      <w:r w:rsidR="00607B78" w:rsidRPr="009C2953">
        <w:t>mise en œuvre, et en assurant</w:t>
      </w:r>
      <w:r w:rsidR="00F34644" w:rsidRPr="009C2953">
        <w:t xml:space="preserve"> la </w:t>
      </w:r>
      <w:r w:rsidR="00607B78" w:rsidRPr="009C2953">
        <w:t>participation</w:t>
      </w:r>
      <w:r w:rsidR="00D24DC1" w:rsidRPr="009C2953">
        <w:t xml:space="preserve"> des </w:t>
      </w:r>
      <w:r w:rsidR="00607B78" w:rsidRPr="009C2953">
        <w:t>peuples autochtones et</w:t>
      </w:r>
      <w:r w:rsidR="00D24DC1" w:rsidRPr="009C2953">
        <w:t xml:space="preserve"> des </w:t>
      </w:r>
      <w:r w:rsidR="00607B78" w:rsidRPr="009C2953">
        <w:t>communautés locales ainsi que</w:t>
      </w:r>
      <w:r w:rsidR="00D24DC1" w:rsidRPr="009C2953">
        <w:t xml:space="preserve"> des </w:t>
      </w:r>
      <w:r w:rsidR="00607B78" w:rsidRPr="009C2953">
        <w:t>jeunes ;</w:t>
      </w:r>
    </w:p>
    <w:p w14:paraId="49E38862" w14:textId="7870BDE4" w:rsidR="00607B78" w:rsidRPr="009C2953" w:rsidRDefault="002D61D2" w:rsidP="002D61D2">
      <w:pPr>
        <w:pStyle w:val="NormalNonumber"/>
        <w:rPr>
          <w:i/>
        </w:rPr>
      </w:pPr>
      <w:r w:rsidRPr="009C2953">
        <w:rPr>
          <w:iCs/>
        </w:rPr>
        <w:tab/>
        <w:t>36.</w:t>
      </w:r>
      <w:r w:rsidRPr="009C2953">
        <w:rPr>
          <w:iCs/>
        </w:rPr>
        <w:tab/>
      </w:r>
      <w:r w:rsidR="00607B78" w:rsidRPr="009C2953">
        <w:rPr>
          <w:i/>
        </w:rPr>
        <w:t>Prie</w:t>
      </w:r>
      <w:r w:rsidR="00F34644" w:rsidRPr="009C2953">
        <w:t xml:space="preserve"> la </w:t>
      </w:r>
      <w:r w:rsidR="00607B78" w:rsidRPr="009C2953">
        <w:t>commission d</w:t>
      </w:r>
      <w:r w:rsidR="00EA2966" w:rsidRPr="009C2953">
        <w:t>’</w:t>
      </w:r>
      <w:r w:rsidR="00607B78" w:rsidRPr="009C2953">
        <w:t>examen de réaliser</w:t>
      </w:r>
      <w:r w:rsidR="00F34644" w:rsidRPr="009C2953">
        <w:t xml:space="preserve"> un </w:t>
      </w:r>
      <w:r w:rsidR="00607B78" w:rsidRPr="009C2953">
        <w:t>examen externe, conformément au</w:t>
      </w:r>
      <w:r w:rsidRPr="009C2953">
        <w:t> </w:t>
      </w:r>
      <w:r w:rsidR="00607B78" w:rsidRPr="009C2953">
        <w:t>cadre</w:t>
      </w:r>
      <w:r w:rsidRPr="009C2953">
        <w:t> </w:t>
      </w:r>
      <w:r w:rsidR="00607B78" w:rsidRPr="009C2953">
        <w:t>susvisé au paragraphe 33 de</w:t>
      </w:r>
      <w:r w:rsidR="00F34644" w:rsidRPr="009C2953">
        <w:t xml:space="preserve"> la </w:t>
      </w:r>
      <w:r w:rsidR="00607B78" w:rsidRPr="009C2953">
        <w:t>présente décision, et de lui présenter, pour examen à</w:t>
      </w:r>
      <w:r w:rsidR="00F34644" w:rsidRPr="009C2953">
        <w:t xml:space="preserve"> sa </w:t>
      </w:r>
      <w:r w:rsidR="00607B78" w:rsidRPr="009C2953">
        <w:t>douzième</w:t>
      </w:r>
      <w:r w:rsidRPr="009C2953">
        <w:t> </w:t>
      </w:r>
      <w:r w:rsidR="00607B78" w:rsidRPr="009C2953">
        <w:t>session,</w:t>
      </w:r>
      <w:r w:rsidR="00F34644" w:rsidRPr="009C2953">
        <w:t xml:space="preserve"> un </w:t>
      </w:r>
      <w:r w:rsidR="00607B78" w:rsidRPr="009C2953">
        <w:t>rapport sur</w:t>
      </w:r>
      <w:r w:rsidR="00F34644" w:rsidRPr="009C2953">
        <w:t xml:space="preserve"> les </w:t>
      </w:r>
      <w:r w:rsidR="00607B78" w:rsidRPr="009C2953">
        <w:t>résultats de l</w:t>
      </w:r>
      <w:r w:rsidR="00EA2966" w:rsidRPr="009C2953">
        <w:t>’</w:t>
      </w:r>
      <w:r w:rsidR="00607B78" w:rsidRPr="009C2953">
        <w:t>examen,</w:t>
      </w:r>
      <w:r w:rsidR="00F34644" w:rsidRPr="009C2953">
        <w:t xml:space="preserve"> y </w:t>
      </w:r>
      <w:r w:rsidR="00607B78" w:rsidRPr="009C2953">
        <w:t>compris</w:t>
      </w:r>
      <w:r w:rsidR="00D24DC1" w:rsidRPr="009C2953">
        <w:t xml:space="preserve"> des </w:t>
      </w:r>
      <w:r w:rsidR="00607B78" w:rsidRPr="009C2953">
        <w:t>recommandations spécifiques concernant</w:t>
      </w:r>
      <w:r w:rsidR="00F34644" w:rsidRPr="009C2953">
        <w:t xml:space="preserve"> la </w:t>
      </w:r>
      <w:r w:rsidR="00607B78" w:rsidRPr="009C2953">
        <w:t>poursuite de</w:t>
      </w:r>
      <w:r w:rsidR="00F34644" w:rsidRPr="009C2953">
        <w:t xml:space="preserve"> la </w:t>
      </w:r>
      <w:r w:rsidR="00607B78" w:rsidRPr="009C2953">
        <w:t>mise en œuvre du programme de travail glissant pour</w:t>
      </w:r>
      <w:r w:rsidR="00F34644" w:rsidRPr="009C2953">
        <w:t xml:space="preserve"> la </w:t>
      </w:r>
      <w:r w:rsidR="00607B78" w:rsidRPr="009C2953">
        <w:t>période allant</w:t>
      </w:r>
      <w:r w:rsidR="00170A53" w:rsidRPr="009C2953">
        <w:t> </w:t>
      </w:r>
      <w:r w:rsidR="00607B78" w:rsidRPr="009C2953">
        <w:t>jusqu</w:t>
      </w:r>
      <w:r w:rsidR="00EA2966" w:rsidRPr="009C2953">
        <w:t>’</w:t>
      </w:r>
      <w:r w:rsidR="00607B78" w:rsidRPr="009C2953">
        <w:t>en 2030 ;</w:t>
      </w:r>
    </w:p>
    <w:p w14:paraId="38F3FCFB" w14:textId="77777777" w:rsidR="00607B78" w:rsidRPr="009C2953" w:rsidRDefault="00607B78" w:rsidP="00607B78">
      <w:pPr>
        <w:pStyle w:val="CH2"/>
        <w:tabs>
          <w:tab w:val="left" w:pos="2552"/>
        </w:tabs>
        <w:ind w:firstLine="0"/>
        <w:jc w:val="center"/>
      </w:pPr>
      <w:r w:rsidRPr="009C2953">
        <w:t>VII</w:t>
      </w:r>
    </w:p>
    <w:p w14:paraId="033CF9CF" w14:textId="53596E6A" w:rsidR="00607B78" w:rsidRPr="009C2953" w:rsidRDefault="00607B78" w:rsidP="00607B78">
      <w:pPr>
        <w:pStyle w:val="CH2"/>
        <w:tabs>
          <w:tab w:val="clear" w:pos="851"/>
          <w:tab w:val="clear" w:pos="1247"/>
          <w:tab w:val="clear" w:pos="3119"/>
        </w:tabs>
        <w:spacing w:before="0"/>
        <w:ind w:firstLine="0"/>
        <w:jc w:val="center"/>
        <w:rPr>
          <w:color w:val="000000"/>
        </w:rPr>
      </w:pPr>
      <w:r w:rsidRPr="009C2953">
        <w:t>Appui technique et dispositions institutionnelles pour</w:t>
      </w:r>
      <w:r w:rsidR="00F34644" w:rsidRPr="009C2953">
        <w:t xml:space="preserve"> la </w:t>
      </w:r>
      <w:r w:rsidRPr="009C2953">
        <w:t>mise en œuvre du</w:t>
      </w:r>
      <w:r w:rsidR="00321B19" w:rsidRPr="009C2953">
        <w:t> </w:t>
      </w:r>
      <w:r w:rsidRPr="009C2953">
        <w:t>programme de travail</w:t>
      </w:r>
    </w:p>
    <w:p w14:paraId="55483EC2" w14:textId="3C88D601" w:rsidR="00607B78" w:rsidRPr="009C2953" w:rsidRDefault="00915F22" w:rsidP="00915F22">
      <w:pPr>
        <w:pStyle w:val="NormalNonumber"/>
      </w:pPr>
      <w:r w:rsidRPr="009C2953">
        <w:rPr>
          <w:iCs/>
        </w:rPr>
        <w:tab/>
        <w:t>37.</w:t>
      </w:r>
      <w:r w:rsidRPr="009C2953">
        <w:rPr>
          <w:iCs/>
        </w:rPr>
        <w:tab/>
      </w:r>
      <w:r w:rsidR="00607B78" w:rsidRPr="009C2953">
        <w:rPr>
          <w:i/>
        </w:rPr>
        <w:t>Approuve</w:t>
      </w:r>
      <w:r w:rsidR="00F34644" w:rsidRPr="009C2953">
        <w:t xml:space="preserve"> le </w:t>
      </w:r>
      <w:r w:rsidR="00607B78" w:rsidRPr="009C2953">
        <w:t>mandat révisé de 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 xml:space="preserve">capacités, </w:t>
      </w:r>
      <w:r w:rsidR="00A90048" w:rsidRPr="009C2953">
        <w:t>qui</w:t>
      </w:r>
      <w:r w:rsidR="00321B19" w:rsidRPr="009C2953">
        <w:t> </w:t>
      </w:r>
      <w:r w:rsidR="00607B78" w:rsidRPr="009C2953">
        <w:t>figure</w:t>
      </w:r>
      <w:r w:rsidR="0027660D" w:rsidRPr="009C2953">
        <w:t xml:space="preserve"> </w:t>
      </w:r>
      <w:r w:rsidR="00607B78" w:rsidRPr="009C2953">
        <w:t>à l</w:t>
      </w:r>
      <w:r w:rsidR="00EA2966" w:rsidRPr="009C2953">
        <w:t>’</w:t>
      </w:r>
      <w:r w:rsidR="00607B78" w:rsidRPr="009C2953">
        <w:t>annexe X de</w:t>
      </w:r>
      <w:r w:rsidR="00F34644" w:rsidRPr="009C2953">
        <w:t xml:space="preserve"> la </w:t>
      </w:r>
      <w:r w:rsidR="00607B78" w:rsidRPr="009C2953">
        <w:t>présente décision ;</w:t>
      </w:r>
    </w:p>
    <w:p w14:paraId="4F9C7A09" w14:textId="34A80C14" w:rsidR="00607B78" w:rsidRPr="009C2953" w:rsidRDefault="00915F22" w:rsidP="00915F22">
      <w:pPr>
        <w:pStyle w:val="NormalNonumber"/>
      </w:pPr>
      <w:r w:rsidRPr="009C2953">
        <w:rPr>
          <w:iCs/>
        </w:rPr>
        <w:tab/>
        <w:t>38.</w:t>
      </w:r>
      <w:r w:rsidRPr="009C2953">
        <w:rPr>
          <w:iCs/>
        </w:rPr>
        <w:tab/>
      </w:r>
      <w:r w:rsidR="00607B78" w:rsidRPr="009C2953">
        <w:rPr>
          <w:i/>
        </w:rPr>
        <w:t>Prie</w:t>
      </w:r>
      <w:r w:rsidR="00607B78" w:rsidRPr="009C2953">
        <w:t xml:space="preserve"> 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 de mettre en œuvre</w:t>
      </w:r>
      <w:r w:rsidR="00F34644" w:rsidRPr="009C2953">
        <w:t xml:space="preserve"> le </w:t>
      </w:r>
      <w:r w:rsidR="00607B78" w:rsidRPr="009C2953">
        <w:t>plan</w:t>
      </w:r>
      <w:r w:rsidRPr="009C2953">
        <w:t> </w:t>
      </w:r>
      <w:r w:rsidR="00607B78" w:rsidRPr="009C2953">
        <w:t>de</w:t>
      </w:r>
      <w:r w:rsidR="00321B19" w:rsidRPr="009C2953">
        <w:t> </w:t>
      </w:r>
      <w:r w:rsidR="00607B78" w:rsidRPr="009C2953">
        <w:t>travail pour l</w:t>
      </w:r>
      <w:r w:rsidR="00EA2966" w:rsidRPr="009C2953">
        <w:t>’</w:t>
      </w:r>
      <w:r w:rsidR="00607B78" w:rsidRPr="009C2953">
        <w:t>objectif 2 du programme de travail de</w:t>
      </w:r>
      <w:r w:rsidR="00F34644" w:rsidRPr="009C2953">
        <w:t xml:space="preserve"> la </w:t>
      </w:r>
      <w:r w:rsidR="00607B78" w:rsidRPr="009C2953">
        <w:t>Plateforme pour</w:t>
      </w:r>
      <w:r w:rsidR="00F34644" w:rsidRPr="009C2953">
        <w:t xml:space="preserve"> la </w:t>
      </w:r>
      <w:r w:rsidR="00607B78" w:rsidRPr="009C2953">
        <w:t>période allant</w:t>
      </w:r>
      <w:r w:rsidRPr="009C2953">
        <w:t> </w:t>
      </w:r>
      <w:r w:rsidR="00607B78" w:rsidRPr="009C2953">
        <w:t>jusqu</w:t>
      </w:r>
      <w:r w:rsidR="00EA2966" w:rsidRPr="009C2953">
        <w:t>’</w:t>
      </w:r>
      <w:r w:rsidR="00607B78" w:rsidRPr="009C2953">
        <w:t>en</w:t>
      </w:r>
      <w:r w:rsidR="00321B19" w:rsidRPr="009C2953">
        <w:t> </w:t>
      </w:r>
      <w:r w:rsidR="00607B78" w:rsidRPr="009C2953">
        <w:t>2030 approuvé au paragraphe 19 de</w:t>
      </w:r>
      <w:r w:rsidR="00F34644" w:rsidRPr="009C2953">
        <w:t xml:space="preserve"> la </w:t>
      </w:r>
      <w:r w:rsidR="00607B78" w:rsidRPr="009C2953">
        <w:t>présente décision ;</w:t>
      </w:r>
    </w:p>
    <w:p w14:paraId="410288C8" w14:textId="476859CF" w:rsidR="00607B78" w:rsidRPr="009C2953" w:rsidRDefault="00251946" w:rsidP="00251946">
      <w:pPr>
        <w:pStyle w:val="NormalNonumber"/>
      </w:pPr>
      <w:r w:rsidRPr="009C2953">
        <w:rPr>
          <w:iCs/>
        </w:rPr>
        <w:lastRenderedPageBreak/>
        <w:tab/>
        <w:t>39.</w:t>
      </w:r>
      <w:r w:rsidRPr="009C2953">
        <w:rPr>
          <w:iCs/>
        </w:rPr>
        <w:tab/>
      </w:r>
      <w:r w:rsidR="00607B78" w:rsidRPr="009C2953">
        <w:rPr>
          <w:i/>
        </w:rPr>
        <w:t>Approuve</w:t>
      </w:r>
      <w:r w:rsidR="00F34644" w:rsidRPr="009C2953">
        <w:t xml:space="preserve"> le </w:t>
      </w:r>
      <w:r w:rsidR="00607B78" w:rsidRPr="009C2953">
        <w:t>mandat révisé de l</w:t>
      </w:r>
      <w:r w:rsidR="00EA2966" w:rsidRPr="009C2953">
        <w:t>’</w:t>
      </w:r>
      <w:r w:rsidR="00607B78" w:rsidRPr="009C2953">
        <w:t>équipe spéciale sur</w:t>
      </w:r>
      <w:r w:rsidR="00F34644" w:rsidRPr="009C2953">
        <w:t xml:space="preserve"> les </w:t>
      </w:r>
      <w:r w:rsidR="00607B78" w:rsidRPr="009C2953">
        <w:t>connaissances et</w:t>
      </w:r>
      <w:r w:rsidR="00F34644" w:rsidRPr="009C2953">
        <w:t xml:space="preserve"> les </w:t>
      </w:r>
      <w:r w:rsidR="00607B78" w:rsidRPr="009C2953">
        <w:t>données, qui</w:t>
      </w:r>
      <w:r w:rsidR="00321B19" w:rsidRPr="009C2953">
        <w:t> </w:t>
      </w:r>
      <w:r w:rsidR="00607B78" w:rsidRPr="009C2953">
        <w:t>figure dans l</w:t>
      </w:r>
      <w:r w:rsidR="00EA2966" w:rsidRPr="009C2953">
        <w:t>’</w:t>
      </w:r>
      <w:r w:rsidR="00607B78" w:rsidRPr="009C2953">
        <w:t>annexe XI de</w:t>
      </w:r>
      <w:r w:rsidR="00F34644" w:rsidRPr="009C2953">
        <w:t xml:space="preserve"> la </w:t>
      </w:r>
      <w:r w:rsidR="00607B78" w:rsidRPr="009C2953">
        <w:t>présente décision ;</w:t>
      </w:r>
    </w:p>
    <w:p w14:paraId="19462E82" w14:textId="22B686EA" w:rsidR="00607B78" w:rsidRPr="009C2953" w:rsidRDefault="00251946" w:rsidP="00251946">
      <w:pPr>
        <w:pStyle w:val="NormalNonumber"/>
      </w:pPr>
      <w:r w:rsidRPr="009C2953">
        <w:rPr>
          <w:iCs/>
        </w:rPr>
        <w:tab/>
        <w:t>40.</w:t>
      </w:r>
      <w:r w:rsidRPr="009C2953">
        <w:rPr>
          <w:iCs/>
        </w:rPr>
        <w:tab/>
      </w:r>
      <w:r w:rsidR="00607B78" w:rsidRPr="009C2953">
        <w:rPr>
          <w:i/>
        </w:rPr>
        <w:t>Prie</w:t>
      </w:r>
      <w:r w:rsidR="00607B78" w:rsidRPr="009C2953">
        <w:t xml:space="preserve"> l</w:t>
      </w:r>
      <w:r w:rsidR="00EA2966" w:rsidRPr="009C2953">
        <w:t>’</w:t>
      </w:r>
      <w:r w:rsidR="00607B78" w:rsidRPr="009C2953">
        <w:t>équipe spéciale sur</w:t>
      </w:r>
      <w:r w:rsidR="00F34644" w:rsidRPr="009C2953">
        <w:t xml:space="preserve"> la </w:t>
      </w:r>
      <w:r w:rsidR="00607B78" w:rsidRPr="009C2953">
        <w:t>gestion</w:t>
      </w:r>
      <w:r w:rsidR="00D24DC1" w:rsidRPr="009C2953">
        <w:t xml:space="preserve"> des </w:t>
      </w:r>
      <w:r w:rsidR="00607B78" w:rsidRPr="009C2953">
        <w:t>données et</w:t>
      </w:r>
      <w:r w:rsidR="00D24DC1" w:rsidRPr="009C2953">
        <w:t xml:space="preserve"> des </w:t>
      </w:r>
      <w:r w:rsidR="00607B78" w:rsidRPr="009C2953">
        <w:t>connaissances de mettre en œuvre</w:t>
      </w:r>
      <w:r w:rsidR="00F34644" w:rsidRPr="009C2953">
        <w:t xml:space="preserve"> le </w:t>
      </w:r>
      <w:r w:rsidR="00607B78" w:rsidRPr="009C2953">
        <w:t>plan de travail pour</w:t>
      </w:r>
      <w:r w:rsidR="00F34644" w:rsidRPr="009C2953">
        <w:t xml:space="preserve"> la </w:t>
      </w:r>
      <w:r w:rsidR="00607B78" w:rsidRPr="009C2953">
        <w:t>composante de l</w:t>
      </w:r>
      <w:r w:rsidR="00EA2966" w:rsidRPr="009C2953">
        <w:t>’</w:t>
      </w:r>
      <w:r w:rsidR="00607B78" w:rsidRPr="009C2953">
        <w:t>objectif 3 a) relative à</w:t>
      </w:r>
      <w:r w:rsidR="00F34644" w:rsidRPr="009C2953">
        <w:t xml:space="preserve"> la </w:t>
      </w:r>
      <w:r w:rsidR="00607B78" w:rsidRPr="009C2953">
        <w:t>gestion</w:t>
      </w:r>
      <w:r w:rsidR="00D24DC1" w:rsidRPr="009C2953">
        <w:t xml:space="preserve"> des </w:t>
      </w:r>
      <w:r w:rsidR="00607B78" w:rsidRPr="009C2953">
        <w:t>données et</w:t>
      </w:r>
      <w:r w:rsidR="00D24DC1" w:rsidRPr="009C2953">
        <w:t xml:space="preserve"> des </w:t>
      </w:r>
      <w:r w:rsidR="00607B78" w:rsidRPr="009C2953">
        <w:t>connaissances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approuvé au paragraphe 21 de</w:t>
      </w:r>
      <w:r w:rsidR="00F34644" w:rsidRPr="009C2953">
        <w:t xml:space="preserve"> la </w:t>
      </w:r>
      <w:r w:rsidR="00607B78" w:rsidRPr="009C2953">
        <w:t>présente décision ;</w:t>
      </w:r>
    </w:p>
    <w:p w14:paraId="34730080" w14:textId="11FF6945" w:rsidR="00607B78" w:rsidRPr="009C2953" w:rsidRDefault="00251946" w:rsidP="00251946">
      <w:pPr>
        <w:pStyle w:val="NormalNonumber"/>
      </w:pPr>
      <w:r w:rsidRPr="009C2953">
        <w:rPr>
          <w:iCs/>
        </w:rPr>
        <w:tab/>
        <w:t>41.</w:t>
      </w:r>
      <w:r w:rsidRPr="009C2953">
        <w:rPr>
          <w:iCs/>
        </w:rPr>
        <w:tab/>
      </w:r>
      <w:r w:rsidR="00607B78" w:rsidRPr="009C2953">
        <w:rPr>
          <w:i/>
        </w:rPr>
        <w:t>Prie</w:t>
      </w:r>
      <w:r w:rsidR="00F34644" w:rsidRPr="009C2953">
        <w:t xml:space="preserve"> le </w:t>
      </w:r>
      <w:r w:rsidR="00607B78" w:rsidRPr="009C2953">
        <w:t>Groupe d</w:t>
      </w:r>
      <w:r w:rsidR="00EA2966" w:rsidRPr="009C2953">
        <w:t>’</w:t>
      </w:r>
      <w:r w:rsidR="00607B78" w:rsidRPr="009C2953">
        <w:t>experts multidisciplinaire et</w:t>
      </w:r>
      <w:r w:rsidR="00F34644" w:rsidRPr="009C2953">
        <w:t xml:space="preserve"> le </w:t>
      </w:r>
      <w:r w:rsidR="00607B78" w:rsidRPr="009C2953">
        <w:t>Bureau de mettre en œuvre</w:t>
      </w:r>
      <w:r w:rsidR="00F34644" w:rsidRPr="009C2953">
        <w:t xml:space="preserve"> le </w:t>
      </w:r>
      <w:r w:rsidR="00607B78" w:rsidRPr="009C2953">
        <w:t>plan de travail pour</w:t>
      </w:r>
      <w:r w:rsidR="00F34644" w:rsidRPr="009C2953">
        <w:t xml:space="preserve"> la </w:t>
      </w:r>
      <w:r w:rsidR="00607B78" w:rsidRPr="009C2953">
        <w:t>composante de l</w:t>
      </w:r>
      <w:r w:rsidR="00EA2966" w:rsidRPr="009C2953">
        <w:t>’</w:t>
      </w:r>
      <w:r w:rsidR="00607B78" w:rsidRPr="009C2953">
        <w:t>objectif 3 a) relative à</w:t>
      </w:r>
      <w:r w:rsidR="00F34644" w:rsidRPr="009C2953">
        <w:t xml:space="preserve"> la </w:t>
      </w:r>
      <w:r w:rsidR="00607B78" w:rsidRPr="009C2953">
        <w:t>facilitation de</w:t>
      </w:r>
      <w:r w:rsidR="00F34644" w:rsidRPr="009C2953">
        <w:t xml:space="preserve"> la </w:t>
      </w:r>
      <w:r w:rsidR="00607B78" w:rsidRPr="009C2953">
        <w:t>production de connaissances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approuvé au paragraphe 23 de</w:t>
      </w:r>
      <w:r w:rsidR="00F34644" w:rsidRPr="009C2953">
        <w:t xml:space="preserve"> la </w:t>
      </w:r>
      <w:r w:rsidR="00607B78" w:rsidRPr="009C2953">
        <w:t>présente décision ;</w:t>
      </w:r>
    </w:p>
    <w:p w14:paraId="3AE70F15" w14:textId="762E0D84" w:rsidR="00607B78" w:rsidRPr="009C2953" w:rsidRDefault="00251946" w:rsidP="00251946">
      <w:pPr>
        <w:pStyle w:val="NormalNonumber"/>
      </w:pPr>
      <w:r w:rsidRPr="009C2953">
        <w:rPr>
          <w:iCs/>
        </w:rPr>
        <w:tab/>
        <w:t>42.</w:t>
      </w:r>
      <w:r w:rsidRPr="009C2953">
        <w:rPr>
          <w:iCs/>
        </w:rPr>
        <w:tab/>
      </w:r>
      <w:r w:rsidR="00607B78" w:rsidRPr="009C2953">
        <w:rPr>
          <w:i/>
        </w:rPr>
        <w:t>Approuve</w:t>
      </w:r>
      <w:r w:rsidR="00F34644" w:rsidRPr="009C2953">
        <w:t xml:space="preserve"> le </w:t>
      </w:r>
      <w:r w:rsidR="00607B78" w:rsidRPr="009C2953">
        <w:t>mandat révisé de l</w:t>
      </w:r>
      <w:r w:rsidR="00EA2966" w:rsidRPr="009C2953">
        <w:t>’</w:t>
      </w:r>
      <w:r w:rsidR="00607B78" w:rsidRPr="009C2953">
        <w:t>équipe spéciale sur</w:t>
      </w:r>
      <w:r w:rsidR="00F34644" w:rsidRPr="009C2953">
        <w:t xml:space="preserve"> les </w:t>
      </w:r>
      <w:r w:rsidR="00607B78" w:rsidRPr="009C2953">
        <w:t>savoirs autochtones et locaux, qui</w:t>
      </w:r>
      <w:r w:rsidR="00312539" w:rsidRPr="009C2953">
        <w:t> </w:t>
      </w:r>
      <w:r w:rsidR="00607B78" w:rsidRPr="009C2953">
        <w:t>figure dans l</w:t>
      </w:r>
      <w:r w:rsidR="00EA2966" w:rsidRPr="009C2953">
        <w:t>’</w:t>
      </w:r>
      <w:r w:rsidR="00607B78" w:rsidRPr="009C2953">
        <w:t>annexe XII de</w:t>
      </w:r>
      <w:r w:rsidR="00F34644" w:rsidRPr="009C2953">
        <w:t xml:space="preserve"> la </w:t>
      </w:r>
      <w:r w:rsidR="00607B78" w:rsidRPr="009C2953">
        <w:t>présente décision ;</w:t>
      </w:r>
    </w:p>
    <w:p w14:paraId="4D3A77A3" w14:textId="20140A8F" w:rsidR="00607B78" w:rsidRPr="009C2953" w:rsidRDefault="00251946" w:rsidP="00251946">
      <w:pPr>
        <w:pStyle w:val="NormalNonumber"/>
        <w:rPr>
          <w:shd w:val="clear" w:color="auto" w:fill="D9D9D9"/>
        </w:rPr>
      </w:pPr>
      <w:r w:rsidRPr="009C2953">
        <w:rPr>
          <w:iCs/>
        </w:rPr>
        <w:tab/>
        <w:t>43.</w:t>
      </w:r>
      <w:r w:rsidRPr="009C2953">
        <w:rPr>
          <w:iCs/>
        </w:rPr>
        <w:tab/>
      </w:r>
      <w:r w:rsidR="00607B78" w:rsidRPr="009C2953">
        <w:rPr>
          <w:i/>
        </w:rPr>
        <w:t>Prie</w:t>
      </w:r>
      <w:r w:rsidR="00607B78" w:rsidRPr="009C2953">
        <w:t xml:space="preserve"> l</w:t>
      </w:r>
      <w:r w:rsidR="00EA2966" w:rsidRPr="009C2953">
        <w:t>’</w:t>
      </w:r>
      <w:r w:rsidR="00607B78" w:rsidRPr="009C2953">
        <w:t>équipe spéciale sur</w:t>
      </w:r>
      <w:r w:rsidR="00F34644" w:rsidRPr="009C2953">
        <w:t xml:space="preserve"> les </w:t>
      </w:r>
      <w:r w:rsidR="00607B78" w:rsidRPr="009C2953">
        <w:t>savoirs autochtones et locaux de mettre en œuvre</w:t>
      </w:r>
      <w:r w:rsidR="00F34644" w:rsidRPr="009C2953">
        <w:t xml:space="preserve"> le </w:t>
      </w:r>
      <w:r w:rsidR="00607B78" w:rsidRPr="009C2953">
        <w:t>plan</w:t>
      </w:r>
      <w:r w:rsidRPr="009C2953">
        <w:t> </w:t>
      </w:r>
      <w:r w:rsidR="00607B78" w:rsidRPr="009C2953">
        <w:t>de</w:t>
      </w:r>
      <w:r w:rsidR="00312539" w:rsidRPr="009C2953">
        <w:t> </w:t>
      </w:r>
      <w:r w:rsidR="00607B78" w:rsidRPr="009C2953">
        <w:t>travail pour l</w:t>
      </w:r>
      <w:r w:rsidR="00EA2966" w:rsidRPr="009C2953">
        <w:t>’</w:t>
      </w:r>
      <w:r w:rsidR="00607B78" w:rsidRPr="009C2953">
        <w:t>objectif 3 b) du programme de travail de</w:t>
      </w:r>
      <w:r w:rsidR="00F34644" w:rsidRPr="009C2953">
        <w:t xml:space="preserve"> la </w:t>
      </w:r>
      <w:r w:rsidR="00607B78" w:rsidRPr="009C2953">
        <w:t>Plateforme pour</w:t>
      </w:r>
      <w:r w:rsidR="00F34644" w:rsidRPr="009C2953">
        <w:t xml:space="preserve"> la </w:t>
      </w:r>
      <w:r w:rsidR="00607B78" w:rsidRPr="009C2953">
        <w:t>période allant</w:t>
      </w:r>
      <w:r w:rsidRPr="009C2953">
        <w:t> </w:t>
      </w:r>
      <w:r w:rsidR="00607B78" w:rsidRPr="009C2953">
        <w:t>jusqu</w:t>
      </w:r>
      <w:r w:rsidR="00EA2966" w:rsidRPr="009C2953">
        <w:t>’</w:t>
      </w:r>
      <w:r w:rsidR="00607B78" w:rsidRPr="009C2953">
        <w:t>en</w:t>
      </w:r>
      <w:r w:rsidR="00312539" w:rsidRPr="009C2953">
        <w:t> </w:t>
      </w:r>
      <w:r w:rsidR="00607B78" w:rsidRPr="009C2953">
        <w:t>2030 approuvé au paragraphe 25 de</w:t>
      </w:r>
      <w:r w:rsidR="00F34644" w:rsidRPr="009C2953">
        <w:t xml:space="preserve"> la </w:t>
      </w:r>
      <w:r w:rsidR="00607B78" w:rsidRPr="009C2953">
        <w:t>présente décision ;</w:t>
      </w:r>
    </w:p>
    <w:p w14:paraId="570C8E57" w14:textId="15C6035F" w:rsidR="00607B78" w:rsidRPr="009C2953" w:rsidRDefault="00D91E74" w:rsidP="00D91E74">
      <w:pPr>
        <w:pStyle w:val="NormalNonumber"/>
      </w:pPr>
      <w:r w:rsidRPr="009C2953">
        <w:rPr>
          <w:iCs/>
        </w:rPr>
        <w:tab/>
        <w:t>44.</w:t>
      </w:r>
      <w:r w:rsidRPr="009C2953">
        <w:rPr>
          <w:iCs/>
        </w:rPr>
        <w:tab/>
      </w:r>
      <w:r w:rsidR="00607B78" w:rsidRPr="009C2953">
        <w:rPr>
          <w:i/>
        </w:rPr>
        <w:t>Prie</w:t>
      </w:r>
      <w:r w:rsidR="00F34644" w:rsidRPr="009C2953">
        <w:t xml:space="preserve"> le </w:t>
      </w:r>
      <w:r w:rsidR="00607B78" w:rsidRPr="009C2953">
        <w:t>Groupe d</w:t>
      </w:r>
      <w:r w:rsidR="00EA2966" w:rsidRPr="009C2953">
        <w:t>’</w:t>
      </w:r>
      <w:r w:rsidR="00607B78" w:rsidRPr="009C2953">
        <w:t>experts multidisciplinaire et</w:t>
      </w:r>
      <w:r w:rsidR="00F34644" w:rsidRPr="009C2953">
        <w:t xml:space="preserve"> le </w:t>
      </w:r>
      <w:r w:rsidR="00607B78" w:rsidRPr="009C2953">
        <w:t>Bureau de mettre en œuvre</w:t>
      </w:r>
      <w:r w:rsidR="00F34644" w:rsidRPr="009C2953">
        <w:t xml:space="preserve"> le </w:t>
      </w:r>
      <w:r w:rsidR="00607B78" w:rsidRPr="009C2953">
        <w:t>plan</w:t>
      </w:r>
      <w:r w:rsidRPr="009C2953">
        <w:t> </w:t>
      </w:r>
      <w:r w:rsidR="00607B78" w:rsidRPr="009C2953">
        <w:t>de</w:t>
      </w:r>
      <w:r w:rsidR="00312539" w:rsidRPr="009C2953">
        <w:t> </w:t>
      </w:r>
      <w:r w:rsidR="00607B78" w:rsidRPr="009C2953">
        <w:t>travail pour l</w:t>
      </w:r>
      <w:r w:rsidR="00EA2966" w:rsidRPr="009C2953">
        <w:t>’</w:t>
      </w:r>
      <w:r w:rsidR="00607B78" w:rsidRPr="009C2953">
        <w:t>objectif 4 a) du programme de travail de</w:t>
      </w:r>
      <w:r w:rsidR="00F34644" w:rsidRPr="009C2953">
        <w:t xml:space="preserve"> la </w:t>
      </w:r>
      <w:r w:rsidR="00607B78" w:rsidRPr="009C2953">
        <w:t>Plateforme pour</w:t>
      </w:r>
      <w:r w:rsidR="00F34644" w:rsidRPr="009C2953">
        <w:t xml:space="preserve"> la </w:t>
      </w:r>
      <w:r w:rsidR="00607B78" w:rsidRPr="009C2953">
        <w:t>période allant</w:t>
      </w:r>
      <w:r w:rsidRPr="009C2953">
        <w:t> </w:t>
      </w:r>
      <w:r w:rsidR="00607B78" w:rsidRPr="009C2953">
        <w:t>jusqu</w:t>
      </w:r>
      <w:r w:rsidR="00EA2966" w:rsidRPr="009C2953">
        <w:t>’</w:t>
      </w:r>
      <w:r w:rsidR="00607B78" w:rsidRPr="009C2953">
        <w:t>en</w:t>
      </w:r>
      <w:r w:rsidR="00312539" w:rsidRPr="009C2953">
        <w:t> </w:t>
      </w:r>
      <w:r w:rsidR="00607B78" w:rsidRPr="009C2953">
        <w:t>2030 approuvé au paragraphe 27 de</w:t>
      </w:r>
      <w:r w:rsidR="00F34644" w:rsidRPr="009C2953">
        <w:t xml:space="preserve"> la </w:t>
      </w:r>
      <w:r w:rsidR="00607B78" w:rsidRPr="009C2953">
        <w:t>présente décision ;</w:t>
      </w:r>
    </w:p>
    <w:p w14:paraId="17BD8F8D" w14:textId="035A0FAC" w:rsidR="00607B78" w:rsidRPr="009C2953" w:rsidRDefault="00DA6D5E" w:rsidP="00DA6D5E">
      <w:pPr>
        <w:pStyle w:val="NormalNonumber"/>
      </w:pPr>
      <w:r w:rsidRPr="009C2953">
        <w:rPr>
          <w:iCs/>
        </w:rPr>
        <w:tab/>
        <w:t>45.</w:t>
      </w:r>
      <w:r w:rsidRPr="009C2953">
        <w:rPr>
          <w:iCs/>
        </w:rPr>
        <w:tab/>
      </w:r>
      <w:r w:rsidR="00607B78" w:rsidRPr="009C2953">
        <w:rPr>
          <w:i/>
        </w:rPr>
        <w:t>Approuve</w:t>
      </w:r>
      <w:r w:rsidR="00F34644" w:rsidRPr="009C2953">
        <w:t xml:space="preserve"> le </w:t>
      </w:r>
      <w:r w:rsidR="00607B78" w:rsidRPr="009C2953">
        <w:t>mandat révisé de l</w:t>
      </w:r>
      <w:r w:rsidR="00EA2966" w:rsidRPr="009C2953">
        <w:t>’</w:t>
      </w:r>
      <w:r w:rsidR="00607B78" w:rsidRPr="009C2953">
        <w:t>équipe spéciale sur</w:t>
      </w:r>
      <w:r w:rsidR="00F34644" w:rsidRPr="009C2953">
        <w:t xml:space="preserve"> les </w:t>
      </w:r>
      <w:r w:rsidR="00607B78" w:rsidRPr="009C2953">
        <w:t>scénarios et</w:t>
      </w:r>
      <w:r w:rsidR="00F34644" w:rsidRPr="009C2953">
        <w:t xml:space="preserve"> les </w:t>
      </w:r>
      <w:r w:rsidR="00607B78" w:rsidRPr="009C2953">
        <w:t>modèles de</w:t>
      </w:r>
      <w:r w:rsidR="00F34644" w:rsidRPr="009C2953">
        <w:t xml:space="preserve"> la </w:t>
      </w:r>
      <w:r w:rsidR="00607B78" w:rsidRPr="009C2953">
        <w:t>biodiversité et</w:t>
      </w:r>
      <w:r w:rsidR="00D24DC1" w:rsidRPr="009C2953">
        <w:t xml:space="preserve"> des </w:t>
      </w:r>
      <w:r w:rsidR="00607B78" w:rsidRPr="009C2953">
        <w:t>services écosystémiques, qui figure dans l</w:t>
      </w:r>
      <w:r w:rsidR="00EA2966" w:rsidRPr="009C2953">
        <w:t>’</w:t>
      </w:r>
      <w:r w:rsidR="00607B78" w:rsidRPr="009C2953">
        <w:t>annexe XIII de</w:t>
      </w:r>
      <w:r w:rsidR="00F34644" w:rsidRPr="009C2953">
        <w:t xml:space="preserve"> la </w:t>
      </w:r>
      <w:r w:rsidR="00607B78" w:rsidRPr="009C2953">
        <w:t>présente décision ;</w:t>
      </w:r>
    </w:p>
    <w:p w14:paraId="5E38D5EF" w14:textId="08DFE81D" w:rsidR="00607B78" w:rsidRPr="009C2953" w:rsidRDefault="00DA6D5E" w:rsidP="00DA6D5E">
      <w:pPr>
        <w:pStyle w:val="NormalNonumber"/>
      </w:pPr>
      <w:r w:rsidRPr="009C2953">
        <w:rPr>
          <w:iCs/>
        </w:rPr>
        <w:tab/>
        <w:t>46.</w:t>
      </w:r>
      <w:r w:rsidRPr="009C2953">
        <w:rPr>
          <w:iCs/>
        </w:rPr>
        <w:tab/>
      </w:r>
      <w:r w:rsidR="00607B78" w:rsidRPr="009C2953">
        <w:rPr>
          <w:i/>
        </w:rPr>
        <w:t>Prie</w:t>
      </w:r>
      <w:r w:rsidR="00607B78" w:rsidRPr="009C2953">
        <w:t xml:space="preserve"> l</w:t>
      </w:r>
      <w:r w:rsidR="00EA2966" w:rsidRPr="009C2953">
        <w:t>’</w:t>
      </w:r>
      <w:r w:rsidR="00607B78" w:rsidRPr="009C2953">
        <w:t>équipe spéciale sur</w:t>
      </w:r>
      <w:r w:rsidR="00F34644" w:rsidRPr="009C2953">
        <w:t xml:space="preserve"> les </w:t>
      </w:r>
      <w:r w:rsidR="00607B78" w:rsidRPr="009C2953">
        <w:t>scénarios et</w:t>
      </w:r>
      <w:r w:rsidR="00F34644" w:rsidRPr="009C2953">
        <w:t xml:space="preserve"> les </w:t>
      </w:r>
      <w:r w:rsidR="00607B78" w:rsidRPr="009C2953">
        <w:t>modèles de</w:t>
      </w:r>
      <w:r w:rsidR="00F34644" w:rsidRPr="009C2953">
        <w:t xml:space="preserve"> la </w:t>
      </w:r>
      <w:r w:rsidR="00607B78" w:rsidRPr="009C2953">
        <w:t>biodiversité et</w:t>
      </w:r>
      <w:r w:rsidR="00D24DC1" w:rsidRPr="009C2953">
        <w:t xml:space="preserve"> des </w:t>
      </w:r>
      <w:r w:rsidR="00607B78" w:rsidRPr="009C2953">
        <w:t>services écosystémiques de mettre en œuvre</w:t>
      </w:r>
      <w:r w:rsidR="00F34644" w:rsidRPr="009C2953">
        <w:t xml:space="preserve"> le </w:t>
      </w:r>
      <w:r w:rsidR="00607B78" w:rsidRPr="009C2953">
        <w:t>plan de travail pour l</w:t>
      </w:r>
      <w:r w:rsidR="00EA2966" w:rsidRPr="009C2953">
        <w:t>’</w:t>
      </w:r>
      <w:r w:rsidR="00607B78" w:rsidRPr="009C2953">
        <w:t>objectif 4 b) du programme de travail de</w:t>
      </w:r>
      <w:r w:rsidR="00F34644" w:rsidRPr="009C2953">
        <w:t xml:space="preserve"> la </w:t>
      </w:r>
      <w:r w:rsidR="00607B78" w:rsidRPr="009C2953">
        <w:t>Plateforme pour</w:t>
      </w:r>
      <w:r w:rsidR="00F34644" w:rsidRPr="009C2953">
        <w:t xml:space="preserve"> la </w:t>
      </w:r>
      <w:r w:rsidR="00607B78" w:rsidRPr="009C2953">
        <w:t>période allant jusqu</w:t>
      </w:r>
      <w:r w:rsidR="00EA2966" w:rsidRPr="009C2953">
        <w:t>’</w:t>
      </w:r>
      <w:r w:rsidR="00607B78" w:rsidRPr="009C2953">
        <w:t>en 2030 approuvé au paragraphe 30 de</w:t>
      </w:r>
      <w:r w:rsidR="00F34644" w:rsidRPr="009C2953">
        <w:t xml:space="preserve"> la </w:t>
      </w:r>
      <w:r w:rsidR="00607B78" w:rsidRPr="009C2953">
        <w:t>présente décision ;</w:t>
      </w:r>
    </w:p>
    <w:p w14:paraId="45741721" w14:textId="263AD2BE" w:rsidR="00607B78" w:rsidRPr="009C2953" w:rsidRDefault="00DA6D5E" w:rsidP="00DA6D5E">
      <w:pPr>
        <w:pStyle w:val="NormalNonumber"/>
      </w:pPr>
      <w:r w:rsidRPr="009C2953">
        <w:rPr>
          <w:iCs/>
        </w:rPr>
        <w:tab/>
        <w:t>47.</w:t>
      </w:r>
      <w:r w:rsidRPr="009C2953">
        <w:rPr>
          <w:iCs/>
        </w:rPr>
        <w:tab/>
      </w:r>
      <w:r w:rsidR="00607B78" w:rsidRPr="009C2953">
        <w:rPr>
          <w:i/>
        </w:rPr>
        <w:t>Décide</w:t>
      </w:r>
      <w:r w:rsidR="00607B78" w:rsidRPr="009C2953">
        <w:t xml:space="preserve"> d</w:t>
      </w:r>
      <w:r w:rsidR="00EA2966" w:rsidRPr="009C2953">
        <w:t>’</w:t>
      </w:r>
      <w:r w:rsidR="00607B78" w:rsidRPr="009C2953">
        <w:t>examiner</w:t>
      </w:r>
      <w:r w:rsidR="00F34644" w:rsidRPr="009C2953">
        <w:t xml:space="preserve"> le </w:t>
      </w:r>
      <w:r w:rsidR="00607B78" w:rsidRPr="009C2953">
        <w:t>mandat et</w:t>
      </w:r>
      <w:r w:rsidR="00F34644" w:rsidRPr="009C2953">
        <w:t xml:space="preserve"> les </w:t>
      </w:r>
      <w:r w:rsidR="00607B78" w:rsidRPr="009C2953">
        <w:t>attributions</w:t>
      </w:r>
      <w:r w:rsidR="00D24DC1" w:rsidRPr="009C2953">
        <w:t xml:space="preserve"> des </w:t>
      </w:r>
      <w:r w:rsidR="00607B78" w:rsidRPr="009C2953">
        <w:t>équipes spéciales à</w:t>
      </w:r>
      <w:r w:rsidR="00F34644" w:rsidRPr="009C2953">
        <w:t xml:space="preserve"> sa </w:t>
      </w:r>
      <w:r w:rsidR="00607B78" w:rsidRPr="009C2953">
        <w:t>treizième</w:t>
      </w:r>
      <w:r w:rsidR="000D47E2" w:rsidRPr="009C2953">
        <w:t> </w:t>
      </w:r>
      <w:r w:rsidR="00607B78" w:rsidRPr="009C2953">
        <w:t>session ;</w:t>
      </w:r>
    </w:p>
    <w:p w14:paraId="11A816A5" w14:textId="03EB4C89" w:rsidR="00607B78" w:rsidRPr="009C2953" w:rsidRDefault="00DA6D5E" w:rsidP="00DA6D5E">
      <w:pPr>
        <w:pStyle w:val="NormalNonumber"/>
      </w:pPr>
      <w:r w:rsidRPr="009C2953">
        <w:rPr>
          <w:iCs/>
        </w:rPr>
        <w:tab/>
        <w:t>48.</w:t>
      </w:r>
      <w:r w:rsidRPr="009C2953">
        <w:rPr>
          <w:iCs/>
        </w:rPr>
        <w:tab/>
      </w:r>
      <w:r w:rsidR="00607B78" w:rsidRPr="009C2953">
        <w:rPr>
          <w:i/>
        </w:rPr>
        <w:t>Prie</w:t>
      </w:r>
      <w:r w:rsidR="00F34644" w:rsidRPr="009C2953">
        <w:t xml:space="preserve"> le </w:t>
      </w:r>
      <w:r w:rsidR="00607B78" w:rsidRPr="009C2953">
        <w:t>secrétariat de mettre en place, en consultation avec</w:t>
      </w:r>
      <w:r w:rsidR="00F34644" w:rsidRPr="009C2953">
        <w:t xml:space="preserve"> le </w:t>
      </w:r>
      <w:r w:rsidR="00607B78" w:rsidRPr="009C2953">
        <w:t>Bureau et dans</w:t>
      </w:r>
      <w:r w:rsidR="00F34644" w:rsidRPr="009C2953">
        <w:t xml:space="preserve"> les </w:t>
      </w:r>
      <w:r w:rsidR="00607B78" w:rsidRPr="009C2953">
        <w:t>limites du</w:t>
      </w:r>
      <w:r w:rsidR="00312539" w:rsidRPr="009C2953">
        <w:t> </w:t>
      </w:r>
      <w:r w:rsidR="00607B78" w:rsidRPr="009C2953">
        <w:t>budget approuvé figurant dans l</w:t>
      </w:r>
      <w:r w:rsidR="00EA2966" w:rsidRPr="009C2953">
        <w:t>’</w:t>
      </w:r>
      <w:r w:rsidR="00607B78" w:rsidRPr="009C2953">
        <w:t>annexe de</w:t>
      </w:r>
      <w:r w:rsidR="00F34644" w:rsidRPr="009C2953">
        <w:t xml:space="preserve"> la </w:t>
      </w:r>
      <w:r w:rsidR="00607B78" w:rsidRPr="009C2953">
        <w:t>décision IPBES-10/3,</w:t>
      </w:r>
      <w:r w:rsidR="00F34644" w:rsidRPr="009C2953">
        <w:t xml:space="preserve"> les </w:t>
      </w:r>
      <w:r w:rsidR="00607B78" w:rsidRPr="009C2953">
        <w:t>dispositions institutionnelles nécessaires à</w:t>
      </w:r>
      <w:r w:rsidR="00F34644" w:rsidRPr="009C2953">
        <w:t xml:space="preserve"> la </w:t>
      </w:r>
      <w:r w:rsidR="00607B78" w:rsidRPr="009C2953">
        <w:t>mise en œuvre de l</w:t>
      </w:r>
      <w:r w:rsidR="00EA2966" w:rsidRPr="009C2953">
        <w:t>’</w:t>
      </w:r>
      <w:r w:rsidR="00607B78" w:rsidRPr="009C2953">
        <w:t>appui technique requis pour</w:t>
      </w:r>
      <w:r w:rsidR="00F34644" w:rsidRPr="009C2953">
        <w:t xml:space="preserve"> le </w:t>
      </w:r>
      <w:r w:rsidR="00607B78" w:rsidRPr="009C2953">
        <w:t>programme de travail.</w:t>
      </w:r>
    </w:p>
    <w:p w14:paraId="7879809E" w14:textId="77777777" w:rsidR="00607B78" w:rsidRPr="009C2953" w:rsidRDefault="00607B78" w:rsidP="00607B78">
      <w:pPr>
        <w:pStyle w:val="Normal-pool"/>
      </w:pPr>
    </w:p>
    <w:p w14:paraId="684834F1" w14:textId="77777777" w:rsidR="00607B78" w:rsidRPr="009C2953" w:rsidRDefault="00607B78" w:rsidP="00607B78">
      <w:pPr>
        <w:pStyle w:val="Normal-pool"/>
        <w:sectPr w:rsidR="00607B78" w:rsidRPr="009C2953" w:rsidSect="00603A5E">
          <w:headerReference w:type="first" r:id="rId17"/>
          <w:footnotePr>
            <w:numRestart w:val="eachSect"/>
          </w:footnotePr>
          <w:type w:val="continuous"/>
          <w:pgSz w:w="11907" w:h="16839" w:code="9"/>
          <w:pgMar w:top="907" w:right="992" w:bottom="1418" w:left="1418" w:header="539" w:footer="975" w:gutter="0"/>
          <w:cols w:space="539"/>
          <w:docGrid w:linePitch="360"/>
        </w:sectPr>
      </w:pPr>
    </w:p>
    <w:p w14:paraId="3523F205" w14:textId="5DAA0FA1" w:rsidR="00607B78" w:rsidRPr="009C2953" w:rsidRDefault="00607B78" w:rsidP="00607B78">
      <w:pPr>
        <w:pStyle w:val="CH1"/>
      </w:pPr>
      <w:r w:rsidRPr="009C2953">
        <w:lastRenderedPageBreak/>
        <w:tab/>
      </w:r>
      <w:r w:rsidRPr="009C2953">
        <w:tab/>
        <w:t>Annexe I à</w:t>
      </w:r>
      <w:r w:rsidR="00F34644" w:rsidRPr="009C2953">
        <w:t xml:space="preserve"> la </w:t>
      </w:r>
      <w:r w:rsidRPr="009C2953">
        <w:t>décision IPBES-10/1</w:t>
      </w:r>
    </w:p>
    <w:p w14:paraId="3F0875F2" w14:textId="57B369EC" w:rsidR="00607B78" w:rsidRPr="009C2953" w:rsidRDefault="00607B78" w:rsidP="00607B78">
      <w:pPr>
        <w:pStyle w:val="CH1"/>
      </w:pPr>
      <w:r w:rsidRPr="009C2953">
        <w:tab/>
      </w:r>
      <w:r w:rsidRPr="009C2953">
        <w:tab/>
        <w:t>Rapport de cadrage pour</w:t>
      </w:r>
      <w:r w:rsidR="00F34644" w:rsidRPr="009C2953">
        <w:t xml:space="preserve"> une </w:t>
      </w:r>
      <w:r w:rsidRPr="009C2953">
        <w:t>évaluation méthodologique de</w:t>
      </w:r>
      <w:r w:rsidR="00AB0ED5" w:rsidRPr="009C2953">
        <w:t> </w:t>
      </w:r>
      <w:r w:rsidR="00F34644" w:rsidRPr="009C2953">
        <w:t>la </w:t>
      </w:r>
      <w:r w:rsidRPr="009C2953">
        <w:t>surveillance de</w:t>
      </w:r>
      <w:r w:rsidR="00F34644" w:rsidRPr="009C2953">
        <w:t xml:space="preserve"> la </w:t>
      </w:r>
      <w:r w:rsidRPr="009C2953">
        <w:t>biodiversité et</w:t>
      </w:r>
      <w:r w:rsidR="00D24DC1" w:rsidRPr="009C2953">
        <w:t xml:space="preserve"> des </w:t>
      </w:r>
      <w:r w:rsidRPr="009C2953">
        <w:t>contributions de</w:t>
      </w:r>
      <w:r w:rsidR="00AB0ED5" w:rsidRPr="009C2953">
        <w:t> </w:t>
      </w:r>
      <w:r w:rsidR="00F34644" w:rsidRPr="009C2953">
        <w:t>la </w:t>
      </w:r>
      <w:r w:rsidRPr="009C2953">
        <w:t>nature</w:t>
      </w:r>
      <w:r w:rsidR="00AB0ED5" w:rsidRPr="009C2953">
        <w:t xml:space="preserve"> </w:t>
      </w:r>
      <w:r w:rsidR="00F34644" w:rsidRPr="009C2953">
        <w:t>aux </w:t>
      </w:r>
      <w:r w:rsidRPr="009C2953">
        <w:t>populations</w:t>
      </w:r>
    </w:p>
    <w:p w14:paraId="42A18D5F" w14:textId="29DC9FA0" w:rsidR="00607B78" w:rsidRPr="009C2953" w:rsidRDefault="00607B78" w:rsidP="00607B78">
      <w:pPr>
        <w:pStyle w:val="CH1"/>
      </w:pPr>
      <w:r w:rsidRPr="009C2953">
        <w:tab/>
        <w:t>I.</w:t>
      </w:r>
      <w:r w:rsidRPr="009C2953">
        <w:tab/>
        <w:t>Portée, fondements, calendrier et état de référence, couverture géographique et approche méthodologique</w:t>
      </w:r>
    </w:p>
    <w:p w14:paraId="4AB941CA" w14:textId="77777777" w:rsidR="00607B78" w:rsidRPr="009C2953" w:rsidRDefault="00607B78" w:rsidP="00607B78">
      <w:pPr>
        <w:pStyle w:val="CH2"/>
      </w:pPr>
      <w:r w:rsidRPr="009C2953">
        <w:tab/>
        <w:t>A.</w:t>
      </w:r>
      <w:r w:rsidRPr="009C2953">
        <w:tab/>
        <w:t>Portée et fondements</w:t>
      </w:r>
    </w:p>
    <w:p w14:paraId="401DB8C7" w14:textId="29F6847A" w:rsidR="00607B78" w:rsidRPr="009C2953" w:rsidRDefault="00746975" w:rsidP="00746975">
      <w:pPr>
        <w:pStyle w:val="NormalNonumber"/>
      </w:pPr>
      <w:r w:rsidRPr="009C2953">
        <w:t>1.</w:t>
      </w:r>
      <w:r w:rsidRPr="009C2953">
        <w:tab/>
      </w:r>
      <w:r w:rsidR="00607B78" w:rsidRPr="009C2953">
        <w:t>L</w:t>
      </w:r>
      <w:r w:rsidR="00EA2966" w:rsidRPr="009C2953">
        <w:t>’</w:t>
      </w:r>
      <w:r w:rsidR="00607B78" w:rsidRPr="009C2953">
        <w:t>évaluation méthodologique de</w:t>
      </w:r>
      <w:r w:rsidR="00F34644" w:rsidRPr="009C2953">
        <w:t xml:space="preserve"> la </w:t>
      </w:r>
      <w:r w:rsidR="00607B78" w:rsidRPr="009C2953">
        <w:t>surveillance de</w:t>
      </w:r>
      <w:r w:rsidR="00F34644" w:rsidRPr="009C2953">
        <w:t xml:space="preserve"> la </w:t>
      </w:r>
      <w:r w:rsidR="00607B78" w:rsidRPr="009C2953">
        <w:t>biodiversité et</w:t>
      </w:r>
      <w:r w:rsidR="00D24DC1" w:rsidRPr="009C2953">
        <w:t xml:space="preserve"> 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a pour objectif de soutenir</w:t>
      </w:r>
      <w:r w:rsidR="00F34644" w:rsidRPr="009C2953">
        <w:t xml:space="preserve"> les </w:t>
      </w:r>
      <w:r w:rsidR="00607B78" w:rsidRPr="009C2953">
        <w:t xml:space="preserve">efforts nationaux et mondiaux visant à : </w:t>
      </w:r>
      <w:r w:rsidR="0019647C" w:rsidRPr="009C2953">
        <w:t>a)</w:t>
      </w:r>
      <w:r w:rsidR="0009671C" w:rsidRPr="009C2953">
        <w:t> </w:t>
      </w:r>
      <w:r w:rsidR="00607B78" w:rsidRPr="009C2953">
        <w:t>surveiller</w:t>
      </w:r>
      <w:r w:rsidR="00F34644" w:rsidRPr="009C2953">
        <w:t xml:space="preserve"> la </w:t>
      </w:r>
      <w:r w:rsidR="00607B78" w:rsidRPr="009C2953">
        <w:t>biodiversité,</w:t>
      </w:r>
      <w:r w:rsidR="00F34644" w:rsidRPr="009C2953">
        <w:t xml:space="preserve"> les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et</w:t>
      </w:r>
      <w:r w:rsidR="00F34644" w:rsidRPr="009C2953">
        <w:t xml:space="preserve"> les </w:t>
      </w:r>
      <w:r w:rsidR="00607B78" w:rsidRPr="009C2953">
        <w:t>causes directes et</w:t>
      </w:r>
      <w:r w:rsidR="0009671C" w:rsidRPr="009C2953">
        <w:t> </w:t>
      </w:r>
      <w:r w:rsidR="00607B78" w:rsidRPr="009C2953">
        <w:t>sous-jacentes</w:t>
      </w:r>
      <w:r w:rsidR="00D24DC1" w:rsidRPr="009C2953">
        <w:t xml:space="preserve"> des </w:t>
      </w:r>
      <w:r w:rsidR="00607B78" w:rsidRPr="009C2953">
        <w:t>changements observés ; et b) suivre</w:t>
      </w:r>
      <w:r w:rsidR="00F34644" w:rsidRPr="009C2953">
        <w:t xml:space="preserve"> les </w:t>
      </w:r>
      <w:r w:rsidR="00607B78" w:rsidRPr="009C2953">
        <w:t>progrès accomplis dans</w:t>
      </w:r>
      <w:r w:rsidR="00F34644" w:rsidRPr="009C2953">
        <w:t xml:space="preserve"> la </w:t>
      </w:r>
      <w:r w:rsidR="00607B78" w:rsidRPr="009C2953">
        <w:t>réalisation</w:t>
      </w:r>
      <w:r w:rsidR="00D24DC1" w:rsidRPr="009C2953">
        <w:t xml:space="preserve"> des </w:t>
      </w:r>
      <w:r w:rsidR="00607B78" w:rsidRPr="009C2953">
        <w:t>objectifs et cibles du Cadre mondial de</w:t>
      </w:r>
      <w:r w:rsidR="00F34644" w:rsidRPr="009C2953">
        <w:t xml:space="preserve"> la </w:t>
      </w:r>
      <w:r w:rsidR="00607B78" w:rsidRPr="009C2953">
        <w:t>biodiversité de Kunming-Montréal</w:t>
      </w:r>
      <w:r w:rsidR="00607B78" w:rsidRPr="009C2953">
        <w:rPr>
          <w:rStyle w:val="FootnoteReference"/>
        </w:rPr>
        <w:footnoteReference w:id="15"/>
      </w:r>
      <w:r w:rsidR="00607B78" w:rsidRPr="009C2953">
        <w:t xml:space="preserve"> à l</w:t>
      </w:r>
      <w:r w:rsidR="00EA2966" w:rsidRPr="009C2953">
        <w:t>’</w:t>
      </w:r>
      <w:r w:rsidR="00607B78" w:rsidRPr="009C2953">
        <w:t>appui d</w:t>
      </w:r>
      <w:r w:rsidR="00EA2966" w:rsidRPr="009C2953">
        <w:t>’</w:t>
      </w:r>
      <w:r w:rsidR="00607B78" w:rsidRPr="009C2953">
        <w:t>une</w:t>
      </w:r>
      <w:r w:rsidR="0009671C" w:rsidRPr="009C2953">
        <w:t> </w:t>
      </w:r>
      <w:r w:rsidR="00607B78" w:rsidRPr="009C2953">
        <w:t>mise</w:t>
      </w:r>
      <w:r w:rsidR="0009671C" w:rsidRPr="009C2953">
        <w:t> </w:t>
      </w:r>
      <w:r w:rsidR="00607B78" w:rsidRPr="009C2953">
        <w:t>en œuvre équilibrée et renforcée de</w:t>
      </w:r>
      <w:r w:rsidR="00F34644" w:rsidRPr="009C2953">
        <w:t xml:space="preserve"> la </w:t>
      </w:r>
      <w:r w:rsidR="00607B78" w:rsidRPr="009C2953">
        <w:t>Convention sur</w:t>
      </w:r>
      <w:r w:rsidR="00F34644" w:rsidRPr="009C2953">
        <w:t xml:space="preserve"> la </w:t>
      </w:r>
      <w:r w:rsidR="00607B78" w:rsidRPr="009C2953">
        <w:t>diversité biologique,</w:t>
      </w:r>
      <w:r w:rsidR="00F34644" w:rsidRPr="009C2953">
        <w:t xml:space="preserve"> y </w:t>
      </w:r>
      <w:r w:rsidR="00607B78" w:rsidRPr="009C2953">
        <w:t>compris ses trois objectifs, et contribuer au suivi</w:t>
      </w:r>
      <w:r w:rsidR="00D24DC1" w:rsidRPr="009C2953">
        <w:t xml:space="preserve"> des </w:t>
      </w:r>
      <w:r w:rsidR="00607B78" w:rsidRPr="009C2953">
        <w:t>objectifs de développement durable du Programme de</w:t>
      </w:r>
      <w:r w:rsidR="0009671C" w:rsidRPr="009C2953">
        <w:t> </w:t>
      </w:r>
      <w:r w:rsidR="00607B78" w:rsidRPr="009C2953">
        <w:t>développement durable à l</w:t>
      </w:r>
      <w:r w:rsidR="00EA2966" w:rsidRPr="009C2953">
        <w:t>’</w:t>
      </w:r>
      <w:r w:rsidR="00607B78" w:rsidRPr="009C2953">
        <w:t>horizon 2030 et</w:t>
      </w:r>
      <w:r w:rsidR="00D24DC1" w:rsidRPr="009C2953">
        <w:t xml:space="preserve"> des </w:t>
      </w:r>
      <w:r w:rsidR="00607B78" w:rsidRPr="009C2953">
        <w:t>accords multilatéraux</w:t>
      </w:r>
      <w:r w:rsidR="0019647C" w:rsidRPr="009C2953">
        <w:t xml:space="preserve"> sur l</w:t>
      </w:r>
      <w:r w:rsidR="00EA2966" w:rsidRPr="009C2953">
        <w:t>’</w:t>
      </w:r>
      <w:r w:rsidR="0019647C" w:rsidRPr="009C2953">
        <w:t>environnement</w:t>
      </w:r>
      <w:r w:rsidR="00607B78" w:rsidRPr="009C2953">
        <w:t>, processus et initiatives concernés, en particulier</w:t>
      </w:r>
      <w:r w:rsidR="00F34644" w:rsidRPr="009C2953">
        <w:t xml:space="preserve"> les </w:t>
      </w:r>
      <w:r w:rsidR="00607B78" w:rsidRPr="009C2953">
        <w:t>conventions relatives à</w:t>
      </w:r>
      <w:r w:rsidR="00F34644" w:rsidRPr="009C2953">
        <w:t xml:space="preserve"> la </w:t>
      </w:r>
      <w:r w:rsidR="00607B78" w:rsidRPr="009C2953">
        <w:t>biodiversité, en tenant compte de</w:t>
      </w:r>
      <w:r w:rsidR="00F34644" w:rsidRPr="009C2953">
        <w:t xml:space="preserve"> la </w:t>
      </w:r>
      <w:r w:rsidR="00607B78" w:rsidRPr="009C2953">
        <w:t>situation</w:t>
      </w:r>
      <w:r w:rsidR="00D24DC1" w:rsidRPr="009C2953">
        <w:t xml:space="preserve"> des </w:t>
      </w:r>
      <w:r w:rsidR="00607B78" w:rsidRPr="009C2953">
        <w:t>pays en développement. L</w:t>
      </w:r>
      <w:r w:rsidR="00EA2966" w:rsidRPr="009C2953">
        <w:t>’</w:t>
      </w:r>
      <w:r w:rsidR="00607B78" w:rsidRPr="009C2953">
        <w:t>évaluation tiendra compte d</w:t>
      </w:r>
      <w:r w:rsidR="00EA2966" w:rsidRPr="009C2953">
        <w:t>’</w:t>
      </w:r>
      <w:r w:rsidR="00607B78" w:rsidRPr="009C2953">
        <w:t>autres systèmes de</w:t>
      </w:r>
      <w:r w:rsidR="0009671C" w:rsidRPr="009C2953">
        <w:t> </w:t>
      </w:r>
      <w:r w:rsidR="00607B78" w:rsidRPr="009C2953">
        <w:t>connaissances qui figurent dans</w:t>
      </w:r>
      <w:r w:rsidR="00F34644" w:rsidRPr="009C2953">
        <w:t xml:space="preserve"> le </w:t>
      </w:r>
      <w:r w:rsidR="00607B78" w:rsidRPr="009C2953">
        <w:t>cadre conceptuel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(IPBES)</w:t>
      </w:r>
      <w:r w:rsidR="00607B78" w:rsidRPr="009C2953">
        <w:rPr>
          <w:rStyle w:val="FootnoteReference"/>
        </w:rPr>
        <w:footnoteReference w:id="16"/>
      </w:r>
      <w:r w:rsidR="00A02CB8" w:rsidRPr="009C2953">
        <w:t xml:space="preserve">, </w:t>
      </w:r>
      <w:r w:rsidR="00607B78" w:rsidRPr="009C2953">
        <w:t>et</w:t>
      </w:r>
      <w:r w:rsidR="00D24DC1" w:rsidRPr="009C2953">
        <w:t xml:space="preserve"> des </w:t>
      </w:r>
      <w:r w:rsidR="00607B78" w:rsidRPr="009C2953">
        <w:t>différents systèmes de valeurs conceptualisés dans</w:t>
      </w:r>
      <w:r w:rsidR="00F34644" w:rsidRPr="009C2953">
        <w:t xml:space="preserve"> le </w:t>
      </w:r>
      <w:r w:rsidR="00607B78" w:rsidRPr="009C2953">
        <w:t>Cadre mondial de</w:t>
      </w:r>
      <w:r w:rsidR="00F34644" w:rsidRPr="009C2953">
        <w:t xml:space="preserve"> la </w:t>
      </w:r>
      <w:r w:rsidR="00607B78" w:rsidRPr="009C2953">
        <w:t>biodiversité de Kunming-Montréal.</w:t>
      </w:r>
    </w:p>
    <w:p w14:paraId="4F466E54" w14:textId="019E1E03" w:rsidR="00607B78" w:rsidRPr="009C2953" w:rsidRDefault="00746975" w:rsidP="00746975">
      <w:pPr>
        <w:pStyle w:val="NormalNonumber"/>
      </w:pPr>
      <w:r w:rsidRPr="009C2953">
        <w:t>2.</w:t>
      </w:r>
      <w:r w:rsidRPr="009C2953">
        <w:tab/>
      </w:r>
      <w:r w:rsidR="00607B78" w:rsidRPr="009C2953">
        <w:t>Le rapport comportera</w:t>
      </w:r>
      <w:r w:rsidR="00F34644" w:rsidRPr="009C2953">
        <w:t xml:space="preserve"> une </w:t>
      </w:r>
      <w:r w:rsidR="00607B78" w:rsidRPr="009C2953">
        <w:t>évaluation</w:t>
      </w:r>
      <w:r w:rsidR="00D24DC1" w:rsidRPr="009C2953">
        <w:t xml:space="preserve"> des </w:t>
      </w:r>
      <w:r w:rsidR="00607B78" w:rsidRPr="009C2953">
        <w:t>données et systèmes actuellement disponibles et</w:t>
      </w:r>
      <w:r w:rsidR="006E6F5A" w:rsidRPr="009C2953">
        <w:t> </w:t>
      </w:r>
      <w:r w:rsidR="00607B78" w:rsidRPr="009C2953">
        <w:t>nécessaires pour calculer</w:t>
      </w:r>
      <w:r w:rsidR="00F34644" w:rsidRPr="009C2953">
        <w:t xml:space="preserve"> les </w:t>
      </w:r>
      <w:r w:rsidR="00607B78" w:rsidRPr="009C2953">
        <w:t>indicateurs du cadre de suivi du Cadre mondial de</w:t>
      </w:r>
      <w:r w:rsidR="00F34644" w:rsidRPr="009C2953">
        <w:t xml:space="preserve"> la </w:t>
      </w:r>
      <w:r w:rsidR="00607B78" w:rsidRPr="009C2953">
        <w:t>biodiversité de</w:t>
      </w:r>
      <w:r w:rsidR="006E6F5A" w:rsidRPr="009C2953">
        <w:t> </w:t>
      </w:r>
      <w:r w:rsidR="00607B78" w:rsidRPr="009C2953">
        <w:t>Kunming-Montréal relatifs à</w:t>
      </w:r>
      <w:r w:rsidR="00F34644" w:rsidRPr="009C2953">
        <w:t xml:space="preserve"> la </w:t>
      </w:r>
      <w:r w:rsidR="00607B78" w:rsidRPr="009C2953">
        <w:t>biodiversité,</w:t>
      </w:r>
      <w:r w:rsidR="00F34644" w:rsidRPr="009C2953">
        <w:t xml:space="preserve"> aux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et</w:t>
      </w:r>
      <w:r w:rsidR="00F34644" w:rsidRPr="009C2953">
        <w:t xml:space="preserve"> aux </w:t>
      </w:r>
      <w:r w:rsidR="00607B78" w:rsidRPr="009C2953">
        <w:t>causes directes et sous-jacentes</w:t>
      </w:r>
      <w:r w:rsidR="00D24DC1" w:rsidRPr="009C2953">
        <w:t xml:space="preserve"> des </w:t>
      </w:r>
      <w:r w:rsidR="00607B78" w:rsidRPr="009C2953">
        <w:t>changements observés. Il donnera</w:t>
      </w:r>
      <w:r w:rsidR="00F34644" w:rsidRPr="009C2953">
        <w:t xml:space="preserve"> la </w:t>
      </w:r>
      <w:r w:rsidR="00607B78" w:rsidRPr="009C2953">
        <w:t>priorité</w:t>
      </w:r>
      <w:r w:rsidR="00F34644" w:rsidRPr="009C2953">
        <w:t xml:space="preserve"> aux </w:t>
      </w:r>
      <w:r w:rsidR="00607B78" w:rsidRPr="009C2953">
        <w:t>indicateurs principaux et portera également sur</w:t>
      </w:r>
      <w:r w:rsidR="00F34644" w:rsidRPr="009C2953">
        <w:t xml:space="preserve"> la </w:t>
      </w:r>
      <w:r w:rsidR="00607B78" w:rsidRPr="009C2953">
        <w:t>disponibilité</w:t>
      </w:r>
      <w:r w:rsidR="00D24DC1" w:rsidRPr="009C2953">
        <w:t xml:space="preserve"> des </w:t>
      </w:r>
      <w:r w:rsidR="00607B78" w:rsidRPr="009C2953">
        <w:t>données pour d</w:t>
      </w:r>
      <w:r w:rsidR="00EA2966" w:rsidRPr="009C2953">
        <w:t>’</w:t>
      </w:r>
      <w:r w:rsidR="00607B78" w:rsidRPr="009C2953">
        <w:t>autres indicateurs du cadre de</w:t>
      </w:r>
      <w:r w:rsidR="006E6F5A" w:rsidRPr="009C2953">
        <w:t> </w:t>
      </w:r>
      <w:r w:rsidR="00607B78" w:rsidRPr="009C2953">
        <w:t>suivi.</w:t>
      </w:r>
    </w:p>
    <w:p w14:paraId="5C0363A8" w14:textId="7EE55C59" w:rsidR="00607B78" w:rsidRPr="009C2953" w:rsidRDefault="00746975" w:rsidP="00746975">
      <w:pPr>
        <w:pStyle w:val="NormalNonumber"/>
      </w:pPr>
      <w:r w:rsidRPr="009C2953">
        <w:t>3.</w:t>
      </w:r>
      <w:r w:rsidRPr="009C2953">
        <w:tab/>
      </w:r>
      <w:r w:rsidR="00607B78" w:rsidRPr="009C2953">
        <w:t>Le rapport proposera</w:t>
      </w:r>
      <w:r w:rsidR="00F34644" w:rsidRPr="009C2953">
        <w:t xml:space="preserve"> une </w:t>
      </w:r>
      <w:r w:rsidR="00607B78" w:rsidRPr="009C2953">
        <w:t>évaluation</w:t>
      </w:r>
      <w:r w:rsidR="00D24DC1" w:rsidRPr="009C2953">
        <w:t xml:space="preserve"> des </w:t>
      </w:r>
      <w:r w:rsidR="00607B78" w:rsidRPr="009C2953">
        <w:t>capacités actuelles de collecte et d</w:t>
      </w:r>
      <w:r w:rsidR="00EA2966" w:rsidRPr="009C2953">
        <w:t>’</w:t>
      </w:r>
      <w:r w:rsidR="00607B78" w:rsidRPr="009C2953">
        <w:t>analyse</w:t>
      </w:r>
      <w:r w:rsidR="00D24DC1" w:rsidRPr="009C2953">
        <w:t xml:space="preserve"> des </w:t>
      </w:r>
      <w:r w:rsidR="00607B78" w:rsidRPr="009C2953">
        <w:t>données à l</w:t>
      </w:r>
      <w:r w:rsidR="00EA2966" w:rsidRPr="009C2953">
        <w:t>’</w:t>
      </w:r>
      <w:r w:rsidR="00607B78" w:rsidRPr="009C2953">
        <w:t>échelle nationale et mondiale et</w:t>
      </w:r>
      <w:r w:rsidR="00D24DC1" w:rsidRPr="009C2953">
        <w:t xml:space="preserve"> des </w:t>
      </w:r>
      <w:r w:rsidR="00607B78" w:rsidRPr="009C2953">
        <w:t>moyens et ressources disponibles à cet</w:t>
      </w:r>
      <w:r w:rsidR="00D24DC1" w:rsidRPr="009C2953">
        <w:t> </w:t>
      </w:r>
      <w:r w:rsidR="00607B78" w:rsidRPr="009C2953">
        <w:t>effet,</w:t>
      </w:r>
      <w:r w:rsidR="00D24DC1" w:rsidRPr="009C2953">
        <w:t> </w:t>
      </w:r>
      <w:r w:rsidR="00607B78" w:rsidRPr="009C2953">
        <w:t>comme l</w:t>
      </w:r>
      <w:r w:rsidR="00EA2966" w:rsidRPr="009C2953">
        <w:t>’</w:t>
      </w:r>
      <w:r w:rsidR="00607B78" w:rsidRPr="009C2953">
        <w:t>exigera</w:t>
      </w:r>
      <w:r w:rsidR="00F34644" w:rsidRPr="009C2953">
        <w:t xml:space="preserve"> la </w:t>
      </w:r>
      <w:r w:rsidR="00607B78" w:rsidRPr="009C2953">
        <w:t>mise en œuvre du cadre de suivi du Cadre mondial de</w:t>
      </w:r>
      <w:r w:rsidR="00F34644" w:rsidRPr="009C2953">
        <w:t xml:space="preserve"> la </w:t>
      </w:r>
      <w:r w:rsidR="00607B78" w:rsidRPr="009C2953">
        <w:t>biodiversité de</w:t>
      </w:r>
      <w:r w:rsidR="006E6F5A" w:rsidRPr="009C2953">
        <w:t> </w:t>
      </w:r>
      <w:r w:rsidR="00607B78" w:rsidRPr="009C2953">
        <w:t>Kunming</w:t>
      </w:r>
      <w:r w:rsidR="006E6F5A" w:rsidRPr="009C2953">
        <w:noBreakHyphen/>
      </w:r>
      <w:r w:rsidR="00607B78" w:rsidRPr="009C2953">
        <w:t>Montréal. Il évaluera</w:t>
      </w:r>
      <w:r w:rsidR="00F34644" w:rsidRPr="009C2953">
        <w:t xml:space="preserve"> les </w:t>
      </w:r>
      <w:r w:rsidR="00607B78" w:rsidRPr="009C2953">
        <w:t>carences en matière de disponibilité</w:t>
      </w:r>
      <w:r w:rsidR="00D24DC1" w:rsidRPr="009C2953">
        <w:t xml:space="preserve"> des </w:t>
      </w:r>
      <w:r w:rsidR="00607B78" w:rsidRPr="009C2953">
        <w:t>données et d</w:t>
      </w:r>
      <w:r w:rsidR="00EA2966" w:rsidRPr="009C2953">
        <w:t>’</w:t>
      </w:r>
      <w:r w:rsidR="00607B78" w:rsidRPr="009C2953">
        <w:t>accès à</w:t>
      </w:r>
      <w:r w:rsidR="006E6F5A" w:rsidRPr="009C2953">
        <w:t> </w:t>
      </w:r>
      <w:r w:rsidR="00607B78" w:rsidRPr="009C2953">
        <w:t>celles-ci, ainsi que</w:t>
      </w:r>
      <w:r w:rsidR="00F34644" w:rsidRPr="009C2953">
        <w:t xml:space="preserve"> les </w:t>
      </w:r>
      <w:r w:rsidR="00607B78" w:rsidRPr="009C2953">
        <w:t>biais existants dans</w:t>
      </w:r>
      <w:r w:rsidR="00F34644" w:rsidRPr="009C2953">
        <w:t xml:space="preserve"> la </w:t>
      </w:r>
      <w:r w:rsidR="00607B78" w:rsidRPr="009C2953">
        <w:t>couverture taxonomique, géographique et temporelle</w:t>
      </w:r>
      <w:r w:rsidR="00D24DC1" w:rsidRPr="009C2953">
        <w:t xml:space="preserve"> des </w:t>
      </w:r>
      <w:r w:rsidR="00607B78" w:rsidRPr="009C2953">
        <w:t>données pour</w:t>
      </w:r>
      <w:r w:rsidR="00F34644" w:rsidRPr="009C2953">
        <w:t xml:space="preserve"> les </w:t>
      </w:r>
      <w:r w:rsidR="00607B78" w:rsidRPr="009C2953">
        <w:t>environnements marins et terrestres (y compris</w:t>
      </w:r>
      <w:r w:rsidR="00F34644" w:rsidRPr="009C2953">
        <w:t xml:space="preserve"> les </w:t>
      </w:r>
      <w:r w:rsidR="00607B78" w:rsidRPr="009C2953">
        <w:t>eaux intérieures). Il évaluera</w:t>
      </w:r>
      <w:r w:rsidR="00F34644" w:rsidRPr="009C2953">
        <w:t xml:space="preserve"> les </w:t>
      </w:r>
      <w:r w:rsidR="00607B78" w:rsidRPr="009C2953">
        <w:t>défis et</w:t>
      </w:r>
      <w:r w:rsidR="00F34644" w:rsidRPr="009C2953">
        <w:t xml:space="preserve"> les </w:t>
      </w:r>
      <w:r w:rsidR="00607B78" w:rsidRPr="009C2953">
        <w:t>obstacles en matière de capacités et de moyens de mise en œuvre permettant de générer</w:t>
      </w:r>
      <w:r w:rsidR="00D24DC1" w:rsidRPr="009C2953">
        <w:t xml:space="preserve"> des </w:t>
      </w:r>
      <w:r w:rsidR="00607B78" w:rsidRPr="009C2953">
        <w:t>données, d</w:t>
      </w:r>
      <w:r w:rsidR="00EA2966" w:rsidRPr="009C2953">
        <w:t>’</w:t>
      </w:r>
      <w:r w:rsidR="00607B78" w:rsidRPr="009C2953">
        <w:t>y accéder et de</w:t>
      </w:r>
      <w:r w:rsidR="00F34644" w:rsidRPr="009C2953">
        <w:t xml:space="preserve"> les </w:t>
      </w:r>
      <w:r w:rsidR="00607B78" w:rsidRPr="009C2953">
        <w:t>partager, utilisera</w:t>
      </w:r>
      <w:r w:rsidR="00D24DC1" w:rsidRPr="009C2953">
        <w:t xml:space="preserve"> des </w:t>
      </w:r>
      <w:r w:rsidR="00607B78" w:rsidRPr="009C2953">
        <w:t>méthodes statistiques solides pour</w:t>
      </w:r>
      <w:r w:rsidR="00F34644" w:rsidRPr="009C2953">
        <w:t xml:space="preserve"> la </w:t>
      </w:r>
      <w:r w:rsidR="00607B78" w:rsidRPr="009C2953">
        <w:t>détection et l</w:t>
      </w:r>
      <w:r w:rsidR="00EA2966" w:rsidRPr="009C2953">
        <w:t>’</w:t>
      </w:r>
      <w:r w:rsidR="00607B78" w:rsidRPr="009C2953">
        <w:t>imputation</w:t>
      </w:r>
      <w:r w:rsidR="00D24DC1" w:rsidRPr="009C2953">
        <w:t xml:space="preserve"> des </w:t>
      </w:r>
      <w:r w:rsidR="00607B78" w:rsidRPr="009C2953">
        <w:t>tendances et appuiera</w:t>
      </w:r>
      <w:r w:rsidR="00F34644" w:rsidRPr="009C2953">
        <w:t xml:space="preserve"> la </w:t>
      </w:r>
      <w:r w:rsidR="00607B78" w:rsidRPr="009C2953">
        <w:t>surveillance systématique de</w:t>
      </w:r>
      <w:r w:rsidR="00F34644" w:rsidRPr="009C2953">
        <w:t xml:space="preserve"> la </w:t>
      </w:r>
      <w:r w:rsidR="00607B78" w:rsidRPr="009C2953">
        <w:t>biodiversité. L</w:t>
      </w:r>
      <w:r w:rsidR="00EA2966" w:rsidRPr="009C2953">
        <w:t>’</w:t>
      </w:r>
      <w:r w:rsidR="00607B78" w:rsidRPr="009C2953">
        <w:t>évaluation tiendra compte</w:t>
      </w:r>
      <w:r w:rsidR="00D24DC1" w:rsidRPr="009C2953">
        <w:t xml:space="preserve"> des </w:t>
      </w:r>
      <w:r w:rsidR="00607B78" w:rsidRPr="009C2953">
        <w:t>difficultés particulières rencontrées à cet égard par</w:t>
      </w:r>
      <w:r w:rsidR="00F34644" w:rsidRPr="009C2953">
        <w:t xml:space="preserve"> les </w:t>
      </w:r>
      <w:r w:rsidR="00607B78" w:rsidRPr="009C2953">
        <w:t>pays en développement.</w:t>
      </w:r>
    </w:p>
    <w:p w14:paraId="09130764" w14:textId="2B41C4DD" w:rsidR="00607B78" w:rsidRPr="009C2953" w:rsidRDefault="00746975" w:rsidP="00746975">
      <w:pPr>
        <w:pStyle w:val="NormalNonumber"/>
      </w:pPr>
      <w:r w:rsidRPr="009C2953">
        <w:t>4.</w:t>
      </w:r>
      <w:r w:rsidRPr="009C2953">
        <w:tab/>
      </w:r>
      <w:r w:rsidR="00607B78" w:rsidRPr="009C2953">
        <w:t>L</w:t>
      </w:r>
      <w:r w:rsidR="00EA2966" w:rsidRPr="009C2953">
        <w:t>’</w:t>
      </w:r>
      <w:r w:rsidR="00607B78" w:rsidRPr="009C2953">
        <w:t>évaluation permettra de cerner</w:t>
      </w:r>
      <w:r w:rsidR="00F34644" w:rsidRPr="009C2953">
        <w:t xml:space="preserve"> les </w:t>
      </w:r>
      <w:r w:rsidR="00607B78" w:rsidRPr="009C2953">
        <w:t>possibilités de renforcer davantage</w:t>
      </w:r>
      <w:r w:rsidR="00F34644" w:rsidRPr="009C2953">
        <w:t xml:space="preserve"> les </w:t>
      </w:r>
      <w:r w:rsidR="00607B78" w:rsidRPr="009C2953">
        <w:t>capacités régionales</w:t>
      </w:r>
      <w:r w:rsidR="00D24DC1" w:rsidRPr="009C2953">
        <w:t> </w:t>
      </w:r>
      <w:r w:rsidR="00607B78" w:rsidRPr="009C2953">
        <w:t>et nationales de surveillance de</w:t>
      </w:r>
      <w:r w:rsidR="00F34644" w:rsidRPr="009C2953">
        <w:t xml:space="preserve"> la </w:t>
      </w:r>
      <w:r w:rsidR="00607B78" w:rsidRPr="009C2953">
        <w:t>biodiversité (en mettant l</w:t>
      </w:r>
      <w:r w:rsidR="00EA2966" w:rsidRPr="009C2953">
        <w:t>’</w:t>
      </w:r>
      <w:r w:rsidR="00607B78" w:rsidRPr="009C2953">
        <w:t>accent sur</w:t>
      </w:r>
      <w:r w:rsidR="00F34644" w:rsidRPr="009C2953">
        <w:t xml:space="preserve"> les </w:t>
      </w:r>
      <w:r w:rsidR="00607B78" w:rsidRPr="009C2953">
        <w:t>besoins</w:t>
      </w:r>
      <w:r w:rsidR="00D24DC1" w:rsidRPr="009C2953">
        <w:t xml:space="preserve"> des </w:t>
      </w:r>
      <w:r w:rsidR="00607B78" w:rsidRPr="009C2953">
        <w:t>pays</w:t>
      </w:r>
      <w:r w:rsidR="00D24DC1" w:rsidRPr="009C2953">
        <w:t> </w:t>
      </w:r>
      <w:r w:rsidR="00607B78" w:rsidRPr="009C2953">
        <w:t>en développement, notamment</w:t>
      </w:r>
      <w:r w:rsidR="00F34644" w:rsidRPr="009C2953">
        <w:t xml:space="preserve"> les </w:t>
      </w:r>
      <w:r w:rsidR="00607B78" w:rsidRPr="009C2953">
        <w:t>pays</w:t>
      </w:r>
      <w:r w:rsidR="00F34644" w:rsidRPr="009C2953">
        <w:t xml:space="preserve"> les </w:t>
      </w:r>
      <w:r w:rsidR="00607B78" w:rsidRPr="009C2953">
        <w:t>moins avancés et</w:t>
      </w:r>
      <w:r w:rsidR="00F34644" w:rsidRPr="009C2953">
        <w:t xml:space="preserve"> les </w:t>
      </w:r>
      <w:r w:rsidR="00607B78" w:rsidRPr="009C2953">
        <w:t>petits États insulaires en</w:t>
      </w:r>
      <w:r w:rsidR="00D24DC1" w:rsidRPr="009C2953">
        <w:t> </w:t>
      </w:r>
      <w:r w:rsidR="00607B78" w:rsidRPr="009C2953">
        <w:t>développement) et</w:t>
      </w:r>
      <w:r w:rsidR="00F34644" w:rsidRPr="009C2953">
        <w:t xml:space="preserve"> la </w:t>
      </w:r>
      <w:r w:rsidR="00607B78" w:rsidRPr="009C2953">
        <w:t>surveillance de</w:t>
      </w:r>
      <w:r w:rsidR="00F34644" w:rsidRPr="009C2953">
        <w:t xml:space="preserve"> la </w:t>
      </w:r>
      <w:r w:rsidR="00607B78" w:rsidRPr="009C2953">
        <w:t>biodiversité par</w:t>
      </w:r>
      <w:r w:rsidR="00F34644" w:rsidRPr="009C2953">
        <w:t xml:space="preserve"> les </w:t>
      </w:r>
      <w:r w:rsidR="00607B78" w:rsidRPr="009C2953">
        <w:t>communautés,</w:t>
      </w:r>
      <w:r w:rsidR="00F34644" w:rsidRPr="009C2953">
        <w:t xml:space="preserve"> les </w:t>
      </w:r>
      <w:r w:rsidR="00607B78" w:rsidRPr="009C2953">
        <w:t>populations autochtones et</w:t>
      </w:r>
      <w:r w:rsidR="00F34644" w:rsidRPr="009C2953">
        <w:t xml:space="preserve"> les </w:t>
      </w:r>
      <w:r w:rsidR="00607B78" w:rsidRPr="009C2953">
        <w:t>initiatives de sciences participatives.</w:t>
      </w:r>
    </w:p>
    <w:p w14:paraId="3A0F3543" w14:textId="4275CB0A" w:rsidR="00607B78" w:rsidRPr="009C2953" w:rsidRDefault="00CC3C58" w:rsidP="00CC3C58">
      <w:pPr>
        <w:pStyle w:val="NormalNonumber"/>
      </w:pPr>
      <w:r w:rsidRPr="009C2953">
        <w:t>5.</w:t>
      </w:r>
      <w:r w:rsidRPr="009C2953">
        <w:tab/>
      </w:r>
      <w:r w:rsidR="00607B78" w:rsidRPr="009C2953">
        <w:t>L</w:t>
      </w:r>
      <w:r w:rsidR="00EA2966" w:rsidRPr="009C2953">
        <w:t>’</w:t>
      </w:r>
      <w:r w:rsidR="00607B78" w:rsidRPr="009C2953">
        <w:t>évaluation examinera</w:t>
      </w:r>
      <w:r w:rsidR="00F34644" w:rsidRPr="009C2953">
        <w:t xml:space="preserve"> les </w:t>
      </w:r>
      <w:r w:rsidR="00607B78" w:rsidRPr="009C2953">
        <w:t>solutions permettant de renforcer</w:t>
      </w:r>
      <w:r w:rsidR="00F34644" w:rsidRPr="009C2953">
        <w:t xml:space="preserve"> la </w:t>
      </w:r>
      <w:r w:rsidR="00607B78" w:rsidRPr="009C2953">
        <w:t>coopération, de faciliter</w:t>
      </w:r>
      <w:r w:rsidR="00F34644" w:rsidRPr="009C2953">
        <w:t xml:space="preserve"> le </w:t>
      </w:r>
      <w:r w:rsidR="00607B78" w:rsidRPr="009C2953">
        <w:t>partage</w:t>
      </w:r>
      <w:r w:rsidR="00D24DC1" w:rsidRPr="009C2953">
        <w:t xml:space="preserve"> des </w:t>
      </w:r>
      <w:r w:rsidR="00607B78" w:rsidRPr="009C2953">
        <w:t>ressources et</w:t>
      </w:r>
      <w:r w:rsidR="00F34644" w:rsidRPr="009C2953">
        <w:t xml:space="preserve"> la </w:t>
      </w:r>
      <w:r w:rsidR="00607B78" w:rsidRPr="009C2953">
        <w:t>communication d</w:t>
      </w:r>
      <w:r w:rsidR="00EA2966" w:rsidRPr="009C2953">
        <w:t>’</w:t>
      </w:r>
      <w:r w:rsidR="00607B78" w:rsidRPr="009C2953">
        <w:t>informations, de combiner</w:t>
      </w:r>
      <w:r w:rsidR="00D24DC1" w:rsidRPr="009C2953">
        <w:t xml:space="preserve"> des </w:t>
      </w:r>
      <w:r w:rsidR="00607B78" w:rsidRPr="009C2953">
        <w:t>données provenant de</w:t>
      </w:r>
      <w:r w:rsidR="006E6F5A" w:rsidRPr="009C2953">
        <w:t> </w:t>
      </w:r>
      <w:r w:rsidR="00607B78" w:rsidRPr="009C2953">
        <w:t>sources multiples et d</w:t>
      </w:r>
      <w:r w:rsidR="00EA2966" w:rsidRPr="009C2953">
        <w:t>’</w:t>
      </w:r>
      <w:r w:rsidR="00607B78" w:rsidRPr="009C2953">
        <w:t>améliorer</w:t>
      </w:r>
      <w:r w:rsidR="00F34644" w:rsidRPr="009C2953">
        <w:t xml:space="preserve"> la </w:t>
      </w:r>
      <w:r w:rsidR="00607B78" w:rsidRPr="009C2953">
        <w:t>compréhension de l</w:t>
      </w:r>
      <w:r w:rsidR="00EA2966" w:rsidRPr="009C2953">
        <w:t>’</w:t>
      </w:r>
      <w:r w:rsidR="00607B78" w:rsidRPr="009C2953">
        <w:t>évolution de</w:t>
      </w:r>
      <w:r w:rsidR="00F34644" w:rsidRPr="009C2953">
        <w:t xml:space="preserve"> la </w:t>
      </w:r>
      <w:r w:rsidR="00607B78" w:rsidRPr="009C2953">
        <w:t>biodiversité, en particulier dans</w:t>
      </w:r>
      <w:r w:rsidR="00F34644" w:rsidRPr="009C2953">
        <w:t xml:space="preserve"> les </w:t>
      </w:r>
      <w:r w:rsidR="00607B78" w:rsidRPr="009C2953">
        <w:t>régions sous-représentées du monde. Cela pourrait consister à regrouper</w:t>
      </w:r>
      <w:r w:rsidR="00F34644" w:rsidRPr="009C2953">
        <w:t xml:space="preserve"> les </w:t>
      </w:r>
      <w:r w:rsidR="00607B78" w:rsidRPr="009C2953">
        <w:t>systèmes, réseaux et autres efforts de suivi nationaux et régionaux au sein de réseaux et de plateformes de surveillance de</w:t>
      </w:r>
      <w:r w:rsidR="00D24DC1" w:rsidRPr="009C2953">
        <w:t> </w:t>
      </w:r>
      <w:r w:rsidR="00F34644" w:rsidRPr="009C2953">
        <w:t>la </w:t>
      </w:r>
      <w:r w:rsidR="00607B78" w:rsidRPr="009C2953">
        <w:t>biodiversité à l</w:t>
      </w:r>
      <w:r w:rsidR="00EA2966" w:rsidRPr="009C2953">
        <w:t>’</w:t>
      </w:r>
      <w:r w:rsidR="00607B78" w:rsidRPr="009C2953">
        <w:t>échelle mondiale. L</w:t>
      </w:r>
      <w:r w:rsidR="00EA2966" w:rsidRPr="009C2953">
        <w:t>’</w:t>
      </w:r>
      <w:r w:rsidR="00607B78" w:rsidRPr="009C2953">
        <w:t>évaluation portera sur</w:t>
      </w:r>
      <w:r w:rsidR="00F34644" w:rsidRPr="009C2953">
        <w:t xml:space="preserve"> les </w:t>
      </w:r>
      <w:r w:rsidR="00607B78" w:rsidRPr="009C2953">
        <w:t>avantages d</w:t>
      </w:r>
      <w:r w:rsidR="00EA2966" w:rsidRPr="009C2953">
        <w:t>’</w:t>
      </w:r>
      <w:r w:rsidR="00607B78" w:rsidRPr="009C2953">
        <w:t>une telle approche et</w:t>
      </w:r>
      <w:r w:rsidR="006E6F5A" w:rsidRPr="009C2953">
        <w:t> </w:t>
      </w:r>
      <w:r w:rsidR="00607B78" w:rsidRPr="009C2953">
        <w:t>analysera</w:t>
      </w:r>
      <w:r w:rsidR="00F34644" w:rsidRPr="009C2953">
        <w:t xml:space="preserve"> les </w:t>
      </w:r>
      <w:r w:rsidR="00607B78" w:rsidRPr="009C2953">
        <w:t>solutions permettant de créer</w:t>
      </w:r>
      <w:r w:rsidR="00D24DC1" w:rsidRPr="009C2953">
        <w:t xml:space="preserve"> des </w:t>
      </w:r>
      <w:r w:rsidR="00607B78" w:rsidRPr="009C2953">
        <w:t>réseaux et</w:t>
      </w:r>
      <w:r w:rsidR="00D24DC1" w:rsidRPr="009C2953">
        <w:t xml:space="preserve"> des </w:t>
      </w:r>
      <w:r w:rsidR="00607B78" w:rsidRPr="009C2953">
        <w:t>plateformes de surveillance de</w:t>
      </w:r>
      <w:r w:rsidR="00D24DC1" w:rsidRPr="009C2953">
        <w:t> </w:t>
      </w:r>
      <w:r w:rsidR="00F34644" w:rsidRPr="009C2953">
        <w:t>la </w:t>
      </w:r>
      <w:r w:rsidR="00607B78" w:rsidRPr="009C2953">
        <w:t>biodiversité à l</w:t>
      </w:r>
      <w:r w:rsidR="00EA2966" w:rsidRPr="009C2953">
        <w:t>’</w:t>
      </w:r>
      <w:r w:rsidR="00607B78" w:rsidRPr="009C2953">
        <w:t>échelle mondiale, ainsi que</w:t>
      </w:r>
      <w:r w:rsidR="00F34644" w:rsidRPr="009C2953">
        <w:t xml:space="preserve"> les </w:t>
      </w:r>
      <w:r w:rsidR="00607B78" w:rsidRPr="009C2953">
        <w:t>conditions favorables pour</w:t>
      </w:r>
      <w:r w:rsidR="00F34644" w:rsidRPr="009C2953">
        <w:t xml:space="preserve"> y </w:t>
      </w:r>
      <w:r w:rsidR="00607B78" w:rsidRPr="009C2953">
        <w:t xml:space="preserve">parvenir. </w:t>
      </w:r>
      <w:r w:rsidR="00607B78" w:rsidRPr="009C2953">
        <w:lastRenderedPageBreak/>
        <w:t>Elle</w:t>
      </w:r>
      <w:r w:rsidRPr="009C2953">
        <w:t> </w:t>
      </w:r>
      <w:r w:rsidR="00607B78" w:rsidRPr="009C2953">
        <w:t>tiendra</w:t>
      </w:r>
      <w:r w:rsidRPr="009C2953">
        <w:t> </w:t>
      </w:r>
      <w:r w:rsidR="00607B78" w:rsidRPr="009C2953">
        <w:t>compte</w:t>
      </w:r>
      <w:r w:rsidR="00D24DC1" w:rsidRPr="009C2953">
        <w:t xml:space="preserve"> des </w:t>
      </w:r>
      <w:r w:rsidR="00607B78" w:rsidRPr="009C2953">
        <w:t>mécanismes et processus existants</w:t>
      </w:r>
      <w:r w:rsidR="00F34644" w:rsidRPr="009C2953">
        <w:t xml:space="preserve"> aux </w:t>
      </w:r>
      <w:r w:rsidR="00607B78" w:rsidRPr="009C2953">
        <w:t>niveaux régional et mondial,</w:t>
      </w:r>
      <w:r w:rsidR="00F34644" w:rsidRPr="009C2953">
        <w:t xml:space="preserve"> y </w:t>
      </w:r>
      <w:r w:rsidR="00607B78" w:rsidRPr="009C2953">
        <w:t>compris</w:t>
      </w:r>
      <w:r w:rsidR="00F34644" w:rsidRPr="009C2953">
        <w:t xml:space="preserve"> le </w:t>
      </w:r>
      <w:r w:rsidR="00607B78" w:rsidRPr="009C2953">
        <w:t>Groupe sur l</w:t>
      </w:r>
      <w:r w:rsidR="00EA2966" w:rsidRPr="009C2953">
        <w:t>’</w:t>
      </w:r>
      <w:r w:rsidR="00607B78" w:rsidRPr="009C2953">
        <w:t>observation de</w:t>
      </w:r>
      <w:r w:rsidR="00F34644" w:rsidRPr="009C2953">
        <w:t xml:space="preserve"> la </w:t>
      </w:r>
      <w:r w:rsidR="00607B78" w:rsidRPr="009C2953">
        <w:t>Terre.</w:t>
      </w:r>
    </w:p>
    <w:p w14:paraId="747B0C13" w14:textId="77777777" w:rsidR="00607B78" w:rsidRPr="009C2953" w:rsidRDefault="00607B78" w:rsidP="00607B78">
      <w:pPr>
        <w:pStyle w:val="CH2"/>
      </w:pPr>
      <w:r w:rsidRPr="009C2953">
        <w:tab/>
        <w:t>B.</w:t>
      </w:r>
      <w:r w:rsidRPr="009C2953">
        <w:tab/>
        <w:t>Calendrier et données de référence</w:t>
      </w:r>
    </w:p>
    <w:p w14:paraId="2F8B32B5" w14:textId="2A3473A6" w:rsidR="00607B78" w:rsidRPr="009C2953" w:rsidRDefault="005970F9" w:rsidP="005970F9">
      <w:pPr>
        <w:pStyle w:val="NormalNonumber"/>
      </w:pPr>
      <w:r w:rsidRPr="009C2953">
        <w:t>6.</w:t>
      </w:r>
      <w:r w:rsidRPr="009C2953">
        <w:tab/>
      </w:r>
      <w:r w:rsidR="00607B78" w:rsidRPr="009C2953">
        <w:t>Conformément au cadre de suivi du Cadre mondial de</w:t>
      </w:r>
      <w:r w:rsidR="00F34644" w:rsidRPr="009C2953">
        <w:t xml:space="preserve"> la </w:t>
      </w:r>
      <w:r w:rsidR="00607B78" w:rsidRPr="009C2953">
        <w:t>biodiversité de Kunming-Montréal, l</w:t>
      </w:r>
      <w:r w:rsidR="00EA2966" w:rsidRPr="009C2953">
        <w:t>’</w:t>
      </w:r>
      <w:r w:rsidR="00607B78" w:rsidRPr="009C2953">
        <w:t>évaluation donnera</w:t>
      </w:r>
      <w:r w:rsidR="00F34644" w:rsidRPr="009C2953">
        <w:t xml:space="preserve"> la </w:t>
      </w:r>
      <w:r w:rsidR="00607B78" w:rsidRPr="009C2953">
        <w:t>priorité à</w:t>
      </w:r>
      <w:r w:rsidR="00F34644" w:rsidRPr="009C2953">
        <w:t xml:space="preserve"> la </w:t>
      </w:r>
      <w:r w:rsidR="00607B78" w:rsidRPr="009C2953">
        <w:t>période 2011–2020 comme période de référence pour</w:t>
      </w:r>
      <w:r w:rsidR="00F34644" w:rsidRPr="009C2953">
        <w:t xml:space="preserve"> le </w:t>
      </w:r>
      <w:r w:rsidR="00607B78" w:rsidRPr="009C2953">
        <w:t>suivi</w:t>
      </w:r>
      <w:r w:rsidR="00D24DC1" w:rsidRPr="009C2953">
        <w:t xml:space="preserve"> des </w:t>
      </w:r>
      <w:r w:rsidR="00607B78" w:rsidRPr="009C2953">
        <w:t>progrès réalisés dans</w:t>
      </w:r>
      <w:r w:rsidR="00F34644" w:rsidRPr="009C2953">
        <w:t xml:space="preserve"> la </w:t>
      </w:r>
      <w:r w:rsidR="00607B78" w:rsidRPr="009C2953">
        <w:t>mise en œuvre du Cadre et</w:t>
      </w:r>
      <w:r w:rsidR="00F34644" w:rsidRPr="009C2953">
        <w:t xml:space="preserve"> la </w:t>
      </w:r>
      <w:r w:rsidR="00607B78" w:rsidRPr="009C2953">
        <w:t>communication</w:t>
      </w:r>
      <w:r w:rsidR="00F34644" w:rsidRPr="009C2953">
        <w:t xml:space="preserve"> y </w:t>
      </w:r>
      <w:r w:rsidR="00607B78" w:rsidRPr="009C2953">
        <w:t>afférente.</w:t>
      </w:r>
    </w:p>
    <w:p w14:paraId="0A2522B3" w14:textId="37F89A49" w:rsidR="00607B78" w:rsidRPr="009C2953" w:rsidRDefault="009F2933" w:rsidP="009F2933">
      <w:pPr>
        <w:pStyle w:val="NormalNonumber"/>
      </w:pPr>
      <w:r w:rsidRPr="009C2953">
        <w:t>7.</w:t>
      </w:r>
      <w:r w:rsidRPr="009C2953">
        <w:tab/>
      </w:r>
      <w:r w:rsidR="00607B78" w:rsidRPr="009C2953">
        <w:t>Les séries temporelles de longue durée seront également utilisées pour établir</w:t>
      </w:r>
      <w:r w:rsidR="00F34644" w:rsidRPr="009C2953">
        <w:t xml:space="preserve"> les </w:t>
      </w:r>
      <w:r w:rsidR="00607B78" w:rsidRPr="009C2953">
        <w:t>états initiaux et</w:t>
      </w:r>
      <w:r w:rsidR="00F34644" w:rsidRPr="009C2953">
        <w:t xml:space="preserve"> les </w:t>
      </w:r>
      <w:r w:rsidR="00607B78" w:rsidRPr="009C2953">
        <w:t>niveaux de référence contemporains qui pourraient être pris en compte pour diverses comparaisons d</w:t>
      </w:r>
      <w:r w:rsidR="00EA2966" w:rsidRPr="009C2953">
        <w:t>’</w:t>
      </w:r>
      <w:r w:rsidR="00607B78" w:rsidRPr="009C2953">
        <w:t>indicateurs nationaux, régionaux ou mondiaux. L</w:t>
      </w:r>
      <w:r w:rsidR="00EA2966" w:rsidRPr="009C2953">
        <w:t>’</w:t>
      </w:r>
      <w:r w:rsidR="00607B78" w:rsidRPr="009C2953">
        <w:t>évaluation dressera également l</w:t>
      </w:r>
      <w:r w:rsidR="00EA2966" w:rsidRPr="009C2953">
        <w:t>’</w:t>
      </w:r>
      <w:r w:rsidR="00607B78" w:rsidRPr="009C2953">
        <w:t>inventaire</w:t>
      </w:r>
      <w:r w:rsidR="00D24DC1" w:rsidRPr="009C2953">
        <w:t xml:space="preserve"> des </w:t>
      </w:r>
      <w:r w:rsidR="00607B78" w:rsidRPr="009C2953">
        <w:t>données de référence et</w:t>
      </w:r>
      <w:r w:rsidR="00D24DC1" w:rsidRPr="009C2953">
        <w:t xml:space="preserve"> des </w:t>
      </w:r>
      <w:r w:rsidR="00607B78" w:rsidRPr="009C2953">
        <w:t>informations disponibles sur l</w:t>
      </w:r>
      <w:r w:rsidR="00EA2966" w:rsidRPr="009C2953">
        <w:t>’</w:t>
      </w:r>
      <w:r w:rsidR="00607B78" w:rsidRPr="009C2953">
        <w:t>état naturel</w:t>
      </w:r>
      <w:r w:rsidR="00D24DC1" w:rsidRPr="009C2953">
        <w:t xml:space="preserve"> des </w:t>
      </w:r>
      <w:r w:rsidR="00607B78" w:rsidRPr="009C2953">
        <w:t>écosystèmes et</w:t>
      </w:r>
      <w:r w:rsidR="00F34644" w:rsidRPr="009C2953">
        <w:t xml:space="preserve"> les </w:t>
      </w:r>
      <w:r w:rsidR="00607B78" w:rsidRPr="009C2953">
        <w:t>tendances en matière de perte de biodiversité.</w:t>
      </w:r>
    </w:p>
    <w:p w14:paraId="4DB0D171" w14:textId="5887962B" w:rsidR="00607B78" w:rsidRPr="009C2953" w:rsidRDefault="009F2933" w:rsidP="009F2933">
      <w:pPr>
        <w:pStyle w:val="NormalNonumber"/>
      </w:pPr>
      <w:r w:rsidRPr="009C2953">
        <w:t>8.</w:t>
      </w:r>
      <w:r w:rsidRPr="009C2953">
        <w:tab/>
      </w:r>
      <w:r w:rsidR="00607B78" w:rsidRPr="009C2953">
        <w:t>L</w:t>
      </w:r>
      <w:r w:rsidR="00EA2966" w:rsidRPr="009C2953">
        <w:t>’</w:t>
      </w:r>
      <w:r w:rsidR="00607B78" w:rsidRPr="009C2953">
        <w:t>évaluation sera effectuée sur</w:t>
      </w:r>
      <w:r w:rsidR="00F34644" w:rsidRPr="009C2953">
        <w:t xml:space="preserve"> une </w:t>
      </w:r>
      <w:r w:rsidR="00607B78" w:rsidRPr="009C2953">
        <w:t>période de deux ans conformément à</w:t>
      </w:r>
      <w:r w:rsidR="00F34644" w:rsidRPr="009C2953">
        <w:t xml:space="preserve"> la </w:t>
      </w:r>
      <w:r w:rsidR="00607B78" w:rsidRPr="009C2953">
        <w:t>méthode accélérée</w:t>
      </w:r>
      <w:r w:rsidR="00D24DC1" w:rsidRPr="009C2953">
        <w:t xml:space="preserve"> des </w:t>
      </w:r>
      <w:r w:rsidR="00607B78" w:rsidRPr="009C2953">
        <w:t>évaluations thématiques ou méthodologiques.</w:t>
      </w:r>
    </w:p>
    <w:p w14:paraId="135FC088" w14:textId="77777777" w:rsidR="00607B78" w:rsidRPr="009C2953" w:rsidRDefault="00607B78" w:rsidP="00607B78">
      <w:pPr>
        <w:pStyle w:val="CH2"/>
      </w:pPr>
      <w:r w:rsidRPr="009C2953">
        <w:tab/>
        <w:t>C.</w:t>
      </w:r>
      <w:r w:rsidRPr="009C2953">
        <w:tab/>
        <w:t>Couverture géographique</w:t>
      </w:r>
    </w:p>
    <w:p w14:paraId="5B69EB22" w14:textId="54F9BF97" w:rsidR="00607B78" w:rsidRPr="009C2953" w:rsidRDefault="00CB2F6A" w:rsidP="00CB2F6A">
      <w:pPr>
        <w:pStyle w:val="NormalNonumber"/>
      </w:pPr>
      <w:r w:rsidRPr="009C2953">
        <w:t>9.</w:t>
      </w:r>
      <w:r w:rsidRPr="009C2953">
        <w:tab/>
      </w:r>
      <w:r w:rsidR="00607B78" w:rsidRPr="009C2953">
        <w:t>L</w:t>
      </w:r>
      <w:r w:rsidR="00EA2966" w:rsidRPr="009C2953">
        <w:t>’</w:t>
      </w:r>
      <w:r w:rsidR="00607B78" w:rsidRPr="009C2953">
        <w:t>évaluation sera menée au niveau mondial et fournira</w:t>
      </w:r>
      <w:r w:rsidR="00D24DC1" w:rsidRPr="009C2953">
        <w:t xml:space="preserve"> des </w:t>
      </w:r>
      <w:r w:rsidR="00607B78" w:rsidRPr="009C2953">
        <w:t>informations pertinentes pour toutes</w:t>
      </w:r>
      <w:r w:rsidR="00F34644" w:rsidRPr="009C2953">
        <w:t xml:space="preserve"> les </w:t>
      </w:r>
      <w:r w:rsidR="00607B78" w:rsidRPr="009C2953">
        <w:t>zones biogéographiques et océanographiques à toutes</w:t>
      </w:r>
      <w:r w:rsidR="00F34644" w:rsidRPr="009C2953">
        <w:t xml:space="preserve"> les </w:t>
      </w:r>
      <w:r w:rsidR="00607B78" w:rsidRPr="009C2953">
        <w:t>échelles (infranationale à mondiale).</w:t>
      </w:r>
    </w:p>
    <w:p w14:paraId="096E6D5E" w14:textId="77777777" w:rsidR="00607B78" w:rsidRPr="009C2953" w:rsidRDefault="00607B78" w:rsidP="00607B78">
      <w:pPr>
        <w:pStyle w:val="CH2"/>
      </w:pPr>
      <w:r w:rsidRPr="009C2953">
        <w:tab/>
        <w:t>D.</w:t>
      </w:r>
      <w:r w:rsidRPr="009C2953">
        <w:tab/>
        <w:t>Approche méthodologique</w:t>
      </w:r>
    </w:p>
    <w:p w14:paraId="6C6665D8" w14:textId="5E75308C" w:rsidR="00607B78" w:rsidRPr="009C2953" w:rsidRDefault="00CB2F6A" w:rsidP="00CB2F6A">
      <w:pPr>
        <w:pStyle w:val="NormalNonumber"/>
      </w:pPr>
      <w:r w:rsidRPr="009C2953">
        <w:t>10.</w:t>
      </w:r>
      <w:r w:rsidRPr="009C2953">
        <w:tab/>
      </w:r>
      <w:r w:rsidR="00607B78" w:rsidRPr="009C2953">
        <w:t>Le rapport d</w:t>
      </w:r>
      <w:r w:rsidR="00EA2966" w:rsidRPr="009C2953">
        <w:t>’</w:t>
      </w:r>
      <w:r w:rsidR="00607B78" w:rsidRPr="009C2953">
        <w:t>évaluation se composera d</w:t>
      </w:r>
      <w:r w:rsidR="00EA2966" w:rsidRPr="009C2953">
        <w:t>’</w:t>
      </w:r>
      <w:r w:rsidR="00607B78" w:rsidRPr="009C2953">
        <w:t>un résumé à l</w:t>
      </w:r>
      <w:r w:rsidR="00EA2966" w:rsidRPr="009C2953">
        <w:t>’</w:t>
      </w:r>
      <w:r w:rsidR="00607B78" w:rsidRPr="009C2953">
        <w:t>intention</w:t>
      </w:r>
      <w:r w:rsidR="00D24DC1" w:rsidRPr="009C2953">
        <w:t xml:space="preserve"> des </w:t>
      </w:r>
      <w:r w:rsidR="00607B78" w:rsidRPr="009C2953">
        <w:t>décideurs et de</w:t>
      </w:r>
      <w:r w:rsidR="00215891" w:rsidRPr="009C2953">
        <w:t> </w:t>
      </w:r>
      <w:r w:rsidR="00607B78" w:rsidRPr="009C2953">
        <w:t>quatre</w:t>
      </w:r>
      <w:r w:rsidR="00215891" w:rsidRPr="009C2953">
        <w:t> </w:t>
      </w:r>
      <w:r w:rsidR="00607B78" w:rsidRPr="009C2953">
        <w:t>chapitres comportant chacun</w:t>
      </w:r>
      <w:r w:rsidR="00F34644" w:rsidRPr="009C2953">
        <w:t xml:space="preserve"> un </w:t>
      </w:r>
      <w:r w:rsidR="00607B78" w:rsidRPr="009C2953">
        <w:t>résumé analytique</w:t>
      </w:r>
      <w:r w:rsidR="00D24DC1" w:rsidRPr="009C2953">
        <w:t xml:space="preserve"> des </w:t>
      </w:r>
      <w:r w:rsidR="00607B78" w:rsidRPr="009C2953">
        <w:t>constatations</w:t>
      </w:r>
      <w:r w:rsidR="00F34644" w:rsidRPr="009C2953">
        <w:t xml:space="preserve"> les </w:t>
      </w:r>
      <w:r w:rsidR="00607B78" w:rsidRPr="009C2953">
        <w:t>plus utiles pour</w:t>
      </w:r>
      <w:r w:rsidR="00F34644" w:rsidRPr="009C2953">
        <w:t xml:space="preserve"> le </w:t>
      </w:r>
      <w:r w:rsidR="00607B78" w:rsidRPr="009C2953">
        <w:t>public ciblé. Il cernera</w:t>
      </w:r>
      <w:r w:rsidR="00F34644" w:rsidRPr="009C2953">
        <w:t xml:space="preserve"> les </w:t>
      </w:r>
      <w:r w:rsidR="00607B78" w:rsidRPr="009C2953">
        <w:t>principales lacunes dans</w:t>
      </w:r>
      <w:r w:rsidR="00F34644" w:rsidRPr="009C2953">
        <w:t xml:space="preserve"> les </w:t>
      </w:r>
      <w:r w:rsidR="00607B78" w:rsidRPr="009C2953">
        <w:t>connaissances et</w:t>
      </w:r>
      <w:r w:rsidR="00F34644" w:rsidRPr="009C2953">
        <w:t xml:space="preserve"> les </w:t>
      </w:r>
      <w:r w:rsidR="00607B78" w:rsidRPr="009C2953">
        <w:t>données pertinentes.</w:t>
      </w:r>
    </w:p>
    <w:p w14:paraId="2F5E003D" w14:textId="30C38366" w:rsidR="00607B78" w:rsidRPr="009C2953" w:rsidRDefault="00301519" w:rsidP="00301519">
      <w:pPr>
        <w:pStyle w:val="NormalNonumber"/>
      </w:pPr>
      <w:r w:rsidRPr="009C2953">
        <w:t>11.</w:t>
      </w:r>
      <w:r w:rsidRPr="009C2953">
        <w:tab/>
      </w:r>
      <w:r w:rsidR="00607B78" w:rsidRPr="009C2953">
        <w:t>L</w:t>
      </w:r>
      <w:r w:rsidR="00EA2966" w:rsidRPr="009C2953">
        <w:t>’</w:t>
      </w:r>
      <w:r w:rsidR="00607B78" w:rsidRPr="009C2953">
        <w:t>évaluation s</w:t>
      </w:r>
      <w:r w:rsidR="00EA2966" w:rsidRPr="009C2953">
        <w:t>’</w:t>
      </w:r>
      <w:r w:rsidR="00607B78" w:rsidRPr="009C2953">
        <w:t>appuiera sur</w:t>
      </w:r>
      <w:r w:rsidR="00D24DC1" w:rsidRPr="009C2953">
        <w:t xml:space="preserve"> des </w:t>
      </w:r>
      <w:r w:rsidR="00607B78" w:rsidRPr="009C2953">
        <w:t>sources documentaires revues par</w:t>
      </w:r>
      <w:r w:rsidR="00D24DC1" w:rsidRPr="009C2953">
        <w:t xml:space="preserve"> des </w:t>
      </w:r>
      <w:r w:rsidR="00607B78" w:rsidRPr="009C2953">
        <w:t>pairs,</w:t>
      </w:r>
      <w:r w:rsidR="00D24DC1" w:rsidRPr="009C2953">
        <w:t xml:space="preserve"> des </w:t>
      </w:r>
      <w:r w:rsidR="00607B78" w:rsidRPr="009C2953">
        <w:t>données et rapports nationaux officiels,</w:t>
      </w:r>
      <w:r w:rsidR="00F34644" w:rsidRPr="009C2953">
        <w:t xml:space="preserve"> les </w:t>
      </w:r>
      <w:r w:rsidR="00607B78" w:rsidRPr="009C2953">
        <w:t>savoirs autochtones et locaux, ainsi que sur diverses autres sources, conformément</w:t>
      </w:r>
      <w:r w:rsidR="00F34644" w:rsidRPr="009C2953">
        <w:t xml:space="preserve"> aux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 énoncées dans</w:t>
      </w:r>
      <w:r w:rsidR="00F34644" w:rsidRPr="009C2953">
        <w:t xml:space="preserve"> la </w:t>
      </w:r>
      <w:r w:rsidR="00607B78" w:rsidRPr="009C2953">
        <w:t>décision IPBES-3/3.</w:t>
      </w:r>
    </w:p>
    <w:p w14:paraId="443BE5DF" w14:textId="0DE9CE62" w:rsidR="00607B78" w:rsidRPr="009C2953" w:rsidRDefault="00AA2EBA" w:rsidP="00AA2EBA">
      <w:pPr>
        <w:pStyle w:val="NormalNonumber"/>
      </w:pPr>
      <w:r w:rsidRPr="009C2953">
        <w:t>12.</w:t>
      </w:r>
      <w:r w:rsidRPr="009C2953">
        <w:tab/>
      </w:r>
      <w:r w:rsidR="00607B78" w:rsidRPr="009C2953">
        <w:t>L</w:t>
      </w:r>
      <w:r w:rsidR="00EA2966" w:rsidRPr="009C2953">
        <w:t>’</w:t>
      </w:r>
      <w:r w:rsidR="00607B78" w:rsidRPr="009C2953">
        <w:t>évaluation passera en revue</w:t>
      </w:r>
      <w:r w:rsidR="00F34644" w:rsidRPr="009C2953">
        <w:t xml:space="preserve"> les </w:t>
      </w:r>
      <w:r w:rsidR="00607B78" w:rsidRPr="009C2953">
        <w:t>méthodes existantes et l</w:t>
      </w:r>
      <w:r w:rsidR="00EA2966" w:rsidRPr="009C2953">
        <w:t>’</w:t>
      </w:r>
      <w:r w:rsidR="00607B78" w:rsidRPr="009C2953">
        <w:t>expérience acquise en matière de</w:t>
      </w:r>
      <w:r w:rsidR="00D24DC1" w:rsidRPr="009C2953">
        <w:t> </w:t>
      </w:r>
      <w:r w:rsidR="00607B78" w:rsidRPr="009C2953">
        <w:t>surveillance de</w:t>
      </w:r>
      <w:r w:rsidR="00F34644" w:rsidRPr="009C2953">
        <w:t xml:space="preserve"> la </w:t>
      </w:r>
      <w:r w:rsidR="00607B78" w:rsidRPr="009C2953">
        <w:t>biodiversité,</w:t>
      </w:r>
      <w:r w:rsidR="00F34644" w:rsidRPr="009C2953">
        <w:t xml:space="preserve"> y </w:t>
      </w:r>
      <w:r w:rsidR="00607B78" w:rsidRPr="009C2953">
        <w:t>compris</w:t>
      </w:r>
      <w:r w:rsidR="00F34644" w:rsidRPr="009C2953">
        <w:t xml:space="preserve"> les </w:t>
      </w:r>
      <w:r w:rsidR="00607B78" w:rsidRPr="009C2953">
        <w:t>mesures in situ et par télédétection,</w:t>
      </w:r>
      <w:r w:rsidR="00F34644" w:rsidRPr="009C2953">
        <w:t xml:space="preserve"> la </w:t>
      </w:r>
      <w:r w:rsidR="00607B78" w:rsidRPr="009C2953">
        <w:t>surveillance par</w:t>
      </w:r>
      <w:r w:rsidR="00D24DC1" w:rsidRPr="009C2953">
        <w:t> </w:t>
      </w:r>
      <w:r w:rsidR="00F34644" w:rsidRPr="009C2953">
        <w:t>les </w:t>
      </w:r>
      <w:r w:rsidR="00607B78" w:rsidRPr="009C2953">
        <w:t>populations locales et</w:t>
      </w:r>
      <w:r w:rsidR="00F34644" w:rsidRPr="009C2953">
        <w:t xml:space="preserve"> les </w:t>
      </w:r>
      <w:r w:rsidR="00607B78" w:rsidRPr="009C2953">
        <w:t>initiatives de sciences participatives. Elle portera sur</w:t>
      </w:r>
      <w:r w:rsidR="00F34644" w:rsidRPr="009C2953">
        <w:t xml:space="preserve"> les </w:t>
      </w:r>
      <w:r w:rsidR="00607B78" w:rsidRPr="009C2953">
        <w:t>processus engagés dans</w:t>
      </w:r>
      <w:r w:rsidR="00F34644" w:rsidRPr="009C2953">
        <w:t xml:space="preserve"> le </w:t>
      </w:r>
      <w:r w:rsidR="00607B78" w:rsidRPr="009C2953">
        <w:t>cadre de</w:t>
      </w:r>
      <w:r w:rsidR="00F34644" w:rsidRPr="009C2953">
        <w:t xml:space="preserve"> la </w:t>
      </w:r>
      <w:r w:rsidR="00607B78" w:rsidRPr="009C2953">
        <w:t>Convention sur</w:t>
      </w:r>
      <w:r w:rsidR="00F34644" w:rsidRPr="009C2953">
        <w:t xml:space="preserve"> la </w:t>
      </w:r>
      <w:r w:rsidR="00607B78" w:rsidRPr="009C2953">
        <w:t>diversité biologique, ainsi que sur</w:t>
      </w:r>
      <w:r w:rsidR="00F34644" w:rsidRPr="009C2953">
        <w:t xml:space="preserve"> les </w:t>
      </w:r>
      <w:r w:rsidR="00607B78" w:rsidRPr="009C2953">
        <w:t>travaux du</w:t>
      </w:r>
      <w:r w:rsidR="00215891" w:rsidRPr="009C2953">
        <w:t> </w:t>
      </w:r>
      <w:r w:rsidR="00607B78" w:rsidRPr="009C2953">
        <w:t>Partenariat relatif</w:t>
      </w:r>
      <w:r w:rsidR="00F34644" w:rsidRPr="009C2953">
        <w:t xml:space="preserve"> aux </w:t>
      </w:r>
      <w:r w:rsidR="00607B78" w:rsidRPr="009C2953">
        <w:t>indicateurs de biodiversité, du Réseau de veille de</w:t>
      </w:r>
      <w:r w:rsidR="00F34644" w:rsidRPr="009C2953">
        <w:t xml:space="preserve"> la </w:t>
      </w:r>
      <w:r w:rsidR="00607B78" w:rsidRPr="009C2953">
        <w:t>diversité biologique du</w:t>
      </w:r>
      <w:r w:rsidR="00215891" w:rsidRPr="009C2953">
        <w:t> </w:t>
      </w:r>
      <w:r w:rsidR="00607B78" w:rsidRPr="009C2953">
        <w:t>Groupe sur l</w:t>
      </w:r>
      <w:r w:rsidR="00EA2966" w:rsidRPr="009C2953">
        <w:t>’</w:t>
      </w:r>
      <w:r w:rsidR="00607B78" w:rsidRPr="009C2953">
        <w:t>observation de</w:t>
      </w:r>
      <w:r w:rsidR="00F34644" w:rsidRPr="009C2953">
        <w:t xml:space="preserve"> la </w:t>
      </w:r>
      <w:r w:rsidR="00607B78" w:rsidRPr="009C2953">
        <w:t>Terre (GEO-BON), du Système mondial d</w:t>
      </w:r>
      <w:r w:rsidR="00EA2966" w:rsidRPr="009C2953">
        <w:t>’</w:t>
      </w:r>
      <w:r w:rsidR="00607B78" w:rsidRPr="009C2953">
        <w:t>information sur</w:t>
      </w:r>
      <w:r w:rsidR="00F34644" w:rsidRPr="009C2953">
        <w:t xml:space="preserve"> la </w:t>
      </w:r>
      <w:r w:rsidR="00607B78" w:rsidRPr="009C2953">
        <w:t>biodiversité et de</w:t>
      </w:r>
      <w:r w:rsidR="00F34644" w:rsidRPr="009C2953">
        <w:t xml:space="preserve"> la </w:t>
      </w:r>
      <w:r w:rsidR="00607B78" w:rsidRPr="009C2953">
        <w:t>Division de statistique. Elle couvrira également</w:t>
      </w:r>
      <w:r w:rsidR="00F34644" w:rsidRPr="009C2953">
        <w:t xml:space="preserve"> les </w:t>
      </w:r>
      <w:r w:rsidR="00607B78" w:rsidRPr="009C2953">
        <w:t>nouvelles technologies d</w:t>
      </w:r>
      <w:r w:rsidR="00EA2966" w:rsidRPr="009C2953">
        <w:t>’</w:t>
      </w:r>
      <w:r w:rsidR="00607B78" w:rsidRPr="009C2953">
        <w:t>estimation de</w:t>
      </w:r>
      <w:r w:rsidR="00F34644" w:rsidRPr="009C2953">
        <w:t xml:space="preserve"> la </w:t>
      </w:r>
      <w:r w:rsidR="00607B78" w:rsidRPr="009C2953">
        <w:t>biodiversité, telles que l</w:t>
      </w:r>
      <w:r w:rsidR="00EA2966" w:rsidRPr="009C2953">
        <w:t>’</w:t>
      </w:r>
      <w:r w:rsidR="00607B78" w:rsidRPr="009C2953">
        <w:t>ADN environnemental, l</w:t>
      </w:r>
      <w:r w:rsidR="00EA2966" w:rsidRPr="009C2953">
        <w:t>’</w:t>
      </w:r>
      <w:proofErr w:type="spellStart"/>
      <w:r w:rsidR="00607B78" w:rsidRPr="009C2953">
        <w:t>écoacoustique</w:t>
      </w:r>
      <w:proofErr w:type="spellEnd"/>
      <w:r w:rsidR="00607B78" w:rsidRPr="009C2953">
        <w:t>,</w:t>
      </w:r>
      <w:r w:rsidR="00F34644" w:rsidRPr="009C2953">
        <w:t xml:space="preserve"> les </w:t>
      </w:r>
      <w:r w:rsidR="00607B78" w:rsidRPr="009C2953">
        <w:t>pièges photographiques, l</w:t>
      </w:r>
      <w:r w:rsidR="00EA2966" w:rsidRPr="009C2953">
        <w:t>’</w:t>
      </w:r>
      <w:r w:rsidR="00607B78" w:rsidRPr="009C2953">
        <w:t xml:space="preserve">imagerie </w:t>
      </w:r>
      <w:proofErr w:type="spellStart"/>
      <w:r w:rsidR="00607B78" w:rsidRPr="009C2953">
        <w:t>hyperspectrale</w:t>
      </w:r>
      <w:proofErr w:type="spellEnd"/>
      <w:r w:rsidR="00607B78" w:rsidRPr="009C2953">
        <w:t xml:space="preserve"> et l</w:t>
      </w:r>
      <w:r w:rsidR="00EA2966" w:rsidRPr="009C2953">
        <w:t>’</w:t>
      </w:r>
      <w:r w:rsidR="00607B78" w:rsidRPr="009C2953">
        <w:t>intelligence artificielle, qui peuvent être mobilisées localement pour conduire</w:t>
      </w:r>
      <w:r w:rsidR="00D24DC1" w:rsidRPr="009C2953">
        <w:t xml:space="preserve"> des </w:t>
      </w:r>
      <w:r w:rsidR="00607B78" w:rsidRPr="009C2953">
        <w:t>évaluations et</w:t>
      </w:r>
      <w:r w:rsidR="00D24DC1" w:rsidRPr="009C2953">
        <w:t xml:space="preserve"> des </w:t>
      </w:r>
      <w:r w:rsidR="00607B78" w:rsidRPr="009C2953">
        <w:t>enquêtes rapides sur de vastes zones,</w:t>
      </w:r>
      <w:r w:rsidR="00F34644" w:rsidRPr="009C2953">
        <w:t xml:space="preserve"> y </w:t>
      </w:r>
      <w:r w:rsidR="00607B78" w:rsidRPr="009C2953">
        <w:t>compris en collaboration avec</w:t>
      </w:r>
      <w:r w:rsidR="00F34644" w:rsidRPr="009C2953">
        <w:t xml:space="preserve"> les </w:t>
      </w:r>
      <w:r w:rsidR="00607B78" w:rsidRPr="009C2953">
        <w:t>peuples autochtones et</w:t>
      </w:r>
      <w:r w:rsidR="00F34644" w:rsidRPr="009C2953">
        <w:t xml:space="preserve"> les </w:t>
      </w:r>
      <w:r w:rsidR="00607B78" w:rsidRPr="009C2953">
        <w:t>communautés locales sur</w:t>
      </w:r>
      <w:r w:rsidR="00F34644" w:rsidRPr="009C2953">
        <w:t xml:space="preserve"> le </w:t>
      </w:r>
      <w:r w:rsidR="00607B78" w:rsidRPr="009C2953">
        <w:t>terrain. L</w:t>
      </w:r>
      <w:r w:rsidR="00EA2966" w:rsidRPr="009C2953">
        <w:t>’</w:t>
      </w:r>
      <w:r w:rsidR="00607B78" w:rsidRPr="009C2953">
        <w:t>évaluation cernera</w:t>
      </w:r>
      <w:r w:rsidR="00F34644" w:rsidRPr="009C2953">
        <w:t xml:space="preserve"> les </w:t>
      </w:r>
      <w:r w:rsidR="00607B78" w:rsidRPr="009C2953">
        <w:t>difficultés liées à</w:t>
      </w:r>
      <w:r w:rsidR="00F34644" w:rsidRPr="009C2953">
        <w:t xml:space="preserve"> la </w:t>
      </w:r>
      <w:r w:rsidR="00607B78" w:rsidRPr="009C2953">
        <w:t>surveillance et arrêtera</w:t>
      </w:r>
      <w:r w:rsidR="00D24DC1" w:rsidRPr="009C2953">
        <w:t xml:space="preserve"> des </w:t>
      </w:r>
      <w:r w:rsidR="00607B78" w:rsidRPr="009C2953">
        <w:t>solutions visant à régler</w:t>
      </w:r>
      <w:r w:rsidR="00F34644" w:rsidRPr="009C2953">
        <w:t xml:space="preserve"> la </w:t>
      </w:r>
      <w:r w:rsidR="00607B78" w:rsidRPr="009C2953">
        <w:t>question</w:t>
      </w:r>
      <w:r w:rsidR="00D24DC1" w:rsidRPr="009C2953">
        <w:t xml:space="preserve"> des </w:t>
      </w:r>
      <w:r w:rsidR="00607B78" w:rsidRPr="009C2953">
        <w:t>données et informations manquantes ainsi que celle</w:t>
      </w:r>
      <w:r w:rsidR="00D24DC1" w:rsidRPr="009C2953">
        <w:t xml:space="preserve"> des </w:t>
      </w:r>
      <w:r w:rsidR="00607B78" w:rsidRPr="009C2953">
        <w:t>autres contraintes susceptibles d</w:t>
      </w:r>
      <w:r w:rsidR="00EA2966" w:rsidRPr="009C2953">
        <w:t>’</w:t>
      </w:r>
      <w:r w:rsidR="00607B78" w:rsidRPr="009C2953">
        <w:t>empêcher</w:t>
      </w:r>
      <w:r w:rsidR="00F34644" w:rsidRPr="009C2953">
        <w:t xml:space="preserve"> le </w:t>
      </w:r>
      <w:r w:rsidR="00607B78" w:rsidRPr="009C2953">
        <w:t>suivi à</w:t>
      </w:r>
      <w:r w:rsidR="00D24DC1" w:rsidRPr="009C2953">
        <w:t xml:space="preserve"> des </w:t>
      </w:r>
      <w:r w:rsidR="00607B78" w:rsidRPr="009C2953">
        <w:t>échelles pertinentes.</w:t>
      </w:r>
    </w:p>
    <w:p w14:paraId="48EE8151" w14:textId="48DBB42E" w:rsidR="00607B78" w:rsidRPr="009C2953" w:rsidRDefault="00AA2EBA" w:rsidP="00AA2EBA">
      <w:pPr>
        <w:pStyle w:val="NormalNonumber"/>
      </w:pPr>
      <w:r w:rsidRPr="009C2953">
        <w:t>13.</w:t>
      </w:r>
      <w:r w:rsidRPr="009C2953">
        <w:tab/>
      </w:r>
      <w:r w:rsidR="00607B78" w:rsidRPr="009C2953">
        <w:t>L</w:t>
      </w:r>
      <w:r w:rsidR="00EA2966" w:rsidRPr="009C2953">
        <w:t>’</w:t>
      </w:r>
      <w:r w:rsidR="00607B78" w:rsidRPr="009C2953">
        <w:t>évaluation tiendra compte</w:t>
      </w:r>
      <w:r w:rsidR="00D24DC1" w:rsidRPr="009C2953">
        <w:t xml:space="preserve"> des </w:t>
      </w:r>
      <w:r w:rsidR="00607B78" w:rsidRPr="009C2953">
        <w:t>lacunes en matière de données et de connaissances relevées par</w:t>
      </w:r>
      <w:r w:rsidR="00F34644" w:rsidRPr="009C2953">
        <w:t xml:space="preserve"> les </w:t>
      </w:r>
      <w:r w:rsidR="00607B78" w:rsidRPr="009C2953">
        <w:t>précédentes évaluations de l</w:t>
      </w:r>
      <w:r w:rsidR="00EA2966" w:rsidRPr="009C2953">
        <w:t>’</w:t>
      </w:r>
      <w:r w:rsidR="00607B78" w:rsidRPr="009C2953">
        <w:t>IPBES.</w:t>
      </w:r>
    </w:p>
    <w:p w14:paraId="00E3CA16" w14:textId="5CA7E8AB" w:rsidR="00607B78" w:rsidRPr="009C2953" w:rsidRDefault="00AA2EBA" w:rsidP="00AA2EBA">
      <w:pPr>
        <w:pStyle w:val="NormalNonumber"/>
      </w:pPr>
      <w:r w:rsidRPr="009C2953">
        <w:t>14.</w:t>
      </w:r>
      <w:r w:rsidRPr="009C2953">
        <w:tab/>
      </w:r>
      <w:r w:rsidR="00607B78" w:rsidRPr="009C2953">
        <w:t>L</w:t>
      </w:r>
      <w:r w:rsidR="00EA2966" w:rsidRPr="009C2953">
        <w:t>’</w:t>
      </w:r>
      <w:r w:rsidR="00607B78" w:rsidRPr="009C2953">
        <w:t>évaluation présentera</w:t>
      </w:r>
      <w:r w:rsidR="00D24DC1" w:rsidRPr="009C2953">
        <w:t xml:space="preserve"> des </w:t>
      </w:r>
      <w:r w:rsidR="00607B78" w:rsidRPr="009C2953">
        <w:t>études de cas pertinentes à différentes échelles, selon</w:t>
      </w:r>
      <w:r w:rsidR="00992C71" w:rsidRPr="009C2953">
        <w:t xml:space="preserve"> </w:t>
      </w:r>
      <w:r w:rsidR="00607B78" w:rsidRPr="009C2953">
        <w:t>qu</w:t>
      </w:r>
      <w:r w:rsidR="00EA2966" w:rsidRPr="009C2953">
        <w:t>’</w:t>
      </w:r>
      <w:r w:rsidR="00607B78" w:rsidRPr="009C2953">
        <w:t>il</w:t>
      </w:r>
      <w:r w:rsidR="006B3AAB" w:rsidRPr="009C2953">
        <w:t> </w:t>
      </w:r>
      <w:r w:rsidR="00607B78" w:rsidRPr="009C2953">
        <w:t>conviendra.</w:t>
      </w:r>
    </w:p>
    <w:p w14:paraId="3DCC504F" w14:textId="516B37F8" w:rsidR="00607B78" w:rsidRPr="009C2953" w:rsidRDefault="00AA2EBA" w:rsidP="00AA2EBA">
      <w:pPr>
        <w:pStyle w:val="NormalNonumber"/>
      </w:pPr>
      <w:r w:rsidRPr="009C2953">
        <w:t>15.</w:t>
      </w:r>
      <w:r w:rsidRPr="009C2953">
        <w:tab/>
      </w:r>
      <w:r w:rsidR="00607B78" w:rsidRPr="009C2953">
        <w:t>L</w:t>
      </w:r>
      <w:r w:rsidR="00EA2966" w:rsidRPr="009C2953">
        <w:t>’</w:t>
      </w:r>
      <w:r w:rsidR="00607B78" w:rsidRPr="009C2953">
        <w:t>évaluation sera conforme au cadre conceptuel de l</w:t>
      </w:r>
      <w:r w:rsidR="00EA2966" w:rsidRPr="009C2953">
        <w:t>’</w:t>
      </w:r>
      <w:r w:rsidR="007A16AF" w:rsidRPr="009C2953">
        <w:t xml:space="preserve">IPBES </w:t>
      </w:r>
      <w:r w:rsidR="00607B78" w:rsidRPr="009C2953">
        <w:t>et tiendra pleinement compte</w:t>
      </w:r>
      <w:r w:rsidR="00D24DC1" w:rsidRPr="009C2953">
        <w:t xml:space="preserve"> des </w:t>
      </w:r>
      <w:r w:rsidR="00607B78" w:rsidRPr="009C2953">
        <w:t>savoirs autochtones et locaux et</w:t>
      </w:r>
      <w:r w:rsidR="00D24DC1" w:rsidRPr="009C2953">
        <w:t xml:space="preserve"> des </w:t>
      </w:r>
      <w:r w:rsidR="00607B78" w:rsidRPr="009C2953">
        <w:t>différents systèmes de connaissances, ainsi que</w:t>
      </w:r>
      <w:r w:rsidR="00D24DC1" w:rsidRPr="009C2953">
        <w:t xml:space="preserve"> des </w:t>
      </w:r>
      <w:r w:rsidR="00607B78" w:rsidRPr="009C2953">
        <w:t>valeurs multiples.</w:t>
      </w:r>
    </w:p>
    <w:p w14:paraId="6231C7E1" w14:textId="53D39184" w:rsidR="00607B78" w:rsidRPr="009C2953" w:rsidRDefault="00AA2EBA" w:rsidP="00AA2EBA">
      <w:pPr>
        <w:pStyle w:val="NormalNonumber"/>
      </w:pPr>
      <w:r w:rsidRPr="009C2953">
        <w:t>16.</w:t>
      </w:r>
      <w:r w:rsidRPr="009C2953">
        <w:tab/>
      </w:r>
      <w:r w:rsidR="00607B78" w:rsidRPr="009C2953">
        <w:t>L</w:t>
      </w:r>
      <w:r w:rsidR="00EA2966" w:rsidRPr="009C2953">
        <w:t>’</w:t>
      </w:r>
      <w:r w:rsidR="00607B78" w:rsidRPr="009C2953">
        <w:t>évaluation sera menée par</w:t>
      </w:r>
      <w:r w:rsidR="00F34644" w:rsidRPr="009C2953">
        <w:t xml:space="preserve"> une </w:t>
      </w:r>
      <w:r w:rsidR="00607B78" w:rsidRPr="009C2953">
        <w:t>équipe équilibrée et interdisciplinaire de spécialistes de</w:t>
      </w:r>
      <w:r w:rsidR="00F34644" w:rsidRPr="009C2953">
        <w:t xml:space="preserve"> la </w:t>
      </w:r>
      <w:r w:rsidR="00607B78" w:rsidRPr="009C2953">
        <w:t>surveillance de</w:t>
      </w:r>
      <w:r w:rsidR="00F34644" w:rsidRPr="009C2953">
        <w:t xml:space="preserve"> la </w:t>
      </w:r>
      <w:r w:rsidR="00607B78" w:rsidRPr="009C2953">
        <w:t>biodiversité et</w:t>
      </w:r>
      <w:r w:rsidR="00D24DC1" w:rsidRPr="009C2953">
        <w:t xml:space="preserve"> 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dans</w:t>
      </w:r>
      <w:r w:rsidR="00F34644" w:rsidRPr="009C2953">
        <w:t xml:space="preserve"> les </w:t>
      </w:r>
      <w:r w:rsidR="00607B78" w:rsidRPr="009C2953">
        <w:t>systèmes terrestres, d</w:t>
      </w:r>
      <w:r w:rsidR="00EA2966" w:rsidRPr="009C2953">
        <w:t>’</w:t>
      </w:r>
      <w:r w:rsidR="00607B78" w:rsidRPr="009C2953">
        <w:t>eau douce et marins. L</w:t>
      </w:r>
      <w:r w:rsidR="00EA2966" w:rsidRPr="009C2953">
        <w:t>’</w:t>
      </w:r>
      <w:r w:rsidR="00607B78" w:rsidRPr="009C2953">
        <w:t>équipe sera composée de personnes issues d</w:t>
      </w:r>
      <w:r w:rsidR="00EA2966" w:rsidRPr="009C2953">
        <w:t>’</w:t>
      </w:r>
      <w:r w:rsidR="00607B78" w:rsidRPr="009C2953">
        <w:t>horizons divers (milieu universitaire, pouvoirs publics, société civile) et de différentes disciplines (écologie, évolution,</w:t>
      </w:r>
      <w:r w:rsidR="006B3AAB" w:rsidRPr="009C2953">
        <w:t> </w:t>
      </w:r>
      <w:r w:rsidR="00607B78" w:rsidRPr="009C2953">
        <w:t>sciences sociales, économie, statistiques et modélisation de</w:t>
      </w:r>
      <w:r w:rsidR="00F34644" w:rsidRPr="009C2953">
        <w:t xml:space="preserve"> la </w:t>
      </w:r>
      <w:r w:rsidR="00607B78" w:rsidRPr="009C2953">
        <w:t>biodiversité). L</w:t>
      </w:r>
      <w:r w:rsidR="00EA2966" w:rsidRPr="009C2953">
        <w:t>’</w:t>
      </w:r>
      <w:r w:rsidR="00607B78" w:rsidRPr="009C2953">
        <w:t>équipe d</w:t>
      </w:r>
      <w:r w:rsidR="00EA2966" w:rsidRPr="009C2953">
        <w:t>’</w:t>
      </w:r>
      <w:r w:rsidR="00607B78" w:rsidRPr="009C2953">
        <w:t>expertes et d</w:t>
      </w:r>
      <w:r w:rsidR="00EA2966" w:rsidRPr="009C2953">
        <w:t>’</w:t>
      </w:r>
      <w:r w:rsidR="00607B78" w:rsidRPr="009C2953">
        <w:t>experts interdisciplinaire s</w:t>
      </w:r>
      <w:r w:rsidR="00EA2966" w:rsidRPr="009C2953">
        <w:t>’</w:t>
      </w:r>
      <w:r w:rsidR="00607B78" w:rsidRPr="009C2953">
        <w:t>appuiera sur</w:t>
      </w:r>
      <w:r w:rsidR="00F34644" w:rsidRPr="009C2953">
        <w:t xml:space="preserve"> les </w:t>
      </w:r>
      <w:r w:rsidR="00607B78" w:rsidRPr="009C2953">
        <w:t>connaissances provenant de diverses sources (par exemple, connaissances et compétences en sciences naturelles et sociales, connaissances</w:t>
      </w:r>
      <w:r w:rsidR="00D24DC1" w:rsidRPr="009C2953">
        <w:t xml:space="preserve"> </w:t>
      </w:r>
      <w:r w:rsidR="00D24DC1" w:rsidRPr="009C2953">
        <w:lastRenderedPageBreak/>
        <w:t>des </w:t>
      </w:r>
      <w:r w:rsidR="00607B78" w:rsidRPr="009C2953">
        <w:t>institutions et programmes de surveillance nationaux et internationaux concernés, programmes de</w:t>
      </w:r>
      <w:r w:rsidR="006B3AAB" w:rsidRPr="009C2953">
        <w:t> </w:t>
      </w:r>
      <w:r w:rsidR="00607B78" w:rsidRPr="009C2953">
        <w:t>surveillance autochtones, initiatives de science participative et systèmes d</w:t>
      </w:r>
      <w:r w:rsidR="00EA2966" w:rsidRPr="009C2953">
        <w:t>’</w:t>
      </w:r>
      <w:r w:rsidR="00607B78" w:rsidRPr="009C2953">
        <w:t>observation mondiaux).</w:t>
      </w:r>
    </w:p>
    <w:p w14:paraId="2ACDFE99" w14:textId="0A1163A2" w:rsidR="00607B78" w:rsidRPr="009C2953" w:rsidRDefault="00AA2EBA" w:rsidP="00AA2EBA">
      <w:pPr>
        <w:pStyle w:val="NormalNonumber"/>
      </w:pPr>
      <w:r w:rsidRPr="009C2953">
        <w:t>17.</w:t>
      </w:r>
      <w:r w:rsidRPr="009C2953">
        <w:tab/>
      </w:r>
      <w:r w:rsidR="00607B78" w:rsidRPr="009C2953">
        <w:t>La collaboration entre</w:t>
      </w:r>
      <w:r w:rsidR="00F34644" w:rsidRPr="009C2953">
        <w:t xml:space="preserve"> les </w:t>
      </w:r>
      <w:r w:rsidR="00607B78" w:rsidRPr="009C2953">
        <w:t>expert(e)s chargé(e)s de l</w:t>
      </w:r>
      <w:r w:rsidR="00EA2966" w:rsidRPr="009C2953">
        <w:t>’</w:t>
      </w:r>
      <w:r w:rsidR="00607B78" w:rsidRPr="009C2953">
        <w:t>évaluation,</w:t>
      </w:r>
      <w:r w:rsidR="00F34644" w:rsidRPr="009C2953">
        <w:t xml:space="preserve"> les </w:t>
      </w:r>
      <w:r w:rsidR="00607B78" w:rsidRPr="009C2953">
        <w:t>équipes spéciales et</w:t>
      </w:r>
      <w:r w:rsidR="00F34644" w:rsidRPr="009C2953">
        <w:t xml:space="preserve"> les </w:t>
      </w:r>
      <w:r w:rsidR="00607B78" w:rsidRPr="009C2953">
        <w:t>groupes d</w:t>
      </w:r>
      <w:r w:rsidR="00EA2966" w:rsidRPr="009C2953">
        <w:t>’</w:t>
      </w:r>
      <w:r w:rsidR="00607B78" w:rsidRPr="009C2953">
        <w:t>appui technique concernés permettra de réaliser</w:t>
      </w:r>
      <w:r w:rsidR="00F34644" w:rsidRPr="009C2953">
        <w:t xml:space="preserve"> les </w:t>
      </w:r>
      <w:r w:rsidR="00607B78" w:rsidRPr="009C2953">
        <w:t>objectifs suivants du programme de</w:t>
      </w:r>
      <w:r w:rsidR="00D24DC1" w:rsidRPr="009C2953">
        <w:t> </w:t>
      </w:r>
      <w:r w:rsidR="00607B78" w:rsidRPr="009C2953">
        <w:t>travail glissant de l</w:t>
      </w:r>
      <w:r w:rsidR="00EA2966" w:rsidRPr="009C2953">
        <w:t>’</w:t>
      </w:r>
      <w:r w:rsidR="00607B78" w:rsidRPr="009C2953">
        <w:t>IPBES pour</w:t>
      </w:r>
      <w:r w:rsidR="00F34644" w:rsidRPr="009C2953">
        <w:t xml:space="preserve"> la </w:t>
      </w:r>
      <w:r w:rsidR="00607B78" w:rsidRPr="009C2953">
        <w:t>période allant jusqu</w:t>
      </w:r>
      <w:r w:rsidR="00EA2966" w:rsidRPr="009C2953">
        <w:t>’</w:t>
      </w:r>
      <w:r w:rsidR="00607B78" w:rsidRPr="009C2953">
        <w:t>en 2030</w:t>
      </w:r>
      <w:r w:rsidR="00607B78" w:rsidRPr="009C2953">
        <w:rPr>
          <w:rStyle w:val="FootnoteReference"/>
        </w:rPr>
        <w:footnoteReference w:id="17"/>
      </w:r>
      <w:r w:rsidR="00607B78" w:rsidRPr="009C2953">
        <w:t> : l</w:t>
      </w:r>
      <w:r w:rsidR="00EA2966" w:rsidRPr="009C2953">
        <w:t>’</w:t>
      </w:r>
      <w:r w:rsidR="00607B78" w:rsidRPr="009C2953">
        <w:t>objectif 2 sur</w:t>
      </w:r>
      <w:r w:rsidR="00F34644" w:rsidRPr="009C2953">
        <w:t xml:space="preserve"> le </w:t>
      </w:r>
      <w:r w:rsidR="00607B78" w:rsidRPr="009C2953">
        <w:t>renforcement</w:t>
      </w:r>
      <w:r w:rsidR="00D24DC1" w:rsidRPr="009C2953">
        <w:t xml:space="preserve"> des </w:t>
      </w:r>
      <w:r w:rsidR="00607B78" w:rsidRPr="009C2953">
        <w:t>capacités ; l</w:t>
      </w:r>
      <w:r w:rsidR="00EA2966" w:rsidRPr="009C2953">
        <w:t>’</w:t>
      </w:r>
      <w:r w:rsidR="00607B78" w:rsidRPr="009C2953">
        <w:t>objectif 3 sur</w:t>
      </w:r>
      <w:r w:rsidR="00F34644" w:rsidRPr="009C2953">
        <w:t xml:space="preserve"> la </w:t>
      </w:r>
      <w:r w:rsidR="00607B78" w:rsidRPr="009C2953">
        <w:t>consolidation de</w:t>
      </w:r>
      <w:r w:rsidR="00F34644" w:rsidRPr="009C2953">
        <w:t xml:space="preserve"> la </w:t>
      </w:r>
      <w:r w:rsidR="00607B78" w:rsidRPr="009C2953">
        <w:t>base de connaissances,</w:t>
      </w:r>
      <w:r w:rsidR="00F34644" w:rsidRPr="009C2953">
        <w:t xml:space="preserve"> y </w:t>
      </w:r>
      <w:r w:rsidR="00607B78" w:rsidRPr="009C2953">
        <w:t>compris l</w:t>
      </w:r>
      <w:r w:rsidR="00EA2966" w:rsidRPr="009C2953">
        <w:t>’</w:t>
      </w:r>
      <w:r w:rsidR="00607B78" w:rsidRPr="009C2953">
        <w:t>objectif 3 a) sur</w:t>
      </w:r>
      <w:r w:rsidR="00F34644" w:rsidRPr="009C2953">
        <w:t xml:space="preserve"> les </w:t>
      </w:r>
      <w:r w:rsidR="00607B78" w:rsidRPr="009C2953">
        <w:t>travaux avancés sur</w:t>
      </w:r>
      <w:r w:rsidR="00F34644" w:rsidRPr="009C2953">
        <w:t xml:space="preserve"> les </w:t>
      </w:r>
      <w:r w:rsidR="00607B78" w:rsidRPr="009C2953">
        <w:t>connaissances et</w:t>
      </w:r>
      <w:r w:rsidR="00F34644" w:rsidRPr="009C2953">
        <w:t xml:space="preserve"> les </w:t>
      </w:r>
      <w:r w:rsidR="00607B78" w:rsidRPr="009C2953">
        <w:t>données et l</w:t>
      </w:r>
      <w:r w:rsidR="00EA2966" w:rsidRPr="009C2953">
        <w:t>’</w:t>
      </w:r>
      <w:r w:rsidR="00607B78" w:rsidRPr="009C2953">
        <w:t>objectif 3 b) sur</w:t>
      </w:r>
      <w:r w:rsidR="00F34644" w:rsidRPr="009C2953">
        <w:t xml:space="preserve"> la </w:t>
      </w:r>
      <w:r w:rsidR="00607B78" w:rsidRPr="009C2953">
        <w:t>reconnaissance et</w:t>
      </w:r>
      <w:r w:rsidR="009D6C80" w:rsidRPr="009C2953">
        <w:t> </w:t>
      </w:r>
      <w:r w:rsidR="00607B78" w:rsidRPr="009C2953">
        <w:t>l</w:t>
      </w:r>
      <w:r w:rsidR="00EA2966" w:rsidRPr="009C2953">
        <w:t>’</w:t>
      </w:r>
      <w:r w:rsidR="00607B78" w:rsidRPr="009C2953">
        <w:t>utilisation améliorées</w:t>
      </w:r>
      <w:r w:rsidR="00D24DC1" w:rsidRPr="009C2953">
        <w:t xml:space="preserve"> des </w:t>
      </w:r>
      <w:r w:rsidR="00607B78" w:rsidRPr="009C2953">
        <w:t>systèmes de savoirs autochtones et locaux ; et l</w:t>
      </w:r>
      <w:r w:rsidR="00EA2966" w:rsidRPr="009C2953">
        <w:t>’</w:t>
      </w:r>
      <w:r w:rsidR="00607B78" w:rsidRPr="009C2953">
        <w:t>objectif 4 sur l</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w:t>
      </w:r>
      <w:r w:rsidR="00F34644" w:rsidRPr="009C2953">
        <w:t xml:space="preserve"> y </w:t>
      </w:r>
      <w:r w:rsidR="00607B78" w:rsidRPr="009C2953">
        <w:t>compris l</w:t>
      </w:r>
      <w:r w:rsidR="00EA2966" w:rsidRPr="009C2953">
        <w:t>’</w:t>
      </w:r>
      <w:r w:rsidR="00607B78" w:rsidRPr="009C2953">
        <w:t>objectif 4 a) sur</w:t>
      </w:r>
      <w:r w:rsidR="00F34644" w:rsidRPr="009C2953">
        <w:t xml:space="preserve"> les </w:t>
      </w:r>
      <w:r w:rsidR="00607B78" w:rsidRPr="009C2953">
        <w:t>travaux avancés sur</w:t>
      </w:r>
      <w:r w:rsidR="00F34644" w:rsidRPr="009C2953">
        <w:t xml:space="preserve"> les </w:t>
      </w:r>
      <w:r w:rsidR="00607B78" w:rsidRPr="009C2953">
        <w:t>moyens d</w:t>
      </w:r>
      <w:r w:rsidR="00EA2966" w:rsidRPr="009C2953">
        <w:t>’</w:t>
      </w:r>
      <w:r w:rsidR="00607B78" w:rsidRPr="009C2953">
        <w:t>action,</w:t>
      </w:r>
      <w:r w:rsidR="00F34644" w:rsidRPr="009C2953">
        <w:t xml:space="preserve"> les </w:t>
      </w:r>
      <w:r w:rsidR="00607B78" w:rsidRPr="009C2953">
        <w:t xml:space="preserve">outils </w:t>
      </w:r>
      <w:r w:rsidR="006E6BE6" w:rsidRPr="009C2953">
        <w:t xml:space="preserve">et méthodes </w:t>
      </w:r>
      <w:r w:rsidR="00607B78" w:rsidRPr="009C2953">
        <w:t>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et l</w:t>
      </w:r>
      <w:r w:rsidR="00EA2966" w:rsidRPr="009C2953">
        <w:t>’</w:t>
      </w:r>
      <w:r w:rsidR="00607B78" w:rsidRPr="009C2953">
        <w:t>objectif 4 b) sur</w:t>
      </w:r>
      <w:r w:rsidR="00F34644" w:rsidRPr="009C2953">
        <w:t xml:space="preserve"> les </w:t>
      </w:r>
      <w:r w:rsidR="00607B78" w:rsidRPr="009C2953">
        <w:t>travaux avancés sur</w:t>
      </w:r>
      <w:r w:rsidR="00F34644" w:rsidRPr="009C2953">
        <w:t xml:space="preserve"> les </w:t>
      </w:r>
      <w:r w:rsidR="00607B78" w:rsidRPr="009C2953">
        <w:t>scénarios et modèles de</w:t>
      </w:r>
      <w:r w:rsidR="00F34644" w:rsidRPr="009C2953">
        <w:t xml:space="preserve"> la </w:t>
      </w:r>
      <w:r w:rsidR="00607B78" w:rsidRPr="009C2953">
        <w:t>biodiversité et</w:t>
      </w:r>
      <w:r w:rsidR="00D24DC1" w:rsidRPr="009C2953">
        <w:t xml:space="preserve"> des </w:t>
      </w:r>
      <w:r w:rsidR="00607B78" w:rsidRPr="009C2953">
        <w:t>fonctions et services écosystémiques.</w:t>
      </w:r>
    </w:p>
    <w:p w14:paraId="3BACF0B9" w14:textId="77777777" w:rsidR="00607B78" w:rsidRPr="009C2953" w:rsidRDefault="00607B78" w:rsidP="00607B78">
      <w:pPr>
        <w:pStyle w:val="CH1"/>
      </w:pPr>
      <w:r w:rsidRPr="009C2953">
        <w:tab/>
        <w:t>II.</w:t>
      </w:r>
      <w:r w:rsidRPr="009C2953">
        <w:tab/>
        <w:t>Plan du chapitre</w:t>
      </w:r>
    </w:p>
    <w:p w14:paraId="749BCB6F" w14:textId="2433DA5F" w:rsidR="00607B78" w:rsidRPr="009C2953" w:rsidRDefault="00E52D9A" w:rsidP="00E52D9A">
      <w:pPr>
        <w:pStyle w:val="NormalNonumber"/>
      </w:pPr>
      <w:r w:rsidRPr="009C2953">
        <w:rPr>
          <w:bCs/>
        </w:rPr>
        <w:t>18.</w:t>
      </w:r>
      <w:r w:rsidRPr="009C2953">
        <w:rPr>
          <w:bCs/>
        </w:rPr>
        <w:tab/>
      </w:r>
      <w:r w:rsidR="00607B78" w:rsidRPr="009C2953">
        <w:rPr>
          <w:b/>
        </w:rPr>
        <w:t>Chapitre 1. Planter</w:t>
      </w:r>
      <w:r w:rsidR="00F34644" w:rsidRPr="009C2953">
        <w:rPr>
          <w:b/>
        </w:rPr>
        <w:t xml:space="preserve"> le </w:t>
      </w:r>
      <w:r w:rsidR="00607B78" w:rsidRPr="009C2953">
        <w:rPr>
          <w:b/>
        </w:rPr>
        <w:t>décor</w:t>
      </w:r>
      <w:r w:rsidR="00607B78" w:rsidRPr="009C2953">
        <w:t xml:space="preserve"> (</w:t>
      </w:r>
      <w:r w:rsidR="00607B78" w:rsidRPr="009C2953">
        <w:rPr>
          <w:i/>
        </w:rPr>
        <w:t>longueur suggérée : 10 000 mots</w:t>
      </w:r>
      <w:r w:rsidR="00607B78" w:rsidRPr="009C2953">
        <w:t>).</w:t>
      </w:r>
      <w:r w:rsidR="00F34644" w:rsidRPr="009C2953">
        <w:t xml:space="preserve"> Le </w:t>
      </w:r>
      <w:r w:rsidR="00607B78" w:rsidRPr="009C2953">
        <w:t>chapitre 1 définira</w:t>
      </w:r>
      <w:r w:rsidR="00F34644" w:rsidRPr="009C2953">
        <w:t xml:space="preserve"> le </w:t>
      </w:r>
      <w:r w:rsidR="00607B78" w:rsidRPr="009C2953">
        <w:t>but de l</w:t>
      </w:r>
      <w:r w:rsidR="00EA2966" w:rsidRPr="009C2953">
        <w:t>’</w:t>
      </w:r>
      <w:r w:rsidR="00607B78" w:rsidRPr="009C2953">
        <w:t>évaluation et</w:t>
      </w:r>
      <w:r w:rsidR="00F34644" w:rsidRPr="009C2953">
        <w:t xml:space="preserve"> les </w:t>
      </w:r>
      <w:r w:rsidR="00607B78" w:rsidRPr="009C2953">
        <w:t>publics ciblés. Il décrira</w:t>
      </w:r>
      <w:r w:rsidR="00F34644" w:rsidRPr="009C2953">
        <w:t xml:space="preserve"> les </w:t>
      </w:r>
      <w:r w:rsidR="00607B78" w:rsidRPr="009C2953">
        <w:t>besoins auxquels l</w:t>
      </w:r>
      <w:r w:rsidR="00EA2966" w:rsidRPr="009C2953">
        <w:t>’</w:t>
      </w:r>
      <w:r w:rsidR="00607B78" w:rsidRPr="009C2953">
        <w:t>évaluation est censée répondre ainsi que</w:t>
      </w:r>
      <w:r w:rsidR="00F34644" w:rsidRPr="009C2953">
        <w:t xml:space="preserve"> les </w:t>
      </w:r>
      <w:r w:rsidR="00607B78" w:rsidRPr="009C2953">
        <w:t>groupes de personnes dont</w:t>
      </w:r>
      <w:r w:rsidR="00F34644" w:rsidRPr="009C2953">
        <w:t xml:space="preserve"> les </w:t>
      </w:r>
      <w:r w:rsidR="00607B78" w:rsidRPr="009C2953">
        <w:t>besoins sont pris en compte, et exposera</w:t>
      </w:r>
      <w:r w:rsidR="00F34644" w:rsidRPr="009C2953">
        <w:t xml:space="preserve"> le </w:t>
      </w:r>
      <w:r w:rsidR="00607B78" w:rsidRPr="009C2953">
        <w:t>plan prévu à cet</w:t>
      </w:r>
      <w:r w:rsidR="009D6C80" w:rsidRPr="009C2953">
        <w:t> </w:t>
      </w:r>
      <w:r w:rsidR="00607B78" w:rsidRPr="009C2953">
        <w:t>effet. Il présentera</w:t>
      </w:r>
      <w:r w:rsidR="00F34644" w:rsidRPr="009C2953">
        <w:t xml:space="preserve"> les </w:t>
      </w:r>
      <w:r w:rsidR="00607B78" w:rsidRPr="009C2953">
        <w:t>questions qui seront évaluées dans</w:t>
      </w:r>
      <w:r w:rsidR="00F34644" w:rsidRPr="009C2953">
        <w:t xml:space="preserve"> les </w:t>
      </w:r>
      <w:r w:rsidR="00607B78" w:rsidRPr="009C2953">
        <w:t>chapitres suivants.</w:t>
      </w:r>
    </w:p>
    <w:p w14:paraId="17D8668D" w14:textId="75C91593" w:rsidR="00607B78" w:rsidRPr="009C2953" w:rsidRDefault="004E2BF9" w:rsidP="004E2BF9">
      <w:pPr>
        <w:pStyle w:val="NormalNonumber"/>
      </w:pPr>
      <w:r w:rsidRPr="009C2953">
        <w:t>19.</w:t>
      </w:r>
      <w:r w:rsidRPr="009C2953">
        <w:tab/>
      </w:r>
      <w:r w:rsidR="00607B78" w:rsidRPr="009C2953">
        <w:t>Le chapitre 1 présentera</w:t>
      </w:r>
      <w:r w:rsidR="00F34644" w:rsidRPr="009C2953">
        <w:t xml:space="preserve"> les </w:t>
      </w:r>
      <w:r w:rsidR="00607B78" w:rsidRPr="009C2953">
        <w:t>liens entre l</w:t>
      </w:r>
      <w:r w:rsidR="00EA2966" w:rsidRPr="009C2953">
        <w:t>’</w:t>
      </w:r>
      <w:r w:rsidR="00607B78" w:rsidRPr="009C2953">
        <w:t>évaluation et</w:t>
      </w:r>
      <w:r w:rsidR="00F34644" w:rsidRPr="009C2953">
        <w:t xml:space="preserve"> le </w:t>
      </w:r>
      <w:r w:rsidR="00607B78" w:rsidRPr="009C2953">
        <w:t>cadre conceptuel de</w:t>
      </w:r>
      <w:r w:rsidR="00F34644" w:rsidRPr="009C2953">
        <w:t xml:space="preserve"> la </w:t>
      </w:r>
      <w:r w:rsidR="00607B78" w:rsidRPr="009C2953">
        <w:t>Plateforme et,</w:t>
      </w:r>
      <w:r w:rsidR="00D24DC1" w:rsidRPr="009C2953">
        <w:t> </w:t>
      </w:r>
      <w:r w:rsidR="00607B78" w:rsidRPr="009C2953">
        <w:t>en particulier,</w:t>
      </w:r>
      <w:r w:rsidR="00F34644" w:rsidRPr="009C2953">
        <w:t xml:space="preserve"> la </w:t>
      </w:r>
      <w:r w:rsidR="00607B78" w:rsidRPr="009C2953">
        <w:t>manière dont</w:t>
      </w:r>
      <w:r w:rsidR="00F34644" w:rsidRPr="009C2953">
        <w:t xml:space="preserve"> le </w:t>
      </w:r>
      <w:r w:rsidR="00607B78" w:rsidRPr="009C2953">
        <w:t>rapport répondra</w:t>
      </w:r>
      <w:r w:rsidR="00F34644" w:rsidRPr="009C2953">
        <w:t xml:space="preserve"> aux </w:t>
      </w:r>
      <w:r w:rsidR="00607B78" w:rsidRPr="009C2953">
        <w:t>exigences en matière de surveillance de</w:t>
      </w:r>
      <w:r w:rsidR="00F34644" w:rsidRPr="009C2953">
        <w:t xml:space="preserve"> la </w:t>
      </w:r>
      <w:r w:rsidR="00607B78" w:rsidRPr="009C2953">
        <w:t>nature, de ses contributions</w:t>
      </w:r>
      <w:r w:rsidR="00F34644" w:rsidRPr="009C2953">
        <w:t xml:space="preserve"> aux </w:t>
      </w:r>
      <w:r w:rsidR="00607B78" w:rsidRPr="009C2953">
        <w:t>populations et</w:t>
      </w:r>
      <w:r w:rsidR="00D24DC1" w:rsidRPr="009C2953">
        <w:t xml:space="preserve"> des </w:t>
      </w:r>
      <w:r w:rsidR="00607B78" w:rsidRPr="009C2953">
        <w:t>causes directes et sous-jacentes</w:t>
      </w:r>
      <w:r w:rsidR="00D24DC1" w:rsidRPr="009C2953">
        <w:t xml:space="preserve"> des </w:t>
      </w:r>
      <w:r w:rsidR="00607B78" w:rsidRPr="009C2953">
        <w:t>changements observés. Il expliquera comment l</w:t>
      </w:r>
      <w:r w:rsidR="00EA2966" w:rsidRPr="009C2953">
        <w:t>’</w:t>
      </w:r>
      <w:r w:rsidR="00607B78" w:rsidRPr="009C2953">
        <w:t>évaluation appuiera l</w:t>
      </w:r>
      <w:r w:rsidR="00EA2966" w:rsidRPr="009C2953">
        <w:t>’</w:t>
      </w:r>
      <w:r w:rsidR="00607B78" w:rsidRPr="009C2953">
        <w:t>application du cadre de suivi du Cadre mondial de</w:t>
      </w:r>
      <w:r w:rsidR="00F34644" w:rsidRPr="009C2953">
        <w:t xml:space="preserve"> la </w:t>
      </w:r>
      <w:r w:rsidR="00607B78" w:rsidRPr="009C2953">
        <w:t>biodiversité de Kunming</w:t>
      </w:r>
      <w:r w:rsidR="00607B78" w:rsidRPr="009C2953">
        <w:noBreakHyphen/>
        <w:t>Montréal, tel qu</w:t>
      </w:r>
      <w:r w:rsidR="00EA2966" w:rsidRPr="009C2953">
        <w:t>’</w:t>
      </w:r>
      <w:r w:rsidR="00607B78" w:rsidRPr="009C2953">
        <w:t>adopté par</w:t>
      </w:r>
      <w:r w:rsidR="00F34644" w:rsidRPr="009C2953">
        <w:t xml:space="preserve"> la </w:t>
      </w:r>
      <w:r w:rsidR="00607B78" w:rsidRPr="009C2953">
        <w:t>Convention sur</w:t>
      </w:r>
      <w:r w:rsidR="00F34644" w:rsidRPr="009C2953">
        <w:t xml:space="preserve"> la </w:t>
      </w:r>
      <w:r w:rsidR="00607B78" w:rsidRPr="009C2953">
        <w:t>diversité biologique dans</w:t>
      </w:r>
      <w:r w:rsidR="00F34644" w:rsidRPr="009C2953">
        <w:t xml:space="preserve"> la </w:t>
      </w:r>
      <w:r w:rsidR="00607B78" w:rsidRPr="009C2953">
        <w:t>décision 15/5, afin de soutenir</w:t>
      </w:r>
      <w:r w:rsidR="00F34644" w:rsidRPr="009C2953">
        <w:t xml:space="preserve"> la </w:t>
      </w:r>
      <w:r w:rsidR="00607B78" w:rsidRPr="009C2953">
        <w:t>réalisation</w:t>
      </w:r>
      <w:r w:rsidR="00D24DC1" w:rsidRPr="009C2953">
        <w:t xml:space="preserve"> des </w:t>
      </w:r>
      <w:r w:rsidR="00607B78" w:rsidRPr="009C2953">
        <w:t>objectifs et cibles du Cadre, du</w:t>
      </w:r>
      <w:r w:rsidR="001E0AF8" w:rsidRPr="009C2953">
        <w:t> </w:t>
      </w:r>
      <w:r w:rsidR="006829F0" w:rsidRPr="009C2953">
        <w:t>P</w:t>
      </w:r>
      <w:r w:rsidR="00607B78" w:rsidRPr="009C2953">
        <w:t>rogramme de développement durable à l</w:t>
      </w:r>
      <w:r w:rsidR="00EA2966" w:rsidRPr="009C2953">
        <w:t>’</w:t>
      </w:r>
      <w:r w:rsidR="00607B78" w:rsidRPr="009C2953">
        <w:t xml:space="preserve">horizon 2030 </w:t>
      </w:r>
      <w:r w:rsidR="007A16AF" w:rsidRPr="009C2953">
        <w:t>et de</w:t>
      </w:r>
      <w:r w:rsidR="006829F0" w:rsidRPr="009C2953">
        <w:t xml:space="preserve"> se</w:t>
      </w:r>
      <w:r w:rsidR="007A16AF" w:rsidRPr="009C2953">
        <w:t xml:space="preserve">s objectifs de développement durable, </w:t>
      </w:r>
      <w:r w:rsidR="00A45977" w:rsidRPr="009C2953">
        <w:t>ainsi que</w:t>
      </w:r>
      <w:r w:rsidR="00D24DC1" w:rsidRPr="009C2953">
        <w:t xml:space="preserve"> des </w:t>
      </w:r>
      <w:r w:rsidR="00A45977" w:rsidRPr="009C2953">
        <w:t>objectifs d</w:t>
      </w:r>
      <w:r w:rsidR="00EA2966" w:rsidRPr="009C2953">
        <w:t>’</w:t>
      </w:r>
      <w:r w:rsidR="00A45977" w:rsidRPr="009C2953">
        <w:t xml:space="preserve">autres </w:t>
      </w:r>
      <w:r w:rsidR="006829F0" w:rsidRPr="009C2953">
        <w:t>processus et initiatives au titre</w:t>
      </w:r>
      <w:r w:rsidR="00D24DC1" w:rsidRPr="009C2953">
        <w:t xml:space="preserve"> des </w:t>
      </w:r>
      <w:r w:rsidR="006829F0" w:rsidRPr="009C2953">
        <w:t>accords multilatéraux sur</w:t>
      </w:r>
      <w:r w:rsidRPr="009C2953">
        <w:t> </w:t>
      </w:r>
      <w:r w:rsidR="006829F0" w:rsidRPr="009C2953">
        <w:t>l</w:t>
      </w:r>
      <w:r w:rsidR="00EA2966" w:rsidRPr="009C2953">
        <w:t>’</w:t>
      </w:r>
      <w:r w:rsidR="006829F0" w:rsidRPr="009C2953">
        <w:t>environnement concernés, en particuliers ceux</w:t>
      </w:r>
      <w:r w:rsidR="00D24DC1" w:rsidRPr="009C2953">
        <w:t xml:space="preserve"> des </w:t>
      </w:r>
      <w:r w:rsidR="00607B78" w:rsidRPr="009C2953">
        <w:t>conventions relatives à</w:t>
      </w:r>
      <w:r w:rsidR="00F34644" w:rsidRPr="009C2953">
        <w:t xml:space="preserve"> la </w:t>
      </w:r>
      <w:r w:rsidR="00607B78" w:rsidRPr="009C2953">
        <w:t>biodiversité.</w:t>
      </w:r>
    </w:p>
    <w:p w14:paraId="63E2E133" w14:textId="0FF576D0" w:rsidR="00607B78" w:rsidRPr="009C2953" w:rsidRDefault="004E2BF9" w:rsidP="004E2BF9">
      <w:pPr>
        <w:pStyle w:val="NormalNonumber"/>
      </w:pPr>
      <w:r w:rsidRPr="009C2953">
        <w:rPr>
          <w:bCs/>
        </w:rPr>
        <w:t>20.</w:t>
      </w:r>
      <w:r w:rsidRPr="009C2953">
        <w:rPr>
          <w:bCs/>
        </w:rPr>
        <w:tab/>
      </w:r>
      <w:r w:rsidR="00607B78" w:rsidRPr="009C2953">
        <w:rPr>
          <w:b/>
        </w:rPr>
        <w:t>Chapitre 2. Évaluer</w:t>
      </w:r>
      <w:r w:rsidR="00F34644" w:rsidRPr="009C2953">
        <w:rPr>
          <w:b/>
        </w:rPr>
        <w:t xml:space="preserve"> les </w:t>
      </w:r>
      <w:r w:rsidR="00607B78" w:rsidRPr="009C2953">
        <w:rPr>
          <w:b/>
        </w:rPr>
        <w:t>besoins en matière de données</w:t>
      </w:r>
      <w:r w:rsidR="00607B78" w:rsidRPr="009C2953">
        <w:t xml:space="preserve"> (</w:t>
      </w:r>
      <w:r w:rsidR="00607B78" w:rsidRPr="009C2953">
        <w:rPr>
          <w:i/>
        </w:rPr>
        <w:t>longueur suggérée : 15 000 mots</w:t>
      </w:r>
      <w:r w:rsidR="00607B78" w:rsidRPr="009C2953">
        <w:t>).</w:t>
      </w:r>
      <w:r w:rsidR="00F34644" w:rsidRPr="009C2953">
        <w:t xml:space="preserve"> Le </w:t>
      </w:r>
      <w:r w:rsidR="00607B78" w:rsidRPr="009C2953">
        <w:t>chapitre 2 évaluera</w:t>
      </w:r>
      <w:r w:rsidR="00F34644" w:rsidRPr="009C2953">
        <w:t xml:space="preserve"> les </w:t>
      </w:r>
      <w:r w:rsidR="00607B78" w:rsidRPr="009C2953">
        <w:t>besoins en matière de données, indicateurs et modèles auxquels il faudra répondre pour étayer</w:t>
      </w:r>
      <w:r w:rsidR="00F34644" w:rsidRPr="009C2953">
        <w:t xml:space="preserve"> les </w:t>
      </w:r>
      <w:r w:rsidR="00607B78" w:rsidRPr="009C2953">
        <w:t>actions requises par</w:t>
      </w:r>
      <w:r w:rsidR="00F34644" w:rsidRPr="009C2953">
        <w:t xml:space="preserve"> les </w:t>
      </w:r>
      <w:r w:rsidR="00607B78" w:rsidRPr="009C2953">
        <w:t>objectifs et cibles du Cadre mondial de</w:t>
      </w:r>
      <w:r w:rsidR="00F34644" w:rsidRPr="009C2953">
        <w:t xml:space="preserve"> la </w:t>
      </w:r>
      <w:r w:rsidR="00607B78" w:rsidRPr="009C2953">
        <w:t>biodiversité de Kunming-Montréal.</w:t>
      </w:r>
      <w:r w:rsidR="00F34644" w:rsidRPr="009C2953">
        <w:t xml:space="preserve"> La </w:t>
      </w:r>
      <w:r w:rsidR="00607B78" w:rsidRPr="009C2953">
        <w:t>priorité sera donnée à l</w:t>
      </w:r>
      <w:r w:rsidR="00EA2966" w:rsidRPr="009C2953">
        <w:t>’</w:t>
      </w:r>
      <w:r w:rsidR="00607B78" w:rsidRPr="009C2953">
        <w:t>évaluation</w:t>
      </w:r>
      <w:r w:rsidR="00D24DC1" w:rsidRPr="009C2953">
        <w:t xml:space="preserve"> des </w:t>
      </w:r>
      <w:r w:rsidR="00607B78" w:rsidRPr="009C2953">
        <w:t>besoins concernant</w:t>
      </w:r>
      <w:r w:rsidR="00F34644" w:rsidRPr="009C2953">
        <w:t xml:space="preserve"> les </w:t>
      </w:r>
      <w:r w:rsidR="00607B78" w:rsidRPr="009C2953">
        <w:t>données nécessaires</w:t>
      </w:r>
      <w:r w:rsidR="00F34644" w:rsidRPr="009C2953">
        <w:t xml:space="preserve"> aux </w:t>
      </w:r>
      <w:r w:rsidR="00607B78" w:rsidRPr="009C2953">
        <w:t>fins</w:t>
      </w:r>
      <w:r w:rsidR="00D24DC1" w:rsidRPr="009C2953">
        <w:t xml:space="preserve"> des </w:t>
      </w:r>
      <w:r w:rsidR="00607B78" w:rsidRPr="009C2953">
        <w:t>indicateurs phares et, si possible,</w:t>
      </w:r>
      <w:r w:rsidR="00F34644" w:rsidRPr="009C2953">
        <w:t xml:space="preserve"> aux </w:t>
      </w:r>
      <w:r w:rsidR="00607B78" w:rsidRPr="009C2953">
        <w:t>fins</w:t>
      </w:r>
      <w:r w:rsidR="00D24DC1" w:rsidRPr="009C2953">
        <w:t xml:space="preserve"> des </w:t>
      </w:r>
      <w:r w:rsidR="00607B78" w:rsidRPr="009C2953">
        <w:t>autres indicateurs du cadre de</w:t>
      </w:r>
      <w:r w:rsidR="001E0AF8" w:rsidRPr="009C2953">
        <w:t> </w:t>
      </w:r>
      <w:r w:rsidR="00607B78" w:rsidRPr="009C2953">
        <w:t>suivi. On s</w:t>
      </w:r>
      <w:r w:rsidR="00EA2966" w:rsidRPr="009C2953">
        <w:t>’</w:t>
      </w:r>
      <w:r w:rsidR="00607B78" w:rsidRPr="009C2953">
        <w:t>attachera également à résoudre en priorité</w:t>
      </w:r>
      <w:r w:rsidR="00F34644" w:rsidRPr="009C2953">
        <w:t xml:space="preserve"> les </w:t>
      </w:r>
      <w:r w:rsidR="00607B78" w:rsidRPr="009C2953">
        <w:t>problèmes de méthodologie, notamment l</w:t>
      </w:r>
      <w:r w:rsidR="00EA2966" w:rsidRPr="009C2953">
        <w:t>’</w:t>
      </w:r>
      <w:r w:rsidR="00607B78" w:rsidRPr="009C2953">
        <w:t>agrégation</w:t>
      </w:r>
      <w:r w:rsidR="00D24DC1" w:rsidRPr="009C2953">
        <w:t xml:space="preserve"> des </w:t>
      </w:r>
      <w:r w:rsidR="00607B78" w:rsidRPr="009C2953">
        <w:t>données nationales au sein d</w:t>
      </w:r>
      <w:r w:rsidR="00EA2966" w:rsidRPr="009C2953">
        <w:t>’</w:t>
      </w:r>
      <w:r w:rsidR="00607B78" w:rsidRPr="009C2953">
        <w:t>indicateurs globaux et</w:t>
      </w:r>
      <w:r w:rsidR="00F34644" w:rsidRPr="009C2953">
        <w:t xml:space="preserve"> la </w:t>
      </w:r>
      <w:r w:rsidR="00607B78" w:rsidRPr="009C2953">
        <w:t>désagrégation</w:t>
      </w:r>
      <w:r w:rsidR="00D24DC1" w:rsidRPr="009C2953">
        <w:t xml:space="preserve"> des </w:t>
      </w:r>
      <w:r w:rsidR="00607B78" w:rsidRPr="009C2953">
        <w:t>indicateurs globaux.</w:t>
      </w:r>
    </w:p>
    <w:p w14:paraId="11E6414A" w14:textId="48543D14" w:rsidR="00607B78" w:rsidRPr="009C2953" w:rsidRDefault="004E2BF9" w:rsidP="004E2BF9">
      <w:pPr>
        <w:pStyle w:val="NormalNonumber"/>
      </w:pPr>
      <w:r w:rsidRPr="009C2953">
        <w:t>21.</w:t>
      </w:r>
      <w:r w:rsidRPr="009C2953">
        <w:tab/>
      </w:r>
      <w:r w:rsidR="00607B78" w:rsidRPr="009C2953">
        <w:t>Le chapitre 2 examinera également d</w:t>
      </w:r>
      <w:r w:rsidR="00EA2966" w:rsidRPr="009C2953">
        <w:t>’</w:t>
      </w:r>
      <w:r w:rsidR="00607B78" w:rsidRPr="009C2953">
        <w:t>autres besoins éventuels en matière de surveillance scientifique de</w:t>
      </w:r>
      <w:r w:rsidR="00F34644" w:rsidRPr="009C2953">
        <w:t xml:space="preserve"> la </w:t>
      </w:r>
      <w:r w:rsidR="00607B78" w:rsidRPr="009C2953">
        <w:t>biodiversité, ainsi que</w:t>
      </w:r>
      <w:r w:rsidR="00F34644" w:rsidRPr="009C2953">
        <w:t xml:space="preserve"> les </w:t>
      </w:r>
      <w:r w:rsidR="00607B78" w:rsidRPr="009C2953">
        <w:t>besoins d</w:t>
      </w:r>
      <w:r w:rsidR="00EA2966" w:rsidRPr="009C2953">
        <w:t>’</w:t>
      </w:r>
      <w:r w:rsidR="00607B78" w:rsidRPr="009C2953">
        <w:t>autres disciplines scientifiques et</w:t>
      </w:r>
      <w:r w:rsidR="00D24DC1" w:rsidRPr="009C2953">
        <w:t xml:space="preserve"> des </w:t>
      </w:r>
      <w:r w:rsidR="00607B78" w:rsidRPr="009C2953">
        <w:t>différents systèmes de connaissances, tels que ceux</w:t>
      </w:r>
      <w:r w:rsidR="00D24DC1" w:rsidRPr="009C2953">
        <w:t xml:space="preserve"> des </w:t>
      </w:r>
      <w:r w:rsidR="00607B78" w:rsidRPr="009C2953">
        <w:t>peuples autochtones et</w:t>
      </w:r>
      <w:r w:rsidR="00D24DC1" w:rsidRPr="009C2953">
        <w:t xml:space="preserve"> des </w:t>
      </w:r>
      <w:r w:rsidR="00607B78" w:rsidRPr="009C2953">
        <w:t>communautés locales, afin de</w:t>
      </w:r>
      <w:r w:rsidR="001E0AF8" w:rsidRPr="009C2953">
        <w:t> </w:t>
      </w:r>
      <w:r w:rsidR="00607B78" w:rsidRPr="009C2953">
        <w:t>soutenir l</w:t>
      </w:r>
      <w:r w:rsidR="00EA2966" w:rsidRPr="009C2953">
        <w:t>’</w:t>
      </w:r>
      <w:r w:rsidR="00607B78" w:rsidRPr="009C2953">
        <w:t>application</w:t>
      </w:r>
      <w:r w:rsidR="00D24DC1" w:rsidRPr="009C2953">
        <w:t xml:space="preserve"> des </w:t>
      </w:r>
      <w:r w:rsidR="00607B78" w:rsidRPr="009C2953">
        <w:t>indicateurs destinés à orienter, selon qu</w:t>
      </w:r>
      <w:r w:rsidR="00EA2966" w:rsidRPr="009C2953">
        <w:t>’</w:t>
      </w:r>
      <w:r w:rsidR="00607B78" w:rsidRPr="009C2953">
        <w:t>il conviendra, l</w:t>
      </w:r>
      <w:r w:rsidR="00EA2966" w:rsidRPr="009C2953">
        <w:t>’</w:t>
      </w:r>
      <w:r w:rsidR="00607B78" w:rsidRPr="009C2953">
        <w:t>élaboration de politiques,</w:t>
      </w:r>
      <w:r w:rsidR="00F34644" w:rsidRPr="009C2953">
        <w:t xml:space="preserve"> la </w:t>
      </w:r>
      <w:r w:rsidR="00607B78" w:rsidRPr="009C2953">
        <w:t>prise de décisions et</w:t>
      </w:r>
      <w:r w:rsidR="00F34644" w:rsidRPr="009C2953">
        <w:t xml:space="preserve"> la </w:t>
      </w:r>
      <w:r w:rsidR="00607B78" w:rsidRPr="009C2953">
        <w:t>planification, du niveau local au niveau national.</w:t>
      </w:r>
    </w:p>
    <w:p w14:paraId="49636C9A" w14:textId="03A7F85D" w:rsidR="00607B78" w:rsidRPr="009C2953" w:rsidRDefault="004E2BF9" w:rsidP="004E2BF9">
      <w:pPr>
        <w:pStyle w:val="NormalNonumber"/>
      </w:pPr>
      <w:r w:rsidRPr="009C2953">
        <w:rPr>
          <w:bCs/>
        </w:rPr>
        <w:t>22.</w:t>
      </w:r>
      <w:r w:rsidRPr="009C2953">
        <w:rPr>
          <w:bCs/>
        </w:rPr>
        <w:tab/>
      </w:r>
      <w:r w:rsidR="00607B78" w:rsidRPr="009C2953">
        <w:rPr>
          <w:b/>
        </w:rPr>
        <w:t>Chapitre 3. Analyser</w:t>
      </w:r>
      <w:r w:rsidR="00F34644" w:rsidRPr="009C2953">
        <w:rPr>
          <w:b/>
        </w:rPr>
        <w:t xml:space="preserve"> les </w:t>
      </w:r>
      <w:r w:rsidR="00607B78" w:rsidRPr="009C2953">
        <w:rPr>
          <w:b/>
        </w:rPr>
        <w:t>défis à relever en matière de surveillance de</w:t>
      </w:r>
      <w:r w:rsidR="00F34644" w:rsidRPr="009C2953">
        <w:rPr>
          <w:b/>
        </w:rPr>
        <w:t xml:space="preserve"> la </w:t>
      </w:r>
      <w:r w:rsidR="00607B78" w:rsidRPr="009C2953">
        <w:rPr>
          <w:b/>
        </w:rPr>
        <w:t>biodiversité afin</w:t>
      </w:r>
      <w:r w:rsidR="00375021" w:rsidRPr="009C2953">
        <w:rPr>
          <w:b/>
        </w:rPr>
        <w:t xml:space="preserve"> </w:t>
      </w:r>
      <w:r w:rsidR="00607B78" w:rsidRPr="009C2953">
        <w:rPr>
          <w:b/>
        </w:rPr>
        <w:t>de répondre</w:t>
      </w:r>
      <w:r w:rsidR="00F34644" w:rsidRPr="009C2953">
        <w:rPr>
          <w:b/>
        </w:rPr>
        <w:t xml:space="preserve"> aux </w:t>
      </w:r>
      <w:r w:rsidR="00607B78" w:rsidRPr="009C2953">
        <w:rPr>
          <w:b/>
        </w:rPr>
        <w:t>besoins</w:t>
      </w:r>
      <w:r w:rsidR="00607B78" w:rsidRPr="009C2953">
        <w:t xml:space="preserve"> </w:t>
      </w:r>
      <w:r w:rsidR="00607B78" w:rsidRPr="009C2953">
        <w:rPr>
          <w:i/>
        </w:rPr>
        <w:t>(longueur suggérée : 15 000 mots</w:t>
      </w:r>
      <w:r w:rsidR="00607B78" w:rsidRPr="009C2953">
        <w:t>).</w:t>
      </w:r>
      <w:r w:rsidR="00F34644" w:rsidRPr="009C2953">
        <w:t xml:space="preserve"> Le </w:t>
      </w:r>
      <w:r w:rsidR="00607B78" w:rsidRPr="009C2953">
        <w:t>chapitre 3 évaluera</w:t>
      </w:r>
      <w:r w:rsidR="00F34644" w:rsidRPr="009C2953">
        <w:t xml:space="preserve"> les </w:t>
      </w:r>
      <w:r w:rsidR="00607B78" w:rsidRPr="009C2953">
        <w:t>données actuellement générées et</w:t>
      </w:r>
      <w:r w:rsidR="00F34644" w:rsidRPr="009C2953">
        <w:t xml:space="preserve"> les </w:t>
      </w:r>
      <w:r w:rsidR="00607B78" w:rsidRPr="009C2953">
        <w:t>systèmes qui recueillent et mobilisent ces données. Il vérifiera dans quelle</w:t>
      </w:r>
      <w:r w:rsidR="00E9054F" w:rsidRPr="009C2953">
        <w:t> </w:t>
      </w:r>
      <w:r w:rsidR="00607B78" w:rsidRPr="009C2953">
        <w:t>mesure</w:t>
      </w:r>
      <w:r w:rsidR="00F34644" w:rsidRPr="009C2953">
        <w:t xml:space="preserve"> les </w:t>
      </w:r>
      <w:r w:rsidR="00607B78" w:rsidRPr="009C2953">
        <w:t>données sont faciles à trouver, accessibles, interopérables et réutilisables et évaluera</w:t>
      </w:r>
      <w:r w:rsidR="00F34644" w:rsidRPr="009C2953">
        <w:t xml:space="preserve"> leur </w:t>
      </w:r>
      <w:r w:rsidR="00607B78" w:rsidRPr="009C2953">
        <w:t>couverture géographique et taxonomique, ainsi que</w:t>
      </w:r>
      <w:r w:rsidR="00F34644" w:rsidRPr="009C2953">
        <w:t xml:space="preserve"> les </w:t>
      </w:r>
      <w:r w:rsidR="00607B78" w:rsidRPr="009C2953">
        <w:t>lacunes et</w:t>
      </w:r>
      <w:r w:rsidR="00F34644" w:rsidRPr="009C2953">
        <w:t xml:space="preserve"> les </w:t>
      </w:r>
      <w:r w:rsidR="00607B78" w:rsidRPr="009C2953">
        <w:t>biais qu</w:t>
      </w:r>
      <w:r w:rsidR="00EA2966" w:rsidRPr="009C2953">
        <w:t>’</w:t>
      </w:r>
      <w:r w:rsidR="00607B78" w:rsidRPr="009C2953">
        <w:t>elles présentent.</w:t>
      </w:r>
      <w:r w:rsidR="00F34644" w:rsidRPr="009C2953">
        <w:t xml:space="preserve"> Le </w:t>
      </w:r>
      <w:r w:rsidR="00607B78" w:rsidRPr="009C2953">
        <w:t>chapitre 3 évaluera également</w:t>
      </w:r>
      <w:r w:rsidR="00F34644" w:rsidRPr="009C2953">
        <w:t xml:space="preserve"> les </w:t>
      </w:r>
      <w:r w:rsidR="00607B78" w:rsidRPr="009C2953">
        <w:t>capacités actuelles de suivi de</w:t>
      </w:r>
      <w:r w:rsidR="00F34644" w:rsidRPr="009C2953">
        <w:t xml:space="preserve"> la </w:t>
      </w:r>
      <w:r w:rsidR="00607B78" w:rsidRPr="009C2953">
        <w:t>biodiversité ainsi que</w:t>
      </w:r>
      <w:r w:rsidR="00F34644" w:rsidRPr="009C2953">
        <w:t xml:space="preserve"> les </w:t>
      </w:r>
      <w:r w:rsidR="00607B78" w:rsidRPr="009C2953">
        <w:t>moyens et</w:t>
      </w:r>
      <w:r w:rsidR="00F34644" w:rsidRPr="009C2953">
        <w:t xml:space="preserve"> les </w:t>
      </w:r>
      <w:r w:rsidR="00607B78" w:rsidRPr="009C2953">
        <w:t>infrastructures disponibles à cet effet,</w:t>
      </w:r>
      <w:r w:rsidR="00F34644" w:rsidRPr="009C2953">
        <w:t xml:space="preserve"> y </w:t>
      </w:r>
      <w:r w:rsidR="00607B78" w:rsidRPr="009C2953">
        <w:t>compris</w:t>
      </w:r>
      <w:r w:rsidR="00F34644" w:rsidRPr="009C2953">
        <w:t xml:space="preserve"> les </w:t>
      </w:r>
      <w:r w:rsidR="00607B78" w:rsidRPr="009C2953">
        <w:t>capacités in situ et de télédétection,</w:t>
      </w:r>
      <w:r w:rsidR="00F34644" w:rsidRPr="009C2953">
        <w:t xml:space="preserve"> le </w:t>
      </w:r>
      <w:r w:rsidR="00607B78" w:rsidRPr="009C2953">
        <w:t>soutien institutionnel,</w:t>
      </w:r>
      <w:r w:rsidR="00F34644" w:rsidRPr="009C2953">
        <w:t xml:space="preserve"> les </w:t>
      </w:r>
      <w:r w:rsidR="00607B78" w:rsidRPr="009C2953">
        <w:t>structures de gouvernance et</w:t>
      </w:r>
      <w:r w:rsidR="00F34644" w:rsidRPr="009C2953">
        <w:t xml:space="preserve"> les </w:t>
      </w:r>
      <w:r w:rsidR="00607B78" w:rsidRPr="009C2953">
        <w:t>sources de financement. Il</w:t>
      </w:r>
      <w:r w:rsidR="00E9054F" w:rsidRPr="009C2953">
        <w:t> </w:t>
      </w:r>
      <w:r w:rsidR="00607B78" w:rsidRPr="009C2953">
        <w:t>analysera l</w:t>
      </w:r>
      <w:r w:rsidR="00EA2966" w:rsidRPr="009C2953">
        <w:t>’</w:t>
      </w:r>
      <w:r w:rsidR="00607B78" w:rsidRPr="009C2953">
        <w:t>impact</w:t>
      </w:r>
      <w:r w:rsidR="00D24DC1" w:rsidRPr="009C2953">
        <w:t xml:space="preserve"> des </w:t>
      </w:r>
      <w:r w:rsidR="00607B78" w:rsidRPr="009C2953">
        <w:t>moyens mis en œuvre dans</w:t>
      </w:r>
      <w:r w:rsidR="00F34644" w:rsidRPr="009C2953">
        <w:t xml:space="preserve"> les </w:t>
      </w:r>
      <w:r w:rsidR="00607B78" w:rsidRPr="009C2953">
        <w:t>pays en développement à l</w:t>
      </w:r>
      <w:r w:rsidR="00EA2966" w:rsidRPr="009C2953">
        <w:t>’</w:t>
      </w:r>
      <w:r w:rsidR="00607B78" w:rsidRPr="009C2953">
        <w:t>appui de l</w:t>
      </w:r>
      <w:r w:rsidR="00EA2966" w:rsidRPr="009C2953">
        <w:t>’</w:t>
      </w:r>
      <w:r w:rsidR="00607B78" w:rsidRPr="009C2953">
        <w:t>application de</w:t>
      </w:r>
      <w:r w:rsidR="00F34644" w:rsidRPr="009C2953">
        <w:t xml:space="preserve"> la </w:t>
      </w:r>
      <w:r w:rsidR="00607B78" w:rsidRPr="009C2953">
        <w:t>décision 15/4 de</w:t>
      </w:r>
      <w:r w:rsidR="00F34644" w:rsidRPr="009C2953">
        <w:t xml:space="preserve"> la </w:t>
      </w:r>
      <w:r w:rsidR="00607B78" w:rsidRPr="009C2953">
        <w:t>Convention sur</w:t>
      </w:r>
      <w:r w:rsidR="00F34644" w:rsidRPr="009C2953">
        <w:t xml:space="preserve"> la </w:t>
      </w:r>
      <w:r w:rsidR="00607B78" w:rsidRPr="009C2953">
        <w:t>diversité biologique et</w:t>
      </w:r>
      <w:r w:rsidR="00D24DC1" w:rsidRPr="009C2953">
        <w:t xml:space="preserve"> des </w:t>
      </w:r>
      <w:r w:rsidR="00607B78" w:rsidRPr="009C2953">
        <w:t>dispositions connexes. Il évaluera</w:t>
      </w:r>
      <w:r w:rsidR="00F34644" w:rsidRPr="009C2953">
        <w:t xml:space="preserve"> la </w:t>
      </w:r>
      <w:r w:rsidR="00607B78" w:rsidRPr="009C2953">
        <w:t>mise en œuvre</w:t>
      </w:r>
      <w:r w:rsidR="00D24DC1" w:rsidRPr="009C2953">
        <w:t xml:space="preserve"> des </w:t>
      </w:r>
      <w:r w:rsidR="00607B78" w:rsidRPr="009C2953">
        <w:t>systèmes locaux de suivi et d</w:t>
      </w:r>
      <w:r w:rsidR="00EA2966" w:rsidRPr="009C2953">
        <w:t>’</w:t>
      </w:r>
      <w:r w:rsidR="00607B78" w:rsidRPr="009C2953">
        <w:t>information,</w:t>
      </w:r>
      <w:r w:rsidR="00F34644" w:rsidRPr="009C2953">
        <w:t xml:space="preserve"> y </w:t>
      </w:r>
      <w:r w:rsidR="00607B78" w:rsidRPr="009C2953">
        <w:t>compris</w:t>
      </w:r>
      <w:r w:rsidR="00F34644" w:rsidRPr="009C2953">
        <w:t xml:space="preserve"> le </w:t>
      </w:r>
      <w:r w:rsidR="00607B78" w:rsidRPr="009C2953">
        <w:t>rôle de l</w:t>
      </w:r>
      <w:r w:rsidR="00EA2966" w:rsidRPr="009C2953">
        <w:t>’</w:t>
      </w:r>
      <w:r w:rsidR="00607B78" w:rsidRPr="009C2953">
        <w:t>action collective</w:t>
      </w:r>
      <w:r w:rsidR="00D24DC1" w:rsidRPr="009C2953">
        <w:t xml:space="preserve"> des </w:t>
      </w:r>
      <w:r w:rsidR="00607B78" w:rsidRPr="009C2953">
        <w:t>peuples autochtones et</w:t>
      </w:r>
      <w:r w:rsidR="00D24DC1" w:rsidRPr="009C2953">
        <w:t xml:space="preserve"> des </w:t>
      </w:r>
      <w:r w:rsidR="00607B78" w:rsidRPr="009C2953">
        <w:t>communautés locales, et se penchera sur</w:t>
      </w:r>
      <w:r w:rsidR="00D24DC1" w:rsidRPr="009C2953">
        <w:t> </w:t>
      </w:r>
      <w:r w:rsidR="00F34644" w:rsidRPr="009C2953">
        <w:t>la </w:t>
      </w:r>
      <w:r w:rsidR="00607B78" w:rsidRPr="009C2953">
        <w:t>manière de</w:t>
      </w:r>
      <w:r w:rsidR="00F34644" w:rsidRPr="009C2953">
        <w:t xml:space="preserve"> les </w:t>
      </w:r>
      <w:r w:rsidR="00607B78" w:rsidRPr="009C2953">
        <w:t>transposer à</w:t>
      </w:r>
      <w:r w:rsidR="00F34644" w:rsidRPr="009C2953">
        <w:t xml:space="preserve"> une </w:t>
      </w:r>
      <w:r w:rsidR="00607B78" w:rsidRPr="009C2953">
        <w:t>plus grande échelle.</w:t>
      </w:r>
    </w:p>
    <w:p w14:paraId="064A3D0B" w14:textId="6E9FEC75" w:rsidR="00607B78" w:rsidRPr="009C2953" w:rsidRDefault="00375021" w:rsidP="000D47E2">
      <w:pPr>
        <w:pStyle w:val="NormalNonumber"/>
      </w:pPr>
      <w:r w:rsidRPr="009C2953">
        <w:t>23.</w:t>
      </w:r>
      <w:r w:rsidRPr="009C2953">
        <w:tab/>
      </w:r>
      <w:r w:rsidR="00607B78" w:rsidRPr="009C2953">
        <w:t>Le chapitre 3 mettra en évidence</w:t>
      </w:r>
      <w:r w:rsidR="00F34644" w:rsidRPr="009C2953">
        <w:t xml:space="preserve"> les </w:t>
      </w:r>
      <w:r w:rsidR="00607B78" w:rsidRPr="009C2953">
        <w:t>principaux problèmes de cohérence entre</w:t>
      </w:r>
      <w:r w:rsidR="00F34644" w:rsidRPr="009C2953">
        <w:t xml:space="preserve"> les </w:t>
      </w:r>
      <w:r w:rsidR="00607B78" w:rsidRPr="009C2953">
        <w:t>systèmes existants, tels que</w:t>
      </w:r>
      <w:r w:rsidR="00F34644" w:rsidRPr="009C2953">
        <w:t xml:space="preserve"> les </w:t>
      </w:r>
      <w:r w:rsidR="00607B78" w:rsidRPr="009C2953">
        <w:t>incompatibilités dans</w:t>
      </w:r>
      <w:r w:rsidR="00F34644" w:rsidRPr="009C2953">
        <w:t xml:space="preserve"> la </w:t>
      </w:r>
      <w:r w:rsidR="00607B78" w:rsidRPr="009C2953">
        <w:t>structure</w:t>
      </w:r>
      <w:r w:rsidR="00D24DC1" w:rsidRPr="009C2953">
        <w:t xml:space="preserve"> des </w:t>
      </w:r>
      <w:r w:rsidR="00607B78" w:rsidRPr="009C2953">
        <w:t>données, qui empêchent l</w:t>
      </w:r>
      <w:r w:rsidR="00EA2966" w:rsidRPr="009C2953">
        <w:t>’</w:t>
      </w:r>
      <w:r w:rsidR="00607B78" w:rsidRPr="009C2953">
        <w:t>agrégation</w:t>
      </w:r>
      <w:r w:rsidR="00D24DC1" w:rsidRPr="009C2953">
        <w:t xml:space="preserve"> des </w:t>
      </w:r>
      <w:r w:rsidR="00607B78" w:rsidRPr="009C2953">
        <w:t>indicateurs locaux et nationaux au sein d</w:t>
      </w:r>
      <w:r w:rsidR="00EA2966" w:rsidRPr="009C2953">
        <w:t>’</w:t>
      </w:r>
      <w:r w:rsidR="00607B78" w:rsidRPr="009C2953">
        <w:t>indicateurs mondiaux. Il examinera également</w:t>
      </w:r>
      <w:r w:rsidR="00F34644" w:rsidRPr="009C2953">
        <w:t xml:space="preserve"> </w:t>
      </w:r>
      <w:r w:rsidR="00F34644" w:rsidRPr="009C2953">
        <w:lastRenderedPageBreak/>
        <w:t>les </w:t>
      </w:r>
      <w:r w:rsidR="00607B78" w:rsidRPr="009C2953">
        <w:t>lacunes en matière de couverture taxonomique, géographique et temporelle, en tenant compte</w:t>
      </w:r>
      <w:r w:rsidR="00D24DC1" w:rsidRPr="009C2953">
        <w:t xml:space="preserve"> des </w:t>
      </w:r>
      <w:r w:rsidR="00607B78" w:rsidRPr="009C2953">
        <w:t>difficultés particulières rencontrées par</w:t>
      </w:r>
      <w:r w:rsidR="00F34644" w:rsidRPr="009C2953">
        <w:t xml:space="preserve"> les </w:t>
      </w:r>
      <w:r w:rsidR="00607B78" w:rsidRPr="009C2953">
        <w:t>pays en développement.</w:t>
      </w:r>
    </w:p>
    <w:p w14:paraId="69149474" w14:textId="7EE25DFF" w:rsidR="00607B78" w:rsidRPr="009C2953" w:rsidRDefault="00E85C9E" w:rsidP="00E85C9E">
      <w:pPr>
        <w:pStyle w:val="NormalNonumber"/>
      </w:pPr>
      <w:r w:rsidRPr="009C2953">
        <w:rPr>
          <w:bCs/>
        </w:rPr>
        <w:t>24.</w:t>
      </w:r>
      <w:r w:rsidRPr="009C2953">
        <w:rPr>
          <w:bCs/>
        </w:rPr>
        <w:tab/>
      </w:r>
      <w:r w:rsidR="00607B78" w:rsidRPr="009C2953">
        <w:rPr>
          <w:b/>
        </w:rPr>
        <w:t xml:space="preserve">Chapitre 4. </w:t>
      </w:r>
      <w:r w:rsidR="006A365E" w:rsidRPr="009C2953">
        <w:rPr>
          <w:b/>
        </w:rPr>
        <w:t xml:space="preserve">Options </w:t>
      </w:r>
      <w:r w:rsidR="00607B78" w:rsidRPr="009C2953">
        <w:rPr>
          <w:b/>
        </w:rPr>
        <w:t>pour renforcer</w:t>
      </w:r>
      <w:r w:rsidR="00F34644" w:rsidRPr="009C2953">
        <w:rPr>
          <w:b/>
        </w:rPr>
        <w:t xml:space="preserve"> la </w:t>
      </w:r>
      <w:r w:rsidR="00607B78" w:rsidRPr="009C2953">
        <w:rPr>
          <w:b/>
        </w:rPr>
        <w:t>capacité de surveillance de</w:t>
      </w:r>
      <w:r w:rsidR="00F34644" w:rsidRPr="009C2953">
        <w:rPr>
          <w:b/>
        </w:rPr>
        <w:t xml:space="preserve"> la </w:t>
      </w:r>
      <w:r w:rsidR="00607B78" w:rsidRPr="009C2953">
        <w:rPr>
          <w:b/>
        </w:rPr>
        <w:t>biodiversité dans</w:t>
      </w:r>
      <w:r w:rsidR="00F34644" w:rsidRPr="009C2953">
        <w:rPr>
          <w:b/>
        </w:rPr>
        <w:t xml:space="preserve"> le </w:t>
      </w:r>
      <w:r w:rsidR="00607B78" w:rsidRPr="009C2953">
        <w:rPr>
          <w:b/>
        </w:rPr>
        <w:t>monde</w:t>
      </w:r>
      <w:r w:rsidR="00607B78" w:rsidRPr="009C2953">
        <w:t xml:space="preserve"> </w:t>
      </w:r>
      <w:r w:rsidR="00607B78" w:rsidRPr="009C2953">
        <w:rPr>
          <w:i/>
        </w:rPr>
        <w:t>(longueur suggérée : 20 000 mots</w:t>
      </w:r>
      <w:r w:rsidR="00607B78" w:rsidRPr="009C2953">
        <w:t>).</w:t>
      </w:r>
      <w:r w:rsidR="00F34644" w:rsidRPr="009C2953">
        <w:t xml:space="preserve"> Le </w:t>
      </w:r>
      <w:r w:rsidR="00607B78" w:rsidRPr="009C2953">
        <w:t>chapitre 4 évaluera</w:t>
      </w:r>
      <w:r w:rsidR="00F34644" w:rsidRPr="009C2953">
        <w:t xml:space="preserve"> les </w:t>
      </w:r>
      <w:r w:rsidR="00607B78" w:rsidRPr="009C2953">
        <w:t>possibilités d</w:t>
      </w:r>
      <w:r w:rsidR="00EA2966" w:rsidRPr="009C2953">
        <w:t>’</w:t>
      </w:r>
      <w:r w:rsidR="00607B78" w:rsidRPr="009C2953">
        <w:t>action visant à</w:t>
      </w:r>
      <w:r w:rsidR="009214D4" w:rsidRPr="009C2953">
        <w:t> </w:t>
      </w:r>
      <w:r w:rsidR="00607B78" w:rsidRPr="009C2953">
        <w:t>favoriser et renforcer</w:t>
      </w:r>
      <w:r w:rsidR="00F34644" w:rsidRPr="009C2953">
        <w:t xml:space="preserve"> les </w:t>
      </w:r>
      <w:r w:rsidR="00607B78" w:rsidRPr="009C2953">
        <w:t>capacités de surveillance à long terme.</w:t>
      </w:r>
    </w:p>
    <w:p w14:paraId="55900E97" w14:textId="617698F2" w:rsidR="00607B78" w:rsidRPr="009C2953" w:rsidRDefault="00E85C9E" w:rsidP="00E85C9E">
      <w:pPr>
        <w:pStyle w:val="NormalNonumber"/>
      </w:pPr>
      <w:r w:rsidRPr="009C2953">
        <w:t>25.</w:t>
      </w:r>
      <w:r w:rsidRPr="009C2953">
        <w:tab/>
      </w:r>
      <w:r w:rsidR="00607B78" w:rsidRPr="009C2953">
        <w:t>Le chapitre 4 analysera</w:t>
      </w:r>
      <w:r w:rsidR="00F34644" w:rsidRPr="009C2953">
        <w:t xml:space="preserve"> les </w:t>
      </w:r>
      <w:r w:rsidR="00607B78" w:rsidRPr="009C2953">
        <w:t>ressources financières, institutionnelles, humaines et en matière de</w:t>
      </w:r>
      <w:r w:rsidR="009214D4" w:rsidRPr="009C2953">
        <w:t> </w:t>
      </w:r>
      <w:r w:rsidR="00607B78" w:rsidRPr="009C2953">
        <w:t>capacités nécessaires à l</w:t>
      </w:r>
      <w:r w:rsidR="00EA2966" w:rsidRPr="009C2953">
        <w:t>’</w:t>
      </w:r>
      <w:r w:rsidR="00607B78" w:rsidRPr="009C2953">
        <w:t>établissement ou au renforcement de projets et programmes de suivi nationaux et infranationaux durables et à long terme,</w:t>
      </w:r>
      <w:r w:rsidR="00F34644" w:rsidRPr="009C2953">
        <w:t xml:space="preserve"> y </w:t>
      </w:r>
      <w:r w:rsidR="00607B78" w:rsidRPr="009C2953">
        <w:t>compris ceux menés par</w:t>
      </w:r>
      <w:r w:rsidR="00F34644" w:rsidRPr="009C2953">
        <w:t xml:space="preserve"> les </w:t>
      </w:r>
      <w:r w:rsidR="00607B78" w:rsidRPr="009C2953">
        <w:t>peuples autochtones et</w:t>
      </w:r>
      <w:r w:rsidR="00F34644" w:rsidRPr="009C2953">
        <w:t xml:space="preserve"> les </w:t>
      </w:r>
      <w:r w:rsidR="00607B78" w:rsidRPr="009C2953">
        <w:t>communautés locales, ainsi que</w:t>
      </w:r>
      <w:r w:rsidR="00F34644" w:rsidRPr="009C2953">
        <w:t xml:space="preserve"> les </w:t>
      </w:r>
      <w:r w:rsidR="00607B78" w:rsidRPr="009C2953">
        <w:t>options envisagées pour</w:t>
      </w:r>
      <w:r w:rsidR="00F34644" w:rsidRPr="009C2953">
        <w:t xml:space="preserve"> les </w:t>
      </w:r>
      <w:r w:rsidR="00607B78" w:rsidRPr="009C2953">
        <w:t>fournir, en</w:t>
      </w:r>
      <w:r w:rsidRPr="009C2953">
        <w:t> </w:t>
      </w:r>
      <w:r w:rsidR="00607B78" w:rsidRPr="009C2953">
        <w:t>tenant</w:t>
      </w:r>
      <w:r w:rsidR="00D51FB5" w:rsidRPr="009C2953">
        <w:t> </w:t>
      </w:r>
      <w:r w:rsidR="00607B78" w:rsidRPr="009C2953">
        <w:t>compte de</w:t>
      </w:r>
      <w:r w:rsidR="00F34644" w:rsidRPr="009C2953">
        <w:t xml:space="preserve"> la </w:t>
      </w:r>
      <w:r w:rsidR="00607B78" w:rsidRPr="009C2953">
        <w:t>situation</w:t>
      </w:r>
      <w:r w:rsidR="00D24DC1" w:rsidRPr="009C2953">
        <w:t xml:space="preserve"> des </w:t>
      </w:r>
      <w:r w:rsidR="00607B78" w:rsidRPr="009C2953">
        <w:t>pays en développement. Il explorera</w:t>
      </w:r>
      <w:r w:rsidR="00F34644" w:rsidRPr="009C2953">
        <w:t xml:space="preserve"> les </w:t>
      </w:r>
      <w:r w:rsidR="00607B78" w:rsidRPr="009C2953">
        <w:t>possibilités offertes par</w:t>
      </w:r>
      <w:r w:rsidR="00D51FB5" w:rsidRPr="009C2953">
        <w:t> </w:t>
      </w:r>
      <w:r w:rsidR="00F34644" w:rsidRPr="009C2953">
        <w:t>les </w:t>
      </w:r>
      <w:r w:rsidR="00607B78" w:rsidRPr="009C2953">
        <w:t>technologies existantes et nouvelles. Il identifiera</w:t>
      </w:r>
      <w:r w:rsidR="00F34644" w:rsidRPr="009C2953">
        <w:t xml:space="preserve"> les </w:t>
      </w:r>
      <w:r w:rsidR="00607B78" w:rsidRPr="009C2953">
        <w:t>moyens d</w:t>
      </w:r>
      <w:r w:rsidR="00EA2966" w:rsidRPr="009C2953">
        <w:t>’</w:t>
      </w:r>
      <w:r w:rsidR="00607B78" w:rsidRPr="009C2953">
        <w:t>intensifier</w:t>
      </w:r>
      <w:r w:rsidR="00F34644" w:rsidRPr="009C2953">
        <w:t xml:space="preserve"> la </w:t>
      </w:r>
      <w:r w:rsidR="00607B78" w:rsidRPr="009C2953">
        <w:t>coopération scientifique et technique,</w:t>
      </w:r>
      <w:r w:rsidR="00F34644" w:rsidRPr="009C2953">
        <w:t xml:space="preserve"> le </w:t>
      </w:r>
      <w:r w:rsidR="00607B78" w:rsidRPr="009C2953">
        <w:t>renforcement</w:t>
      </w:r>
      <w:r w:rsidR="00D24DC1" w:rsidRPr="009C2953">
        <w:t xml:space="preserve"> des </w:t>
      </w:r>
      <w:r w:rsidR="00607B78" w:rsidRPr="009C2953">
        <w:t>capacités et</w:t>
      </w:r>
      <w:r w:rsidR="00F34644" w:rsidRPr="009C2953">
        <w:t xml:space="preserve"> le </w:t>
      </w:r>
      <w:r w:rsidR="00607B78" w:rsidRPr="009C2953">
        <w:t>transfert volontaire de technologies dans</w:t>
      </w:r>
      <w:r w:rsidR="00D51FB5" w:rsidRPr="009C2953">
        <w:t> </w:t>
      </w:r>
      <w:r w:rsidR="00D24DC1" w:rsidRPr="009C2953">
        <w:t>des </w:t>
      </w:r>
      <w:r w:rsidR="00607B78" w:rsidRPr="009C2953">
        <w:t>conditions convenues d</w:t>
      </w:r>
      <w:r w:rsidR="00EA2966" w:rsidRPr="009C2953">
        <w:t>’</w:t>
      </w:r>
      <w:r w:rsidR="00607B78" w:rsidRPr="009C2953">
        <w:t>un commun accord, afin de surmonter</w:t>
      </w:r>
      <w:r w:rsidR="00F34644" w:rsidRPr="009C2953">
        <w:t xml:space="preserve"> les </w:t>
      </w:r>
      <w:r w:rsidR="00607B78" w:rsidRPr="009C2953">
        <w:t>contraintes en matière de</w:t>
      </w:r>
      <w:r w:rsidR="009214D4" w:rsidRPr="009C2953">
        <w:t> </w:t>
      </w:r>
      <w:r w:rsidR="00607B78" w:rsidRPr="009C2953">
        <w:t>capacités et de technologies.</w:t>
      </w:r>
    </w:p>
    <w:p w14:paraId="128C98A4" w14:textId="775AFC7E" w:rsidR="00607B78" w:rsidRPr="009C2953" w:rsidRDefault="0073596A" w:rsidP="0073596A">
      <w:pPr>
        <w:pStyle w:val="NormalNonumber"/>
      </w:pPr>
      <w:r w:rsidRPr="009C2953">
        <w:t>26.</w:t>
      </w:r>
      <w:r w:rsidRPr="009C2953">
        <w:tab/>
      </w:r>
      <w:r w:rsidR="00607B78" w:rsidRPr="009C2953">
        <w:t>Ce chapitre évaluera également</w:t>
      </w:r>
      <w:r w:rsidR="00F34644" w:rsidRPr="009C2953">
        <w:t xml:space="preserve"> les </w:t>
      </w:r>
      <w:r w:rsidR="00607B78" w:rsidRPr="009C2953">
        <w:t>possibilités de renforcer</w:t>
      </w:r>
      <w:r w:rsidR="00F34644" w:rsidRPr="009C2953">
        <w:t xml:space="preserve"> les </w:t>
      </w:r>
      <w:r w:rsidR="00607B78" w:rsidRPr="009C2953">
        <w:t>initiatives de suivi régionales et</w:t>
      </w:r>
      <w:r w:rsidR="009214D4" w:rsidRPr="009C2953">
        <w:t> </w:t>
      </w:r>
      <w:r w:rsidR="00607B78" w:rsidRPr="009C2953">
        <w:t>nationales existantes en matière de collecte, de gestion, d</w:t>
      </w:r>
      <w:r w:rsidR="00EA2966" w:rsidRPr="009C2953">
        <w:t>’</w:t>
      </w:r>
      <w:r w:rsidR="00607B78" w:rsidRPr="009C2953">
        <w:t>analyse et de communication de données</w:t>
      </w:r>
      <w:r w:rsidR="003B2E01" w:rsidRPr="009C2953">
        <w:t xml:space="preserve"> </w:t>
      </w:r>
      <w:r w:rsidR="00607B78" w:rsidRPr="009C2953">
        <w:t>et de tendances relatives à</w:t>
      </w:r>
      <w:r w:rsidR="00F34644" w:rsidRPr="009C2953">
        <w:t xml:space="preserve"> la </w:t>
      </w:r>
      <w:r w:rsidR="00607B78" w:rsidRPr="009C2953">
        <w:t>biodiversité et à</w:t>
      </w:r>
      <w:r w:rsidR="00F34644" w:rsidRPr="009C2953">
        <w:t xml:space="preserve"> la </w:t>
      </w:r>
      <w:r w:rsidR="00607B78" w:rsidRPr="009C2953">
        <w:t>contribution de</w:t>
      </w:r>
      <w:r w:rsidR="00F34644" w:rsidRPr="009C2953">
        <w:t xml:space="preserve"> la </w:t>
      </w:r>
      <w:r w:rsidR="00607B78" w:rsidRPr="009C2953">
        <w:t>nature</w:t>
      </w:r>
      <w:r w:rsidR="00F34644" w:rsidRPr="009C2953">
        <w:t xml:space="preserve"> aux </w:t>
      </w:r>
      <w:r w:rsidR="00607B78" w:rsidRPr="009C2953">
        <w:t>populations,</w:t>
      </w:r>
      <w:r w:rsidR="00F34644" w:rsidRPr="009C2953">
        <w:t xml:space="preserve"> y </w:t>
      </w:r>
      <w:r w:rsidR="00607B78" w:rsidRPr="009C2953">
        <w:t>compris</w:t>
      </w:r>
      <w:r w:rsidR="00D24DC1" w:rsidRPr="009C2953">
        <w:t xml:space="preserve"> des </w:t>
      </w:r>
      <w:r w:rsidR="00607B78" w:rsidRPr="009C2953">
        <w:t>solutions scientifiquement solides permettant d</w:t>
      </w:r>
      <w:r w:rsidR="00EA2966" w:rsidRPr="009C2953">
        <w:t>’</w:t>
      </w:r>
      <w:r w:rsidR="00607B78" w:rsidRPr="009C2953">
        <w:t>accroître</w:t>
      </w:r>
      <w:r w:rsidR="00F34644" w:rsidRPr="009C2953">
        <w:t xml:space="preserve"> la </w:t>
      </w:r>
      <w:r w:rsidR="00607B78" w:rsidRPr="009C2953">
        <w:t>coopération au niveau régional ou</w:t>
      </w:r>
      <w:r w:rsidR="009214D4" w:rsidRPr="009C2953">
        <w:t> </w:t>
      </w:r>
      <w:r w:rsidR="00607B78" w:rsidRPr="009C2953">
        <w:t>international, afin de soutenir</w:t>
      </w:r>
      <w:r w:rsidR="00F34644" w:rsidRPr="009C2953">
        <w:t xml:space="preserve"> la </w:t>
      </w:r>
      <w:r w:rsidR="00607B78" w:rsidRPr="009C2953">
        <w:t>mise en œuvre du Cadre mondial de</w:t>
      </w:r>
      <w:r w:rsidR="00F34644" w:rsidRPr="009C2953">
        <w:t xml:space="preserve"> la </w:t>
      </w:r>
      <w:r w:rsidR="00607B78" w:rsidRPr="009C2953">
        <w:t>biodiversité de</w:t>
      </w:r>
      <w:r w:rsidR="009214D4" w:rsidRPr="009C2953">
        <w:t> </w:t>
      </w:r>
      <w:r w:rsidR="00607B78" w:rsidRPr="009C2953">
        <w:t>Kunming</w:t>
      </w:r>
      <w:r w:rsidR="009214D4" w:rsidRPr="009C2953">
        <w:noBreakHyphen/>
      </w:r>
      <w:r w:rsidR="00607B78" w:rsidRPr="009C2953">
        <w:t>Montréal au niveau national et en faisant appel à</w:t>
      </w:r>
      <w:r w:rsidR="00D24DC1" w:rsidRPr="009C2953">
        <w:t xml:space="preserve"> des </w:t>
      </w:r>
      <w:r w:rsidR="00607B78" w:rsidRPr="009C2953">
        <w:t>stratégies et plans d</w:t>
      </w:r>
      <w:r w:rsidR="00EA2966" w:rsidRPr="009C2953">
        <w:t>’</w:t>
      </w:r>
      <w:r w:rsidR="00607B78" w:rsidRPr="009C2953">
        <w:t>action nationaux pour</w:t>
      </w:r>
      <w:r w:rsidR="00F34644" w:rsidRPr="009C2953">
        <w:t xml:space="preserve"> la </w:t>
      </w:r>
      <w:r w:rsidR="00607B78" w:rsidRPr="009C2953">
        <w:t>biodiversité.</w:t>
      </w:r>
    </w:p>
    <w:p w14:paraId="36C880A1" w14:textId="37009ABF" w:rsidR="00607B78" w:rsidRPr="009C2953" w:rsidRDefault="0073596A" w:rsidP="0073596A">
      <w:pPr>
        <w:pStyle w:val="NormalNonumber"/>
      </w:pPr>
      <w:r w:rsidRPr="009C2953">
        <w:t>27.</w:t>
      </w:r>
      <w:r w:rsidRPr="009C2953">
        <w:tab/>
      </w:r>
      <w:r w:rsidR="00607B78" w:rsidRPr="009C2953">
        <w:t>Ce chapitre étudiera</w:t>
      </w:r>
      <w:r w:rsidR="00F34644" w:rsidRPr="009C2953">
        <w:t xml:space="preserve"> les </w:t>
      </w:r>
      <w:r w:rsidR="00607B78" w:rsidRPr="009C2953">
        <w:t>conditions propices à l</w:t>
      </w:r>
      <w:r w:rsidR="00EA2966" w:rsidRPr="009C2953">
        <w:t>’</w:t>
      </w:r>
      <w:r w:rsidR="00607B78" w:rsidRPr="009C2953">
        <w:t>amélioration</w:t>
      </w:r>
      <w:r w:rsidR="00D24DC1" w:rsidRPr="009C2953">
        <w:t xml:space="preserve"> des </w:t>
      </w:r>
      <w:r w:rsidR="00607B78" w:rsidRPr="009C2953">
        <w:t>méthodes de partage et</w:t>
      </w:r>
      <w:r w:rsidR="009214D4" w:rsidRPr="009C2953">
        <w:t> </w:t>
      </w:r>
      <w:r w:rsidR="00607B78" w:rsidRPr="009C2953">
        <w:t>de</w:t>
      </w:r>
      <w:r w:rsidR="009214D4" w:rsidRPr="009C2953">
        <w:t> </w:t>
      </w:r>
      <w:r w:rsidR="00607B78" w:rsidRPr="009C2953">
        <w:t>normalisation, au renforcement</w:t>
      </w:r>
      <w:r w:rsidR="00D24DC1" w:rsidRPr="009C2953">
        <w:t xml:space="preserve"> des </w:t>
      </w:r>
      <w:r w:rsidR="00607B78" w:rsidRPr="009C2953">
        <w:t>capacités de capture et de numérisation</w:t>
      </w:r>
      <w:r w:rsidR="00D24DC1" w:rsidRPr="009C2953">
        <w:t xml:space="preserve"> des </w:t>
      </w:r>
      <w:r w:rsidR="00607B78" w:rsidRPr="009C2953">
        <w:t>données, ainsi</w:t>
      </w:r>
      <w:r w:rsidR="00E83E6C" w:rsidRPr="009C2953">
        <w:t> </w:t>
      </w:r>
      <w:r w:rsidR="00607B78" w:rsidRPr="009C2953">
        <w:t>qu</w:t>
      </w:r>
      <w:r w:rsidR="00EA2966" w:rsidRPr="009C2953">
        <w:t>’</w:t>
      </w:r>
      <w:r w:rsidR="00607B78" w:rsidRPr="009C2953">
        <w:t>au</w:t>
      </w:r>
      <w:r w:rsidR="009214D4" w:rsidRPr="009C2953">
        <w:t> </w:t>
      </w:r>
      <w:r w:rsidR="00607B78" w:rsidRPr="009C2953">
        <w:t>développement</w:t>
      </w:r>
      <w:r w:rsidR="00D24DC1" w:rsidRPr="009C2953">
        <w:t xml:space="preserve"> des </w:t>
      </w:r>
      <w:r w:rsidR="00607B78" w:rsidRPr="009C2953">
        <w:t>capacités d</w:t>
      </w:r>
      <w:r w:rsidR="00EA2966" w:rsidRPr="009C2953">
        <w:t>’</w:t>
      </w:r>
      <w:r w:rsidR="00607B78" w:rsidRPr="009C2953">
        <w:t>analyse</w:t>
      </w:r>
      <w:r w:rsidR="00D24DC1" w:rsidRPr="009C2953">
        <w:t xml:space="preserve"> des </w:t>
      </w:r>
      <w:r w:rsidR="00607B78" w:rsidRPr="009C2953">
        <w:t>tendances nationales et mondiales, de</w:t>
      </w:r>
      <w:r w:rsidR="00E83E6C" w:rsidRPr="009C2953">
        <w:t> </w:t>
      </w:r>
      <w:r w:rsidR="00607B78" w:rsidRPr="009C2953">
        <w:t>modélisation prédictive et de génération de produits d</w:t>
      </w:r>
      <w:r w:rsidR="00EA2966" w:rsidRPr="009C2953">
        <w:t>’</w:t>
      </w:r>
      <w:r w:rsidR="00607B78" w:rsidRPr="009C2953">
        <w:t>information sur mesure.</w:t>
      </w:r>
    </w:p>
    <w:p w14:paraId="44FB6B0B" w14:textId="6B991ECA" w:rsidR="00607B78" w:rsidRPr="009C2953" w:rsidRDefault="0073596A" w:rsidP="0073596A">
      <w:pPr>
        <w:pStyle w:val="NormalNonumber"/>
      </w:pPr>
      <w:r w:rsidRPr="009C2953">
        <w:t>28.</w:t>
      </w:r>
      <w:r w:rsidRPr="009C2953">
        <w:tab/>
      </w:r>
      <w:r w:rsidR="00607B78" w:rsidRPr="009C2953">
        <w:t>Il s</w:t>
      </w:r>
      <w:r w:rsidR="00EA2966" w:rsidRPr="009C2953">
        <w:t>’</w:t>
      </w:r>
      <w:r w:rsidR="00607B78" w:rsidRPr="009C2953">
        <w:t>agira également d</w:t>
      </w:r>
      <w:r w:rsidR="00EA2966" w:rsidRPr="009C2953">
        <w:t>’</w:t>
      </w:r>
      <w:r w:rsidR="00607B78" w:rsidRPr="009C2953">
        <w:t>évaluer</w:t>
      </w:r>
      <w:r w:rsidR="00F34644" w:rsidRPr="009C2953">
        <w:t xml:space="preserve"> le </w:t>
      </w:r>
      <w:r w:rsidR="00607B78" w:rsidRPr="009C2953">
        <w:t>potentiel</w:t>
      </w:r>
      <w:r w:rsidR="00D24DC1" w:rsidRPr="009C2953">
        <w:t xml:space="preserve"> des </w:t>
      </w:r>
      <w:r w:rsidR="00607B78" w:rsidRPr="009C2953">
        <w:t>différentes options,</w:t>
      </w:r>
      <w:r w:rsidR="00107282" w:rsidRPr="009C2953">
        <w:t xml:space="preserve"> leurs </w:t>
      </w:r>
      <w:r w:rsidR="00607B78" w:rsidRPr="009C2953">
        <w:t>coûts et avantages économiques, ainsi que</w:t>
      </w:r>
      <w:r w:rsidR="00F34644" w:rsidRPr="009C2953">
        <w:t xml:space="preserve"> les </w:t>
      </w:r>
      <w:r w:rsidR="00607B78" w:rsidRPr="009C2953">
        <w:t>exigences méthodologiques, technologiques, institutionnelles et financières</w:t>
      </w:r>
      <w:r w:rsidR="00E83E6C" w:rsidRPr="009C2953">
        <w:t> </w:t>
      </w:r>
      <w:r w:rsidR="00607B78" w:rsidRPr="009C2953">
        <w:t>correspondantes.</w:t>
      </w:r>
    </w:p>
    <w:p w14:paraId="7C465491" w14:textId="77777777" w:rsidR="00607B78" w:rsidRPr="009C2953" w:rsidRDefault="00607B78" w:rsidP="00607B78">
      <w:pPr>
        <w:pStyle w:val="CH1"/>
        <w:rPr>
          <w:sz w:val="20"/>
          <w:szCs w:val="20"/>
        </w:rPr>
      </w:pPr>
      <w:r w:rsidRPr="009C2953">
        <w:tab/>
        <w:t>III.</w:t>
      </w:r>
      <w:r w:rsidRPr="009C2953">
        <w:tab/>
        <w:t>Calendrier</w:t>
      </w:r>
    </w:p>
    <w:tbl>
      <w:tblPr>
        <w:tblW w:w="8307" w:type="dxa"/>
        <w:jc w:val="right"/>
        <w:tblLook w:val="04A0" w:firstRow="1" w:lastRow="0" w:firstColumn="1" w:lastColumn="0" w:noHBand="0" w:noVBand="1"/>
      </w:tblPr>
      <w:tblGrid>
        <w:gridCol w:w="1276"/>
        <w:gridCol w:w="7031"/>
      </w:tblGrid>
      <w:tr w:rsidR="00607B78" w:rsidRPr="009C2953" w14:paraId="2C3239DF" w14:textId="77777777" w:rsidTr="00A068F8">
        <w:trPr>
          <w:trHeight w:val="57"/>
          <w:tblHeader/>
          <w:jc w:val="right"/>
        </w:trPr>
        <w:tc>
          <w:tcPr>
            <w:tcW w:w="1276" w:type="dxa"/>
            <w:tcBorders>
              <w:top w:val="single" w:sz="4" w:space="0" w:color="000000"/>
              <w:left w:val="nil"/>
              <w:bottom w:val="single" w:sz="12" w:space="0" w:color="000000"/>
              <w:right w:val="nil"/>
            </w:tcBorders>
            <w:tcMar>
              <w:top w:w="28" w:type="dxa"/>
              <w:left w:w="57" w:type="dxa"/>
              <w:bottom w:w="28" w:type="dxa"/>
              <w:right w:w="57" w:type="dxa"/>
            </w:tcMar>
            <w:hideMark/>
          </w:tcPr>
          <w:p w14:paraId="31273B22" w14:textId="77777777" w:rsidR="00607B78" w:rsidRPr="009C2953" w:rsidRDefault="00607B78" w:rsidP="00A068F8">
            <w:pPr>
              <w:pStyle w:val="Normal-pool"/>
              <w:spacing w:before="40" w:after="40"/>
              <w:rPr>
                <w:i/>
                <w:iCs/>
                <w:sz w:val="18"/>
                <w:szCs w:val="18"/>
              </w:rPr>
            </w:pPr>
            <w:r w:rsidRPr="009C2953">
              <w:rPr>
                <w:i/>
                <w:sz w:val="18"/>
              </w:rPr>
              <w:t>Date</w:t>
            </w:r>
          </w:p>
        </w:tc>
        <w:tc>
          <w:tcPr>
            <w:tcW w:w="7031" w:type="dxa"/>
            <w:tcBorders>
              <w:top w:val="single" w:sz="4" w:space="0" w:color="000000"/>
              <w:left w:val="nil"/>
              <w:bottom w:val="single" w:sz="12" w:space="0" w:color="000000"/>
              <w:right w:val="nil"/>
            </w:tcBorders>
            <w:tcMar>
              <w:top w:w="28" w:type="dxa"/>
              <w:left w:w="57" w:type="dxa"/>
              <w:bottom w:w="28" w:type="dxa"/>
              <w:right w:w="57" w:type="dxa"/>
            </w:tcMar>
            <w:hideMark/>
          </w:tcPr>
          <w:p w14:paraId="491455F3" w14:textId="77777777" w:rsidR="00607B78" w:rsidRPr="009C2953" w:rsidRDefault="00607B78" w:rsidP="00A068F8">
            <w:pPr>
              <w:pStyle w:val="Normal-pool"/>
              <w:spacing w:before="40" w:after="40"/>
              <w:rPr>
                <w:i/>
                <w:iCs/>
                <w:sz w:val="18"/>
                <w:szCs w:val="18"/>
              </w:rPr>
            </w:pPr>
            <w:r w:rsidRPr="009C2953">
              <w:rPr>
                <w:i/>
                <w:sz w:val="18"/>
              </w:rPr>
              <w:t>Actions et dispositions institutionnelles</w:t>
            </w:r>
          </w:p>
        </w:tc>
      </w:tr>
      <w:tr w:rsidR="00607B78" w:rsidRPr="009C2953" w14:paraId="282D6B25" w14:textId="77777777" w:rsidTr="00A068F8">
        <w:trPr>
          <w:trHeight w:val="57"/>
          <w:jc w:val="right"/>
        </w:trPr>
        <w:tc>
          <w:tcPr>
            <w:tcW w:w="0" w:type="auto"/>
            <w:gridSpan w:val="2"/>
            <w:tcBorders>
              <w:top w:val="single" w:sz="12" w:space="0" w:color="000000"/>
              <w:left w:val="nil"/>
              <w:bottom w:val="single" w:sz="4" w:space="0" w:color="000000"/>
              <w:right w:val="nil"/>
            </w:tcBorders>
            <w:tcMar>
              <w:top w:w="28" w:type="dxa"/>
              <w:left w:w="57" w:type="dxa"/>
              <w:bottom w:w="28" w:type="dxa"/>
              <w:right w:w="57" w:type="dxa"/>
            </w:tcMar>
            <w:hideMark/>
          </w:tcPr>
          <w:p w14:paraId="1DE2FDC0" w14:textId="77777777" w:rsidR="00607B78" w:rsidRPr="009C2953" w:rsidRDefault="00607B78" w:rsidP="00A068F8">
            <w:pPr>
              <w:pStyle w:val="Normal-pool"/>
              <w:spacing w:before="40" w:after="40"/>
              <w:rPr>
                <w:b/>
                <w:bCs/>
                <w:sz w:val="18"/>
                <w:szCs w:val="18"/>
              </w:rPr>
            </w:pPr>
            <w:r w:rsidRPr="009C2953">
              <w:rPr>
                <w:b/>
                <w:sz w:val="18"/>
              </w:rPr>
              <w:t>2023</w:t>
            </w:r>
          </w:p>
        </w:tc>
      </w:tr>
      <w:tr w:rsidR="00607B78" w:rsidRPr="009C2953" w14:paraId="4A14BEDD" w14:textId="77777777" w:rsidTr="00A068F8">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71742D5A" w14:textId="6A996455" w:rsidR="00607B78" w:rsidRPr="009C2953" w:rsidRDefault="00607B78" w:rsidP="00A068F8">
            <w:pPr>
              <w:pStyle w:val="Normal-pool"/>
              <w:spacing w:before="40" w:after="40"/>
              <w:rPr>
                <w:sz w:val="18"/>
                <w:szCs w:val="18"/>
              </w:rPr>
            </w:pPr>
            <w:r w:rsidRPr="009C2953">
              <w:rPr>
                <w:sz w:val="18"/>
              </w:rPr>
              <w:t xml:space="preserve">Quatrième </w:t>
            </w:r>
            <w:r w:rsidR="00FA7442">
              <w:rPr>
                <w:sz w:val="18"/>
              </w:rPr>
              <w:br/>
            </w:r>
            <w:r w:rsidRPr="009C2953">
              <w:rPr>
                <w:sz w:val="18"/>
              </w:rPr>
              <w:t>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10FCB768" w14:textId="17CB75AC" w:rsidR="00607B78" w:rsidRPr="009C2953" w:rsidRDefault="00607B78" w:rsidP="00A068F8">
            <w:pPr>
              <w:pStyle w:val="Normal-pool"/>
              <w:spacing w:before="40" w:after="40"/>
              <w:rPr>
                <w:sz w:val="18"/>
                <w:szCs w:val="18"/>
              </w:rPr>
            </w:pPr>
            <w:r w:rsidRPr="009C2953">
              <w:rPr>
                <w:sz w:val="18"/>
              </w:rPr>
              <w:t>Le Groupe d</w:t>
            </w:r>
            <w:r w:rsidR="00EA2966" w:rsidRPr="009C2953">
              <w:rPr>
                <w:sz w:val="18"/>
              </w:rPr>
              <w:t>’</w:t>
            </w:r>
            <w:r w:rsidRPr="009C2953">
              <w:rPr>
                <w:sz w:val="18"/>
              </w:rPr>
              <w:t>experts multidisciplinaire, par l</w:t>
            </w:r>
            <w:r w:rsidR="00EA2966" w:rsidRPr="009C2953">
              <w:rPr>
                <w:sz w:val="18"/>
              </w:rPr>
              <w:t>’</w:t>
            </w:r>
            <w:r w:rsidRPr="009C2953">
              <w:rPr>
                <w:sz w:val="18"/>
              </w:rPr>
              <w:t>intermédiaire du secrétariat, demande</w:t>
            </w:r>
            <w:r w:rsidR="00F34644" w:rsidRPr="009C2953">
              <w:rPr>
                <w:sz w:val="18"/>
              </w:rPr>
              <w:t xml:space="preserve"> aux </w:t>
            </w:r>
            <w:r w:rsidRPr="009C2953">
              <w:rPr>
                <w:sz w:val="18"/>
              </w:rPr>
              <w:t>gouvernements et autres parties prenantes de proposer</w:t>
            </w:r>
            <w:r w:rsidR="00D24DC1" w:rsidRPr="009C2953">
              <w:rPr>
                <w:sz w:val="18"/>
              </w:rPr>
              <w:t xml:space="preserve"> des </w:t>
            </w:r>
            <w:r w:rsidRPr="009C2953">
              <w:rPr>
                <w:sz w:val="18"/>
              </w:rPr>
              <w:t>candidatures d</w:t>
            </w:r>
            <w:r w:rsidR="00EA2966" w:rsidRPr="009C2953">
              <w:rPr>
                <w:sz w:val="18"/>
              </w:rPr>
              <w:t>’</w:t>
            </w:r>
            <w:r w:rsidRPr="009C2953">
              <w:rPr>
                <w:sz w:val="18"/>
              </w:rPr>
              <w:t>expert(e)s.</w:t>
            </w:r>
          </w:p>
        </w:tc>
      </w:tr>
      <w:tr w:rsidR="00607B78" w:rsidRPr="009C2953" w14:paraId="08779692" w14:textId="77777777" w:rsidTr="00A068F8">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18EAF2F6" w14:textId="77777777" w:rsidR="00607B78" w:rsidRPr="009C2953" w:rsidRDefault="00607B78" w:rsidP="00A068F8">
            <w:pPr>
              <w:pStyle w:val="Normal-pool"/>
              <w:spacing w:before="40" w:after="40"/>
              <w:rPr>
                <w:b/>
                <w:bCs/>
                <w:sz w:val="18"/>
                <w:szCs w:val="18"/>
              </w:rPr>
            </w:pPr>
            <w:r w:rsidRPr="009C2953">
              <w:rPr>
                <w:b/>
                <w:sz w:val="18"/>
              </w:rPr>
              <w:t>2024</w:t>
            </w:r>
          </w:p>
        </w:tc>
      </w:tr>
      <w:tr w:rsidR="00607B78" w:rsidRPr="009C2953" w14:paraId="7CCF4CEA" w14:textId="77777777" w:rsidTr="00A068F8">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6ED8124A" w14:textId="41CE2CF9" w:rsidR="00607B78" w:rsidRPr="009C2953" w:rsidRDefault="00607B78" w:rsidP="00A068F8">
            <w:pPr>
              <w:pStyle w:val="Normal-pool"/>
              <w:spacing w:before="40" w:after="40"/>
              <w:rPr>
                <w:sz w:val="18"/>
                <w:szCs w:val="18"/>
              </w:rPr>
            </w:pPr>
            <w:r w:rsidRPr="009C2953">
              <w:rPr>
                <w:sz w:val="18"/>
              </w:rPr>
              <w:t xml:space="preserve">Premier </w:t>
            </w:r>
            <w:r w:rsidR="00FA7442">
              <w:rPr>
                <w:sz w:val="18"/>
              </w:rPr>
              <w:br/>
            </w:r>
            <w:r w:rsidRPr="009C2953">
              <w:rPr>
                <w:sz w:val="18"/>
              </w:rPr>
              <w:t>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72428403" w14:textId="505BF7FA" w:rsidR="00607B78" w:rsidRPr="009C2953" w:rsidRDefault="00607B78" w:rsidP="00A068F8">
            <w:pPr>
              <w:pStyle w:val="Normal-pool"/>
              <w:spacing w:before="40" w:after="40"/>
              <w:rPr>
                <w:sz w:val="18"/>
                <w:szCs w:val="18"/>
              </w:rPr>
            </w:pPr>
            <w:r w:rsidRPr="009C2953">
              <w:rPr>
                <w:sz w:val="18"/>
              </w:rPr>
              <w:t>Le Groupe d</w:t>
            </w:r>
            <w:r w:rsidR="00EA2966" w:rsidRPr="009C2953">
              <w:rPr>
                <w:sz w:val="18"/>
              </w:rPr>
              <w:t>’</w:t>
            </w:r>
            <w:r w:rsidRPr="009C2953">
              <w:rPr>
                <w:sz w:val="18"/>
              </w:rPr>
              <w:t>experts multidisciplinaire désigne</w:t>
            </w:r>
            <w:r w:rsidR="00F34644" w:rsidRPr="009C2953">
              <w:rPr>
                <w:sz w:val="18"/>
              </w:rPr>
              <w:t xml:space="preserve"> les </w:t>
            </w:r>
            <w:r w:rsidRPr="009C2953">
              <w:rPr>
                <w:sz w:val="18"/>
              </w:rPr>
              <w:t>coprésident(e)s,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de l</w:t>
            </w:r>
            <w:r w:rsidR="00EA2966" w:rsidRPr="009C2953">
              <w:rPr>
                <w:sz w:val="18"/>
              </w:rPr>
              <w:t>’</w:t>
            </w:r>
            <w:r w:rsidRPr="009C2953">
              <w:rPr>
                <w:sz w:val="18"/>
              </w:rPr>
              <w:t>évaluation, conformément</w:t>
            </w:r>
            <w:r w:rsidR="00F34644" w:rsidRPr="009C2953">
              <w:rPr>
                <w:sz w:val="18"/>
              </w:rPr>
              <w:t xml:space="preserve"> aux </w:t>
            </w:r>
            <w:r w:rsidRPr="009C2953">
              <w:rPr>
                <w:sz w:val="18"/>
              </w:rPr>
              <w:t>procédures d</w:t>
            </w:r>
            <w:r w:rsidR="00EA2966" w:rsidRPr="009C2953">
              <w:rPr>
                <w:sz w:val="18"/>
              </w:rPr>
              <w:t>’</w:t>
            </w:r>
            <w:r w:rsidRPr="009C2953">
              <w:rPr>
                <w:sz w:val="18"/>
              </w:rPr>
              <w:t>établissement</w:t>
            </w:r>
            <w:r w:rsidR="00D24DC1" w:rsidRPr="009C2953">
              <w:rPr>
                <w:sz w:val="18"/>
              </w:rPr>
              <w:t xml:space="preserve"> des </w:t>
            </w:r>
            <w:r w:rsidRPr="009C2953">
              <w:rPr>
                <w:sz w:val="18"/>
              </w:rPr>
              <w:t>produits de</w:t>
            </w:r>
            <w:r w:rsidR="00F34644" w:rsidRPr="009C2953">
              <w:rPr>
                <w:sz w:val="18"/>
              </w:rPr>
              <w:t xml:space="preserve"> la </w:t>
            </w:r>
            <w:r w:rsidRPr="009C2953">
              <w:rPr>
                <w:sz w:val="18"/>
              </w:rPr>
              <w:t>Plateforme, notamment en mettant en œuvre</w:t>
            </w:r>
            <w:r w:rsidR="00F34644" w:rsidRPr="009C2953">
              <w:rPr>
                <w:sz w:val="18"/>
              </w:rPr>
              <w:t xml:space="preserve"> la </w:t>
            </w:r>
            <w:r w:rsidRPr="009C2953">
              <w:rPr>
                <w:sz w:val="18"/>
              </w:rPr>
              <w:t>procédure prévue pour combler</w:t>
            </w:r>
            <w:r w:rsidR="00F34644" w:rsidRPr="009C2953">
              <w:rPr>
                <w:sz w:val="18"/>
              </w:rPr>
              <w:t xml:space="preserve"> les </w:t>
            </w:r>
            <w:r w:rsidRPr="009C2953">
              <w:rPr>
                <w:sz w:val="18"/>
              </w:rPr>
              <w:t>lacunes en</w:t>
            </w:r>
            <w:r w:rsidR="00172DE9" w:rsidRPr="009C2953">
              <w:rPr>
                <w:sz w:val="18"/>
              </w:rPr>
              <w:t> </w:t>
            </w:r>
            <w:r w:rsidRPr="009C2953">
              <w:rPr>
                <w:sz w:val="18"/>
              </w:rPr>
              <w:t>matière de connaissances spécialisées.</w:t>
            </w:r>
          </w:p>
        </w:tc>
      </w:tr>
      <w:tr w:rsidR="00607B78" w:rsidRPr="009C2953" w14:paraId="5B18DA74" w14:textId="77777777" w:rsidTr="00A068F8">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37C6A784" w14:textId="473EDBA9" w:rsidR="00607B78" w:rsidRPr="009C2953" w:rsidRDefault="00607B78" w:rsidP="00A068F8">
            <w:pPr>
              <w:pStyle w:val="Normal-pool"/>
              <w:spacing w:before="40" w:after="40"/>
              <w:rPr>
                <w:sz w:val="18"/>
                <w:szCs w:val="18"/>
              </w:rPr>
            </w:pPr>
            <w:r w:rsidRPr="009C2953">
              <w:rPr>
                <w:sz w:val="18"/>
              </w:rPr>
              <w:t xml:space="preserve">Deuxième </w:t>
            </w:r>
            <w:r w:rsidR="00FA7442">
              <w:rPr>
                <w:sz w:val="18"/>
              </w:rPr>
              <w:br/>
            </w:r>
            <w:r w:rsidRPr="009C2953">
              <w:rPr>
                <w:sz w:val="18"/>
              </w:rPr>
              <w:t>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5B154C31" w14:textId="37870014" w:rsidR="00607B78" w:rsidRPr="009C2953" w:rsidRDefault="00607B78" w:rsidP="00A068F8">
            <w:pPr>
              <w:pStyle w:val="Normal-pool"/>
              <w:spacing w:before="40" w:after="40"/>
              <w:rPr>
                <w:sz w:val="18"/>
                <w:szCs w:val="18"/>
              </w:rPr>
            </w:pPr>
            <w:r w:rsidRPr="009C2953">
              <w:rPr>
                <w:sz w:val="18"/>
              </w:rPr>
              <w:t>Première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w:t>
            </w:r>
            <w:r w:rsidR="00172DE9" w:rsidRPr="009C2953">
              <w:rPr>
                <w:sz w:val="18"/>
              </w:rPr>
              <w:t> </w:t>
            </w:r>
            <w:r w:rsidRPr="009C2953">
              <w:rPr>
                <w:sz w:val="18"/>
              </w:rPr>
              <w:t>du comité de gestion de l</w:t>
            </w:r>
            <w:r w:rsidR="00EA2966" w:rsidRPr="009C2953">
              <w:rPr>
                <w:sz w:val="18"/>
              </w:rPr>
              <w:t>’</w:t>
            </w:r>
            <w:r w:rsidRPr="009C2953">
              <w:rPr>
                <w:sz w:val="18"/>
              </w:rPr>
              <w:t>évaluation.</w:t>
            </w:r>
          </w:p>
        </w:tc>
      </w:tr>
      <w:tr w:rsidR="00607B78" w:rsidRPr="009C2953" w14:paraId="7684D1F1" w14:textId="77777777" w:rsidTr="00A068F8">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3816822" w14:textId="77777777" w:rsidR="00607B78" w:rsidRPr="009C2953" w:rsidRDefault="00607B78" w:rsidP="00A068F8">
            <w:pPr>
              <w:pStyle w:val="Normal-pool"/>
              <w:spacing w:before="40" w:after="40"/>
              <w:rPr>
                <w:b/>
                <w:bCs/>
                <w:sz w:val="18"/>
                <w:szCs w:val="18"/>
              </w:rPr>
            </w:pPr>
            <w:r w:rsidRPr="009C2953">
              <w:rPr>
                <w:b/>
                <w:sz w:val="18"/>
              </w:rPr>
              <w:t>2025</w:t>
            </w:r>
          </w:p>
        </w:tc>
      </w:tr>
      <w:tr w:rsidR="00607B78" w:rsidRPr="009C2953" w14:paraId="302056B5" w14:textId="77777777" w:rsidTr="00A068F8">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6076F27A" w14:textId="6B550303" w:rsidR="00607B78" w:rsidRPr="009C2953" w:rsidRDefault="00607B78" w:rsidP="00A068F8">
            <w:pPr>
              <w:pStyle w:val="Normal-pool"/>
              <w:spacing w:before="40" w:after="40"/>
              <w:rPr>
                <w:sz w:val="18"/>
                <w:szCs w:val="18"/>
              </w:rPr>
            </w:pPr>
            <w:r w:rsidRPr="009C2953">
              <w:rPr>
                <w:sz w:val="18"/>
              </w:rPr>
              <w:t xml:space="preserve">Premier </w:t>
            </w:r>
            <w:r w:rsidR="00FA7442">
              <w:rPr>
                <w:sz w:val="18"/>
              </w:rPr>
              <w:br/>
            </w:r>
            <w:r w:rsidRPr="009C2953">
              <w:rPr>
                <w:sz w:val="18"/>
              </w:rPr>
              <w:t>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4E4109C3" w14:textId="21544062" w:rsidR="00607B78" w:rsidRPr="009C2953" w:rsidRDefault="00607B78" w:rsidP="00A068F8">
            <w:pPr>
              <w:pStyle w:val="Normal-pool"/>
              <w:spacing w:before="40" w:after="40"/>
              <w:rPr>
                <w:sz w:val="18"/>
                <w:szCs w:val="18"/>
              </w:rPr>
            </w:pPr>
            <w:r w:rsidRPr="009C2953">
              <w:rPr>
                <w:sz w:val="18"/>
              </w:rPr>
              <w:t>Réunion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membres du</w:t>
            </w:r>
            <w:r w:rsidR="00172DE9" w:rsidRPr="009C2953">
              <w:rPr>
                <w:sz w:val="18"/>
              </w:rPr>
              <w:t> </w:t>
            </w:r>
            <w:r w:rsidRPr="009C2953">
              <w:rPr>
                <w:sz w:val="18"/>
              </w:rPr>
              <w:t>Bureau et du Groupe d</w:t>
            </w:r>
            <w:r w:rsidR="00EA2966" w:rsidRPr="009C2953">
              <w:rPr>
                <w:sz w:val="18"/>
              </w:rPr>
              <w:t>’</w:t>
            </w:r>
            <w:r w:rsidRPr="009C2953">
              <w:rPr>
                <w:sz w:val="18"/>
              </w:rPr>
              <w:t>experts multidisciplinaire qui font partie du comité de gestion de</w:t>
            </w:r>
            <w:r w:rsidR="00172DE9" w:rsidRPr="009C2953">
              <w:rPr>
                <w:sz w:val="18"/>
              </w:rPr>
              <w:t> </w:t>
            </w:r>
            <w:r w:rsidRPr="009C2953">
              <w:rPr>
                <w:sz w:val="18"/>
              </w:rPr>
              <w:t>l</w:t>
            </w:r>
            <w:r w:rsidR="00EA2966" w:rsidRPr="009C2953">
              <w:rPr>
                <w:sz w:val="18"/>
              </w:rPr>
              <w:t>’</w:t>
            </w:r>
            <w:r w:rsidRPr="009C2953">
              <w:rPr>
                <w:sz w:val="18"/>
              </w:rPr>
              <w:t>évaluation.</w:t>
            </w:r>
          </w:p>
        </w:tc>
      </w:tr>
      <w:tr w:rsidR="00607B78" w:rsidRPr="009C2953" w14:paraId="4CD8CF5D" w14:textId="77777777" w:rsidTr="00A068F8">
        <w:trPr>
          <w:trHeight w:val="57"/>
          <w:jc w:val="right"/>
        </w:trPr>
        <w:tc>
          <w:tcPr>
            <w:tcW w:w="1276" w:type="dxa"/>
            <w:tcMar>
              <w:top w:w="28" w:type="dxa"/>
              <w:left w:w="57" w:type="dxa"/>
              <w:bottom w:w="28" w:type="dxa"/>
              <w:right w:w="57" w:type="dxa"/>
            </w:tcMar>
            <w:hideMark/>
          </w:tcPr>
          <w:p w14:paraId="63AB2190" w14:textId="705C332D" w:rsidR="00607B78" w:rsidRPr="009C2953" w:rsidRDefault="00607B78" w:rsidP="00A068F8">
            <w:pPr>
              <w:pStyle w:val="Normal-pool"/>
              <w:spacing w:before="40" w:after="40"/>
              <w:rPr>
                <w:sz w:val="18"/>
                <w:szCs w:val="18"/>
              </w:rPr>
            </w:pPr>
            <w:r w:rsidRPr="009C2953">
              <w:rPr>
                <w:sz w:val="18"/>
              </w:rPr>
              <w:t xml:space="preserve">Deuxième </w:t>
            </w:r>
            <w:r w:rsidR="00FA7442">
              <w:rPr>
                <w:sz w:val="18"/>
              </w:rPr>
              <w:br/>
            </w:r>
            <w:r w:rsidRPr="009C2953">
              <w:rPr>
                <w:sz w:val="18"/>
              </w:rPr>
              <w:t>trimestre</w:t>
            </w:r>
          </w:p>
        </w:tc>
        <w:tc>
          <w:tcPr>
            <w:tcW w:w="7031" w:type="dxa"/>
            <w:tcMar>
              <w:top w:w="28" w:type="dxa"/>
              <w:left w:w="57" w:type="dxa"/>
              <w:bottom w:w="28" w:type="dxa"/>
              <w:right w:w="57" w:type="dxa"/>
            </w:tcMar>
            <w:hideMark/>
          </w:tcPr>
          <w:p w14:paraId="373379EA" w14:textId="25C1696B" w:rsidR="00607B78" w:rsidRPr="009C2953" w:rsidRDefault="00607B78" w:rsidP="00A068F8">
            <w:pPr>
              <w:pStyle w:val="Normal-pool"/>
              <w:spacing w:before="40" w:after="40"/>
              <w:rPr>
                <w:sz w:val="18"/>
                <w:szCs w:val="18"/>
              </w:rPr>
            </w:pPr>
            <w:r w:rsidRPr="009C2953">
              <w:rPr>
                <w:sz w:val="18"/>
              </w:rPr>
              <w:t>Premier examen externe (</w:t>
            </w:r>
            <w:r w:rsidR="00D31515" w:rsidRPr="009C2953">
              <w:rPr>
                <w:sz w:val="18"/>
              </w:rPr>
              <w:t>huit</w:t>
            </w:r>
            <w:r w:rsidRPr="009C2953">
              <w:rPr>
                <w:sz w:val="18"/>
              </w:rPr>
              <w:t xml:space="preserve"> semaines) – projet de chapitre</w:t>
            </w:r>
            <w:r w:rsidR="00D31515" w:rsidRPr="009C2953">
              <w:rPr>
                <w:sz w:val="18"/>
              </w:rPr>
              <w:t>s</w:t>
            </w:r>
            <w:r w:rsidRPr="009C2953">
              <w:rPr>
                <w:sz w:val="18"/>
              </w:rPr>
              <w:t xml:space="preserve"> et projet 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diffusé pour examen par</w:t>
            </w:r>
            <w:r w:rsidR="00F34644" w:rsidRPr="009C2953">
              <w:rPr>
                <w:sz w:val="18"/>
              </w:rPr>
              <w:t xml:space="preserve"> les </w:t>
            </w:r>
            <w:r w:rsidRPr="009C2953">
              <w:rPr>
                <w:sz w:val="18"/>
              </w:rPr>
              <w:t>gouvernements et</w:t>
            </w:r>
            <w:r w:rsidR="00F34644" w:rsidRPr="009C2953">
              <w:rPr>
                <w:sz w:val="18"/>
              </w:rPr>
              <w:t xml:space="preserve"> les </w:t>
            </w:r>
            <w:r w:rsidRPr="009C2953">
              <w:rPr>
                <w:sz w:val="18"/>
              </w:rPr>
              <w:t>expert(e)s.</w:t>
            </w:r>
          </w:p>
        </w:tc>
      </w:tr>
      <w:tr w:rsidR="00607B78" w:rsidRPr="009C2953" w14:paraId="2CDA48AE" w14:textId="77777777" w:rsidTr="00A068F8">
        <w:trPr>
          <w:trHeight w:val="57"/>
          <w:jc w:val="right"/>
        </w:trPr>
        <w:tc>
          <w:tcPr>
            <w:tcW w:w="1276" w:type="dxa"/>
            <w:tcMar>
              <w:top w:w="28" w:type="dxa"/>
              <w:left w:w="57" w:type="dxa"/>
              <w:bottom w:w="28" w:type="dxa"/>
              <w:right w:w="57" w:type="dxa"/>
            </w:tcMar>
            <w:hideMark/>
          </w:tcPr>
          <w:p w14:paraId="3497F5F5" w14:textId="49410840" w:rsidR="00607B78" w:rsidRPr="009C2953" w:rsidRDefault="00607B78" w:rsidP="00A068F8">
            <w:pPr>
              <w:pStyle w:val="Normal-pool"/>
              <w:spacing w:before="40" w:after="40"/>
              <w:rPr>
                <w:sz w:val="18"/>
                <w:szCs w:val="18"/>
              </w:rPr>
            </w:pPr>
            <w:r w:rsidRPr="009C2953">
              <w:rPr>
                <w:sz w:val="18"/>
              </w:rPr>
              <w:t xml:space="preserve">Troisième </w:t>
            </w:r>
            <w:r w:rsidR="00FA7442">
              <w:rPr>
                <w:sz w:val="18"/>
              </w:rPr>
              <w:br/>
            </w:r>
            <w:r w:rsidRPr="009C2953">
              <w:rPr>
                <w:sz w:val="18"/>
              </w:rPr>
              <w:t>trimestre</w:t>
            </w:r>
          </w:p>
        </w:tc>
        <w:tc>
          <w:tcPr>
            <w:tcW w:w="7031" w:type="dxa"/>
            <w:tcMar>
              <w:top w:w="28" w:type="dxa"/>
              <w:left w:w="57" w:type="dxa"/>
              <w:bottom w:w="28" w:type="dxa"/>
              <w:right w:w="57" w:type="dxa"/>
            </w:tcMar>
            <w:hideMark/>
          </w:tcPr>
          <w:p w14:paraId="44C3834F" w14:textId="31914C72" w:rsidR="00607B78" w:rsidRPr="009C2953" w:rsidRDefault="00607B78" w:rsidP="00A068F8">
            <w:pPr>
              <w:pStyle w:val="Normal-pool"/>
              <w:spacing w:before="40" w:after="40"/>
              <w:rPr>
                <w:sz w:val="18"/>
                <w:szCs w:val="18"/>
              </w:rPr>
            </w:pPr>
            <w:r w:rsidRPr="009C2953">
              <w:rPr>
                <w:sz w:val="18"/>
              </w:rPr>
              <w:t>Deuxième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w:t>
            </w:r>
            <w:r w:rsidR="00172DE9" w:rsidRPr="009C2953">
              <w:rPr>
                <w:sz w:val="18"/>
              </w:rPr>
              <w:t> </w:t>
            </w:r>
            <w:r w:rsidRPr="009C2953">
              <w:rPr>
                <w:sz w:val="18"/>
              </w:rPr>
              <w:t>du comité de gestion de l</w:t>
            </w:r>
            <w:r w:rsidR="00EA2966" w:rsidRPr="009C2953">
              <w:rPr>
                <w:sz w:val="18"/>
              </w:rPr>
              <w:t>’</w:t>
            </w:r>
            <w:r w:rsidRPr="009C2953">
              <w:rPr>
                <w:sz w:val="18"/>
              </w:rPr>
              <w:t>évaluation.</w:t>
            </w:r>
          </w:p>
          <w:p w14:paraId="1B91363B" w14:textId="7380BCE7" w:rsidR="00607B78" w:rsidRPr="009C2953" w:rsidRDefault="00607B78" w:rsidP="00A068F8">
            <w:pPr>
              <w:pStyle w:val="Normal-pool"/>
              <w:spacing w:before="40" w:after="40"/>
              <w:rPr>
                <w:sz w:val="18"/>
                <w:szCs w:val="18"/>
              </w:rPr>
            </w:pPr>
            <w:r w:rsidRPr="009C2953">
              <w:rPr>
                <w:sz w:val="18"/>
              </w:rPr>
              <w:lastRenderedPageBreak/>
              <w:t>Immédiatement après</w:t>
            </w:r>
            <w:r w:rsidR="00F34644" w:rsidRPr="009C2953">
              <w:rPr>
                <w:sz w:val="18"/>
              </w:rPr>
              <w:t xml:space="preserve"> la </w:t>
            </w:r>
            <w:r w:rsidRPr="009C2953">
              <w:rPr>
                <w:sz w:val="18"/>
              </w:rPr>
              <w:t>deuxième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 réunion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 du comité de gestion de l</w:t>
            </w:r>
            <w:r w:rsidR="00EA2966" w:rsidRPr="009C2953">
              <w:rPr>
                <w:sz w:val="18"/>
              </w:rPr>
              <w:t>’</w:t>
            </w:r>
            <w:r w:rsidRPr="009C2953">
              <w:rPr>
                <w:sz w:val="18"/>
              </w:rPr>
              <w:t>évaluation.</w:t>
            </w:r>
          </w:p>
        </w:tc>
      </w:tr>
      <w:tr w:rsidR="00607B78" w:rsidRPr="009C2953" w14:paraId="40D5E620" w14:textId="77777777" w:rsidTr="00A068F8">
        <w:trPr>
          <w:trHeight w:val="57"/>
          <w:jc w:val="right"/>
        </w:trPr>
        <w:tc>
          <w:tcPr>
            <w:tcW w:w="1276" w:type="dxa"/>
            <w:tcBorders>
              <w:top w:val="nil"/>
              <w:left w:val="nil"/>
              <w:bottom w:val="single" w:sz="4" w:space="0" w:color="000000"/>
              <w:right w:val="nil"/>
            </w:tcBorders>
            <w:tcMar>
              <w:top w:w="28" w:type="dxa"/>
              <w:left w:w="57" w:type="dxa"/>
              <w:bottom w:w="28" w:type="dxa"/>
              <w:right w:w="57" w:type="dxa"/>
            </w:tcMar>
            <w:hideMark/>
          </w:tcPr>
          <w:p w14:paraId="4D230D7B" w14:textId="025B8160" w:rsidR="00607B78" w:rsidRPr="009C2953" w:rsidRDefault="00607B78" w:rsidP="00A068F8">
            <w:pPr>
              <w:pStyle w:val="Normal-pool"/>
              <w:spacing w:before="40" w:after="40"/>
              <w:rPr>
                <w:sz w:val="18"/>
                <w:szCs w:val="18"/>
              </w:rPr>
            </w:pPr>
            <w:r w:rsidRPr="009C2953">
              <w:rPr>
                <w:sz w:val="18"/>
              </w:rPr>
              <w:lastRenderedPageBreak/>
              <w:t xml:space="preserve">Quatrième </w:t>
            </w:r>
            <w:r w:rsidR="00FA7442">
              <w:rPr>
                <w:sz w:val="18"/>
              </w:rPr>
              <w:br/>
            </w:r>
            <w:r w:rsidRPr="009C2953">
              <w:rPr>
                <w:sz w:val="18"/>
              </w:rPr>
              <w:t>trimestre</w:t>
            </w:r>
          </w:p>
        </w:tc>
        <w:tc>
          <w:tcPr>
            <w:tcW w:w="7031" w:type="dxa"/>
            <w:tcBorders>
              <w:top w:val="nil"/>
              <w:left w:val="nil"/>
              <w:bottom w:val="single" w:sz="4" w:space="0" w:color="000000"/>
              <w:right w:val="nil"/>
            </w:tcBorders>
            <w:tcMar>
              <w:top w:w="28" w:type="dxa"/>
              <w:left w:w="57" w:type="dxa"/>
              <w:bottom w:w="28" w:type="dxa"/>
              <w:right w:w="57" w:type="dxa"/>
            </w:tcMar>
            <w:hideMark/>
          </w:tcPr>
          <w:p w14:paraId="54C91275" w14:textId="670D8051" w:rsidR="00607B78" w:rsidRPr="009C2953" w:rsidRDefault="00607B78" w:rsidP="00A068F8">
            <w:pPr>
              <w:pStyle w:val="Normal-pool"/>
              <w:spacing w:before="40" w:after="40"/>
              <w:rPr>
                <w:sz w:val="18"/>
                <w:szCs w:val="18"/>
              </w:rPr>
            </w:pPr>
            <w:r w:rsidRPr="009C2953">
              <w:rPr>
                <w:sz w:val="18"/>
              </w:rPr>
              <w:t>Examen externe supplémentaire du projet 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w:t>
            </w:r>
            <w:r w:rsidR="00D31515" w:rsidRPr="009C2953">
              <w:rPr>
                <w:sz w:val="18"/>
              </w:rPr>
              <w:t>huit</w:t>
            </w:r>
            <w:r w:rsidRPr="009C2953">
              <w:rPr>
                <w:sz w:val="18"/>
              </w:rPr>
              <w:t xml:space="preserve"> semaines) –</w:t>
            </w:r>
            <w:r w:rsidR="004758E3" w:rsidRPr="009C2953">
              <w:rPr>
                <w:sz w:val="18"/>
              </w:rPr>
              <w:t xml:space="preserve"> </w:t>
            </w:r>
            <w:r w:rsidRPr="009C2953">
              <w:rPr>
                <w:sz w:val="18"/>
              </w:rPr>
              <w:t>projet 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diffusé pour examen par</w:t>
            </w:r>
            <w:r w:rsidR="00F34644" w:rsidRPr="009C2953">
              <w:rPr>
                <w:sz w:val="18"/>
              </w:rPr>
              <w:t xml:space="preserve"> les </w:t>
            </w:r>
            <w:r w:rsidRPr="009C2953">
              <w:rPr>
                <w:sz w:val="18"/>
              </w:rPr>
              <w:t>gouvernements et</w:t>
            </w:r>
            <w:r w:rsidR="00F34644" w:rsidRPr="009C2953">
              <w:rPr>
                <w:sz w:val="18"/>
              </w:rPr>
              <w:t xml:space="preserve"> les </w:t>
            </w:r>
            <w:r w:rsidRPr="009C2953">
              <w:rPr>
                <w:sz w:val="18"/>
              </w:rPr>
              <w:t>expert(e)s.</w:t>
            </w:r>
          </w:p>
        </w:tc>
      </w:tr>
      <w:tr w:rsidR="00607B78" w:rsidRPr="009C2953" w14:paraId="7A1BC10A" w14:textId="77777777" w:rsidTr="00A068F8">
        <w:trPr>
          <w:trHeight w:val="57"/>
          <w:jc w:val="right"/>
        </w:trPr>
        <w:tc>
          <w:tcPr>
            <w:tcW w:w="0" w:type="auto"/>
            <w:gridSpan w:val="2"/>
            <w:tcBorders>
              <w:top w:val="single" w:sz="4" w:space="0" w:color="000000"/>
              <w:left w:val="nil"/>
              <w:bottom w:val="single" w:sz="4" w:space="0" w:color="000000"/>
              <w:right w:val="nil"/>
            </w:tcBorders>
            <w:tcMar>
              <w:top w:w="28" w:type="dxa"/>
              <w:left w:w="57" w:type="dxa"/>
              <w:bottom w:w="28" w:type="dxa"/>
              <w:right w:w="57" w:type="dxa"/>
            </w:tcMar>
            <w:hideMark/>
          </w:tcPr>
          <w:p w14:paraId="68EA285F" w14:textId="77777777" w:rsidR="00607B78" w:rsidRPr="009C2953" w:rsidRDefault="00607B78" w:rsidP="00A068F8">
            <w:pPr>
              <w:pStyle w:val="Normal-pool"/>
              <w:spacing w:before="40" w:after="40"/>
              <w:rPr>
                <w:b/>
                <w:bCs/>
                <w:sz w:val="18"/>
                <w:szCs w:val="18"/>
              </w:rPr>
            </w:pPr>
            <w:r w:rsidRPr="009C2953">
              <w:rPr>
                <w:b/>
                <w:sz w:val="18"/>
              </w:rPr>
              <w:t>2026</w:t>
            </w:r>
          </w:p>
        </w:tc>
      </w:tr>
      <w:tr w:rsidR="00607B78" w:rsidRPr="009C2953" w14:paraId="7FA3911B" w14:textId="77777777" w:rsidTr="00A068F8">
        <w:trPr>
          <w:trHeight w:val="57"/>
          <w:jc w:val="right"/>
        </w:trPr>
        <w:tc>
          <w:tcPr>
            <w:tcW w:w="1276" w:type="dxa"/>
            <w:tcBorders>
              <w:top w:val="single" w:sz="4" w:space="0" w:color="000000"/>
              <w:left w:val="nil"/>
              <w:bottom w:val="nil"/>
              <w:right w:val="nil"/>
            </w:tcBorders>
            <w:tcMar>
              <w:top w:w="28" w:type="dxa"/>
              <w:left w:w="57" w:type="dxa"/>
              <w:bottom w:w="28" w:type="dxa"/>
              <w:right w:w="57" w:type="dxa"/>
            </w:tcMar>
            <w:hideMark/>
          </w:tcPr>
          <w:p w14:paraId="15C9987E" w14:textId="63561585" w:rsidR="00607B78" w:rsidRPr="009C2953" w:rsidRDefault="00607B78" w:rsidP="00A068F8">
            <w:pPr>
              <w:pStyle w:val="Normal-pool"/>
              <w:spacing w:before="40" w:after="40"/>
              <w:rPr>
                <w:sz w:val="18"/>
                <w:szCs w:val="18"/>
              </w:rPr>
            </w:pPr>
            <w:r w:rsidRPr="009C2953">
              <w:rPr>
                <w:sz w:val="18"/>
              </w:rPr>
              <w:t xml:space="preserve">Premier </w:t>
            </w:r>
            <w:r w:rsidR="00FA7442">
              <w:rPr>
                <w:sz w:val="18"/>
              </w:rPr>
              <w:br/>
            </w:r>
            <w:r w:rsidRPr="009C2953">
              <w:rPr>
                <w:sz w:val="18"/>
              </w:rPr>
              <w:t>trimestre</w:t>
            </w:r>
          </w:p>
        </w:tc>
        <w:tc>
          <w:tcPr>
            <w:tcW w:w="7031" w:type="dxa"/>
            <w:tcBorders>
              <w:top w:val="single" w:sz="4" w:space="0" w:color="000000"/>
              <w:left w:val="nil"/>
              <w:bottom w:val="nil"/>
              <w:right w:val="nil"/>
            </w:tcBorders>
            <w:tcMar>
              <w:top w:w="28" w:type="dxa"/>
              <w:left w:w="57" w:type="dxa"/>
              <w:bottom w:w="28" w:type="dxa"/>
              <w:right w:w="57" w:type="dxa"/>
            </w:tcMar>
            <w:hideMark/>
          </w:tcPr>
          <w:p w14:paraId="71EBD6FD" w14:textId="5F00C938" w:rsidR="00607B78" w:rsidRPr="009C2953" w:rsidRDefault="00607B78" w:rsidP="00A068F8">
            <w:pPr>
              <w:pStyle w:val="Normal-pool"/>
              <w:spacing w:before="40" w:after="40"/>
              <w:rPr>
                <w:sz w:val="18"/>
                <w:szCs w:val="18"/>
              </w:rPr>
            </w:pPr>
            <w:r w:rsidRPr="009C2953">
              <w:rPr>
                <w:sz w:val="18"/>
              </w:rPr>
              <w:t>Atelier de rédaction en ligne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 du comité de gestion de l</w:t>
            </w:r>
            <w:r w:rsidR="00EA2966" w:rsidRPr="009C2953">
              <w:rPr>
                <w:sz w:val="18"/>
              </w:rPr>
              <w:t>’</w:t>
            </w:r>
            <w:r w:rsidRPr="009C2953">
              <w:rPr>
                <w:sz w:val="18"/>
              </w:rPr>
              <w:t>évaluation.</w:t>
            </w:r>
          </w:p>
        </w:tc>
      </w:tr>
      <w:tr w:rsidR="00607B78" w:rsidRPr="009C2953" w14:paraId="271BDDCA" w14:textId="77777777" w:rsidTr="00A068F8">
        <w:trPr>
          <w:trHeight w:val="57"/>
          <w:jc w:val="right"/>
        </w:trPr>
        <w:tc>
          <w:tcPr>
            <w:tcW w:w="1276" w:type="dxa"/>
            <w:tcMar>
              <w:top w:w="28" w:type="dxa"/>
              <w:left w:w="57" w:type="dxa"/>
              <w:bottom w:w="28" w:type="dxa"/>
              <w:right w:w="57" w:type="dxa"/>
            </w:tcMar>
            <w:hideMark/>
          </w:tcPr>
          <w:p w14:paraId="4102B9E9" w14:textId="6FFEFB2C" w:rsidR="00607B78" w:rsidRPr="009C2953" w:rsidRDefault="00607B78" w:rsidP="00A068F8">
            <w:pPr>
              <w:pStyle w:val="Normal-pool"/>
              <w:spacing w:before="40" w:after="40"/>
              <w:rPr>
                <w:sz w:val="18"/>
                <w:szCs w:val="18"/>
              </w:rPr>
            </w:pPr>
            <w:r w:rsidRPr="009C2953">
              <w:rPr>
                <w:sz w:val="18"/>
              </w:rPr>
              <w:t xml:space="preserve">Troisième </w:t>
            </w:r>
            <w:r w:rsidR="00FA7442">
              <w:rPr>
                <w:sz w:val="18"/>
              </w:rPr>
              <w:br/>
            </w:r>
            <w:r w:rsidRPr="009C2953">
              <w:rPr>
                <w:sz w:val="18"/>
              </w:rPr>
              <w:t>trimestre</w:t>
            </w:r>
          </w:p>
        </w:tc>
        <w:tc>
          <w:tcPr>
            <w:tcW w:w="7031" w:type="dxa"/>
            <w:tcMar>
              <w:top w:w="28" w:type="dxa"/>
              <w:left w:w="57" w:type="dxa"/>
              <w:bottom w:w="28" w:type="dxa"/>
              <w:right w:w="57" w:type="dxa"/>
            </w:tcMar>
            <w:hideMark/>
          </w:tcPr>
          <w:p w14:paraId="20A2F849" w14:textId="3F778BEA" w:rsidR="00607B78" w:rsidRPr="009C2953" w:rsidRDefault="00607B78" w:rsidP="00A068F8">
            <w:pPr>
              <w:pStyle w:val="Normal-pool"/>
              <w:spacing w:before="40" w:after="40"/>
              <w:rPr>
                <w:sz w:val="18"/>
                <w:szCs w:val="18"/>
              </w:rPr>
            </w:pPr>
            <w:r w:rsidRPr="009C2953">
              <w:rPr>
                <w:sz w:val="18"/>
              </w:rPr>
              <w:t>Examen final (objectif : huit semaines) - versions définitives</w:t>
            </w:r>
            <w:r w:rsidR="00D24DC1" w:rsidRPr="009C2953">
              <w:rPr>
                <w:sz w:val="18"/>
              </w:rPr>
              <w:t xml:space="preserve"> des </w:t>
            </w:r>
            <w:r w:rsidRPr="009C2953">
              <w:rPr>
                <w:sz w:val="18"/>
              </w:rPr>
              <w:t>projets de chapitre</w:t>
            </w:r>
            <w:r w:rsidR="004758E3" w:rsidRPr="009C2953">
              <w:rPr>
                <w:sz w:val="18"/>
              </w:rPr>
              <w:t>s</w:t>
            </w:r>
            <w:r w:rsidRPr="009C2953">
              <w:rPr>
                <w:sz w:val="18"/>
              </w:rPr>
              <w:t xml:space="preserve"> </w:t>
            </w:r>
            <w:r w:rsidR="004758E3" w:rsidRPr="009C2953">
              <w:rPr>
                <w:sz w:val="18"/>
              </w:rPr>
              <w:t xml:space="preserve">et </w:t>
            </w:r>
            <w:r w:rsidRPr="009C2953">
              <w:rPr>
                <w:sz w:val="18"/>
              </w:rPr>
              <w:t>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diffusées pour examen par</w:t>
            </w:r>
            <w:r w:rsidR="00F34644" w:rsidRPr="009C2953">
              <w:rPr>
                <w:sz w:val="18"/>
              </w:rPr>
              <w:t xml:space="preserve"> les </w:t>
            </w:r>
            <w:r w:rsidRPr="009C2953">
              <w:rPr>
                <w:sz w:val="18"/>
              </w:rPr>
              <w:t>gouvernements.</w:t>
            </w:r>
          </w:p>
        </w:tc>
      </w:tr>
      <w:tr w:rsidR="00607B78" w:rsidRPr="009C2953" w14:paraId="7B356B06" w14:textId="77777777" w:rsidTr="00A068F8">
        <w:trPr>
          <w:trHeight w:val="57"/>
          <w:jc w:val="right"/>
        </w:trPr>
        <w:tc>
          <w:tcPr>
            <w:tcW w:w="1276" w:type="dxa"/>
            <w:vMerge w:val="restart"/>
            <w:tcBorders>
              <w:top w:val="nil"/>
              <w:left w:val="nil"/>
              <w:bottom w:val="single" w:sz="12" w:space="0" w:color="auto"/>
              <w:right w:val="nil"/>
            </w:tcBorders>
            <w:tcMar>
              <w:top w:w="28" w:type="dxa"/>
              <w:left w:w="57" w:type="dxa"/>
              <w:bottom w:w="28" w:type="dxa"/>
              <w:right w:w="57" w:type="dxa"/>
            </w:tcMar>
            <w:hideMark/>
          </w:tcPr>
          <w:p w14:paraId="73185CFB" w14:textId="0DAED2AE" w:rsidR="00607B78" w:rsidRPr="009C2953" w:rsidRDefault="00607B78" w:rsidP="00A068F8">
            <w:pPr>
              <w:pStyle w:val="Normal-pool"/>
              <w:spacing w:before="40" w:after="40"/>
              <w:rPr>
                <w:sz w:val="18"/>
                <w:szCs w:val="18"/>
              </w:rPr>
            </w:pPr>
            <w:r w:rsidRPr="009C2953">
              <w:rPr>
                <w:sz w:val="18"/>
              </w:rPr>
              <w:t xml:space="preserve">Quatrième </w:t>
            </w:r>
            <w:r w:rsidR="00FA7442">
              <w:rPr>
                <w:sz w:val="18"/>
              </w:rPr>
              <w:br/>
            </w:r>
            <w:r w:rsidRPr="009C2953">
              <w:rPr>
                <w:sz w:val="18"/>
              </w:rPr>
              <w:t>trimestre</w:t>
            </w:r>
          </w:p>
        </w:tc>
        <w:tc>
          <w:tcPr>
            <w:tcW w:w="7031" w:type="dxa"/>
            <w:tcMar>
              <w:top w:w="28" w:type="dxa"/>
              <w:left w:w="57" w:type="dxa"/>
              <w:bottom w:w="28" w:type="dxa"/>
              <w:right w:w="57" w:type="dxa"/>
            </w:tcMar>
            <w:hideMark/>
          </w:tcPr>
          <w:p w14:paraId="08B3F7C8" w14:textId="633CC1F8" w:rsidR="00607B78" w:rsidRPr="009C2953" w:rsidRDefault="00607B78" w:rsidP="00A068F8">
            <w:pPr>
              <w:pStyle w:val="Normal-pool"/>
              <w:spacing w:before="40" w:after="40"/>
              <w:rPr>
                <w:sz w:val="18"/>
                <w:szCs w:val="18"/>
              </w:rPr>
            </w:pPr>
            <w:r w:rsidRPr="009C2953">
              <w:rPr>
                <w:sz w:val="18"/>
              </w:rPr>
              <w:t>Examen par</w:t>
            </w:r>
            <w:r w:rsidR="00F34644" w:rsidRPr="009C2953">
              <w:rPr>
                <w:sz w:val="18"/>
              </w:rPr>
              <w:t xml:space="preserve"> la </w:t>
            </w:r>
            <w:r w:rsidRPr="009C2953">
              <w:rPr>
                <w:sz w:val="18"/>
              </w:rPr>
              <w:t>Plénière, à</w:t>
            </w:r>
            <w:r w:rsidR="00F34644" w:rsidRPr="009C2953">
              <w:rPr>
                <w:sz w:val="18"/>
              </w:rPr>
              <w:t xml:space="preserve"> sa </w:t>
            </w:r>
            <w:r w:rsidRPr="009C2953">
              <w:rPr>
                <w:sz w:val="18"/>
              </w:rPr>
              <w:t>treizième session,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pour approbation et</w:t>
            </w:r>
            <w:r w:rsidR="00D24DC1" w:rsidRPr="009C2953">
              <w:rPr>
                <w:sz w:val="18"/>
              </w:rPr>
              <w:t xml:space="preserve"> des </w:t>
            </w:r>
            <w:r w:rsidRPr="009C2953">
              <w:rPr>
                <w:sz w:val="18"/>
              </w:rPr>
              <w:t>chapitres pour acceptation.</w:t>
            </w:r>
          </w:p>
        </w:tc>
      </w:tr>
      <w:tr w:rsidR="00607B78" w:rsidRPr="009C2953" w14:paraId="3B56D98D" w14:textId="77777777" w:rsidTr="00A068F8">
        <w:trPr>
          <w:trHeight w:val="179"/>
          <w:jc w:val="right"/>
        </w:trPr>
        <w:tc>
          <w:tcPr>
            <w:tcW w:w="0" w:type="auto"/>
            <w:vMerge/>
            <w:tcBorders>
              <w:top w:val="nil"/>
              <w:left w:val="nil"/>
              <w:bottom w:val="single" w:sz="12" w:space="0" w:color="auto"/>
              <w:right w:val="nil"/>
            </w:tcBorders>
            <w:vAlign w:val="center"/>
            <w:hideMark/>
          </w:tcPr>
          <w:p w14:paraId="4B57CE4C" w14:textId="77777777" w:rsidR="00607B78" w:rsidRPr="009C2953" w:rsidRDefault="00607B78" w:rsidP="00A068F8">
            <w:pPr>
              <w:rPr>
                <w:sz w:val="18"/>
                <w:szCs w:val="18"/>
                <w:lang w:val="fr-FR"/>
              </w:rPr>
            </w:pPr>
          </w:p>
        </w:tc>
        <w:tc>
          <w:tcPr>
            <w:tcW w:w="7031" w:type="dxa"/>
            <w:tcBorders>
              <w:top w:val="nil"/>
              <w:left w:val="nil"/>
              <w:bottom w:val="single" w:sz="12" w:space="0" w:color="000000"/>
              <w:right w:val="nil"/>
            </w:tcBorders>
            <w:tcMar>
              <w:top w:w="28" w:type="dxa"/>
              <w:left w:w="57" w:type="dxa"/>
              <w:bottom w:w="28" w:type="dxa"/>
              <w:right w:w="57" w:type="dxa"/>
            </w:tcMar>
            <w:hideMark/>
          </w:tcPr>
          <w:p w14:paraId="0292230A" w14:textId="58513D93" w:rsidR="00607B78" w:rsidRPr="009C2953" w:rsidRDefault="00607B78" w:rsidP="00A068F8">
            <w:pPr>
              <w:pStyle w:val="Normal-pool"/>
              <w:spacing w:before="40" w:after="40"/>
              <w:rPr>
                <w:sz w:val="18"/>
                <w:szCs w:val="18"/>
              </w:rPr>
            </w:pPr>
            <w:r w:rsidRPr="009C2953">
              <w:rPr>
                <w:sz w:val="18"/>
              </w:rPr>
              <w:t>Activités de communication en lien avec l</w:t>
            </w:r>
            <w:r w:rsidR="00EA2966" w:rsidRPr="009C2953">
              <w:rPr>
                <w:sz w:val="18"/>
              </w:rPr>
              <w:t>’</w:t>
            </w:r>
            <w:r w:rsidRPr="009C2953">
              <w:rPr>
                <w:sz w:val="18"/>
              </w:rPr>
              <w:t>évaluation (y compris</w:t>
            </w:r>
            <w:r w:rsidR="00D24DC1" w:rsidRPr="009C2953">
              <w:rPr>
                <w:sz w:val="18"/>
              </w:rPr>
              <w:t xml:space="preserve"> des </w:t>
            </w:r>
            <w:r w:rsidRPr="009C2953">
              <w:rPr>
                <w:sz w:val="18"/>
              </w:rPr>
              <w:t>fiches d</w:t>
            </w:r>
            <w:r w:rsidR="00EA2966" w:rsidRPr="009C2953">
              <w:rPr>
                <w:sz w:val="18"/>
              </w:rPr>
              <w:t>’</w:t>
            </w:r>
            <w:r w:rsidRPr="009C2953">
              <w:rPr>
                <w:sz w:val="18"/>
              </w:rPr>
              <w:t>information)</w:t>
            </w:r>
          </w:p>
        </w:tc>
      </w:tr>
    </w:tbl>
    <w:p w14:paraId="0DE4C26E" w14:textId="77777777" w:rsidR="00607B78" w:rsidRPr="009C2953" w:rsidRDefault="00607B78" w:rsidP="00607B78">
      <w:pPr>
        <w:pStyle w:val="Normal-pool"/>
      </w:pPr>
    </w:p>
    <w:p w14:paraId="1C03B607" w14:textId="77777777" w:rsidR="00607B78" w:rsidRPr="009C2953" w:rsidRDefault="00607B78" w:rsidP="00607B78">
      <w:pPr>
        <w:pStyle w:val="CH1"/>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556AE9A2" w14:textId="34DDFDCD" w:rsidR="00607B78" w:rsidRPr="009C2953" w:rsidRDefault="00607B78" w:rsidP="00607B78">
      <w:pPr>
        <w:pStyle w:val="CH1"/>
      </w:pPr>
      <w:r w:rsidRPr="009C2953">
        <w:lastRenderedPageBreak/>
        <w:tab/>
      </w:r>
      <w:r w:rsidRPr="009C2953">
        <w:tab/>
        <w:t>Annexe II à</w:t>
      </w:r>
      <w:r w:rsidR="00F34644" w:rsidRPr="009C2953">
        <w:t xml:space="preserve"> la </w:t>
      </w:r>
      <w:r w:rsidRPr="009C2953">
        <w:t>décision IPBES-10/1</w:t>
      </w:r>
    </w:p>
    <w:p w14:paraId="0191C372" w14:textId="7D3E0D0C" w:rsidR="00607B78" w:rsidRPr="009C2953" w:rsidRDefault="00607B78" w:rsidP="00607B78">
      <w:pPr>
        <w:pStyle w:val="CH1"/>
      </w:pPr>
      <w:r w:rsidRPr="009C2953">
        <w:tab/>
      </w:r>
      <w:r w:rsidRPr="009C2953">
        <w:tab/>
        <w:t>Rapport de cadrage pour</w:t>
      </w:r>
      <w:r w:rsidR="00F34644" w:rsidRPr="009C2953">
        <w:t xml:space="preserve"> une </w:t>
      </w:r>
      <w:r w:rsidRPr="009C2953">
        <w:t>évaluation méthodologique de</w:t>
      </w:r>
      <w:r w:rsidR="009F22C5" w:rsidRPr="009C2953">
        <w:t> </w:t>
      </w:r>
      <w:r w:rsidRPr="009C2953">
        <w:t>l</w:t>
      </w:r>
      <w:r w:rsidR="00EA2966" w:rsidRPr="009C2953">
        <w:t>’</w:t>
      </w:r>
      <w:r w:rsidRPr="009C2953">
        <w:t>aménagement intégré du territoire tenant compte de</w:t>
      </w:r>
      <w:r w:rsidR="00F34644" w:rsidRPr="009C2953">
        <w:t xml:space="preserve"> la </w:t>
      </w:r>
      <w:r w:rsidRPr="009C2953">
        <w:t>biodiversité et de</w:t>
      </w:r>
      <w:r w:rsidR="00F34644" w:rsidRPr="009C2953">
        <w:t xml:space="preserve"> la </w:t>
      </w:r>
      <w:r w:rsidRPr="009C2953">
        <w:t xml:space="preserve">connectivité écologique </w:t>
      </w:r>
    </w:p>
    <w:p w14:paraId="5003ACDA" w14:textId="739328BC" w:rsidR="00607B78" w:rsidRPr="009C2953" w:rsidRDefault="00607B78" w:rsidP="00607B78">
      <w:pPr>
        <w:pStyle w:val="CH1"/>
      </w:pPr>
      <w:r w:rsidRPr="009C2953">
        <w:tab/>
        <w:t>I.</w:t>
      </w:r>
      <w:r w:rsidRPr="009C2953">
        <w:tab/>
        <w:t>Portée, fondements, calendrier, couverture géographique et</w:t>
      </w:r>
      <w:r w:rsidR="009F22C5" w:rsidRPr="009C2953">
        <w:t> </w:t>
      </w:r>
      <w:r w:rsidRPr="009C2953">
        <w:t>approche méthodologique</w:t>
      </w:r>
    </w:p>
    <w:p w14:paraId="380B0921" w14:textId="77777777" w:rsidR="00607B78" w:rsidRPr="009C2953" w:rsidRDefault="00607B78" w:rsidP="00607B78">
      <w:pPr>
        <w:pStyle w:val="CH2"/>
      </w:pPr>
      <w:r w:rsidRPr="009C2953">
        <w:tab/>
        <w:t>A.</w:t>
      </w:r>
      <w:r w:rsidRPr="009C2953">
        <w:tab/>
        <w:t xml:space="preserve">Portée et fondements </w:t>
      </w:r>
    </w:p>
    <w:p w14:paraId="1A6A0571" w14:textId="27F5B17E" w:rsidR="00607B78" w:rsidRPr="009C2953" w:rsidRDefault="00E7452F" w:rsidP="00E7452F">
      <w:pPr>
        <w:pStyle w:val="NormalNonumber"/>
      </w:pPr>
      <w:r w:rsidRPr="009C2953">
        <w:t>1.</w:t>
      </w:r>
      <w:r w:rsidRPr="009C2953">
        <w:tab/>
      </w:r>
      <w:r w:rsidR="00607B78" w:rsidRPr="009C2953">
        <w:t>L</w:t>
      </w:r>
      <w:r w:rsidR="00EA2966" w:rsidRPr="009C2953">
        <w:t>’</w:t>
      </w:r>
      <w:r w:rsidR="00607B78" w:rsidRPr="009C2953">
        <w:t>évaluation méthodologique de l</w:t>
      </w:r>
      <w:r w:rsidR="00EA2966" w:rsidRPr="009C2953">
        <w:t>’</w:t>
      </w:r>
      <w:r w:rsidR="00607B78" w:rsidRPr="009C2953">
        <w:t>aménagement intégré du territoire tenant compte de</w:t>
      </w:r>
      <w:r w:rsidR="0041729B" w:rsidRPr="009C2953">
        <w:t> </w:t>
      </w:r>
      <w:r w:rsidR="00F34644" w:rsidRPr="009C2953">
        <w:t>la </w:t>
      </w:r>
      <w:r w:rsidR="00607B78" w:rsidRPr="009C2953">
        <w:t>biodiversité et de</w:t>
      </w:r>
      <w:r w:rsidR="00F34644" w:rsidRPr="009C2953">
        <w:t xml:space="preserve"> la </w:t>
      </w:r>
      <w:r w:rsidR="00607B78" w:rsidRPr="009C2953">
        <w:t>connectivité écologique portera sur l</w:t>
      </w:r>
      <w:r w:rsidR="00EA2966" w:rsidRPr="009C2953">
        <w:t>’</w:t>
      </w:r>
      <w:r w:rsidR="00607B78" w:rsidRPr="009C2953">
        <w:t>affectation et</w:t>
      </w:r>
      <w:r w:rsidR="00F34644" w:rsidRPr="009C2953">
        <w:t xml:space="preserve"> les </w:t>
      </w:r>
      <w:r w:rsidR="00607B78" w:rsidRPr="009C2953">
        <w:t>changements d</w:t>
      </w:r>
      <w:r w:rsidR="00EA2966" w:rsidRPr="009C2953">
        <w:t>’</w:t>
      </w:r>
      <w:r w:rsidR="00607B78" w:rsidRPr="009C2953">
        <w:t>affectation</w:t>
      </w:r>
      <w:r w:rsidR="00D24DC1" w:rsidRPr="009C2953">
        <w:t xml:space="preserve"> des </w:t>
      </w:r>
      <w:r w:rsidR="00607B78" w:rsidRPr="009C2953">
        <w:t>terres,</w:t>
      </w:r>
      <w:r w:rsidR="00D24DC1" w:rsidRPr="009C2953">
        <w:t xml:space="preserve"> des </w:t>
      </w:r>
      <w:r w:rsidR="00607B78" w:rsidRPr="009C2953">
        <w:t>eaux intérieures et</w:t>
      </w:r>
      <w:r w:rsidR="00D24DC1" w:rsidRPr="009C2953">
        <w:t xml:space="preserve"> des </w:t>
      </w:r>
      <w:r w:rsidR="00607B78" w:rsidRPr="009C2953">
        <w:t>mers,</w:t>
      </w:r>
      <w:r w:rsidR="00F34644" w:rsidRPr="009C2953">
        <w:t xml:space="preserve"> y </w:t>
      </w:r>
      <w:r w:rsidR="00607B78" w:rsidRPr="009C2953">
        <w:t>compris</w:t>
      </w:r>
      <w:r w:rsidR="00F34644" w:rsidRPr="009C2953">
        <w:t xml:space="preserve"> les </w:t>
      </w:r>
      <w:r w:rsidR="00607B78" w:rsidRPr="009C2953">
        <w:t>zones situées au-delà</w:t>
      </w:r>
      <w:r w:rsidR="00D24DC1" w:rsidRPr="009C2953">
        <w:t xml:space="preserve"> des </w:t>
      </w:r>
      <w:r w:rsidR="00607B78" w:rsidRPr="009C2953">
        <w:t>limites de</w:t>
      </w:r>
      <w:r w:rsidR="00F34644" w:rsidRPr="009C2953">
        <w:t xml:space="preserve"> la </w:t>
      </w:r>
      <w:r w:rsidR="00607B78" w:rsidRPr="009C2953">
        <w:t>juridiction nationale. Dans</w:t>
      </w:r>
      <w:r w:rsidR="00F34644" w:rsidRPr="009C2953">
        <w:t xml:space="preserve"> son </w:t>
      </w:r>
      <w:r w:rsidR="00607B78" w:rsidRPr="009C2953">
        <w:rPr>
          <w:i/>
        </w:rPr>
        <w:t>Rapport de l</w:t>
      </w:r>
      <w:r w:rsidR="00EA2966" w:rsidRPr="009C2953">
        <w:rPr>
          <w:i/>
        </w:rPr>
        <w:t>’</w:t>
      </w:r>
      <w:r w:rsidR="00607B78" w:rsidRPr="009C2953">
        <w:rPr>
          <w:i/>
        </w:rPr>
        <w:t>évaluation mondiale de</w:t>
      </w:r>
      <w:r w:rsidR="00F34644" w:rsidRPr="009C2953">
        <w:rPr>
          <w:i/>
        </w:rPr>
        <w:t xml:space="preserve"> la </w:t>
      </w:r>
      <w:r w:rsidR="00607B78" w:rsidRPr="009C2953">
        <w:rPr>
          <w:i/>
        </w:rPr>
        <w:t>biodiversité et</w:t>
      </w:r>
      <w:r w:rsidR="000C6D71" w:rsidRPr="009C2953">
        <w:rPr>
          <w:i/>
        </w:rPr>
        <w:t> </w:t>
      </w:r>
      <w:r w:rsidR="00D24DC1" w:rsidRPr="009C2953">
        <w:rPr>
          <w:i/>
        </w:rPr>
        <w:t>des </w:t>
      </w:r>
      <w:r w:rsidR="00607B78" w:rsidRPr="009C2953">
        <w:rPr>
          <w:i/>
        </w:rPr>
        <w:t>services écosystémiques</w:t>
      </w:r>
      <w:r w:rsidR="00607B78" w:rsidRPr="009C2953">
        <w:t>,</w:t>
      </w:r>
      <w:r w:rsidR="00F34644" w:rsidRPr="009C2953">
        <w:t xml:space="preserve"> la </w:t>
      </w:r>
      <w:r w:rsidR="00607B78" w:rsidRPr="009C2953">
        <w:t>Plateforme a établi que</w:t>
      </w:r>
      <w:r w:rsidR="00F34644" w:rsidRPr="009C2953">
        <w:t xml:space="preserve"> le </w:t>
      </w:r>
      <w:r w:rsidR="00607B78" w:rsidRPr="009C2953">
        <w:t>changement d</w:t>
      </w:r>
      <w:r w:rsidR="00EA2966" w:rsidRPr="009C2953">
        <w:t>’</w:t>
      </w:r>
      <w:r w:rsidR="00607B78" w:rsidRPr="009C2953">
        <w:t>affectation</w:t>
      </w:r>
      <w:r w:rsidR="00D24DC1" w:rsidRPr="009C2953">
        <w:t xml:space="preserve"> des </w:t>
      </w:r>
      <w:r w:rsidR="00607B78" w:rsidRPr="009C2953">
        <w:t>terres était</w:t>
      </w:r>
      <w:r w:rsidR="00F34644" w:rsidRPr="009C2953">
        <w:t xml:space="preserve"> le </w:t>
      </w:r>
      <w:r w:rsidR="00607B78" w:rsidRPr="009C2953">
        <w:t>premier facteur direct d</w:t>
      </w:r>
      <w:r w:rsidR="00EA2966" w:rsidRPr="009C2953">
        <w:t>’</w:t>
      </w:r>
      <w:r w:rsidR="00607B78" w:rsidRPr="009C2953">
        <w:t>érosion de</w:t>
      </w:r>
      <w:r w:rsidR="00F34644" w:rsidRPr="009C2953">
        <w:t xml:space="preserve"> la </w:t>
      </w:r>
      <w:r w:rsidR="00607B78" w:rsidRPr="009C2953">
        <w:t>biodiversité pour</w:t>
      </w:r>
      <w:r w:rsidR="00F34644" w:rsidRPr="009C2953">
        <w:t xml:space="preserve"> les </w:t>
      </w:r>
      <w:r w:rsidR="00607B78" w:rsidRPr="009C2953">
        <w:t>écosystèmes terrestres et d</w:t>
      </w:r>
      <w:r w:rsidR="00EA2966" w:rsidRPr="009C2953">
        <w:t>’</w:t>
      </w:r>
      <w:r w:rsidR="00607B78" w:rsidRPr="009C2953">
        <w:t>eau douce, et</w:t>
      </w:r>
      <w:r w:rsidR="000C6D71" w:rsidRPr="009C2953">
        <w:t> </w:t>
      </w:r>
      <w:r w:rsidR="00F34644" w:rsidRPr="009C2953">
        <w:t>le </w:t>
      </w:r>
      <w:r w:rsidR="00607B78" w:rsidRPr="009C2953">
        <w:t>changement d</w:t>
      </w:r>
      <w:r w:rsidR="00EA2966" w:rsidRPr="009C2953">
        <w:t>’</w:t>
      </w:r>
      <w:r w:rsidR="00607B78" w:rsidRPr="009C2953">
        <w:t>affectation</w:t>
      </w:r>
      <w:r w:rsidR="00D24DC1" w:rsidRPr="009C2953">
        <w:t xml:space="preserve"> des </w:t>
      </w:r>
      <w:r w:rsidR="00607B78" w:rsidRPr="009C2953">
        <w:t>mers,</w:t>
      </w:r>
      <w:r w:rsidR="00F34644" w:rsidRPr="009C2953">
        <w:t xml:space="preserve"> le </w:t>
      </w:r>
      <w:r w:rsidR="00607B78" w:rsidRPr="009C2953">
        <w:t>deuxième facteur direct pour</w:t>
      </w:r>
      <w:r w:rsidR="00F34644" w:rsidRPr="009C2953">
        <w:t xml:space="preserve"> les </w:t>
      </w:r>
      <w:r w:rsidR="00607B78" w:rsidRPr="009C2953">
        <w:t>écosystèmes marins. L</w:t>
      </w:r>
      <w:r w:rsidR="00EA2966" w:rsidRPr="009C2953">
        <w:t>’</w:t>
      </w:r>
      <w:r w:rsidR="00607B78" w:rsidRPr="009C2953">
        <w:t>évaluation fournira</w:t>
      </w:r>
      <w:r w:rsidR="00D24DC1" w:rsidRPr="009C2953">
        <w:t xml:space="preserve"> des </w:t>
      </w:r>
      <w:r w:rsidR="00607B78" w:rsidRPr="009C2953">
        <w:t>options pour éviter</w:t>
      </w:r>
      <w:r w:rsidR="00F34644" w:rsidRPr="009C2953">
        <w:t xml:space="preserve"> les </w:t>
      </w:r>
      <w:r w:rsidR="00607B78" w:rsidRPr="009C2953">
        <w:t>changements d</w:t>
      </w:r>
      <w:r w:rsidR="00EA2966" w:rsidRPr="009C2953">
        <w:t>’</w:t>
      </w:r>
      <w:r w:rsidR="00607B78" w:rsidRPr="009C2953">
        <w:t>affectation</w:t>
      </w:r>
      <w:r w:rsidR="00D24DC1" w:rsidRPr="009C2953">
        <w:t xml:space="preserve"> des </w:t>
      </w:r>
      <w:r w:rsidR="00607B78" w:rsidRPr="009C2953">
        <w:t>terres et</w:t>
      </w:r>
      <w:r w:rsidR="00D24DC1" w:rsidRPr="009C2953">
        <w:t xml:space="preserve"> des </w:t>
      </w:r>
      <w:r w:rsidR="00607B78" w:rsidRPr="009C2953">
        <w:t>mers qui</w:t>
      </w:r>
      <w:r w:rsidR="00460DF0" w:rsidRPr="009C2953">
        <w:t> </w:t>
      </w:r>
      <w:r w:rsidR="00607B78" w:rsidRPr="009C2953">
        <w:t>ont</w:t>
      </w:r>
      <w:r w:rsidR="00D24DC1" w:rsidRPr="009C2953">
        <w:t xml:space="preserve"> des </w:t>
      </w:r>
      <w:r w:rsidR="00607B78" w:rsidRPr="009C2953">
        <w:t>incidences négatives sur</w:t>
      </w:r>
      <w:r w:rsidR="00F34644" w:rsidRPr="009C2953">
        <w:t xml:space="preserve"> la </w:t>
      </w:r>
      <w:r w:rsidR="00607B78" w:rsidRPr="009C2953">
        <w:t>biodiversité et pour améliorer</w:t>
      </w:r>
      <w:r w:rsidR="00F34644" w:rsidRPr="009C2953">
        <w:t xml:space="preserve"> la </w:t>
      </w:r>
      <w:r w:rsidR="00607B78" w:rsidRPr="009C2953">
        <w:t>planification afin de garantir</w:t>
      </w:r>
      <w:r w:rsidR="00F34644" w:rsidRPr="009C2953">
        <w:t xml:space="preserve"> la </w:t>
      </w:r>
      <w:r w:rsidR="00607B78" w:rsidRPr="009C2953">
        <w:t>conservation,</w:t>
      </w:r>
      <w:r w:rsidR="00F34644" w:rsidRPr="009C2953">
        <w:t xml:space="preserve"> la </w:t>
      </w:r>
      <w:r w:rsidR="00607B78" w:rsidRPr="009C2953">
        <w:t>restauration et l</w:t>
      </w:r>
      <w:r w:rsidR="00EA2966" w:rsidRPr="009C2953">
        <w:t>’</w:t>
      </w:r>
      <w:r w:rsidR="00607B78" w:rsidRPr="009C2953">
        <w:t>utilisation durable de</w:t>
      </w:r>
      <w:r w:rsidR="00F34644" w:rsidRPr="009C2953">
        <w:t xml:space="preserve"> la </w:t>
      </w:r>
      <w:r w:rsidR="00607B78" w:rsidRPr="009C2953">
        <w:t>nature ainsi que ses contributions</w:t>
      </w:r>
      <w:r w:rsidR="00F34644" w:rsidRPr="009C2953">
        <w:t xml:space="preserve"> aux </w:t>
      </w:r>
      <w:r w:rsidR="00607B78" w:rsidRPr="009C2953">
        <w:t>populations, à toutes</w:t>
      </w:r>
      <w:r w:rsidR="00F34644" w:rsidRPr="009C2953">
        <w:t xml:space="preserve"> les </w:t>
      </w:r>
      <w:r w:rsidR="00607B78" w:rsidRPr="009C2953">
        <w:t>échelles spatiales et temporelles, en tenant dûment compte</w:t>
      </w:r>
      <w:r w:rsidR="00D24DC1" w:rsidRPr="009C2953">
        <w:t xml:space="preserve"> des </w:t>
      </w:r>
      <w:r w:rsidR="00607B78" w:rsidRPr="009C2953">
        <w:t>différentes situations régionales et nationales et de</w:t>
      </w:r>
      <w:r w:rsidR="00F34644" w:rsidRPr="009C2953">
        <w:t xml:space="preserve"> la </w:t>
      </w:r>
      <w:r w:rsidR="00607B78" w:rsidRPr="009C2953">
        <w:t>nécessité d</w:t>
      </w:r>
      <w:r w:rsidR="00EA2966" w:rsidRPr="009C2953">
        <w:t>’</w:t>
      </w:r>
      <w:r w:rsidR="00607B78" w:rsidRPr="009C2953">
        <w:t>assurer</w:t>
      </w:r>
      <w:r w:rsidR="00D24DC1" w:rsidRPr="009C2953">
        <w:t xml:space="preserve"> des </w:t>
      </w:r>
      <w:r w:rsidR="00607B78" w:rsidRPr="009C2953">
        <w:t>moyens de subsistance durables.</w:t>
      </w:r>
    </w:p>
    <w:p w14:paraId="705F7A58" w14:textId="4EC85112" w:rsidR="00607B78" w:rsidRPr="009C2953" w:rsidRDefault="00DB5946" w:rsidP="00DB5946">
      <w:pPr>
        <w:pStyle w:val="NormalNonumber"/>
      </w:pPr>
      <w:r w:rsidRPr="009C2953">
        <w:t>2.</w:t>
      </w:r>
      <w:r w:rsidRPr="009C2953">
        <w:tab/>
      </w:r>
      <w:r w:rsidR="00607B78" w:rsidRPr="009C2953">
        <w:t>L</w:t>
      </w:r>
      <w:r w:rsidR="00EA2966" w:rsidRPr="009C2953">
        <w:t>’</w:t>
      </w:r>
      <w:r w:rsidR="00607B78" w:rsidRPr="009C2953">
        <w:t>évaluation sera directement liée</w:t>
      </w:r>
      <w:r w:rsidR="00F34644" w:rsidRPr="009C2953">
        <w:t xml:space="preserve"> aux </w:t>
      </w:r>
      <w:r w:rsidR="00607B78" w:rsidRPr="009C2953">
        <w:t>objectifs du Cadre mondial de</w:t>
      </w:r>
      <w:r w:rsidR="00F34644" w:rsidRPr="009C2953">
        <w:t xml:space="preserve"> la </w:t>
      </w:r>
      <w:r w:rsidR="00607B78" w:rsidRPr="009C2953">
        <w:t>biodiversité de</w:t>
      </w:r>
      <w:r w:rsidR="00460DF0" w:rsidRPr="009C2953">
        <w:t> </w:t>
      </w:r>
      <w:r w:rsidR="00607B78" w:rsidRPr="009C2953">
        <w:t>Kunming-Montréal. Elle viendra également étayer</w:t>
      </w:r>
      <w:r w:rsidR="00F34644" w:rsidRPr="009C2953">
        <w:t xml:space="preserve"> la </w:t>
      </w:r>
      <w:r w:rsidR="00607B78" w:rsidRPr="009C2953">
        <w:t>réalisation du Programme de développement durable à l</w:t>
      </w:r>
      <w:r w:rsidR="00EA2966" w:rsidRPr="009C2953">
        <w:t>’</w:t>
      </w:r>
      <w:r w:rsidR="00607B78" w:rsidRPr="009C2953">
        <w:t>horizon 2030 et de ses objectifs de développement durable, et elle éclairera</w:t>
      </w:r>
      <w:r w:rsidR="004E08CE" w:rsidRPr="009C2953">
        <w:t xml:space="preserve"> d</w:t>
      </w:r>
      <w:r w:rsidR="00EA2966" w:rsidRPr="009C2953">
        <w:t>’</w:t>
      </w:r>
      <w:r w:rsidR="004E08CE" w:rsidRPr="009C2953">
        <w:t>autres processus et initiatives au titre</w:t>
      </w:r>
      <w:r w:rsidR="00D24DC1" w:rsidRPr="009C2953">
        <w:t xml:space="preserve"> des </w:t>
      </w:r>
      <w:r w:rsidR="004E08CE" w:rsidRPr="009C2953">
        <w:t>accords multilatéraux concernés, no</w:t>
      </w:r>
      <w:r w:rsidR="00607B78" w:rsidRPr="009C2953">
        <w:t>tamment</w:t>
      </w:r>
      <w:r w:rsidR="00F34644" w:rsidRPr="009C2953">
        <w:t xml:space="preserve"> la </w:t>
      </w:r>
      <w:r w:rsidR="00607B78" w:rsidRPr="009C2953">
        <w:t>Convention sur</w:t>
      </w:r>
      <w:r w:rsidR="00F34644" w:rsidRPr="009C2953">
        <w:t xml:space="preserve"> la </w:t>
      </w:r>
      <w:r w:rsidR="00607B78" w:rsidRPr="009C2953">
        <w:t>conservation</w:t>
      </w:r>
      <w:r w:rsidR="00D24DC1" w:rsidRPr="009C2953">
        <w:t xml:space="preserve"> des </w:t>
      </w:r>
      <w:r w:rsidR="00607B78" w:rsidRPr="009C2953">
        <w:t>espèces migratrices appartenant à</w:t>
      </w:r>
      <w:r w:rsidR="00F34644" w:rsidRPr="009C2953">
        <w:t xml:space="preserve"> la </w:t>
      </w:r>
      <w:r w:rsidR="00607B78" w:rsidRPr="009C2953">
        <w:t>faune sauvage et</w:t>
      </w:r>
      <w:r w:rsidR="00F34644" w:rsidRPr="009C2953">
        <w:t xml:space="preserve"> la </w:t>
      </w:r>
      <w:r w:rsidR="00607B78" w:rsidRPr="009C2953">
        <w:t>Convention relative</w:t>
      </w:r>
      <w:r w:rsidR="00F34644" w:rsidRPr="009C2953">
        <w:t xml:space="preserve"> aux </w:t>
      </w:r>
      <w:r w:rsidR="00607B78" w:rsidRPr="009C2953">
        <w:t>zones humides d</w:t>
      </w:r>
      <w:r w:rsidR="00EA2966" w:rsidRPr="009C2953">
        <w:t>’</w:t>
      </w:r>
      <w:r w:rsidR="00607B78" w:rsidRPr="009C2953">
        <w:t>importance internationale particulièrement comme habitats</w:t>
      </w:r>
      <w:r w:rsidR="00D24DC1" w:rsidRPr="009C2953">
        <w:t xml:space="preserve"> des </w:t>
      </w:r>
      <w:r w:rsidR="00607B78" w:rsidRPr="009C2953">
        <w:t>oiseaux d</w:t>
      </w:r>
      <w:r w:rsidR="00EA2966" w:rsidRPr="009C2953">
        <w:t>’</w:t>
      </w:r>
      <w:r w:rsidR="00607B78" w:rsidRPr="009C2953">
        <w:t>eau.</w:t>
      </w:r>
    </w:p>
    <w:p w14:paraId="19E567F3" w14:textId="4D85199E" w:rsidR="00607B78" w:rsidRPr="009C2953" w:rsidRDefault="00887C1D" w:rsidP="00887C1D">
      <w:pPr>
        <w:pStyle w:val="NormalNonumber"/>
      </w:pPr>
      <w:r w:rsidRPr="009C2953">
        <w:t>3.</w:t>
      </w:r>
      <w:r w:rsidRPr="009C2953">
        <w:tab/>
      </w:r>
      <w:r w:rsidR="00607B78" w:rsidRPr="009C2953">
        <w:t>L</w:t>
      </w:r>
      <w:r w:rsidR="00EA2966" w:rsidRPr="009C2953">
        <w:t>’</w:t>
      </w:r>
      <w:r w:rsidR="00607B78" w:rsidRPr="009C2953">
        <w:t>évaluation portera sur</w:t>
      </w:r>
      <w:r w:rsidR="00F34644" w:rsidRPr="009C2953">
        <w:t xml:space="preserve"> les </w:t>
      </w:r>
      <w:r w:rsidR="00607B78" w:rsidRPr="009C2953">
        <w:t>méthodes, orientations, outils, scénarios, modèles, données et connaissances nécessaires pour intégrer</w:t>
      </w:r>
      <w:r w:rsidR="00F34644" w:rsidRPr="009C2953">
        <w:t xml:space="preserve"> les </w:t>
      </w:r>
      <w:r w:rsidR="00607B78" w:rsidRPr="009C2953">
        <w:t>considérations relatives à</w:t>
      </w:r>
      <w:r w:rsidR="00F34644" w:rsidRPr="009C2953">
        <w:t xml:space="preserve"> la </w:t>
      </w:r>
      <w:r w:rsidR="00607B78" w:rsidRPr="009C2953">
        <w:t>biodiversité et promouvoir</w:t>
      </w:r>
      <w:r w:rsidR="00F34644" w:rsidRPr="009C2953">
        <w:t xml:space="preserve"> la </w:t>
      </w:r>
      <w:r w:rsidR="00607B78" w:rsidRPr="009C2953">
        <w:t>connectivité (structurelle et fonctionnelle) dans l</w:t>
      </w:r>
      <w:r w:rsidR="00EA2966" w:rsidRPr="009C2953">
        <w:t>’</w:t>
      </w:r>
      <w:r w:rsidR="00607B78" w:rsidRPr="009C2953">
        <w:t>aménagement du territoire, dans tous</w:t>
      </w:r>
      <w:r w:rsidR="00F34644" w:rsidRPr="009C2953">
        <w:t xml:space="preserve"> les </w:t>
      </w:r>
      <w:r w:rsidR="00607B78" w:rsidRPr="009C2953">
        <w:t>secteurs et à toutes</w:t>
      </w:r>
      <w:r w:rsidR="00F34644" w:rsidRPr="009C2953">
        <w:t xml:space="preserve"> les </w:t>
      </w:r>
      <w:r w:rsidR="00607B78" w:rsidRPr="009C2953">
        <w:t>échelles, ainsi que sur</w:t>
      </w:r>
      <w:r w:rsidR="00F34644" w:rsidRPr="009C2953">
        <w:t xml:space="preserve"> le </w:t>
      </w:r>
      <w:r w:rsidR="00607B78" w:rsidRPr="009C2953">
        <w:t>renforcement</w:t>
      </w:r>
      <w:r w:rsidR="00D24DC1" w:rsidRPr="009C2953">
        <w:t xml:space="preserve"> des </w:t>
      </w:r>
      <w:r w:rsidR="00607B78" w:rsidRPr="009C2953">
        <w:t>capacités connexes. Elle couvrira également</w:t>
      </w:r>
      <w:r w:rsidR="00F34644" w:rsidRPr="009C2953">
        <w:t xml:space="preserve"> les </w:t>
      </w:r>
      <w:r w:rsidR="00607B78" w:rsidRPr="009C2953">
        <w:t>enseignements tirés et</w:t>
      </w:r>
      <w:r w:rsidR="00F34644" w:rsidRPr="009C2953">
        <w:t xml:space="preserve"> les </w:t>
      </w:r>
      <w:r w:rsidR="00607B78" w:rsidRPr="009C2953">
        <w:t>meilleures pratiques en matière de recensement, de restauration et</w:t>
      </w:r>
      <w:r w:rsidR="00624275" w:rsidRPr="009C2953">
        <w:t> </w:t>
      </w:r>
      <w:r w:rsidR="00607B78" w:rsidRPr="009C2953">
        <w:t>d</w:t>
      </w:r>
      <w:r w:rsidR="00EA2966" w:rsidRPr="009C2953">
        <w:t>’</w:t>
      </w:r>
      <w:r w:rsidR="00607B78" w:rsidRPr="009C2953">
        <w:t>amélioration</w:t>
      </w:r>
      <w:r w:rsidR="00D24DC1" w:rsidRPr="009C2953">
        <w:t xml:space="preserve"> des </w:t>
      </w:r>
      <w:r w:rsidR="00607B78" w:rsidRPr="009C2953">
        <w:t>zones de connectivité écologique, en mettant l</w:t>
      </w:r>
      <w:r w:rsidR="00EA2966" w:rsidRPr="009C2953">
        <w:t>’</w:t>
      </w:r>
      <w:r w:rsidR="00607B78" w:rsidRPr="009C2953">
        <w:t>accent sur</w:t>
      </w:r>
      <w:r w:rsidR="00F34644" w:rsidRPr="009C2953">
        <w:t xml:space="preserve"> la </w:t>
      </w:r>
      <w:r w:rsidR="00607B78" w:rsidRPr="009C2953">
        <w:t>manière dont</w:t>
      </w:r>
      <w:r w:rsidR="00F34644" w:rsidRPr="009C2953">
        <w:t xml:space="preserve"> la </w:t>
      </w:r>
      <w:r w:rsidR="00607B78" w:rsidRPr="009C2953">
        <w:t>connectivité écologique contribue à</w:t>
      </w:r>
      <w:r w:rsidR="00F34644" w:rsidRPr="009C2953">
        <w:t xml:space="preserve"> la </w:t>
      </w:r>
      <w:r w:rsidR="00607B78" w:rsidRPr="009C2953">
        <w:t>conservation, à</w:t>
      </w:r>
      <w:r w:rsidR="00F34644" w:rsidRPr="009C2953">
        <w:t xml:space="preserve"> la </w:t>
      </w:r>
      <w:r w:rsidR="00607B78" w:rsidRPr="009C2953">
        <w:t>restauration, à l</w:t>
      </w:r>
      <w:r w:rsidR="00EA2966" w:rsidRPr="009C2953">
        <w:t>’</w:t>
      </w:r>
      <w:r w:rsidR="00607B78" w:rsidRPr="009C2953">
        <w:t>utilisation durable et</w:t>
      </w:r>
      <w:r w:rsidR="00624275" w:rsidRPr="009C2953">
        <w:t> </w:t>
      </w:r>
      <w:r w:rsidR="00607B78" w:rsidRPr="009C2953">
        <w:t>à</w:t>
      </w:r>
      <w:r w:rsidR="00624275" w:rsidRPr="009C2953">
        <w:t> </w:t>
      </w:r>
      <w:r w:rsidR="00F34644" w:rsidRPr="009C2953">
        <w:t>la </w:t>
      </w:r>
      <w:r w:rsidR="00607B78" w:rsidRPr="009C2953">
        <w:t>gestion de</w:t>
      </w:r>
      <w:r w:rsidR="00F34644" w:rsidRPr="009C2953">
        <w:t xml:space="preserve"> la </w:t>
      </w:r>
      <w:r w:rsidR="00607B78" w:rsidRPr="009C2953">
        <w:t>biodiversité, comme dans</w:t>
      </w:r>
      <w:r w:rsidR="00F34644" w:rsidRPr="009C2953">
        <w:t xml:space="preserve"> le </w:t>
      </w:r>
      <w:r w:rsidR="00607B78" w:rsidRPr="009C2953">
        <w:t>cas</w:t>
      </w:r>
      <w:r w:rsidR="00D24DC1" w:rsidRPr="009C2953">
        <w:t xml:space="preserve"> des </w:t>
      </w:r>
      <w:r w:rsidR="00607B78" w:rsidRPr="009C2953">
        <w:t>espèces migratrices</w:t>
      </w:r>
      <w:r w:rsidR="00672214" w:rsidRPr="009C2953">
        <w:t>, par exemple</w:t>
      </w:r>
      <w:r w:rsidR="00607B78" w:rsidRPr="009C2953">
        <w:t>.</w:t>
      </w:r>
    </w:p>
    <w:p w14:paraId="10D19100" w14:textId="45299958" w:rsidR="00607B78" w:rsidRPr="009C2953" w:rsidRDefault="00887C1D" w:rsidP="00887C1D">
      <w:pPr>
        <w:pStyle w:val="NormalNonumber"/>
      </w:pPr>
      <w:r w:rsidRPr="009C2953">
        <w:t>4.</w:t>
      </w:r>
      <w:r w:rsidRPr="009C2953">
        <w:tab/>
      </w:r>
      <w:r w:rsidR="00607B78" w:rsidRPr="009C2953">
        <w:t>L</w:t>
      </w:r>
      <w:r w:rsidR="00EA2966" w:rsidRPr="009C2953">
        <w:t>’</w:t>
      </w:r>
      <w:r w:rsidR="00607B78" w:rsidRPr="009C2953">
        <w:t>évaluation portera sur</w:t>
      </w:r>
      <w:r w:rsidR="00F34644" w:rsidRPr="009C2953">
        <w:t xml:space="preserve"> les </w:t>
      </w:r>
      <w:r w:rsidR="00607B78" w:rsidRPr="009C2953">
        <w:t>approches participatives en matière d</w:t>
      </w:r>
      <w:r w:rsidR="00EA2966" w:rsidRPr="009C2953">
        <w:t>’</w:t>
      </w:r>
      <w:r w:rsidR="00607B78" w:rsidRPr="009C2953">
        <w:t>aménagement du territoire,</w:t>
      </w:r>
      <w:r w:rsidR="00F34644" w:rsidRPr="009C2953">
        <w:t xml:space="preserve"> y </w:t>
      </w:r>
      <w:r w:rsidR="00607B78" w:rsidRPr="009C2953">
        <w:t>compris celles qui associent</w:t>
      </w:r>
      <w:r w:rsidR="00F34644" w:rsidRPr="009C2953">
        <w:t xml:space="preserve"> les </w:t>
      </w:r>
      <w:r w:rsidR="00607B78" w:rsidRPr="009C2953">
        <w:t>peuples autochtones et</w:t>
      </w:r>
      <w:r w:rsidR="00F34644" w:rsidRPr="009C2953">
        <w:t xml:space="preserve"> les </w:t>
      </w:r>
      <w:r w:rsidR="00607B78" w:rsidRPr="009C2953">
        <w:t>communautés locales, en accordant</w:t>
      </w:r>
      <w:r w:rsidR="00F34644" w:rsidRPr="009C2953">
        <w:t xml:space="preserve"> une </w:t>
      </w:r>
      <w:r w:rsidR="00607B78" w:rsidRPr="009C2953">
        <w:t>attention particulière</w:t>
      </w:r>
      <w:r w:rsidR="00F34644" w:rsidRPr="009C2953">
        <w:t xml:space="preserve"> aux </w:t>
      </w:r>
      <w:r w:rsidR="00607B78" w:rsidRPr="009C2953">
        <w:t>besoins</w:t>
      </w:r>
      <w:r w:rsidR="00D24DC1" w:rsidRPr="009C2953">
        <w:t xml:space="preserve"> des </w:t>
      </w:r>
      <w:r w:rsidR="00607B78" w:rsidRPr="009C2953">
        <w:t>pays en développement.</w:t>
      </w:r>
    </w:p>
    <w:p w14:paraId="52B4578F" w14:textId="4B172444" w:rsidR="00607B78" w:rsidRPr="009C2953" w:rsidRDefault="00887C1D" w:rsidP="00887C1D">
      <w:pPr>
        <w:pStyle w:val="NormalNonumber"/>
        <w:rPr>
          <w:color w:val="000000"/>
        </w:rPr>
      </w:pPr>
      <w:r w:rsidRPr="009C2953">
        <w:t>5.</w:t>
      </w:r>
      <w:r w:rsidRPr="009C2953">
        <w:tab/>
      </w:r>
      <w:r w:rsidR="00607B78" w:rsidRPr="009C2953">
        <w:t>L</w:t>
      </w:r>
      <w:r w:rsidR="00EA2966" w:rsidRPr="009C2953">
        <w:t>’</w:t>
      </w:r>
      <w:r w:rsidR="00607B78" w:rsidRPr="009C2953">
        <w:t>évaluation portera sur</w:t>
      </w:r>
      <w:r w:rsidR="00F34644" w:rsidRPr="009C2953">
        <w:t xml:space="preserve"> les </w:t>
      </w:r>
      <w:r w:rsidR="00607B78" w:rsidRPr="009C2953">
        <w:t>méthodes de recensement</w:t>
      </w:r>
      <w:r w:rsidR="00D24DC1" w:rsidRPr="009C2953">
        <w:t xml:space="preserve"> des </w:t>
      </w:r>
      <w:r w:rsidR="00607B78" w:rsidRPr="009C2953">
        <w:t>zones de conservation, d</w:t>
      </w:r>
      <w:r w:rsidR="00EA2966" w:rsidRPr="009C2953">
        <w:t>’</w:t>
      </w:r>
      <w:r w:rsidR="00607B78" w:rsidRPr="009C2953">
        <w:t>utilisation durable et de restauration,</w:t>
      </w:r>
      <w:r w:rsidR="00F34644" w:rsidRPr="009C2953">
        <w:t xml:space="preserve"> y </w:t>
      </w:r>
      <w:r w:rsidR="00607B78" w:rsidRPr="009C2953">
        <w:t>compris</w:t>
      </w:r>
      <w:r w:rsidR="00F34644" w:rsidRPr="009C2953">
        <w:t xml:space="preserve"> les </w:t>
      </w:r>
      <w:r w:rsidR="00607B78" w:rsidRPr="009C2953">
        <w:t>zones protégées et d</w:t>
      </w:r>
      <w:r w:rsidR="00EA2966" w:rsidRPr="009C2953">
        <w:t>’</w:t>
      </w:r>
      <w:r w:rsidR="00607B78" w:rsidRPr="009C2953">
        <w:t>autres mesures efficaces de conservation par zone.</w:t>
      </w:r>
      <w:r w:rsidR="00607B78" w:rsidRPr="009C2953">
        <w:rPr>
          <w:color w:val="000000"/>
        </w:rPr>
        <w:t xml:space="preserve"> </w:t>
      </w:r>
      <w:r w:rsidR="00607B78" w:rsidRPr="009C2953">
        <w:t>Elle montrera également comment l</w:t>
      </w:r>
      <w:r w:rsidR="00EA2966" w:rsidRPr="009C2953">
        <w:t>’</w:t>
      </w:r>
      <w:r w:rsidR="00607B78" w:rsidRPr="009C2953">
        <w:t>aménagement du territoire permet d</w:t>
      </w:r>
      <w:r w:rsidR="00EA2966" w:rsidRPr="009C2953">
        <w:t>’</w:t>
      </w:r>
      <w:r w:rsidR="00607B78" w:rsidRPr="009C2953">
        <w:t>établir de meilleurs compromis et de renforcer</w:t>
      </w:r>
      <w:r w:rsidR="00F34644" w:rsidRPr="009C2953">
        <w:t xml:space="preserve"> les </w:t>
      </w:r>
      <w:r w:rsidR="00607B78" w:rsidRPr="009C2953">
        <w:t>synergies entre</w:t>
      </w:r>
      <w:r w:rsidR="00F34644" w:rsidRPr="009C2953">
        <w:t xml:space="preserve"> les </w:t>
      </w:r>
      <w:r w:rsidR="00607B78" w:rsidRPr="009C2953">
        <w:t>différents types d</w:t>
      </w:r>
      <w:r w:rsidR="00EA2966" w:rsidRPr="009C2953">
        <w:t>’</w:t>
      </w:r>
      <w:r w:rsidR="00607B78" w:rsidRPr="009C2953">
        <w:t>affectation</w:t>
      </w:r>
      <w:r w:rsidR="00D24DC1" w:rsidRPr="009C2953">
        <w:t xml:space="preserve"> des </w:t>
      </w:r>
      <w:r w:rsidR="00607B78" w:rsidRPr="009C2953">
        <w:t>terres,</w:t>
      </w:r>
      <w:r w:rsidR="00D24DC1" w:rsidRPr="009C2953">
        <w:t xml:space="preserve"> des </w:t>
      </w:r>
      <w:r w:rsidR="00607B78" w:rsidRPr="009C2953">
        <w:t>eaux intérieures et</w:t>
      </w:r>
      <w:r w:rsidR="00D24DC1" w:rsidRPr="009C2953">
        <w:t xml:space="preserve"> des </w:t>
      </w:r>
      <w:r w:rsidR="00607B78" w:rsidRPr="009C2953">
        <w:t>mers afin d</w:t>
      </w:r>
      <w:r w:rsidR="00EA2966" w:rsidRPr="009C2953">
        <w:t>’</w:t>
      </w:r>
      <w:r w:rsidR="00607B78" w:rsidRPr="009C2953">
        <w:t>atteindre simultanément tout</w:t>
      </w:r>
      <w:r w:rsidR="00F34644" w:rsidRPr="009C2953">
        <w:t xml:space="preserve"> un </w:t>
      </w:r>
      <w:r w:rsidR="00607B78" w:rsidRPr="009C2953">
        <w:t>éventail d</w:t>
      </w:r>
      <w:r w:rsidR="00EA2966" w:rsidRPr="009C2953">
        <w:t>’</w:t>
      </w:r>
      <w:r w:rsidR="00607B78" w:rsidRPr="009C2953">
        <w:t>objectifs mondiaux, en</w:t>
      </w:r>
      <w:r w:rsidR="00460DF0" w:rsidRPr="009C2953">
        <w:t> </w:t>
      </w:r>
      <w:r w:rsidR="00607B78" w:rsidRPr="009C2953">
        <w:t>particulier ceux liés à</w:t>
      </w:r>
      <w:r w:rsidR="00F34644" w:rsidRPr="009C2953">
        <w:t xml:space="preserve"> la </w:t>
      </w:r>
      <w:r w:rsidR="00607B78" w:rsidRPr="009C2953">
        <w:t>biodiversité, à l</w:t>
      </w:r>
      <w:r w:rsidR="00EA2966" w:rsidRPr="009C2953">
        <w:t>’</w:t>
      </w:r>
      <w:r w:rsidR="00607B78" w:rsidRPr="009C2953">
        <w:t>alimentation, à</w:t>
      </w:r>
      <w:r w:rsidR="00F34644" w:rsidRPr="009C2953">
        <w:t xml:space="preserve"> la </w:t>
      </w:r>
      <w:r w:rsidR="00607B78" w:rsidRPr="009C2953">
        <w:t>pauvreté, à l</w:t>
      </w:r>
      <w:r w:rsidR="00EA2966" w:rsidRPr="009C2953">
        <w:t>’</w:t>
      </w:r>
      <w:r w:rsidR="00607B78" w:rsidRPr="009C2953">
        <w:t>eau, à</w:t>
      </w:r>
      <w:r w:rsidR="00F34644" w:rsidRPr="009C2953">
        <w:t xml:space="preserve"> la </w:t>
      </w:r>
      <w:r w:rsidR="00607B78" w:rsidRPr="009C2953">
        <w:t>santé et</w:t>
      </w:r>
      <w:r w:rsidR="00F34644" w:rsidRPr="009C2953">
        <w:t xml:space="preserve"> aux </w:t>
      </w:r>
      <w:r w:rsidR="00607B78" w:rsidRPr="009C2953">
        <w:t>changements climatiques.</w:t>
      </w:r>
    </w:p>
    <w:p w14:paraId="6B8FE961" w14:textId="77777777" w:rsidR="00607B78" w:rsidRPr="009C2953" w:rsidRDefault="00607B78" w:rsidP="00607B78">
      <w:pPr>
        <w:pStyle w:val="CH2"/>
      </w:pPr>
      <w:r w:rsidRPr="009C2953">
        <w:tab/>
        <w:t>B.</w:t>
      </w:r>
      <w:r w:rsidRPr="009C2953">
        <w:tab/>
        <w:t xml:space="preserve">Calendrier </w:t>
      </w:r>
    </w:p>
    <w:p w14:paraId="0AF925AD" w14:textId="44C70BA7" w:rsidR="00607B78" w:rsidRPr="009C2953" w:rsidRDefault="00DD161A" w:rsidP="00DD161A">
      <w:pPr>
        <w:pStyle w:val="NormalNonumber"/>
        <w:rPr>
          <w:color w:val="000000"/>
        </w:rPr>
      </w:pPr>
      <w:r w:rsidRPr="009C2953">
        <w:t>6.</w:t>
      </w:r>
      <w:r w:rsidRPr="009C2953">
        <w:tab/>
      </w:r>
      <w:r w:rsidR="00607B78" w:rsidRPr="009C2953">
        <w:t>L</w:t>
      </w:r>
      <w:r w:rsidR="00EA2966" w:rsidRPr="009C2953">
        <w:t>’</w:t>
      </w:r>
      <w:r w:rsidR="00607B78" w:rsidRPr="009C2953">
        <w:t>évaluation sera effectuée conformément à</w:t>
      </w:r>
      <w:r w:rsidR="00F34644" w:rsidRPr="009C2953">
        <w:t xml:space="preserve"> la </w:t>
      </w:r>
      <w:r w:rsidR="00607B78" w:rsidRPr="009C2953">
        <w:t>méthode accélérée</w:t>
      </w:r>
      <w:r w:rsidR="00D24DC1" w:rsidRPr="009C2953">
        <w:t xml:space="preserve"> des </w:t>
      </w:r>
      <w:r w:rsidR="00607B78" w:rsidRPr="009C2953">
        <w:t>évaluations thématiques et méthodologiques</w:t>
      </w:r>
      <w:r w:rsidR="00607B78" w:rsidRPr="009C2953">
        <w:rPr>
          <w:color w:val="000000"/>
          <w:vertAlign w:val="superscript"/>
        </w:rPr>
        <w:footnoteReference w:id="18"/>
      </w:r>
      <w:r w:rsidR="00607B78" w:rsidRPr="009C2953">
        <w:t>.</w:t>
      </w:r>
    </w:p>
    <w:p w14:paraId="13272602" w14:textId="77777777" w:rsidR="00607B78" w:rsidRPr="009C2953" w:rsidRDefault="00607B78" w:rsidP="00607B78">
      <w:pPr>
        <w:pStyle w:val="CH2"/>
      </w:pPr>
      <w:r w:rsidRPr="009C2953">
        <w:tab/>
        <w:t>C.</w:t>
      </w:r>
      <w:r w:rsidRPr="009C2953">
        <w:tab/>
        <w:t>Couverture géographique</w:t>
      </w:r>
    </w:p>
    <w:p w14:paraId="5FE9CB21" w14:textId="3CFFAD20" w:rsidR="00607B78" w:rsidRPr="009C2953" w:rsidRDefault="00DD161A" w:rsidP="00DD161A">
      <w:pPr>
        <w:pStyle w:val="NormalNonumber"/>
        <w:rPr>
          <w:color w:val="000000"/>
        </w:rPr>
      </w:pPr>
      <w:r w:rsidRPr="009C2953">
        <w:t>7.</w:t>
      </w:r>
      <w:r w:rsidRPr="009C2953">
        <w:tab/>
      </w:r>
      <w:r w:rsidR="00607B78" w:rsidRPr="009C2953">
        <w:t>L</w:t>
      </w:r>
      <w:r w:rsidR="00EA2966" w:rsidRPr="009C2953">
        <w:t>’</w:t>
      </w:r>
      <w:r w:rsidR="00607B78" w:rsidRPr="009C2953">
        <w:t>évaluation portera sur toutes</w:t>
      </w:r>
      <w:r w:rsidR="00F34644" w:rsidRPr="009C2953">
        <w:t xml:space="preserve"> les </w:t>
      </w:r>
      <w:r w:rsidR="00607B78" w:rsidRPr="009C2953">
        <w:t>échelles (locales, nationales et mondiale).</w:t>
      </w:r>
    </w:p>
    <w:p w14:paraId="272297DE" w14:textId="77777777" w:rsidR="00607B78" w:rsidRPr="009C2953" w:rsidRDefault="00607B78" w:rsidP="00607B78">
      <w:pPr>
        <w:pStyle w:val="CH2"/>
      </w:pPr>
      <w:r w:rsidRPr="009C2953">
        <w:lastRenderedPageBreak/>
        <w:tab/>
        <w:t>D.</w:t>
      </w:r>
      <w:r w:rsidRPr="009C2953">
        <w:tab/>
        <w:t>Approche méthodologique</w:t>
      </w:r>
    </w:p>
    <w:p w14:paraId="7528E22F" w14:textId="457EDFF5" w:rsidR="00607B78" w:rsidRPr="009C2953" w:rsidRDefault="00DD161A" w:rsidP="00DD161A">
      <w:pPr>
        <w:pStyle w:val="NormalNonumber"/>
      </w:pPr>
      <w:r w:rsidRPr="009C2953">
        <w:t>8.</w:t>
      </w:r>
      <w:r w:rsidRPr="009C2953">
        <w:tab/>
      </w:r>
      <w:r w:rsidR="00607B78" w:rsidRPr="009C2953">
        <w:t>L</w:t>
      </w:r>
      <w:r w:rsidR="00EA2966" w:rsidRPr="009C2953">
        <w:t>’</w:t>
      </w:r>
      <w:r w:rsidR="00607B78" w:rsidRPr="009C2953">
        <w:t>évaluation définira l</w:t>
      </w:r>
      <w:r w:rsidR="00EA2966" w:rsidRPr="009C2953">
        <w:t>’</w:t>
      </w:r>
      <w:r w:rsidR="00607B78" w:rsidRPr="009C2953">
        <w:t>expression « aménagement du territoire tenant compte de</w:t>
      </w:r>
      <w:r w:rsidR="00F34644" w:rsidRPr="009C2953">
        <w:t xml:space="preserve"> la </w:t>
      </w:r>
      <w:r w:rsidR="00607B78" w:rsidRPr="009C2953">
        <w:t>biodiversité et de</w:t>
      </w:r>
      <w:r w:rsidR="00F34644" w:rsidRPr="009C2953">
        <w:t xml:space="preserve"> la </w:t>
      </w:r>
      <w:r w:rsidR="00607B78" w:rsidRPr="009C2953">
        <w:t>connectivité écologique ». Aux fins du rapport de cadrage, on entendra par « aménagement du territoire tenant compte de</w:t>
      </w:r>
      <w:r w:rsidR="00F34644" w:rsidRPr="009C2953">
        <w:t xml:space="preserve"> la </w:t>
      </w:r>
      <w:r w:rsidR="00607B78" w:rsidRPr="009C2953">
        <w:t>biodiversité » l</w:t>
      </w:r>
      <w:r w:rsidR="00EA2966" w:rsidRPr="009C2953">
        <w:t>’</w:t>
      </w:r>
      <w:r w:rsidR="00607B78" w:rsidRPr="009C2953">
        <w:t>intégration</w:t>
      </w:r>
      <w:r w:rsidR="00D24DC1" w:rsidRPr="009C2953">
        <w:t xml:space="preserve"> des </w:t>
      </w:r>
      <w:r w:rsidR="00607B78" w:rsidRPr="009C2953">
        <w:t>considérations relatives à</w:t>
      </w:r>
      <w:r w:rsidR="00F34644" w:rsidRPr="009C2953">
        <w:t xml:space="preserve"> la </w:t>
      </w:r>
      <w:r w:rsidR="00607B78" w:rsidRPr="009C2953">
        <w:t>biodiversité dans l</w:t>
      </w:r>
      <w:r w:rsidR="00EA2966" w:rsidRPr="009C2953">
        <w:t>’</w:t>
      </w:r>
      <w:r w:rsidR="00607B78" w:rsidRPr="009C2953">
        <w:t>aménagement du territoire, défini comme</w:t>
      </w:r>
      <w:r w:rsidR="00F34644" w:rsidRPr="009C2953">
        <w:t xml:space="preserve"> une </w:t>
      </w:r>
      <w:r w:rsidR="00607B78" w:rsidRPr="009C2953">
        <w:t>méthode ou</w:t>
      </w:r>
      <w:r w:rsidR="00F34644" w:rsidRPr="009C2953">
        <w:t xml:space="preserve"> un </w:t>
      </w:r>
      <w:r w:rsidR="00607B78" w:rsidRPr="009C2953">
        <w:t>processus d</w:t>
      </w:r>
      <w:r w:rsidR="00EA2966" w:rsidRPr="009C2953">
        <w:t>’</w:t>
      </w:r>
      <w:r w:rsidR="00607B78" w:rsidRPr="009C2953">
        <w:t>analyse et de répartition spatiale et temporelle</w:t>
      </w:r>
      <w:r w:rsidR="00D24DC1" w:rsidRPr="009C2953">
        <w:t xml:space="preserve"> des </w:t>
      </w:r>
      <w:r w:rsidR="00607B78" w:rsidRPr="009C2953">
        <w:t>activités dans</w:t>
      </w:r>
      <w:r w:rsidR="00F34644" w:rsidRPr="009C2953">
        <w:t xml:space="preserve"> un </w:t>
      </w:r>
      <w:r w:rsidR="00607B78" w:rsidRPr="009C2953">
        <w:t>environnement donné afin d</w:t>
      </w:r>
      <w:r w:rsidR="00EA2966" w:rsidRPr="009C2953">
        <w:t>’</w:t>
      </w:r>
      <w:r w:rsidR="00607B78" w:rsidRPr="009C2953">
        <w:t>atteindre divers objectifs, notamment</w:t>
      </w:r>
      <w:r w:rsidR="00D24DC1" w:rsidRPr="009C2953">
        <w:t xml:space="preserve"> des </w:t>
      </w:r>
      <w:r w:rsidR="00607B78" w:rsidRPr="009C2953">
        <w:t>objectifs écologiques, sociaux et économiques</w:t>
      </w:r>
      <w:r w:rsidR="00607B78" w:rsidRPr="009C2953">
        <w:footnoteReference w:id="19"/>
      </w:r>
      <w:r w:rsidR="00607B78" w:rsidRPr="009C2953">
        <w:t>.</w:t>
      </w:r>
    </w:p>
    <w:p w14:paraId="3C7A0A4E" w14:textId="2275CC50" w:rsidR="00607B78" w:rsidRPr="009C2953" w:rsidRDefault="00144A78" w:rsidP="00144A78">
      <w:pPr>
        <w:pStyle w:val="NormalNonumber"/>
      </w:pPr>
      <w:r w:rsidRPr="009C2953">
        <w:t>9.</w:t>
      </w:r>
      <w:r w:rsidRPr="009C2953">
        <w:tab/>
      </w:r>
      <w:r w:rsidR="00607B78" w:rsidRPr="009C2953">
        <w:t>Le rapport d</w:t>
      </w:r>
      <w:r w:rsidR="00EA2966" w:rsidRPr="009C2953">
        <w:t>’</w:t>
      </w:r>
      <w:r w:rsidR="00607B78" w:rsidRPr="009C2953">
        <w:t>évaluation se composera d</w:t>
      </w:r>
      <w:r w:rsidR="00EA2966" w:rsidRPr="009C2953">
        <w:t>’</w:t>
      </w:r>
      <w:r w:rsidR="00607B78" w:rsidRPr="009C2953">
        <w:t>un résumé à l</w:t>
      </w:r>
      <w:r w:rsidR="00EA2966" w:rsidRPr="009C2953">
        <w:t>’</w:t>
      </w:r>
      <w:r w:rsidR="00607B78" w:rsidRPr="009C2953">
        <w:t>intention</w:t>
      </w:r>
      <w:r w:rsidR="00D24DC1" w:rsidRPr="009C2953">
        <w:t xml:space="preserve"> des </w:t>
      </w:r>
      <w:r w:rsidR="00607B78" w:rsidRPr="009C2953">
        <w:t>décideurs et de</w:t>
      </w:r>
      <w:r w:rsidR="00F56051" w:rsidRPr="009C2953">
        <w:t> </w:t>
      </w:r>
      <w:r w:rsidR="00607B78" w:rsidRPr="009C2953">
        <w:t>six</w:t>
      </w:r>
      <w:r w:rsidR="00F56051" w:rsidRPr="009C2953">
        <w:t> </w:t>
      </w:r>
      <w:r w:rsidR="00607B78" w:rsidRPr="009C2953">
        <w:t>chapitres comportant chacun</w:t>
      </w:r>
      <w:r w:rsidR="00F34644" w:rsidRPr="009C2953">
        <w:t xml:space="preserve"> un </w:t>
      </w:r>
      <w:r w:rsidR="00607B78" w:rsidRPr="009C2953">
        <w:t>résumé analytique</w:t>
      </w:r>
      <w:r w:rsidR="00D24DC1" w:rsidRPr="009C2953">
        <w:t xml:space="preserve"> des </w:t>
      </w:r>
      <w:r w:rsidR="00607B78" w:rsidRPr="009C2953">
        <w:t>constatations</w:t>
      </w:r>
      <w:r w:rsidR="00F34644" w:rsidRPr="009C2953">
        <w:t xml:space="preserve"> les </w:t>
      </w:r>
      <w:r w:rsidR="00607B78" w:rsidRPr="009C2953">
        <w:t>plus utiles pour</w:t>
      </w:r>
      <w:r w:rsidR="00F34644" w:rsidRPr="009C2953">
        <w:t xml:space="preserve"> le </w:t>
      </w:r>
      <w:r w:rsidR="00607B78" w:rsidRPr="009C2953">
        <w:t>public ciblé. Il cernera</w:t>
      </w:r>
      <w:r w:rsidR="00F34644" w:rsidRPr="009C2953">
        <w:t xml:space="preserve"> les </w:t>
      </w:r>
      <w:r w:rsidR="00607B78" w:rsidRPr="009C2953">
        <w:t>principales lacunes dans</w:t>
      </w:r>
      <w:r w:rsidR="00F34644" w:rsidRPr="009C2953">
        <w:t xml:space="preserve"> les </w:t>
      </w:r>
      <w:r w:rsidR="00607B78" w:rsidRPr="009C2953">
        <w:t>connaissances et</w:t>
      </w:r>
      <w:r w:rsidR="00F34644" w:rsidRPr="009C2953">
        <w:t xml:space="preserve"> les </w:t>
      </w:r>
      <w:r w:rsidR="00607B78" w:rsidRPr="009C2953">
        <w:t>données pertinentes.</w:t>
      </w:r>
    </w:p>
    <w:p w14:paraId="30EA1519" w14:textId="612E6DCD" w:rsidR="00607B78" w:rsidRPr="009C2953" w:rsidRDefault="00144A78" w:rsidP="00144A78">
      <w:pPr>
        <w:pStyle w:val="NormalNonumber"/>
      </w:pPr>
      <w:r w:rsidRPr="009C2953">
        <w:t>10.</w:t>
      </w:r>
      <w:r w:rsidRPr="009C2953">
        <w:tab/>
      </w:r>
      <w:r w:rsidR="00607B78" w:rsidRPr="009C2953">
        <w:t>L</w:t>
      </w:r>
      <w:r w:rsidR="00EA2966" w:rsidRPr="009C2953">
        <w:t>’</w:t>
      </w:r>
      <w:r w:rsidR="00607B78" w:rsidRPr="009C2953">
        <w:t>évaluation s</w:t>
      </w:r>
      <w:r w:rsidR="00EA2966" w:rsidRPr="009C2953">
        <w:t>’</w:t>
      </w:r>
      <w:r w:rsidR="00607B78" w:rsidRPr="009C2953">
        <w:t>appuiera sur</w:t>
      </w:r>
      <w:r w:rsidR="00D24DC1" w:rsidRPr="009C2953">
        <w:t xml:space="preserve"> des </w:t>
      </w:r>
      <w:r w:rsidR="00607B78" w:rsidRPr="009C2953">
        <w:t>sources documentaires revues par</w:t>
      </w:r>
      <w:r w:rsidR="00D24DC1" w:rsidRPr="009C2953">
        <w:t xml:space="preserve"> des </w:t>
      </w:r>
      <w:r w:rsidR="00607B78" w:rsidRPr="009C2953">
        <w:t>pairs,</w:t>
      </w:r>
      <w:r w:rsidR="00D24DC1" w:rsidRPr="009C2953">
        <w:t xml:space="preserve"> des </w:t>
      </w:r>
      <w:r w:rsidR="00607B78" w:rsidRPr="009C2953">
        <w:t>données et</w:t>
      </w:r>
      <w:r w:rsidR="00F56051" w:rsidRPr="009C2953">
        <w:t xml:space="preserve"> </w:t>
      </w:r>
      <w:r w:rsidR="00607B78" w:rsidRPr="009C2953">
        <w:t>rapports nationaux officiels</w:t>
      </w:r>
      <w:r w:rsidR="00607B78" w:rsidRPr="009C2953">
        <w:footnoteReference w:id="20"/>
      </w:r>
      <w:r w:rsidR="00607B78" w:rsidRPr="009C2953">
        <w:t>,</w:t>
      </w:r>
      <w:r w:rsidR="00F34644" w:rsidRPr="009C2953">
        <w:t xml:space="preserve"> les </w:t>
      </w:r>
      <w:r w:rsidR="00607B78" w:rsidRPr="009C2953">
        <w:t>savoirs autochtones et locaux, ainsi que sur diverses autres sources, conformément</w:t>
      </w:r>
      <w:r w:rsidR="00F34644" w:rsidRPr="009C2953">
        <w:t xml:space="preserve"> aux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footnoteReference w:id="21"/>
      </w:r>
      <w:r w:rsidR="00607B78" w:rsidRPr="009C2953">
        <w:t xml:space="preserve"> énoncées dans</w:t>
      </w:r>
      <w:r w:rsidR="00F34644" w:rsidRPr="009C2953">
        <w:t xml:space="preserve"> la </w:t>
      </w:r>
      <w:r w:rsidR="00607B78" w:rsidRPr="009C2953">
        <w:t>décision IPBES-3/3. Elle fera fond sur</w:t>
      </w:r>
      <w:r w:rsidR="00F34644" w:rsidRPr="009C2953">
        <w:t xml:space="preserve"> les </w:t>
      </w:r>
      <w:r w:rsidR="00607B78" w:rsidRPr="009C2953">
        <w:t>travaux antérieurs et en cours de</w:t>
      </w:r>
      <w:r w:rsidR="00F34644" w:rsidRPr="009C2953">
        <w:t xml:space="preserve"> la </w:t>
      </w:r>
      <w:r w:rsidR="00607B78" w:rsidRPr="009C2953">
        <w:t>Plateforme et viendra</w:t>
      </w:r>
      <w:r w:rsidR="00F34644" w:rsidRPr="009C2953">
        <w:t xml:space="preserve"> les </w:t>
      </w:r>
      <w:r w:rsidR="00607B78" w:rsidRPr="009C2953">
        <w:t>compléter,</w:t>
      </w:r>
      <w:r w:rsidR="00F34644" w:rsidRPr="009C2953">
        <w:t xml:space="preserve"> y </w:t>
      </w:r>
      <w:r w:rsidR="00607B78" w:rsidRPr="009C2953">
        <w:t>compris</w:t>
      </w:r>
      <w:r w:rsidR="00F34644" w:rsidRPr="009C2953">
        <w:t xml:space="preserve"> les </w:t>
      </w:r>
      <w:r w:rsidR="00607B78" w:rsidRPr="009C2953">
        <w:t>évaluations qu</w:t>
      </w:r>
      <w:r w:rsidR="00EA2966" w:rsidRPr="009C2953">
        <w:t>’</w:t>
      </w:r>
      <w:r w:rsidR="00607B78" w:rsidRPr="009C2953">
        <w:t>elle a déjà réalisées.</w:t>
      </w:r>
    </w:p>
    <w:p w14:paraId="1F3833DB" w14:textId="5ACC323A" w:rsidR="00607B78" w:rsidRPr="009C2953" w:rsidRDefault="00144A78" w:rsidP="00144A78">
      <w:pPr>
        <w:pStyle w:val="NormalNonumber"/>
      </w:pPr>
      <w:r w:rsidRPr="009C2953">
        <w:t>11.</w:t>
      </w:r>
      <w:r w:rsidRPr="009C2953">
        <w:tab/>
      </w:r>
      <w:r w:rsidR="00607B78" w:rsidRPr="009C2953">
        <w:t>L</w:t>
      </w:r>
      <w:r w:rsidR="00EA2966" w:rsidRPr="009C2953">
        <w:t>’</w:t>
      </w:r>
      <w:r w:rsidR="00607B78" w:rsidRPr="009C2953">
        <w:t>évaluation présentera</w:t>
      </w:r>
      <w:r w:rsidR="00D24DC1" w:rsidRPr="009C2953">
        <w:t xml:space="preserve"> des </w:t>
      </w:r>
      <w:r w:rsidR="00607B78" w:rsidRPr="009C2953">
        <w:t>études de cas pertinentes à différentes échelles, selon qu</w:t>
      </w:r>
      <w:r w:rsidR="00EA2966" w:rsidRPr="009C2953">
        <w:t>’</w:t>
      </w:r>
      <w:r w:rsidR="00607B78" w:rsidRPr="009C2953">
        <w:t>il</w:t>
      </w:r>
      <w:r w:rsidR="00F56051" w:rsidRPr="009C2953">
        <w:t> </w:t>
      </w:r>
      <w:r w:rsidR="00607B78" w:rsidRPr="009C2953">
        <w:t>conviendra.</w:t>
      </w:r>
    </w:p>
    <w:p w14:paraId="4A2A0EE2" w14:textId="10677A84" w:rsidR="00607B78" w:rsidRPr="009C2953" w:rsidRDefault="00144A78" w:rsidP="00144A78">
      <w:pPr>
        <w:pStyle w:val="NormalNonumber"/>
      </w:pPr>
      <w:r w:rsidRPr="009C2953">
        <w:t>12.</w:t>
      </w:r>
      <w:r w:rsidRPr="009C2953">
        <w:tab/>
      </w:r>
      <w:r w:rsidR="00607B78" w:rsidRPr="009C2953">
        <w:t>L</w:t>
      </w:r>
      <w:r w:rsidR="00EA2966" w:rsidRPr="009C2953">
        <w:t>’</w:t>
      </w:r>
      <w:r w:rsidR="00607B78" w:rsidRPr="009C2953">
        <w:t>évaluation sera conforme au cadre conceptuel de l</w:t>
      </w:r>
      <w:r w:rsidR="00EA2966" w:rsidRPr="009C2953">
        <w:t>’</w:t>
      </w:r>
      <w:r w:rsidR="00607B78" w:rsidRPr="009C2953">
        <w:t>IPBES</w:t>
      </w:r>
      <w:r w:rsidR="00607B78" w:rsidRPr="009C2953">
        <w:rPr>
          <w:vertAlign w:val="superscript"/>
        </w:rPr>
        <w:footnoteReference w:id="22"/>
      </w:r>
      <w:r w:rsidR="00607B78" w:rsidRPr="009C2953">
        <w:t xml:space="preserve"> et tiendra pleinement compte</w:t>
      </w:r>
      <w:r w:rsidR="00D24DC1" w:rsidRPr="009C2953">
        <w:t xml:space="preserve"> des </w:t>
      </w:r>
      <w:r w:rsidR="00607B78" w:rsidRPr="009C2953">
        <w:t>savoirs autochtones et locaux et</w:t>
      </w:r>
      <w:r w:rsidR="00D24DC1" w:rsidRPr="009C2953">
        <w:t xml:space="preserve"> des </w:t>
      </w:r>
      <w:r w:rsidR="00607B78" w:rsidRPr="009C2953">
        <w:t>différents systèmes de connaissances ainsi que</w:t>
      </w:r>
      <w:r w:rsidR="00D24DC1" w:rsidRPr="009C2953">
        <w:t xml:space="preserve"> des </w:t>
      </w:r>
      <w:r w:rsidR="00607B78" w:rsidRPr="009C2953">
        <w:t>valeurs multiples, et en particulier du concept de système de vie.</w:t>
      </w:r>
    </w:p>
    <w:p w14:paraId="4A89C207" w14:textId="12800E52" w:rsidR="00607B78" w:rsidRPr="009C2953" w:rsidRDefault="00144A78" w:rsidP="00144A78">
      <w:pPr>
        <w:pStyle w:val="NormalNonumber"/>
      </w:pPr>
      <w:r w:rsidRPr="009C2953">
        <w:t>13.</w:t>
      </w:r>
      <w:r w:rsidRPr="009C2953">
        <w:tab/>
      </w:r>
      <w:r w:rsidR="00607B78" w:rsidRPr="009C2953">
        <w:t>L</w:t>
      </w:r>
      <w:r w:rsidR="00EA2966" w:rsidRPr="009C2953">
        <w:t>’</w:t>
      </w:r>
      <w:r w:rsidR="00607B78" w:rsidRPr="009C2953">
        <w:t>évaluation sera menée par</w:t>
      </w:r>
      <w:r w:rsidR="00F34644" w:rsidRPr="009C2953">
        <w:t xml:space="preserve"> une </w:t>
      </w:r>
      <w:r w:rsidR="00607B78" w:rsidRPr="009C2953">
        <w:t>équipe équilibrée et interdisciplinaire de spécialistes de</w:t>
      </w:r>
      <w:r w:rsidR="001A5B30" w:rsidRPr="009C2953">
        <w:t> </w:t>
      </w:r>
      <w:r w:rsidR="00607B78" w:rsidRPr="009C2953">
        <w:t>l</w:t>
      </w:r>
      <w:r w:rsidR="00EA2966" w:rsidRPr="009C2953">
        <w:t>’</w:t>
      </w:r>
      <w:r w:rsidR="00607B78" w:rsidRPr="009C2953">
        <w:t>aménagement du territoire, de</w:t>
      </w:r>
      <w:r w:rsidR="00F34644" w:rsidRPr="009C2953">
        <w:t xml:space="preserve"> la </w:t>
      </w:r>
      <w:r w:rsidR="00607B78" w:rsidRPr="009C2953">
        <w:t>connectivité écologique et</w:t>
      </w:r>
      <w:r w:rsidR="00D24DC1" w:rsidRPr="009C2953">
        <w:t xml:space="preserve"> 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dans</w:t>
      </w:r>
      <w:r w:rsidR="00F34644" w:rsidRPr="009C2953">
        <w:t xml:space="preserve"> les </w:t>
      </w:r>
      <w:r w:rsidR="00607B78" w:rsidRPr="009C2953">
        <w:t>systèmes terrestres (y compris</w:t>
      </w:r>
      <w:r w:rsidR="00F34644" w:rsidRPr="009C2953">
        <w:t xml:space="preserve"> les </w:t>
      </w:r>
      <w:r w:rsidR="00607B78" w:rsidRPr="009C2953">
        <w:t>eaux intérieures) et marins. L</w:t>
      </w:r>
      <w:r w:rsidR="00EA2966" w:rsidRPr="009C2953">
        <w:t>’</w:t>
      </w:r>
      <w:r w:rsidR="00607B78" w:rsidRPr="009C2953">
        <w:t>équipe d</w:t>
      </w:r>
      <w:r w:rsidR="00EA2966" w:rsidRPr="009C2953">
        <w:t>’</w:t>
      </w:r>
      <w:r w:rsidR="00607B78" w:rsidRPr="009C2953">
        <w:t>expert(e)s sera composée de personnes issues d</w:t>
      </w:r>
      <w:r w:rsidR="00EA2966" w:rsidRPr="009C2953">
        <w:t>’</w:t>
      </w:r>
      <w:r w:rsidR="00607B78" w:rsidRPr="009C2953">
        <w:t>horizons divers (milieu universitaire, pouvoirs publics, entreprises et société civile) et de différentes disciplines (géographie, écologie, sciences de</w:t>
      </w:r>
      <w:r w:rsidR="001A5B30" w:rsidRPr="009C2953">
        <w:t> </w:t>
      </w:r>
      <w:r w:rsidR="00F34644" w:rsidRPr="009C2953">
        <w:t>la </w:t>
      </w:r>
      <w:r w:rsidR="00607B78" w:rsidRPr="009C2953">
        <w:t>conservation,</w:t>
      </w:r>
      <w:r w:rsidR="00F34644" w:rsidRPr="009C2953">
        <w:t xml:space="preserve"> y </w:t>
      </w:r>
      <w:r w:rsidR="00607B78" w:rsidRPr="009C2953">
        <w:t>compris</w:t>
      </w:r>
      <w:r w:rsidR="00F34644" w:rsidRPr="009C2953">
        <w:t xml:space="preserve"> la </w:t>
      </w:r>
      <w:r w:rsidR="00607B78" w:rsidRPr="009C2953">
        <w:t>restauration et</w:t>
      </w:r>
      <w:r w:rsidR="00F34644" w:rsidRPr="009C2953">
        <w:t xml:space="preserve"> les </w:t>
      </w:r>
      <w:r w:rsidR="00607B78" w:rsidRPr="009C2953">
        <w:t>zones protégées, sciences</w:t>
      </w:r>
      <w:r w:rsidR="00D24DC1" w:rsidRPr="009C2953">
        <w:t xml:space="preserve"> des </w:t>
      </w:r>
      <w:r w:rsidR="00607B78" w:rsidRPr="009C2953">
        <w:t>systèmes terrestres et</w:t>
      </w:r>
      <w:r w:rsidR="00F56051" w:rsidRPr="009C2953">
        <w:t> </w:t>
      </w:r>
      <w:r w:rsidR="00607B78" w:rsidRPr="009C2953">
        <w:t>aquatiques, aménagement du territoire, urbanisme, architecture, droit, sciences politiques et économie).</w:t>
      </w:r>
    </w:p>
    <w:p w14:paraId="21E55CCA" w14:textId="7103A2A4" w:rsidR="00607B78" w:rsidRPr="009C2953" w:rsidRDefault="00144A78" w:rsidP="00144A78">
      <w:pPr>
        <w:pStyle w:val="NormalNonumber"/>
        <w:rPr>
          <w:color w:val="000000"/>
        </w:rPr>
      </w:pPr>
      <w:r w:rsidRPr="009C2953">
        <w:t>14.</w:t>
      </w:r>
      <w:r w:rsidRPr="009C2953">
        <w:tab/>
      </w:r>
      <w:r w:rsidR="00607B78" w:rsidRPr="009C2953">
        <w:t>La collaboration entre</w:t>
      </w:r>
      <w:r w:rsidR="00F34644" w:rsidRPr="009C2953">
        <w:t xml:space="preserve"> les </w:t>
      </w:r>
      <w:r w:rsidR="00607B78" w:rsidRPr="009C2953">
        <w:t>expert(e)s chargé(e)s de l</w:t>
      </w:r>
      <w:r w:rsidR="00EA2966" w:rsidRPr="009C2953">
        <w:t>’</w:t>
      </w:r>
      <w:r w:rsidR="00607B78" w:rsidRPr="009C2953">
        <w:t>évaluation,</w:t>
      </w:r>
      <w:r w:rsidR="00F34644" w:rsidRPr="009C2953">
        <w:t xml:space="preserve"> les </w:t>
      </w:r>
      <w:r w:rsidR="00607B78" w:rsidRPr="009C2953">
        <w:t>équipes spéciales et</w:t>
      </w:r>
      <w:r w:rsidR="00F34644" w:rsidRPr="009C2953">
        <w:t xml:space="preserve"> les </w:t>
      </w:r>
      <w:r w:rsidR="00607B78" w:rsidRPr="009C2953">
        <w:t>groupes d</w:t>
      </w:r>
      <w:r w:rsidR="00EA2966" w:rsidRPr="009C2953">
        <w:t>’</w:t>
      </w:r>
      <w:r w:rsidR="00607B78" w:rsidRPr="009C2953">
        <w:t>appui technique concernés permettra de réaliser</w:t>
      </w:r>
      <w:r w:rsidR="00F34644" w:rsidRPr="009C2953">
        <w:t xml:space="preserve"> les </w:t>
      </w:r>
      <w:r w:rsidR="00607B78" w:rsidRPr="009C2953">
        <w:t>objectifs suivants : l</w:t>
      </w:r>
      <w:r w:rsidR="00EA2966" w:rsidRPr="009C2953">
        <w:t>’</w:t>
      </w:r>
      <w:r w:rsidR="00607B78" w:rsidRPr="009C2953">
        <w:t>objectif 2 sur</w:t>
      </w:r>
      <w:r w:rsidR="00E6701E" w:rsidRPr="009C2953">
        <w:t> </w:t>
      </w:r>
      <w:r w:rsidR="00F34644" w:rsidRPr="009C2953">
        <w:t>le </w:t>
      </w:r>
      <w:r w:rsidR="00607B78" w:rsidRPr="009C2953">
        <w:t>renforcement</w:t>
      </w:r>
      <w:r w:rsidR="00D24DC1" w:rsidRPr="009C2953">
        <w:t xml:space="preserve"> des </w:t>
      </w:r>
      <w:r w:rsidR="00607B78" w:rsidRPr="009C2953">
        <w:t>capacités ; l</w:t>
      </w:r>
      <w:r w:rsidR="00EA2966" w:rsidRPr="009C2953">
        <w:t>’</w:t>
      </w:r>
      <w:r w:rsidR="00607B78" w:rsidRPr="009C2953">
        <w:t>objectif 3 sur</w:t>
      </w:r>
      <w:r w:rsidR="00F34644" w:rsidRPr="009C2953">
        <w:t xml:space="preserve"> la </w:t>
      </w:r>
      <w:r w:rsidR="00607B78" w:rsidRPr="009C2953">
        <w:t>consolidation de</w:t>
      </w:r>
      <w:r w:rsidR="00F34644" w:rsidRPr="009C2953">
        <w:t xml:space="preserve"> la </w:t>
      </w:r>
      <w:r w:rsidR="00607B78" w:rsidRPr="009C2953">
        <w:t>base de connaissances,</w:t>
      </w:r>
      <w:r w:rsidR="00F34644" w:rsidRPr="009C2953">
        <w:t xml:space="preserve"> y </w:t>
      </w:r>
      <w:r w:rsidR="00607B78" w:rsidRPr="009C2953">
        <w:t>compris l</w:t>
      </w:r>
      <w:r w:rsidR="00EA2966" w:rsidRPr="009C2953">
        <w:t>’</w:t>
      </w:r>
      <w:r w:rsidR="00607B78" w:rsidRPr="009C2953">
        <w:t>objectif 3 a) sur</w:t>
      </w:r>
      <w:r w:rsidR="00F34644" w:rsidRPr="009C2953">
        <w:t xml:space="preserve"> les </w:t>
      </w:r>
      <w:r w:rsidR="00607B78" w:rsidRPr="009C2953">
        <w:t>travaux avancés sur</w:t>
      </w:r>
      <w:r w:rsidR="00F34644" w:rsidRPr="009C2953">
        <w:t xml:space="preserve"> les </w:t>
      </w:r>
      <w:r w:rsidR="00607B78" w:rsidRPr="009C2953">
        <w:t>connaissances et</w:t>
      </w:r>
      <w:r w:rsidR="00F34644" w:rsidRPr="009C2953">
        <w:t xml:space="preserve"> les </w:t>
      </w:r>
      <w:r w:rsidR="00607B78" w:rsidRPr="009C2953">
        <w:t>données et l</w:t>
      </w:r>
      <w:r w:rsidR="00EA2966" w:rsidRPr="009C2953">
        <w:t>’</w:t>
      </w:r>
      <w:r w:rsidR="00607B78" w:rsidRPr="009C2953">
        <w:t>objectif 3 b) sur</w:t>
      </w:r>
      <w:r w:rsidR="00F34644" w:rsidRPr="009C2953">
        <w:t xml:space="preserve"> la </w:t>
      </w:r>
      <w:r w:rsidR="00607B78" w:rsidRPr="009C2953">
        <w:t>reconnaissance et l</w:t>
      </w:r>
      <w:r w:rsidR="00EA2966" w:rsidRPr="009C2953">
        <w:t>’</w:t>
      </w:r>
      <w:r w:rsidR="00607B78" w:rsidRPr="009C2953">
        <w:t>utilisation améliorées</w:t>
      </w:r>
      <w:r w:rsidR="00D24DC1" w:rsidRPr="009C2953">
        <w:t xml:space="preserve"> des </w:t>
      </w:r>
      <w:r w:rsidR="00607B78" w:rsidRPr="009C2953">
        <w:t>systèmes de savoirs autochtones et locaux ; et</w:t>
      </w:r>
      <w:r w:rsidR="00F56051" w:rsidRPr="009C2953">
        <w:t> </w:t>
      </w:r>
      <w:r w:rsidR="00607B78" w:rsidRPr="009C2953">
        <w:t>l</w:t>
      </w:r>
      <w:r w:rsidR="00EA2966" w:rsidRPr="009C2953">
        <w:t>’</w:t>
      </w:r>
      <w:r w:rsidR="00607B78" w:rsidRPr="009C2953">
        <w:t>objectif 4 sur l</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w:t>
      </w:r>
      <w:r w:rsidR="00F34644" w:rsidRPr="009C2953">
        <w:t xml:space="preserve"> y </w:t>
      </w:r>
      <w:r w:rsidR="00607B78" w:rsidRPr="009C2953">
        <w:t>compris l</w:t>
      </w:r>
      <w:r w:rsidR="00EA2966" w:rsidRPr="009C2953">
        <w:t>’</w:t>
      </w:r>
      <w:r w:rsidR="00607B78" w:rsidRPr="009C2953">
        <w:t>objectif 4 a) sur</w:t>
      </w:r>
      <w:r w:rsidR="00F34644" w:rsidRPr="009C2953">
        <w:t xml:space="preserve"> les </w:t>
      </w:r>
      <w:r w:rsidR="00607B78" w:rsidRPr="009C2953">
        <w:t>travaux avancés sur</w:t>
      </w:r>
      <w:r w:rsidR="00F34644" w:rsidRPr="009C2953">
        <w:t xml:space="preserve"> les </w:t>
      </w:r>
      <w:r w:rsidR="00607B78" w:rsidRPr="009C2953">
        <w:t>moyens d</w:t>
      </w:r>
      <w:r w:rsidR="00EA2966" w:rsidRPr="009C2953">
        <w:t>’</w:t>
      </w:r>
      <w:r w:rsidR="00607B78" w:rsidRPr="009C2953">
        <w:t>action,</w:t>
      </w:r>
      <w:r w:rsidR="00F34644" w:rsidRPr="009C2953">
        <w:t xml:space="preserve"> les </w:t>
      </w:r>
      <w:r w:rsidR="00607B78" w:rsidRPr="009C2953">
        <w:t>outils 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et</w:t>
      </w:r>
      <w:r w:rsidR="00F34644" w:rsidRPr="009C2953">
        <w:t xml:space="preserve"> les </w:t>
      </w:r>
      <w:r w:rsidR="00607B78" w:rsidRPr="009C2953">
        <w:t>méthodes et</w:t>
      </w:r>
      <w:r w:rsidR="00F56051" w:rsidRPr="009C2953">
        <w:t> </w:t>
      </w:r>
      <w:r w:rsidR="00607B78" w:rsidRPr="009C2953">
        <w:t>l</w:t>
      </w:r>
      <w:r w:rsidR="00EA2966" w:rsidRPr="009C2953">
        <w:t>’</w:t>
      </w:r>
      <w:r w:rsidR="00607B78" w:rsidRPr="009C2953">
        <w:t>objectif 4 b) sur</w:t>
      </w:r>
      <w:r w:rsidR="00F34644" w:rsidRPr="009C2953">
        <w:t xml:space="preserve"> les </w:t>
      </w:r>
      <w:r w:rsidR="00607B78" w:rsidRPr="009C2953">
        <w:t>travaux avancés sur</w:t>
      </w:r>
      <w:r w:rsidR="00F34644" w:rsidRPr="009C2953">
        <w:t xml:space="preserve"> les </w:t>
      </w:r>
      <w:r w:rsidR="00607B78" w:rsidRPr="009C2953">
        <w:t>scénarios et modèles de</w:t>
      </w:r>
      <w:r w:rsidR="00F34644" w:rsidRPr="009C2953">
        <w:t xml:space="preserve"> la </w:t>
      </w:r>
      <w:r w:rsidR="00607B78" w:rsidRPr="009C2953">
        <w:t>biodiversité et</w:t>
      </w:r>
      <w:r w:rsidR="00D24DC1" w:rsidRPr="009C2953">
        <w:t xml:space="preserve"> des </w:t>
      </w:r>
      <w:r w:rsidR="00607B78" w:rsidRPr="009C2953">
        <w:t>fonctions et services écosystémiques.</w:t>
      </w:r>
    </w:p>
    <w:p w14:paraId="7725677A" w14:textId="77777777" w:rsidR="00607B78" w:rsidRPr="009C2953" w:rsidRDefault="00607B78" w:rsidP="00607B78">
      <w:pPr>
        <w:pStyle w:val="CH1"/>
      </w:pPr>
      <w:r w:rsidRPr="009C2953">
        <w:tab/>
        <w:t>II.</w:t>
      </w:r>
      <w:r w:rsidRPr="009C2953">
        <w:tab/>
        <w:t>Plan du chapitre</w:t>
      </w:r>
    </w:p>
    <w:p w14:paraId="70FFB911" w14:textId="58FA9C71" w:rsidR="00607B78" w:rsidRPr="009C2953" w:rsidRDefault="00B83059" w:rsidP="00B83059">
      <w:pPr>
        <w:pStyle w:val="NormalNonumber"/>
        <w:rPr>
          <w:color w:val="000000"/>
        </w:rPr>
      </w:pPr>
      <w:r w:rsidRPr="009C2953">
        <w:rPr>
          <w:color w:val="000000"/>
        </w:rPr>
        <w:t>15.</w:t>
      </w:r>
      <w:r w:rsidRPr="009C2953">
        <w:rPr>
          <w:color w:val="000000"/>
        </w:rPr>
        <w:tab/>
      </w:r>
      <w:r w:rsidR="00607B78" w:rsidRPr="009C2953">
        <w:rPr>
          <w:b/>
          <w:bCs/>
          <w:color w:val="000000"/>
        </w:rPr>
        <w:t xml:space="preserve">Chapitre 1. </w:t>
      </w:r>
      <w:r w:rsidR="00607B78" w:rsidRPr="009C2953">
        <w:rPr>
          <w:b/>
          <w:bCs/>
        </w:rPr>
        <w:t>Planter</w:t>
      </w:r>
      <w:r w:rsidR="00F34644" w:rsidRPr="009C2953">
        <w:rPr>
          <w:b/>
          <w:bCs/>
        </w:rPr>
        <w:t xml:space="preserve"> le </w:t>
      </w:r>
      <w:r w:rsidR="00607B78" w:rsidRPr="009C2953">
        <w:rPr>
          <w:b/>
          <w:bCs/>
        </w:rPr>
        <w:t>décor : définir l</w:t>
      </w:r>
      <w:r w:rsidR="00EA2966" w:rsidRPr="009C2953">
        <w:rPr>
          <w:b/>
          <w:bCs/>
        </w:rPr>
        <w:t>’</w:t>
      </w:r>
      <w:r w:rsidR="00607B78" w:rsidRPr="009C2953">
        <w:rPr>
          <w:b/>
          <w:bCs/>
        </w:rPr>
        <w:t>aménagement du territoire dans</w:t>
      </w:r>
      <w:r w:rsidR="00F34644" w:rsidRPr="009C2953">
        <w:rPr>
          <w:b/>
          <w:bCs/>
        </w:rPr>
        <w:t xml:space="preserve"> le </w:t>
      </w:r>
      <w:r w:rsidR="00607B78" w:rsidRPr="009C2953">
        <w:rPr>
          <w:b/>
          <w:bCs/>
        </w:rPr>
        <w:t>contexte de</w:t>
      </w:r>
      <w:r w:rsidR="00F34644" w:rsidRPr="009C2953">
        <w:rPr>
          <w:b/>
          <w:bCs/>
        </w:rPr>
        <w:t xml:space="preserve"> la </w:t>
      </w:r>
      <w:r w:rsidR="00607B78" w:rsidRPr="009C2953">
        <w:rPr>
          <w:b/>
          <w:bCs/>
        </w:rPr>
        <w:t>conservation de</w:t>
      </w:r>
      <w:r w:rsidR="00F34644" w:rsidRPr="009C2953">
        <w:rPr>
          <w:b/>
          <w:bCs/>
        </w:rPr>
        <w:t xml:space="preserve"> la </w:t>
      </w:r>
      <w:r w:rsidR="00607B78" w:rsidRPr="009C2953">
        <w:rPr>
          <w:b/>
          <w:bCs/>
        </w:rPr>
        <w:t>biodiversité, de</w:t>
      </w:r>
      <w:r w:rsidR="00F34644" w:rsidRPr="009C2953">
        <w:rPr>
          <w:b/>
          <w:bCs/>
        </w:rPr>
        <w:t xml:space="preserve"> la </w:t>
      </w:r>
      <w:r w:rsidR="00607B78" w:rsidRPr="009C2953">
        <w:rPr>
          <w:b/>
          <w:bCs/>
        </w:rPr>
        <w:t>connectivité écologique et</w:t>
      </w:r>
      <w:r w:rsidR="00D24DC1" w:rsidRPr="009C2953">
        <w:rPr>
          <w:b/>
          <w:bCs/>
        </w:rPr>
        <w:t xml:space="preserve"> des </w:t>
      </w:r>
      <w:r w:rsidR="00607B78" w:rsidRPr="009C2953">
        <w:rPr>
          <w:b/>
          <w:bCs/>
        </w:rPr>
        <w:t>contributions de</w:t>
      </w:r>
      <w:r w:rsidR="00F34644" w:rsidRPr="009C2953">
        <w:rPr>
          <w:b/>
          <w:bCs/>
        </w:rPr>
        <w:t xml:space="preserve"> la </w:t>
      </w:r>
      <w:r w:rsidR="00607B78" w:rsidRPr="009C2953">
        <w:rPr>
          <w:b/>
          <w:bCs/>
        </w:rPr>
        <w:t>nature</w:t>
      </w:r>
      <w:r w:rsidR="00F34644" w:rsidRPr="009C2953">
        <w:rPr>
          <w:b/>
          <w:bCs/>
        </w:rPr>
        <w:t xml:space="preserve"> aux </w:t>
      </w:r>
      <w:r w:rsidR="00607B78" w:rsidRPr="009C2953">
        <w:rPr>
          <w:b/>
          <w:bCs/>
        </w:rPr>
        <w:t>populations</w:t>
      </w:r>
      <w:r w:rsidR="00607B78" w:rsidRPr="009C2953">
        <w:t xml:space="preserve"> </w:t>
      </w:r>
      <w:r w:rsidR="00607B78" w:rsidRPr="009C2953">
        <w:rPr>
          <w:i/>
        </w:rPr>
        <w:t>(longueur suggérée : 10 000 mots</w:t>
      </w:r>
      <w:r w:rsidR="00607B78" w:rsidRPr="009C2953">
        <w:t>).</w:t>
      </w:r>
      <w:r w:rsidR="00F34644" w:rsidRPr="009C2953">
        <w:rPr>
          <w:color w:val="000000"/>
        </w:rPr>
        <w:t xml:space="preserve"> Le </w:t>
      </w:r>
      <w:r w:rsidR="00607B78" w:rsidRPr="009C2953">
        <w:rPr>
          <w:color w:val="000000"/>
        </w:rPr>
        <w:t>chapitre 1 définira</w:t>
      </w:r>
      <w:r w:rsidR="00F34644" w:rsidRPr="009C2953">
        <w:rPr>
          <w:color w:val="000000"/>
        </w:rPr>
        <w:t xml:space="preserve"> le </w:t>
      </w:r>
      <w:r w:rsidR="00607B78" w:rsidRPr="009C2953">
        <w:rPr>
          <w:color w:val="000000"/>
        </w:rPr>
        <w:t>but de l</w:t>
      </w:r>
      <w:r w:rsidR="00EA2966" w:rsidRPr="009C2953">
        <w:rPr>
          <w:color w:val="000000"/>
        </w:rPr>
        <w:t>’</w:t>
      </w:r>
      <w:r w:rsidR="00607B78" w:rsidRPr="009C2953">
        <w:rPr>
          <w:color w:val="000000"/>
        </w:rPr>
        <w:t>évaluation et</w:t>
      </w:r>
      <w:r w:rsidR="00F34644" w:rsidRPr="009C2953">
        <w:rPr>
          <w:color w:val="000000"/>
        </w:rPr>
        <w:t xml:space="preserve"> les </w:t>
      </w:r>
      <w:r w:rsidR="00607B78" w:rsidRPr="009C2953">
        <w:rPr>
          <w:color w:val="000000"/>
        </w:rPr>
        <w:t xml:space="preserve">publics ciblés. </w:t>
      </w:r>
      <w:r w:rsidR="00607B78" w:rsidRPr="009C2953">
        <w:t>Il expliquera pourquoi</w:t>
      </w:r>
      <w:r w:rsidR="00F34644" w:rsidRPr="009C2953">
        <w:t xml:space="preserve"> la </w:t>
      </w:r>
      <w:r w:rsidR="00607B78" w:rsidRPr="009C2953">
        <w:t>connectivité écologique et l</w:t>
      </w:r>
      <w:r w:rsidR="00EA2966" w:rsidRPr="009C2953">
        <w:t>’</w:t>
      </w:r>
      <w:r w:rsidR="00607B78" w:rsidRPr="009C2953">
        <w:t>aménagement du territoire, ainsi que</w:t>
      </w:r>
      <w:r w:rsidR="00107282" w:rsidRPr="009C2953">
        <w:t xml:space="preserve"> leurs </w:t>
      </w:r>
      <w:r w:rsidR="00607B78" w:rsidRPr="009C2953">
        <w:t>interconnexions, sont importants et comment</w:t>
      </w:r>
      <w:r w:rsidR="00F34644" w:rsidRPr="009C2953">
        <w:t xml:space="preserve"> ils </w:t>
      </w:r>
      <w:r w:rsidR="00607B78" w:rsidRPr="009C2953">
        <w:t>peuvent contribuer à construire</w:t>
      </w:r>
      <w:r w:rsidR="00F34644" w:rsidRPr="009C2953">
        <w:t xml:space="preserve"> un </w:t>
      </w:r>
      <w:r w:rsidR="00607B78" w:rsidRPr="009C2953">
        <w:t>avenir plus durable pour tous, notamment en soutenant</w:t>
      </w:r>
      <w:r w:rsidR="00F34644" w:rsidRPr="009C2953">
        <w:t xml:space="preserve"> les </w:t>
      </w:r>
      <w:r w:rsidR="00607B78" w:rsidRPr="009C2953">
        <w:t>groupes en situation de vulnérabilité, en</w:t>
      </w:r>
      <w:r w:rsidR="002433C7" w:rsidRPr="009C2953">
        <w:t> </w:t>
      </w:r>
      <w:r w:rsidR="00607B78" w:rsidRPr="009C2953">
        <w:t>particulier</w:t>
      </w:r>
      <w:r w:rsidR="00F34644" w:rsidRPr="009C2953">
        <w:t xml:space="preserve"> les </w:t>
      </w:r>
      <w:r w:rsidR="00607B78" w:rsidRPr="009C2953">
        <w:t>peuples autochtones.</w:t>
      </w:r>
      <w:r w:rsidR="00607B78" w:rsidRPr="009C2953">
        <w:rPr>
          <w:color w:val="000000"/>
        </w:rPr>
        <w:t xml:space="preserve"> Il décrira</w:t>
      </w:r>
      <w:r w:rsidR="00F34644" w:rsidRPr="009C2953">
        <w:rPr>
          <w:color w:val="000000"/>
        </w:rPr>
        <w:t xml:space="preserve"> les </w:t>
      </w:r>
      <w:r w:rsidR="00607B78" w:rsidRPr="009C2953">
        <w:rPr>
          <w:color w:val="000000"/>
        </w:rPr>
        <w:t>besoins auxquels l</w:t>
      </w:r>
      <w:r w:rsidR="00EA2966" w:rsidRPr="009C2953">
        <w:rPr>
          <w:color w:val="000000"/>
        </w:rPr>
        <w:t>’</w:t>
      </w:r>
      <w:r w:rsidR="00607B78" w:rsidRPr="009C2953">
        <w:rPr>
          <w:color w:val="000000"/>
        </w:rPr>
        <w:t>évaluation est censée répondre ainsi que</w:t>
      </w:r>
      <w:r w:rsidR="00F34644" w:rsidRPr="009C2953">
        <w:rPr>
          <w:color w:val="000000"/>
        </w:rPr>
        <w:t xml:space="preserve"> les </w:t>
      </w:r>
      <w:r w:rsidR="00607B78" w:rsidRPr="009C2953">
        <w:rPr>
          <w:color w:val="000000"/>
        </w:rPr>
        <w:t xml:space="preserve">groupes de personnes </w:t>
      </w:r>
      <w:r w:rsidR="00607B78" w:rsidRPr="009C2953">
        <w:t>dont</w:t>
      </w:r>
      <w:r w:rsidR="00F34644" w:rsidRPr="009C2953">
        <w:t xml:space="preserve"> les </w:t>
      </w:r>
      <w:r w:rsidR="00607B78" w:rsidRPr="009C2953">
        <w:t>besoins sont pris en compte</w:t>
      </w:r>
      <w:r w:rsidR="00607B78" w:rsidRPr="009C2953">
        <w:rPr>
          <w:color w:val="000000"/>
        </w:rPr>
        <w:t>, et exposera</w:t>
      </w:r>
      <w:r w:rsidR="00F34644" w:rsidRPr="009C2953">
        <w:rPr>
          <w:color w:val="000000"/>
        </w:rPr>
        <w:t xml:space="preserve"> le </w:t>
      </w:r>
      <w:r w:rsidR="00607B78" w:rsidRPr="009C2953">
        <w:rPr>
          <w:color w:val="000000"/>
        </w:rPr>
        <w:t>plan prévu à cet</w:t>
      </w:r>
      <w:r w:rsidR="002433C7" w:rsidRPr="009C2953">
        <w:rPr>
          <w:color w:val="000000"/>
        </w:rPr>
        <w:t> </w:t>
      </w:r>
      <w:r w:rsidR="00607B78" w:rsidRPr="009C2953">
        <w:rPr>
          <w:color w:val="000000"/>
        </w:rPr>
        <w:t>effet. Il analysera</w:t>
      </w:r>
      <w:r w:rsidR="00F34644" w:rsidRPr="009C2953">
        <w:rPr>
          <w:color w:val="000000"/>
        </w:rPr>
        <w:t xml:space="preserve"> la </w:t>
      </w:r>
      <w:r w:rsidR="00607B78" w:rsidRPr="009C2953">
        <w:rPr>
          <w:color w:val="000000"/>
        </w:rPr>
        <w:t>manière dont l</w:t>
      </w:r>
      <w:r w:rsidR="00EA2966" w:rsidRPr="009C2953">
        <w:rPr>
          <w:color w:val="000000"/>
        </w:rPr>
        <w:t>’</w:t>
      </w:r>
      <w:r w:rsidR="00607B78" w:rsidRPr="009C2953">
        <w:rPr>
          <w:color w:val="000000"/>
        </w:rPr>
        <w:t>évaluation prévoit de prendre en compte</w:t>
      </w:r>
      <w:r w:rsidR="00F34644" w:rsidRPr="009C2953">
        <w:rPr>
          <w:color w:val="000000"/>
        </w:rPr>
        <w:t xml:space="preserve"> les </w:t>
      </w:r>
      <w:r w:rsidR="00607B78" w:rsidRPr="009C2953">
        <w:rPr>
          <w:color w:val="000000"/>
        </w:rPr>
        <w:t xml:space="preserve">différentes visions </w:t>
      </w:r>
      <w:r w:rsidR="00607B78" w:rsidRPr="009C2953">
        <w:rPr>
          <w:color w:val="000000"/>
        </w:rPr>
        <w:lastRenderedPageBreak/>
        <w:t>du monde en ce qui concerne</w:t>
      </w:r>
      <w:r w:rsidR="00F34644" w:rsidRPr="009C2953">
        <w:rPr>
          <w:color w:val="000000"/>
        </w:rPr>
        <w:t xml:space="preserve"> la </w:t>
      </w:r>
      <w:r w:rsidR="00607B78" w:rsidRPr="009C2953">
        <w:rPr>
          <w:color w:val="000000"/>
        </w:rPr>
        <w:t>conceptualisation</w:t>
      </w:r>
      <w:r w:rsidR="00D24DC1" w:rsidRPr="009C2953">
        <w:rPr>
          <w:color w:val="000000"/>
        </w:rPr>
        <w:t xml:space="preserve"> des </w:t>
      </w:r>
      <w:r w:rsidR="00607B78" w:rsidRPr="009C2953">
        <w:rPr>
          <w:color w:val="000000"/>
        </w:rPr>
        <w:t>paysages terrestres et marins ainsi que</w:t>
      </w:r>
      <w:r w:rsidR="00F34644" w:rsidRPr="009C2953">
        <w:rPr>
          <w:color w:val="000000"/>
        </w:rPr>
        <w:t xml:space="preserve"> la </w:t>
      </w:r>
      <w:r w:rsidR="00607B78" w:rsidRPr="009C2953">
        <w:rPr>
          <w:color w:val="000000"/>
        </w:rPr>
        <w:t>propriété et</w:t>
      </w:r>
      <w:r w:rsidR="00F34644" w:rsidRPr="009C2953">
        <w:rPr>
          <w:color w:val="000000"/>
        </w:rPr>
        <w:t xml:space="preserve"> les </w:t>
      </w:r>
      <w:r w:rsidR="00607B78" w:rsidRPr="009C2953">
        <w:rPr>
          <w:color w:val="000000"/>
        </w:rPr>
        <w:t>régimes fonciers,</w:t>
      </w:r>
      <w:r w:rsidR="00F34644" w:rsidRPr="009C2953">
        <w:rPr>
          <w:color w:val="000000"/>
        </w:rPr>
        <w:t xml:space="preserve"> y </w:t>
      </w:r>
      <w:r w:rsidR="00607B78" w:rsidRPr="009C2953">
        <w:rPr>
          <w:color w:val="000000"/>
        </w:rPr>
        <w:t>compris</w:t>
      </w:r>
      <w:r w:rsidR="00F34644" w:rsidRPr="009C2953">
        <w:rPr>
          <w:color w:val="000000"/>
        </w:rPr>
        <w:t xml:space="preserve"> les </w:t>
      </w:r>
      <w:r w:rsidR="00607B78" w:rsidRPr="009C2953">
        <w:rPr>
          <w:color w:val="000000"/>
        </w:rPr>
        <w:t>conclusions du rapport d</w:t>
      </w:r>
      <w:r w:rsidR="00EA2966" w:rsidRPr="009C2953">
        <w:rPr>
          <w:color w:val="000000"/>
        </w:rPr>
        <w:t>’</w:t>
      </w:r>
      <w:r w:rsidR="00607B78" w:rsidRPr="009C2953">
        <w:rPr>
          <w:color w:val="000000"/>
        </w:rPr>
        <w:t>évaluation méthodologique</w:t>
      </w:r>
      <w:r w:rsidR="00D24DC1" w:rsidRPr="009C2953">
        <w:rPr>
          <w:color w:val="000000"/>
        </w:rPr>
        <w:t xml:space="preserve"> des </w:t>
      </w:r>
      <w:r w:rsidR="00607B78" w:rsidRPr="009C2953">
        <w:rPr>
          <w:color w:val="000000"/>
        </w:rPr>
        <w:t>diverses valeurs de</w:t>
      </w:r>
      <w:r w:rsidR="00F34644" w:rsidRPr="009C2953">
        <w:rPr>
          <w:color w:val="000000"/>
        </w:rPr>
        <w:t xml:space="preserve"> la </w:t>
      </w:r>
      <w:r w:rsidR="00607B78" w:rsidRPr="009C2953">
        <w:rPr>
          <w:color w:val="000000"/>
        </w:rPr>
        <w:t>nature et de</w:t>
      </w:r>
      <w:r w:rsidR="00F34644" w:rsidRPr="009C2953">
        <w:rPr>
          <w:color w:val="000000"/>
        </w:rPr>
        <w:t xml:space="preserve"> leur</w:t>
      </w:r>
      <w:r w:rsidR="00063109" w:rsidRPr="009C2953">
        <w:rPr>
          <w:color w:val="000000"/>
        </w:rPr>
        <w:t xml:space="preserve"> </w:t>
      </w:r>
      <w:r w:rsidR="00607B78" w:rsidRPr="009C2953">
        <w:rPr>
          <w:color w:val="000000"/>
        </w:rPr>
        <w:t>estimation de l</w:t>
      </w:r>
      <w:r w:rsidR="00EA2966" w:rsidRPr="009C2953">
        <w:rPr>
          <w:color w:val="000000"/>
        </w:rPr>
        <w:t>’</w:t>
      </w:r>
      <w:r w:rsidR="00607B78" w:rsidRPr="009C2953">
        <w:rPr>
          <w:color w:val="000000"/>
        </w:rPr>
        <w:t>IPBES. Il présentera</w:t>
      </w:r>
      <w:r w:rsidR="00F34644" w:rsidRPr="009C2953">
        <w:rPr>
          <w:color w:val="000000"/>
        </w:rPr>
        <w:t xml:space="preserve"> les </w:t>
      </w:r>
      <w:r w:rsidR="00607B78" w:rsidRPr="009C2953">
        <w:rPr>
          <w:color w:val="000000"/>
        </w:rPr>
        <w:t>liens entre l</w:t>
      </w:r>
      <w:r w:rsidR="00EA2966" w:rsidRPr="009C2953">
        <w:rPr>
          <w:color w:val="000000"/>
        </w:rPr>
        <w:t>’</w:t>
      </w:r>
      <w:r w:rsidR="00607B78" w:rsidRPr="009C2953">
        <w:rPr>
          <w:color w:val="000000"/>
        </w:rPr>
        <w:t>évaluation et</w:t>
      </w:r>
      <w:r w:rsidR="00F34644" w:rsidRPr="009C2953">
        <w:rPr>
          <w:color w:val="000000"/>
        </w:rPr>
        <w:t xml:space="preserve"> le </w:t>
      </w:r>
      <w:r w:rsidR="00607B78" w:rsidRPr="009C2953">
        <w:rPr>
          <w:color w:val="000000"/>
        </w:rPr>
        <w:t>cadre conceptuel de</w:t>
      </w:r>
      <w:r w:rsidR="00F34644" w:rsidRPr="009C2953">
        <w:rPr>
          <w:color w:val="000000"/>
        </w:rPr>
        <w:t xml:space="preserve"> la </w:t>
      </w:r>
      <w:r w:rsidR="00607B78" w:rsidRPr="009C2953">
        <w:rPr>
          <w:color w:val="000000"/>
        </w:rPr>
        <w:t>Plateforme, ainsi que</w:t>
      </w:r>
      <w:r w:rsidR="00F34644" w:rsidRPr="009C2953">
        <w:rPr>
          <w:color w:val="000000"/>
        </w:rPr>
        <w:t xml:space="preserve"> les </w:t>
      </w:r>
      <w:r w:rsidR="00607B78" w:rsidRPr="009C2953">
        <w:rPr>
          <w:color w:val="000000"/>
        </w:rPr>
        <w:t>questions qui seront évaluées dans</w:t>
      </w:r>
      <w:r w:rsidR="00D725D6" w:rsidRPr="009C2953">
        <w:rPr>
          <w:color w:val="000000"/>
        </w:rPr>
        <w:t> </w:t>
      </w:r>
      <w:r w:rsidR="00F34644" w:rsidRPr="009C2953">
        <w:rPr>
          <w:color w:val="000000"/>
        </w:rPr>
        <w:t>les </w:t>
      </w:r>
      <w:r w:rsidR="00607B78" w:rsidRPr="009C2953">
        <w:rPr>
          <w:color w:val="000000"/>
        </w:rPr>
        <w:t>chapitres suivants.</w:t>
      </w:r>
    </w:p>
    <w:p w14:paraId="1D6BA3DC" w14:textId="6EEE4942" w:rsidR="00607B78" w:rsidRPr="009C2953" w:rsidRDefault="009C1976" w:rsidP="009C1976">
      <w:pPr>
        <w:pStyle w:val="NormalNonumber"/>
      </w:pPr>
      <w:r w:rsidRPr="009C2953">
        <w:t>16.</w:t>
      </w:r>
      <w:r w:rsidRPr="009C2953">
        <w:tab/>
      </w:r>
      <w:r w:rsidR="00607B78" w:rsidRPr="009C2953">
        <w:t>Sur</w:t>
      </w:r>
      <w:r w:rsidR="00F34644" w:rsidRPr="009C2953">
        <w:t xml:space="preserve"> la </w:t>
      </w:r>
      <w:r w:rsidR="00607B78" w:rsidRPr="009C2953">
        <w:t>base de</w:t>
      </w:r>
      <w:r w:rsidR="00F34644" w:rsidRPr="009C2953">
        <w:t xml:space="preserve"> la </w:t>
      </w:r>
      <w:r w:rsidR="00607B78" w:rsidRPr="009C2953">
        <w:t>définition figurant au paragraphe 8 ci-dessus,</w:t>
      </w:r>
      <w:r w:rsidR="00F34644" w:rsidRPr="009C2953">
        <w:t xml:space="preserve"> le </w:t>
      </w:r>
      <w:r w:rsidR="00607B78" w:rsidRPr="009C2953">
        <w:t>chapitre 1 définira plus en</w:t>
      </w:r>
      <w:r w:rsidR="0011121C" w:rsidRPr="009C2953">
        <w:t xml:space="preserve"> </w:t>
      </w:r>
      <w:r w:rsidR="00607B78" w:rsidRPr="009C2953">
        <w:t>détail ce qu</w:t>
      </w:r>
      <w:r w:rsidR="00EA2966" w:rsidRPr="009C2953">
        <w:t>’</w:t>
      </w:r>
      <w:r w:rsidR="00607B78" w:rsidRPr="009C2953">
        <w:t>est l</w:t>
      </w:r>
      <w:r w:rsidR="00EA2966" w:rsidRPr="009C2953">
        <w:t>’</w:t>
      </w:r>
      <w:r w:rsidR="00607B78" w:rsidRPr="009C2953">
        <w:t>aménagement du territoire et en particulier l</w:t>
      </w:r>
      <w:r w:rsidR="00EA2966" w:rsidRPr="009C2953">
        <w:t>’</w:t>
      </w:r>
      <w:r w:rsidR="00607B78" w:rsidRPr="009C2953">
        <w:t>aménagement du territoire « tenant compte de</w:t>
      </w:r>
      <w:r w:rsidR="00F34644" w:rsidRPr="009C2953">
        <w:t xml:space="preserve"> la </w:t>
      </w:r>
      <w:r w:rsidR="00607B78" w:rsidRPr="009C2953">
        <w:t>biodiversité », en accordant</w:t>
      </w:r>
      <w:r w:rsidR="00F34644" w:rsidRPr="009C2953">
        <w:t xml:space="preserve"> une </w:t>
      </w:r>
      <w:r w:rsidR="00607B78" w:rsidRPr="009C2953">
        <w:t>attention particulière à</w:t>
      </w:r>
      <w:r w:rsidR="00F34644" w:rsidRPr="009C2953">
        <w:t xml:space="preserve"> la </w:t>
      </w:r>
      <w:r w:rsidR="00607B78" w:rsidRPr="009C2953">
        <w:t>connectivité écologique comme élément essentiel de ce que l</w:t>
      </w:r>
      <w:r w:rsidR="00EA2966" w:rsidRPr="009C2953">
        <w:t>’</w:t>
      </w:r>
      <w:r w:rsidR="00607B78" w:rsidRPr="009C2953">
        <w:t>on entend par «</w:t>
      </w:r>
      <w:r w:rsidR="00F34644" w:rsidRPr="009C2953">
        <w:t xml:space="preserve"> la </w:t>
      </w:r>
      <w:r w:rsidR="00607B78" w:rsidRPr="009C2953">
        <w:t>prise en compte de</w:t>
      </w:r>
      <w:r w:rsidR="00F34644" w:rsidRPr="009C2953">
        <w:t xml:space="preserve"> la </w:t>
      </w:r>
      <w:r w:rsidR="00607B78" w:rsidRPr="009C2953">
        <w:t>biodiversité »,</w:t>
      </w:r>
      <w:r w:rsidR="00F34644" w:rsidRPr="009C2953">
        <w:t xml:space="preserve"> y </w:t>
      </w:r>
      <w:r w:rsidR="00607B78" w:rsidRPr="009C2953">
        <w:t>compris</w:t>
      </w:r>
      <w:r w:rsidR="00063109" w:rsidRPr="009C2953">
        <w:t> </w:t>
      </w:r>
      <w:r w:rsidR="00F34644" w:rsidRPr="009C2953">
        <w:t>la </w:t>
      </w:r>
      <w:r w:rsidR="00607B78" w:rsidRPr="009C2953">
        <w:t>pertinence de</w:t>
      </w:r>
      <w:r w:rsidR="00F34644" w:rsidRPr="009C2953">
        <w:t xml:space="preserve"> la </w:t>
      </w:r>
      <w:r w:rsidR="00607B78" w:rsidRPr="009C2953">
        <w:t>connectivité écologique pour</w:t>
      </w:r>
      <w:r w:rsidR="00F34644" w:rsidRPr="009C2953">
        <w:t xml:space="preserve"> la </w:t>
      </w:r>
      <w:r w:rsidR="00607B78" w:rsidRPr="009C2953">
        <w:t>résilience écologique et l</w:t>
      </w:r>
      <w:r w:rsidR="00EA2966" w:rsidRPr="009C2953">
        <w:t>’</w:t>
      </w:r>
      <w:r w:rsidR="00607B78" w:rsidRPr="009C2953">
        <w:t>adaptation</w:t>
      </w:r>
      <w:r w:rsidR="00F34644" w:rsidRPr="009C2953">
        <w:t xml:space="preserve"> aux </w:t>
      </w:r>
      <w:r w:rsidR="00607B78" w:rsidRPr="009C2953">
        <w:t>changements climatiques. Il examinera</w:t>
      </w:r>
      <w:r w:rsidR="00F34644" w:rsidRPr="009C2953">
        <w:t xml:space="preserve"> le </w:t>
      </w:r>
      <w:r w:rsidR="00607B78" w:rsidRPr="009C2953">
        <w:t>rôle joué par</w:t>
      </w:r>
      <w:r w:rsidR="00F34644" w:rsidRPr="009C2953">
        <w:t xml:space="preserve"> les </w:t>
      </w:r>
      <w:r w:rsidR="00607B78" w:rsidRPr="009C2953">
        <w:t>acteurs privés dans l</w:t>
      </w:r>
      <w:r w:rsidR="00EA2966" w:rsidRPr="009C2953">
        <w:t>’</w:t>
      </w:r>
      <w:r w:rsidR="00607B78" w:rsidRPr="009C2953">
        <w:t>aménagement du</w:t>
      </w:r>
      <w:r w:rsidR="001E2DB8" w:rsidRPr="009C2953">
        <w:t> </w:t>
      </w:r>
      <w:r w:rsidR="00607B78" w:rsidRPr="009C2953">
        <w:t>territoire et</w:t>
      </w:r>
      <w:r w:rsidR="00F34644" w:rsidRPr="009C2953">
        <w:t xml:space="preserve"> la </w:t>
      </w:r>
      <w:r w:rsidR="00607B78" w:rsidRPr="009C2953">
        <w:t>connectivité écologique, et définira</w:t>
      </w:r>
      <w:r w:rsidR="00F34644" w:rsidRPr="009C2953">
        <w:t xml:space="preserve"> le </w:t>
      </w:r>
      <w:r w:rsidR="00607B78" w:rsidRPr="009C2953">
        <w:t>concept de connectivité écologique.</w:t>
      </w:r>
      <w:r w:rsidR="00F34644" w:rsidRPr="009C2953">
        <w:t xml:space="preserve"> </w:t>
      </w:r>
      <w:r w:rsidR="0011121C" w:rsidRPr="009C2953">
        <w:t>C</w:t>
      </w:r>
      <w:r w:rsidR="00F34644" w:rsidRPr="009C2953">
        <w:t>e </w:t>
      </w:r>
      <w:r w:rsidR="00607B78" w:rsidRPr="009C2953">
        <w:t>chapitre</w:t>
      </w:r>
      <w:r w:rsidR="0011121C" w:rsidRPr="009C2953">
        <w:t xml:space="preserve"> </w:t>
      </w:r>
      <w:r w:rsidR="00607B78" w:rsidRPr="009C2953">
        <w:t>expliquera l</w:t>
      </w:r>
      <w:r w:rsidR="00EA2966" w:rsidRPr="009C2953">
        <w:t>’</w:t>
      </w:r>
      <w:r w:rsidR="00607B78" w:rsidRPr="009C2953">
        <w:t>importance d</w:t>
      </w:r>
      <w:r w:rsidR="00EA2966" w:rsidRPr="009C2953">
        <w:t>’</w:t>
      </w:r>
      <w:r w:rsidR="00607B78" w:rsidRPr="009C2953">
        <w:t>un aménagement du territoire tenant compte de</w:t>
      </w:r>
      <w:r w:rsidR="00F34644" w:rsidRPr="009C2953">
        <w:t xml:space="preserve"> la </w:t>
      </w:r>
      <w:r w:rsidR="00607B78" w:rsidRPr="009C2953">
        <w:t>biodiversité pour lutter contre</w:t>
      </w:r>
      <w:r w:rsidR="00F34644" w:rsidRPr="009C2953">
        <w:t xml:space="preserve"> la </w:t>
      </w:r>
      <w:r w:rsidR="00607B78" w:rsidRPr="009C2953">
        <w:t>perte et</w:t>
      </w:r>
      <w:r w:rsidR="00F34644" w:rsidRPr="009C2953">
        <w:t xml:space="preserve"> la </w:t>
      </w:r>
      <w:r w:rsidR="00607B78" w:rsidRPr="009C2953">
        <w:t>dégradation de</w:t>
      </w:r>
      <w:r w:rsidR="00F34644" w:rsidRPr="009C2953">
        <w:t xml:space="preserve"> la </w:t>
      </w:r>
      <w:r w:rsidR="00607B78" w:rsidRPr="009C2953">
        <w:t>biodiversité. Il montrera comment l</w:t>
      </w:r>
      <w:r w:rsidR="00EA2966" w:rsidRPr="009C2953">
        <w:t>’</w:t>
      </w:r>
      <w:r w:rsidR="00607B78" w:rsidRPr="009C2953">
        <w:t>aménagement du</w:t>
      </w:r>
      <w:r w:rsidR="001E2DB8" w:rsidRPr="009C2953">
        <w:t> </w:t>
      </w:r>
      <w:r w:rsidR="00607B78" w:rsidRPr="009C2953">
        <w:t>territoire permet d</w:t>
      </w:r>
      <w:r w:rsidR="00EA2966" w:rsidRPr="009C2953">
        <w:t>’</w:t>
      </w:r>
      <w:r w:rsidR="00607B78" w:rsidRPr="009C2953">
        <w:t>établir de meilleurs compromis et de renforcer</w:t>
      </w:r>
      <w:r w:rsidR="00F34644" w:rsidRPr="009C2953">
        <w:t xml:space="preserve"> les </w:t>
      </w:r>
      <w:r w:rsidR="00607B78" w:rsidRPr="009C2953">
        <w:t>synergies entre</w:t>
      </w:r>
      <w:r w:rsidR="00F34644" w:rsidRPr="009C2953">
        <w:t xml:space="preserve"> les </w:t>
      </w:r>
      <w:r w:rsidR="00607B78" w:rsidRPr="009C2953">
        <w:t>différents types d</w:t>
      </w:r>
      <w:r w:rsidR="00EA2966" w:rsidRPr="009C2953">
        <w:t>’</w:t>
      </w:r>
      <w:r w:rsidR="00607B78" w:rsidRPr="009C2953">
        <w:t>utilisation</w:t>
      </w:r>
      <w:r w:rsidR="00D24DC1" w:rsidRPr="009C2953">
        <w:t xml:space="preserve"> des </w:t>
      </w:r>
      <w:r w:rsidR="00607B78" w:rsidRPr="009C2953">
        <w:t>terres,</w:t>
      </w:r>
      <w:r w:rsidR="00D24DC1" w:rsidRPr="009C2953">
        <w:t xml:space="preserve"> des </w:t>
      </w:r>
      <w:r w:rsidR="00607B78" w:rsidRPr="009C2953">
        <w:t>eaux intérieures et</w:t>
      </w:r>
      <w:r w:rsidR="00D24DC1" w:rsidRPr="009C2953">
        <w:t xml:space="preserve"> des </w:t>
      </w:r>
      <w:r w:rsidR="00607B78" w:rsidRPr="009C2953">
        <w:t>mers afin de garantir</w:t>
      </w:r>
      <w:r w:rsidR="00F34644" w:rsidRPr="009C2953">
        <w:t xml:space="preserve"> la </w:t>
      </w:r>
      <w:r w:rsidR="00607B78" w:rsidRPr="009C2953">
        <w:t>connectivité écologique,</w:t>
      </w:r>
      <w:r w:rsidR="00F34644" w:rsidRPr="009C2953">
        <w:t xml:space="preserve"> la </w:t>
      </w:r>
      <w:r w:rsidR="00607B78" w:rsidRPr="009C2953">
        <w:t>conservation et l</w:t>
      </w:r>
      <w:r w:rsidR="00EA2966" w:rsidRPr="009C2953">
        <w:t>’</w:t>
      </w:r>
      <w:r w:rsidR="00607B78" w:rsidRPr="009C2953">
        <w:t>utilisation durable de</w:t>
      </w:r>
      <w:r w:rsidR="00F34644" w:rsidRPr="009C2953">
        <w:t xml:space="preserve"> la </w:t>
      </w:r>
      <w:r w:rsidR="00607B78" w:rsidRPr="009C2953">
        <w:t>biodiversité ainsi que ses contributions</w:t>
      </w:r>
      <w:r w:rsidR="00F34644" w:rsidRPr="009C2953">
        <w:t xml:space="preserve"> aux </w:t>
      </w:r>
      <w:r w:rsidR="00607B78" w:rsidRPr="009C2953">
        <w:t>populations.</w:t>
      </w:r>
      <w:r w:rsidR="00F34644" w:rsidRPr="009C2953">
        <w:t xml:space="preserve"> Les </w:t>
      </w:r>
      <w:r w:rsidR="00607B78" w:rsidRPr="009C2953">
        <w:t>besoins</w:t>
      </w:r>
      <w:r w:rsidR="00D24DC1" w:rsidRPr="009C2953">
        <w:t xml:space="preserve"> des </w:t>
      </w:r>
      <w:r w:rsidR="00607B78" w:rsidRPr="009C2953">
        <w:t>espèces migratrices et à large répartition,</w:t>
      </w:r>
      <w:r w:rsidR="00F34644" w:rsidRPr="009C2953">
        <w:t xml:space="preserve"> la </w:t>
      </w:r>
      <w:r w:rsidR="00607B78" w:rsidRPr="009C2953">
        <w:t>nécessité de maintenir</w:t>
      </w:r>
      <w:r w:rsidR="00D24DC1" w:rsidRPr="009C2953">
        <w:t xml:space="preserve"> des </w:t>
      </w:r>
      <w:r w:rsidR="00607B78" w:rsidRPr="009C2953">
        <w:t>populations d</w:t>
      </w:r>
      <w:r w:rsidR="00EA2966" w:rsidRPr="009C2953">
        <w:t>’</w:t>
      </w:r>
      <w:r w:rsidR="00607B78" w:rsidRPr="009C2953">
        <w:t>espèces complexes et</w:t>
      </w:r>
      <w:r w:rsidR="00F34644" w:rsidRPr="009C2953">
        <w:t xml:space="preserve"> la </w:t>
      </w:r>
      <w:r w:rsidR="00607B78" w:rsidRPr="009C2953">
        <w:t>nécessité de soutenir</w:t>
      </w:r>
      <w:r w:rsidR="00F34644" w:rsidRPr="009C2953">
        <w:t xml:space="preserve"> les </w:t>
      </w:r>
      <w:r w:rsidR="00607B78" w:rsidRPr="009C2953">
        <w:t>processus écosystémiques tels que</w:t>
      </w:r>
      <w:r w:rsidR="00F34644" w:rsidRPr="009C2953">
        <w:t xml:space="preserve"> la </w:t>
      </w:r>
      <w:r w:rsidR="00607B78" w:rsidRPr="009C2953">
        <w:t>prédation,</w:t>
      </w:r>
      <w:r w:rsidR="00F34644" w:rsidRPr="009C2953">
        <w:t xml:space="preserve"> la </w:t>
      </w:r>
      <w:r w:rsidR="00607B78" w:rsidRPr="009C2953">
        <w:t>dispersion</w:t>
      </w:r>
      <w:r w:rsidR="00D24DC1" w:rsidRPr="009C2953">
        <w:t xml:space="preserve"> des </w:t>
      </w:r>
      <w:r w:rsidR="00607B78" w:rsidRPr="009C2953">
        <w:t>graines et</w:t>
      </w:r>
      <w:r w:rsidR="00F34644" w:rsidRPr="009C2953">
        <w:t xml:space="preserve"> le </w:t>
      </w:r>
      <w:r w:rsidR="00607B78" w:rsidRPr="009C2953">
        <w:t>rôle</w:t>
      </w:r>
      <w:r w:rsidR="00D24DC1" w:rsidRPr="009C2953">
        <w:t xml:space="preserve"> des </w:t>
      </w:r>
      <w:r w:rsidR="00607B78" w:rsidRPr="009C2953">
        <w:t>espèces clés de voûte seront pris en considération.</w:t>
      </w:r>
    </w:p>
    <w:p w14:paraId="4579EAF0" w14:textId="11F08031" w:rsidR="00607B78" w:rsidRPr="009C2953" w:rsidRDefault="00D2123A" w:rsidP="00D2123A">
      <w:pPr>
        <w:pStyle w:val="NormalNonumber"/>
        <w:rPr>
          <w:color w:val="000000"/>
        </w:rPr>
      </w:pPr>
      <w:r w:rsidRPr="009C2953">
        <w:t>17.</w:t>
      </w:r>
      <w:r w:rsidRPr="009C2953">
        <w:tab/>
      </w:r>
      <w:r w:rsidR="00607B78" w:rsidRPr="009C2953">
        <w:t>Le chapitre 1 présentera</w:t>
      </w:r>
      <w:r w:rsidR="00F34644" w:rsidRPr="009C2953">
        <w:t xml:space="preserve"> la </w:t>
      </w:r>
      <w:r w:rsidR="00607B78" w:rsidRPr="009C2953">
        <w:t>manière dont l</w:t>
      </w:r>
      <w:r w:rsidR="00EA2966" w:rsidRPr="009C2953">
        <w:t>’</w:t>
      </w:r>
      <w:r w:rsidR="00607B78" w:rsidRPr="009C2953">
        <w:t>évaluation prévoit de soutenir</w:t>
      </w:r>
      <w:r w:rsidR="00F34644" w:rsidRPr="009C2953">
        <w:t xml:space="preserve"> la </w:t>
      </w:r>
      <w:r w:rsidR="00607B78" w:rsidRPr="009C2953">
        <w:t>réalisation de l</w:t>
      </w:r>
      <w:r w:rsidR="00EA2966" w:rsidRPr="009C2953">
        <w:t>’</w:t>
      </w:r>
      <w:r w:rsidR="00607B78" w:rsidRPr="009C2953">
        <w:t>objectif 1 du Cadre mondial de</w:t>
      </w:r>
      <w:r w:rsidR="00F34644" w:rsidRPr="009C2953">
        <w:t xml:space="preserve"> la </w:t>
      </w:r>
      <w:r w:rsidR="00607B78" w:rsidRPr="009C2953">
        <w:t>biodiversité de Kunming-Montréal, relatif à l</w:t>
      </w:r>
      <w:r w:rsidR="00EA2966" w:rsidRPr="009C2953">
        <w:t>’</w:t>
      </w:r>
      <w:r w:rsidR="00607B78" w:rsidRPr="009C2953">
        <w:t>aménagement du</w:t>
      </w:r>
      <w:r w:rsidR="00AB637C" w:rsidRPr="009C2953">
        <w:t> </w:t>
      </w:r>
      <w:r w:rsidR="00607B78" w:rsidRPr="009C2953">
        <w:t>territoire tenant compte de</w:t>
      </w:r>
      <w:r w:rsidR="00F34644" w:rsidRPr="009C2953">
        <w:t xml:space="preserve"> la </w:t>
      </w:r>
      <w:r w:rsidR="00607B78" w:rsidRPr="009C2953">
        <w:t>biodiversité, ainsi que de l</w:t>
      </w:r>
      <w:r w:rsidR="00EA2966" w:rsidRPr="009C2953">
        <w:t>’</w:t>
      </w:r>
      <w:r w:rsidR="00607B78" w:rsidRPr="009C2953">
        <w:t>objectif 2, relatif à</w:t>
      </w:r>
      <w:r w:rsidR="00F34644" w:rsidRPr="009C2953">
        <w:t xml:space="preserve"> la </w:t>
      </w:r>
      <w:r w:rsidR="00607B78" w:rsidRPr="009C2953">
        <w:t>restauration, de</w:t>
      </w:r>
      <w:r w:rsidR="00AB637C" w:rsidRPr="009C2953">
        <w:t xml:space="preserve"> </w:t>
      </w:r>
      <w:r w:rsidR="00607B78" w:rsidRPr="009C2953">
        <w:t>l</w:t>
      </w:r>
      <w:r w:rsidR="00EA2966" w:rsidRPr="009C2953">
        <w:t>’</w:t>
      </w:r>
      <w:r w:rsidR="00607B78" w:rsidRPr="009C2953">
        <w:t>objectif 3, relatif</w:t>
      </w:r>
      <w:r w:rsidR="00F34644" w:rsidRPr="009C2953">
        <w:t xml:space="preserve"> aux </w:t>
      </w:r>
      <w:r w:rsidR="00607B78" w:rsidRPr="009C2953">
        <w:t>zones protégées et autres mesures de conservation par zone, et de l</w:t>
      </w:r>
      <w:r w:rsidR="00EA2966" w:rsidRPr="009C2953">
        <w:t>’</w:t>
      </w:r>
      <w:r w:rsidR="00607B78" w:rsidRPr="009C2953">
        <w:t>objectif 4, relatif à</w:t>
      </w:r>
      <w:r w:rsidR="00F34644" w:rsidRPr="009C2953">
        <w:t xml:space="preserve"> la </w:t>
      </w:r>
      <w:r w:rsidR="00607B78" w:rsidRPr="009C2953">
        <w:t>conservation</w:t>
      </w:r>
      <w:r w:rsidR="00D24DC1" w:rsidRPr="009C2953">
        <w:t xml:space="preserve"> des </w:t>
      </w:r>
      <w:r w:rsidR="00607B78" w:rsidRPr="009C2953">
        <w:t>espèces, où</w:t>
      </w:r>
      <w:r w:rsidR="00F34644" w:rsidRPr="009C2953">
        <w:t xml:space="preserve"> la </w:t>
      </w:r>
      <w:r w:rsidR="00607B78" w:rsidRPr="009C2953">
        <w:t>connectivité écologique joue</w:t>
      </w:r>
      <w:r w:rsidR="00F34644" w:rsidRPr="009C2953">
        <w:t xml:space="preserve"> un </w:t>
      </w:r>
      <w:r w:rsidR="00607B78" w:rsidRPr="009C2953">
        <w:t>rôle central dans</w:t>
      </w:r>
      <w:r w:rsidR="00F34644" w:rsidRPr="009C2953">
        <w:t xml:space="preserve"> le </w:t>
      </w:r>
      <w:r w:rsidR="00607B78" w:rsidRPr="009C2953">
        <w:t>maintien et</w:t>
      </w:r>
      <w:r w:rsidR="00F34644" w:rsidRPr="009C2953">
        <w:t xml:space="preserve"> la </w:t>
      </w:r>
      <w:r w:rsidR="00607B78" w:rsidRPr="009C2953">
        <w:t>restauration de</w:t>
      </w:r>
      <w:r w:rsidR="00F34644" w:rsidRPr="009C2953">
        <w:t xml:space="preserve"> la </w:t>
      </w:r>
      <w:r w:rsidR="00607B78" w:rsidRPr="009C2953">
        <w:t>diversité génétique.</w:t>
      </w:r>
      <w:r w:rsidR="00607B78" w:rsidRPr="009C2953">
        <w:rPr>
          <w:color w:val="000000"/>
        </w:rPr>
        <w:t xml:space="preserve"> </w:t>
      </w:r>
      <w:r w:rsidR="00607B78" w:rsidRPr="009C2953">
        <w:t>Il présentera également</w:t>
      </w:r>
      <w:r w:rsidR="00F34644" w:rsidRPr="009C2953">
        <w:t xml:space="preserve"> les </w:t>
      </w:r>
      <w:r w:rsidR="00607B78" w:rsidRPr="009C2953">
        <w:t>autres objectifs du</w:t>
      </w:r>
      <w:r w:rsidR="00AB637C" w:rsidRPr="009C2953">
        <w:t> </w:t>
      </w:r>
      <w:r w:rsidR="00607B78" w:rsidRPr="009C2953">
        <w:t>Cadre mondial de</w:t>
      </w:r>
      <w:r w:rsidR="00F34644" w:rsidRPr="009C2953">
        <w:t xml:space="preserve"> la </w:t>
      </w:r>
      <w:r w:rsidR="00607B78" w:rsidRPr="009C2953">
        <w:t>biodiversité de Kunming-Montréal qui concernent l</w:t>
      </w:r>
      <w:r w:rsidR="00EA2966" w:rsidRPr="009C2953">
        <w:t>’</w:t>
      </w:r>
      <w:r w:rsidR="00607B78" w:rsidRPr="009C2953">
        <w:t>aménagement du territoire et</w:t>
      </w:r>
      <w:r w:rsidR="00F34644" w:rsidRPr="009C2953">
        <w:t xml:space="preserve"> la </w:t>
      </w:r>
      <w:r w:rsidR="00607B78" w:rsidRPr="009C2953">
        <w:t>connectivité.</w:t>
      </w:r>
      <w:r w:rsidR="00607B78" w:rsidRPr="009C2953">
        <w:rPr>
          <w:color w:val="000000"/>
        </w:rPr>
        <w:t xml:space="preserve"> </w:t>
      </w:r>
      <w:r w:rsidR="00607B78" w:rsidRPr="009C2953">
        <w:t>Il contribuera également au Programme de développement durable à l</w:t>
      </w:r>
      <w:r w:rsidR="00EA2966" w:rsidRPr="009C2953">
        <w:t>’</w:t>
      </w:r>
      <w:r w:rsidR="00607B78" w:rsidRPr="009C2953">
        <w:t>horizon 2030, en particulier à ses objectifs de développement durable 11, 14 et 15.</w:t>
      </w:r>
    </w:p>
    <w:p w14:paraId="7136E5FB" w14:textId="77123D23" w:rsidR="00607B78" w:rsidRPr="009C2953" w:rsidRDefault="00325EC1" w:rsidP="00325EC1">
      <w:pPr>
        <w:pStyle w:val="NormalNonumber"/>
      </w:pPr>
      <w:r w:rsidRPr="009C2953">
        <w:rPr>
          <w:color w:val="000000"/>
        </w:rPr>
        <w:t>18.</w:t>
      </w:r>
      <w:r w:rsidRPr="009C2953">
        <w:rPr>
          <w:color w:val="000000"/>
        </w:rPr>
        <w:tab/>
      </w:r>
      <w:r w:rsidR="00607B78" w:rsidRPr="009C2953">
        <w:rPr>
          <w:b/>
          <w:bCs/>
          <w:color w:val="000000"/>
        </w:rPr>
        <w:t xml:space="preserve">Chapitre 2. </w:t>
      </w:r>
      <w:r w:rsidR="00607B78" w:rsidRPr="009C2953">
        <w:rPr>
          <w:b/>
          <w:bCs/>
        </w:rPr>
        <w:t>Cible 1 du Cadre mondial de</w:t>
      </w:r>
      <w:r w:rsidR="00F34644" w:rsidRPr="009C2953">
        <w:rPr>
          <w:b/>
          <w:bCs/>
        </w:rPr>
        <w:t xml:space="preserve"> la </w:t>
      </w:r>
      <w:r w:rsidR="00607B78" w:rsidRPr="009C2953">
        <w:rPr>
          <w:b/>
          <w:bCs/>
        </w:rPr>
        <w:t>biodiversité de Kunming-Montréal sur l</w:t>
      </w:r>
      <w:r w:rsidR="00EA2966" w:rsidRPr="009C2953">
        <w:rPr>
          <w:b/>
          <w:bCs/>
        </w:rPr>
        <w:t>’</w:t>
      </w:r>
      <w:r w:rsidR="00607B78" w:rsidRPr="009C2953">
        <w:rPr>
          <w:b/>
          <w:bCs/>
        </w:rPr>
        <w:t>aménagement du territoire tenant compte de</w:t>
      </w:r>
      <w:r w:rsidR="00F34644" w:rsidRPr="009C2953">
        <w:rPr>
          <w:b/>
          <w:bCs/>
        </w:rPr>
        <w:t xml:space="preserve"> la </w:t>
      </w:r>
      <w:r w:rsidR="00607B78" w:rsidRPr="009C2953">
        <w:rPr>
          <w:b/>
          <w:bCs/>
        </w:rPr>
        <w:t>biodiversité</w:t>
      </w:r>
      <w:r w:rsidR="00607B78" w:rsidRPr="009C2953">
        <w:rPr>
          <w:b/>
        </w:rPr>
        <w:t xml:space="preserve"> </w:t>
      </w:r>
      <w:r w:rsidR="00607B78" w:rsidRPr="009C2953">
        <w:rPr>
          <w:i/>
        </w:rPr>
        <w:t>(longueur suggérée : 25 000 mots</w:t>
      </w:r>
      <w:r w:rsidR="00607B78" w:rsidRPr="009C2953">
        <w:t>).</w:t>
      </w:r>
      <w:r w:rsidR="00F34644" w:rsidRPr="009C2953">
        <w:rPr>
          <w:color w:val="000000"/>
        </w:rPr>
        <w:t xml:space="preserve"> Le </w:t>
      </w:r>
      <w:r w:rsidR="00607B78" w:rsidRPr="009C2953">
        <w:rPr>
          <w:color w:val="000000"/>
        </w:rPr>
        <w:t>chapitre 2 sera axé sur</w:t>
      </w:r>
      <w:r w:rsidR="00F34644" w:rsidRPr="009C2953">
        <w:rPr>
          <w:color w:val="000000"/>
        </w:rPr>
        <w:t xml:space="preserve"> la </w:t>
      </w:r>
      <w:r w:rsidR="00607B78" w:rsidRPr="009C2953">
        <w:rPr>
          <w:color w:val="000000"/>
        </w:rPr>
        <w:t>cible 1 du Cadre mondial de</w:t>
      </w:r>
      <w:r w:rsidR="00F34644" w:rsidRPr="009C2953">
        <w:rPr>
          <w:color w:val="000000"/>
        </w:rPr>
        <w:t xml:space="preserve"> la </w:t>
      </w:r>
      <w:r w:rsidR="00607B78" w:rsidRPr="009C2953">
        <w:rPr>
          <w:color w:val="000000"/>
        </w:rPr>
        <w:t>biodiversité de Kunming-Montréal. Il</w:t>
      </w:r>
      <w:r w:rsidR="00A75E48" w:rsidRPr="009C2953">
        <w:rPr>
          <w:color w:val="000000"/>
        </w:rPr>
        <w:t> </w:t>
      </w:r>
      <w:r w:rsidR="00607B78" w:rsidRPr="009C2953">
        <w:rPr>
          <w:color w:val="000000"/>
        </w:rPr>
        <w:t>mettra en relief l</w:t>
      </w:r>
      <w:r w:rsidR="00EA2966" w:rsidRPr="009C2953">
        <w:rPr>
          <w:color w:val="000000"/>
        </w:rPr>
        <w:t>’</w:t>
      </w:r>
      <w:r w:rsidR="00607B78" w:rsidRPr="009C2953">
        <w:rPr>
          <w:color w:val="000000"/>
        </w:rPr>
        <w:t>importance d</w:t>
      </w:r>
      <w:r w:rsidR="00EA2966" w:rsidRPr="009C2953">
        <w:rPr>
          <w:color w:val="000000"/>
        </w:rPr>
        <w:t>’</w:t>
      </w:r>
      <w:r w:rsidR="00607B78" w:rsidRPr="009C2953">
        <w:rPr>
          <w:color w:val="000000"/>
        </w:rPr>
        <w:t>inclure</w:t>
      </w:r>
      <w:r w:rsidR="00F34644" w:rsidRPr="009C2953">
        <w:rPr>
          <w:color w:val="000000"/>
        </w:rPr>
        <w:t xml:space="preserve"> la </w:t>
      </w:r>
      <w:r w:rsidR="00607B78" w:rsidRPr="009C2953">
        <w:rPr>
          <w:color w:val="000000"/>
        </w:rPr>
        <w:t>biodiversité dans tous</w:t>
      </w:r>
      <w:r w:rsidR="00F34644" w:rsidRPr="009C2953">
        <w:rPr>
          <w:color w:val="000000"/>
        </w:rPr>
        <w:t xml:space="preserve"> les </w:t>
      </w:r>
      <w:r w:rsidR="00607B78" w:rsidRPr="009C2953">
        <w:rPr>
          <w:color w:val="000000"/>
        </w:rPr>
        <w:t>plans d</w:t>
      </w:r>
      <w:r w:rsidR="00EA2966" w:rsidRPr="009C2953">
        <w:rPr>
          <w:color w:val="000000"/>
        </w:rPr>
        <w:t>’</w:t>
      </w:r>
      <w:r w:rsidR="00607B78" w:rsidRPr="009C2953">
        <w:rPr>
          <w:color w:val="000000"/>
        </w:rPr>
        <w:t>aménagement du territoire (y compris l</w:t>
      </w:r>
      <w:r w:rsidR="00EA2966" w:rsidRPr="009C2953">
        <w:rPr>
          <w:color w:val="000000"/>
        </w:rPr>
        <w:t>’</w:t>
      </w:r>
      <w:r w:rsidR="00607B78" w:rsidRPr="009C2953">
        <w:rPr>
          <w:color w:val="000000"/>
        </w:rPr>
        <w:t>aménagement urbain) pour conserver et restaurer</w:t>
      </w:r>
      <w:r w:rsidR="00F34644" w:rsidRPr="009C2953">
        <w:rPr>
          <w:color w:val="000000"/>
        </w:rPr>
        <w:t xml:space="preserve"> la </w:t>
      </w:r>
      <w:r w:rsidR="00607B78" w:rsidRPr="009C2953">
        <w:rPr>
          <w:color w:val="000000"/>
        </w:rPr>
        <w:t>nature et ses contributions</w:t>
      </w:r>
      <w:r w:rsidR="00F34644" w:rsidRPr="009C2953">
        <w:rPr>
          <w:color w:val="000000"/>
        </w:rPr>
        <w:t xml:space="preserve"> aux </w:t>
      </w:r>
      <w:r w:rsidR="00607B78" w:rsidRPr="009C2953">
        <w:rPr>
          <w:color w:val="000000"/>
        </w:rPr>
        <w:t>populations,</w:t>
      </w:r>
      <w:r w:rsidR="00F34644" w:rsidRPr="009C2953">
        <w:rPr>
          <w:color w:val="000000"/>
        </w:rPr>
        <w:t xml:space="preserve"> y </w:t>
      </w:r>
      <w:r w:rsidR="00607B78" w:rsidRPr="009C2953">
        <w:rPr>
          <w:color w:val="000000"/>
        </w:rPr>
        <w:t>compris en dehors</w:t>
      </w:r>
      <w:r w:rsidR="00D24DC1" w:rsidRPr="009C2953">
        <w:rPr>
          <w:color w:val="000000"/>
        </w:rPr>
        <w:t xml:space="preserve"> des </w:t>
      </w:r>
      <w:r w:rsidR="00607B78" w:rsidRPr="009C2953">
        <w:rPr>
          <w:color w:val="000000"/>
        </w:rPr>
        <w:t>zones protégées et restaurées, et</w:t>
      </w:r>
      <w:r w:rsidR="00F34644" w:rsidRPr="009C2953">
        <w:rPr>
          <w:color w:val="000000"/>
        </w:rPr>
        <w:t xml:space="preserve"> le </w:t>
      </w:r>
      <w:r w:rsidR="00607B78" w:rsidRPr="009C2953">
        <w:rPr>
          <w:color w:val="000000"/>
        </w:rPr>
        <w:t>rôle de</w:t>
      </w:r>
      <w:r w:rsidR="00F34644" w:rsidRPr="009C2953">
        <w:rPr>
          <w:color w:val="000000"/>
        </w:rPr>
        <w:t xml:space="preserve"> la </w:t>
      </w:r>
      <w:r w:rsidR="00607B78" w:rsidRPr="009C2953">
        <w:rPr>
          <w:color w:val="000000"/>
        </w:rPr>
        <w:t>connectivité dans l</w:t>
      </w:r>
      <w:r w:rsidR="00EA2966" w:rsidRPr="009C2953">
        <w:rPr>
          <w:color w:val="000000"/>
        </w:rPr>
        <w:t>’</w:t>
      </w:r>
      <w:r w:rsidR="00607B78" w:rsidRPr="009C2953">
        <w:rPr>
          <w:color w:val="000000"/>
        </w:rPr>
        <w:t>amélioration de</w:t>
      </w:r>
      <w:r w:rsidR="00F34644" w:rsidRPr="009C2953">
        <w:rPr>
          <w:color w:val="000000"/>
        </w:rPr>
        <w:t xml:space="preserve"> la </w:t>
      </w:r>
      <w:r w:rsidR="00607B78" w:rsidRPr="009C2953">
        <w:rPr>
          <w:color w:val="000000"/>
        </w:rPr>
        <w:t>résilience de ces zones afin d</w:t>
      </w:r>
      <w:r w:rsidR="00EA2966" w:rsidRPr="009C2953">
        <w:rPr>
          <w:color w:val="000000"/>
        </w:rPr>
        <w:t>’</w:t>
      </w:r>
      <w:r w:rsidR="00607B78" w:rsidRPr="009C2953">
        <w:rPr>
          <w:color w:val="000000"/>
        </w:rPr>
        <w:t>atteindre l</w:t>
      </w:r>
      <w:r w:rsidR="00EA2966" w:rsidRPr="009C2953">
        <w:rPr>
          <w:color w:val="000000"/>
        </w:rPr>
        <w:t>’</w:t>
      </w:r>
      <w:r w:rsidR="00607B78" w:rsidRPr="009C2953">
        <w:rPr>
          <w:color w:val="000000"/>
        </w:rPr>
        <w:t>objectif A du Cadre.</w:t>
      </w:r>
      <w:r w:rsidR="00F34644" w:rsidRPr="009C2953">
        <w:rPr>
          <w:color w:val="000000"/>
        </w:rPr>
        <w:t xml:space="preserve"> Le </w:t>
      </w:r>
      <w:r w:rsidR="00607B78" w:rsidRPr="009C2953">
        <w:t>chapitre 2 se concentrera également sur</w:t>
      </w:r>
      <w:r w:rsidR="00F34644" w:rsidRPr="009C2953">
        <w:t xml:space="preserve"> le </w:t>
      </w:r>
      <w:r w:rsidR="00607B78" w:rsidRPr="009C2953">
        <w:t>rôle que l</w:t>
      </w:r>
      <w:r w:rsidR="00EA2966" w:rsidRPr="009C2953">
        <w:t>’</w:t>
      </w:r>
      <w:r w:rsidR="00607B78" w:rsidRPr="009C2953">
        <w:t>aménagement du territoire peut jouer au regard</w:t>
      </w:r>
      <w:r w:rsidR="00D24DC1" w:rsidRPr="009C2953">
        <w:t xml:space="preserve"> des </w:t>
      </w:r>
      <w:r w:rsidR="00607B78" w:rsidRPr="009C2953">
        <w:t>éléments de</w:t>
      </w:r>
      <w:r w:rsidR="00F34644" w:rsidRPr="009C2953">
        <w:t xml:space="preserve"> la </w:t>
      </w:r>
      <w:r w:rsidR="00607B78" w:rsidRPr="009C2953">
        <w:t>cible 1 qui font référence à</w:t>
      </w:r>
      <w:r w:rsidR="00F34644" w:rsidRPr="009C2953">
        <w:t xml:space="preserve"> la </w:t>
      </w:r>
      <w:r w:rsidR="00607B78" w:rsidRPr="009C2953">
        <w:t>gestion efficace du changement d</w:t>
      </w:r>
      <w:r w:rsidR="00EA2966" w:rsidRPr="009C2953">
        <w:t>’</w:t>
      </w:r>
      <w:r w:rsidR="00607B78" w:rsidRPr="009C2953">
        <w:t>affectation</w:t>
      </w:r>
      <w:r w:rsidR="00D24DC1" w:rsidRPr="009C2953">
        <w:t xml:space="preserve"> des </w:t>
      </w:r>
      <w:r w:rsidR="00607B78" w:rsidRPr="009C2953">
        <w:t>terres et</w:t>
      </w:r>
      <w:r w:rsidR="00D24DC1" w:rsidRPr="009C2953">
        <w:t xml:space="preserve"> des </w:t>
      </w:r>
      <w:r w:rsidR="00607B78" w:rsidRPr="009C2953">
        <w:t>mers et au regard de</w:t>
      </w:r>
      <w:r w:rsidR="00F34644" w:rsidRPr="009C2953">
        <w:t xml:space="preserve"> la </w:t>
      </w:r>
      <w:r w:rsidR="00607B78" w:rsidRPr="009C2953">
        <w:t>nécessité de ramener à</w:t>
      </w:r>
      <w:r w:rsidR="00F34644" w:rsidRPr="009C2953">
        <w:t xml:space="preserve"> un </w:t>
      </w:r>
      <w:r w:rsidR="00607B78" w:rsidRPr="009C2953">
        <w:t>niveau proche de zéro, d</w:t>
      </w:r>
      <w:r w:rsidR="00EA2966" w:rsidRPr="009C2953">
        <w:t>’</w:t>
      </w:r>
      <w:r w:rsidR="00607B78" w:rsidRPr="009C2953">
        <w:t>ici à 2030,</w:t>
      </w:r>
      <w:r w:rsidR="00F34644" w:rsidRPr="009C2953">
        <w:t xml:space="preserve"> la </w:t>
      </w:r>
      <w:r w:rsidR="00607B78" w:rsidRPr="009C2953">
        <w:t>perte de zones de grande importance pour</w:t>
      </w:r>
      <w:r w:rsidR="00F34644" w:rsidRPr="009C2953">
        <w:t xml:space="preserve"> la </w:t>
      </w:r>
      <w:r w:rsidR="00607B78" w:rsidRPr="009C2953">
        <w:t>biodiversité,</w:t>
      </w:r>
      <w:r w:rsidR="00F34644" w:rsidRPr="009C2953">
        <w:t xml:space="preserve"> y </w:t>
      </w:r>
      <w:r w:rsidR="00607B78" w:rsidRPr="009C2953">
        <w:t>compris</w:t>
      </w:r>
      <w:r w:rsidR="00F34644" w:rsidRPr="009C2953">
        <w:t xml:space="preserve"> les </w:t>
      </w:r>
      <w:r w:rsidR="00607B78" w:rsidRPr="009C2953">
        <w:t>écosystèmes présentant</w:t>
      </w:r>
      <w:r w:rsidR="00F34644" w:rsidRPr="009C2953">
        <w:t xml:space="preserve"> un </w:t>
      </w:r>
      <w:r w:rsidR="00607B78" w:rsidRPr="009C2953">
        <w:t>degré élevé d</w:t>
      </w:r>
      <w:r w:rsidR="00EA2966" w:rsidRPr="009C2953">
        <w:t>’</w:t>
      </w:r>
      <w:r w:rsidR="00607B78" w:rsidRPr="009C2953">
        <w:t>intégrité écologique, tout en respectant</w:t>
      </w:r>
      <w:r w:rsidR="00F34644" w:rsidRPr="009C2953">
        <w:t xml:space="preserve"> les </w:t>
      </w:r>
      <w:r w:rsidR="00607B78" w:rsidRPr="009C2953">
        <w:t>droits</w:t>
      </w:r>
      <w:r w:rsidR="00D24DC1" w:rsidRPr="009C2953">
        <w:t xml:space="preserve"> des </w:t>
      </w:r>
      <w:r w:rsidR="00607B78" w:rsidRPr="009C2953">
        <w:t>peuples autochtones et</w:t>
      </w:r>
      <w:r w:rsidR="00D24DC1" w:rsidRPr="009C2953">
        <w:t xml:space="preserve"> des </w:t>
      </w:r>
      <w:r w:rsidR="00607B78" w:rsidRPr="009C2953">
        <w:t>communautés locales et en réalisant</w:t>
      </w:r>
      <w:r w:rsidR="00F34644" w:rsidRPr="009C2953">
        <w:t xml:space="preserve"> les </w:t>
      </w:r>
      <w:r w:rsidR="00607B78" w:rsidRPr="009C2953">
        <w:t>objectifs de développement durable.</w:t>
      </w:r>
      <w:r w:rsidR="00607B78" w:rsidRPr="009C2953">
        <w:rPr>
          <w:color w:val="000000"/>
        </w:rPr>
        <w:t xml:space="preserve"> Il soulignera</w:t>
      </w:r>
      <w:r w:rsidR="00F34644" w:rsidRPr="009C2953">
        <w:rPr>
          <w:color w:val="000000"/>
        </w:rPr>
        <w:t xml:space="preserve"> la </w:t>
      </w:r>
      <w:r w:rsidR="00607B78" w:rsidRPr="009C2953">
        <w:rPr>
          <w:color w:val="000000"/>
        </w:rPr>
        <w:t>nécessité d</w:t>
      </w:r>
      <w:r w:rsidR="00EA2966" w:rsidRPr="009C2953">
        <w:rPr>
          <w:color w:val="000000"/>
        </w:rPr>
        <w:t>’</w:t>
      </w:r>
      <w:r w:rsidR="00607B78" w:rsidRPr="009C2953">
        <w:rPr>
          <w:color w:val="000000"/>
        </w:rPr>
        <w:t>atteindre</w:t>
      </w:r>
      <w:r w:rsidR="00F34644" w:rsidRPr="009C2953">
        <w:rPr>
          <w:color w:val="000000"/>
        </w:rPr>
        <w:t xml:space="preserve"> la </w:t>
      </w:r>
      <w:r w:rsidR="00607B78" w:rsidRPr="009C2953">
        <w:rPr>
          <w:color w:val="000000"/>
        </w:rPr>
        <w:t>cible 1 pour atteindre</w:t>
      </w:r>
      <w:r w:rsidR="00F34644" w:rsidRPr="009C2953">
        <w:rPr>
          <w:color w:val="000000"/>
        </w:rPr>
        <w:t xml:space="preserve"> les </w:t>
      </w:r>
      <w:r w:rsidR="00607B78" w:rsidRPr="009C2953">
        <w:rPr>
          <w:color w:val="000000"/>
        </w:rPr>
        <w:t>autres cibles du Cadre,</w:t>
      </w:r>
      <w:r w:rsidR="00F34644" w:rsidRPr="009C2953">
        <w:rPr>
          <w:color w:val="000000"/>
        </w:rPr>
        <w:t xml:space="preserve"> y </w:t>
      </w:r>
      <w:r w:rsidR="00607B78" w:rsidRPr="009C2953">
        <w:rPr>
          <w:color w:val="000000"/>
        </w:rPr>
        <w:t>compris</w:t>
      </w:r>
      <w:r w:rsidR="00F34644" w:rsidRPr="009C2953">
        <w:rPr>
          <w:color w:val="000000"/>
        </w:rPr>
        <w:t xml:space="preserve"> les </w:t>
      </w:r>
      <w:r w:rsidR="00607B78" w:rsidRPr="009C2953">
        <w:rPr>
          <w:color w:val="000000"/>
        </w:rPr>
        <w:t>cibles 2,</w:t>
      </w:r>
      <w:r w:rsidR="00A05C91" w:rsidRPr="009C2953">
        <w:rPr>
          <w:color w:val="000000"/>
        </w:rPr>
        <w:t> </w:t>
      </w:r>
      <w:r w:rsidR="00607B78" w:rsidRPr="009C2953">
        <w:rPr>
          <w:color w:val="000000"/>
        </w:rPr>
        <w:t>3,</w:t>
      </w:r>
      <w:r w:rsidR="00A05C91" w:rsidRPr="009C2953">
        <w:rPr>
          <w:color w:val="000000"/>
        </w:rPr>
        <w:t> </w:t>
      </w:r>
      <w:r w:rsidR="00607B78" w:rsidRPr="009C2953">
        <w:rPr>
          <w:color w:val="000000"/>
        </w:rPr>
        <w:t>8,</w:t>
      </w:r>
      <w:r w:rsidR="00A05C91" w:rsidRPr="009C2953">
        <w:rPr>
          <w:color w:val="000000"/>
        </w:rPr>
        <w:t> </w:t>
      </w:r>
      <w:r w:rsidR="00607B78" w:rsidRPr="009C2953">
        <w:rPr>
          <w:color w:val="000000"/>
        </w:rPr>
        <w:t>10 et 12, et expliquera</w:t>
      </w:r>
      <w:r w:rsidR="00F34644" w:rsidRPr="009C2953">
        <w:rPr>
          <w:color w:val="000000"/>
        </w:rPr>
        <w:t xml:space="preserve"> les </w:t>
      </w:r>
      <w:r w:rsidR="004E08CE" w:rsidRPr="009C2953">
        <w:rPr>
          <w:color w:val="000000"/>
        </w:rPr>
        <w:t>liens d</w:t>
      </w:r>
      <w:r w:rsidR="00EA2966" w:rsidRPr="009C2953">
        <w:rPr>
          <w:color w:val="000000"/>
        </w:rPr>
        <w:t>’</w:t>
      </w:r>
      <w:r w:rsidR="00607B78" w:rsidRPr="009C2953">
        <w:rPr>
          <w:color w:val="000000"/>
        </w:rPr>
        <w:t>interdépendance qu</w:t>
      </w:r>
      <w:r w:rsidR="00EA2966" w:rsidRPr="009C2953">
        <w:rPr>
          <w:color w:val="000000"/>
        </w:rPr>
        <w:t>’</w:t>
      </w:r>
      <w:r w:rsidR="00607B78" w:rsidRPr="009C2953">
        <w:rPr>
          <w:color w:val="000000"/>
        </w:rPr>
        <w:t>elles entretiennent entre elles. Il montrera comment</w:t>
      </w:r>
      <w:r w:rsidR="00F34644" w:rsidRPr="009C2953">
        <w:rPr>
          <w:color w:val="000000"/>
        </w:rPr>
        <w:t xml:space="preserve"> la </w:t>
      </w:r>
      <w:r w:rsidR="00607B78" w:rsidRPr="009C2953">
        <w:rPr>
          <w:color w:val="000000"/>
        </w:rPr>
        <w:t>cible 1 offre</w:t>
      </w:r>
      <w:r w:rsidR="00F34644" w:rsidRPr="009C2953">
        <w:rPr>
          <w:color w:val="000000"/>
        </w:rPr>
        <w:t xml:space="preserve"> un </w:t>
      </w:r>
      <w:r w:rsidR="00607B78" w:rsidRPr="009C2953">
        <w:rPr>
          <w:color w:val="000000"/>
        </w:rPr>
        <w:t>contexte spatial pour</w:t>
      </w:r>
      <w:r w:rsidR="00F34644" w:rsidRPr="009C2953">
        <w:rPr>
          <w:color w:val="000000"/>
        </w:rPr>
        <w:t xml:space="preserve"> les </w:t>
      </w:r>
      <w:r w:rsidR="00607B78" w:rsidRPr="009C2953">
        <w:rPr>
          <w:color w:val="000000"/>
        </w:rPr>
        <w:t>autres cibles, et étudiera l</w:t>
      </w:r>
      <w:r w:rsidR="00EA2966" w:rsidRPr="009C2953">
        <w:rPr>
          <w:color w:val="000000"/>
        </w:rPr>
        <w:t>’</w:t>
      </w:r>
      <w:r w:rsidR="00607B78" w:rsidRPr="009C2953">
        <w:rPr>
          <w:color w:val="000000"/>
        </w:rPr>
        <w:t>importance de l</w:t>
      </w:r>
      <w:r w:rsidR="00EA2966" w:rsidRPr="009C2953">
        <w:rPr>
          <w:color w:val="000000"/>
        </w:rPr>
        <w:t>’</w:t>
      </w:r>
      <w:r w:rsidR="00607B78" w:rsidRPr="009C2953">
        <w:rPr>
          <w:color w:val="000000"/>
        </w:rPr>
        <w:t>aménagement du territoire pour établir de meilleurs compromis et renforcer</w:t>
      </w:r>
      <w:r w:rsidR="00F34644" w:rsidRPr="009C2953">
        <w:rPr>
          <w:color w:val="000000"/>
        </w:rPr>
        <w:t xml:space="preserve"> les </w:t>
      </w:r>
      <w:r w:rsidR="00607B78" w:rsidRPr="009C2953">
        <w:rPr>
          <w:color w:val="000000"/>
        </w:rPr>
        <w:t>synergies entre</w:t>
      </w:r>
      <w:r w:rsidR="00F34644" w:rsidRPr="009C2953">
        <w:rPr>
          <w:color w:val="000000"/>
        </w:rPr>
        <w:t xml:space="preserve"> les </w:t>
      </w:r>
      <w:r w:rsidR="00607B78" w:rsidRPr="009C2953">
        <w:rPr>
          <w:color w:val="000000"/>
        </w:rPr>
        <w:t>différentes affectations</w:t>
      </w:r>
      <w:r w:rsidR="00D24DC1" w:rsidRPr="009C2953">
        <w:rPr>
          <w:color w:val="000000"/>
        </w:rPr>
        <w:t xml:space="preserve"> des </w:t>
      </w:r>
      <w:r w:rsidR="00607B78" w:rsidRPr="009C2953">
        <w:rPr>
          <w:color w:val="000000"/>
        </w:rPr>
        <w:t>terres (y</w:t>
      </w:r>
      <w:r w:rsidR="00A75E48" w:rsidRPr="009C2953">
        <w:rPr>
          <w:color w:val="000000"/>
        </w:rPr>
        <w:t> </w:t>
      </w:r>
      <w:r w:rsidR="00607B78" w:rsidRPr="009C2953">
        <w:rPr>
          <w:color w:val="000000"/>
        </w:rPr>
        <w:t>compris</w:t>
      </w:r>
      <w:r w:rsidR="00F34644" w:rsidRPr="009C2953">
        <w:rPr>
          <w:color w:val="000000"/>
        </w:rPr>
        <w:t xml:space="preserve"> les </w:t>
      </w:r>
      <w:r w:rsidR="00607B78" w:rsidRPr="009C2953">
        <w:rPr>
          <w:color w:val="000000"/>
        </w:rPr>
        <w:t>eaux intérieures) et</w:t>
      </w:r>
      <w:r w:rsidR="00D24DC1" w:rsidRPr="009C2953">
        <w:rPr>
          <w:color w:val="000000"/>
        </w:rPr>
        <w:t xml:space="preserve"> des </w:t>
      </w:r>
      <w:r w:rsidR="00607B78" w:rsidRPr="009C2953">
        <w:rPr>
          <w:color w:val="000000"/>
        </w:rPr>
        <w:t>mers dans</w:t>
      </w:r>
      <w:r w:rsidR="00F34644" w:rsidRPr="009C2953">
        <w:rPr>
          <w:color w:val="000000"/>
        </w:rPr>
        <w:t xml:space="preserve"> le </w:t>
      </w:r>
      <w:r w:rsidR="00607B78" w:rsidRPr="009C2953">
        <w:rPr>
          <w:color w:val="000000"/>
        </w:rPr>
        <w:t>contexte</w:t>
      </w:r>
      <w:r w:rsidR="00D24DC1" w:rsidRPr="009C2953">
        <w:rPr>
          <w:color w:val="000000"/>
        </w:rPr>
        <w:t xml:space="preserve"> des </w:t>
      </w:r>
      <w:r w:rsidR="00607B78" w:rsidRPr="009C2953">
        <w:rPr>
          <w:color w:val="000000"/>
        </w:rPr>
        <w:t>liens d</w:t>
      </w:r>
      <w:r w:rsidR="00EA2966" w:rsidRPr="009C2953">
        <w:rPr>
          <w:color w:val="000000"/>
        </w:rPr>
        <w:t>’</w:t>
      </w:r>
      <w:r w:rsidR="00607B78" w:rsidRPr="009C2953">
        <w:rPr>
          <w:color w:val="000000"/>
        </w:rPr>
        <w:t>interdépendance entre</w:t>
      </w:r>
      <w:r w:rsidR="00F34644" w:rsidRPr="009C2953">
        <w:rPr>
          <w:color w:val="000000"/>
        </w:rPr>
        <w:t xml:space="preserve"> la </w:t>
      </w:r>
      <w:r w:rsidR="00607B78" w:rsidRPr="009C2953">
        <w:rPr>
          <w:color w:val="000000"/>
        </w:rPr>
        <w:t>biodiversité, l</w:t>
      </w:r>
      <w:r w:rsidR="00EA2966" w:rsidRPr="009C2953">
        <w:rPr>
          <w:color w:val="000000"/>
        </w:rPr>
        <w:t>’</w:t>
      </w:r>
      <w:r w:rsidR="00607B78" w:rsidRPr="009C2953">
        <w:rPr>
          <w:color w:val="000000"/>
        </w:rPr>
        <w:t>alimentation, l</w:t>
      </w:r>
      <w:r w:rsidR="00EA2966" w:rsidRPr="009C2953">
        <w:rPr>
          <w:color w:val="000000"/>
        </w:rPr>
        <w:t>’</w:t>
      </w:r>
      <w:r w:rsidR="00607B78" w:rsidRPr="009C2953">
        <w:rPr>
          <w:color w:val="000000"/>
        </w:rPr>
        <w:t>eau,</w:t>
      </w:r>
      <w:r w:rsidR="00F34644" w:rsidRPr="009C2953">
        <w:rPr>
          <w:color w:val="000000"/>
        </w:rPr>
        <w:t xml:space="preserve"> la </w:t>
      </w:r>
      <w:r w:rsidR="00607B78" w:rsidRPr="009C2953">
        <w:rPr>
          <w:color w:val="000000"/>
        </w:rPr>
        <w:t>santé et</w:t>
      </w:r>
      <w:r w:rsidR="00F34644" w:rsidRPr="009C2953">
        <w:rPr>
          <w:color w:val="000000"/>
        </w:rPr>
        <w:t xml:space="preserve"> les </w:t>
      </w:r>
      <w:r w:rsidR="00607B78" w:rsidRPr="009C2953">
        <w:rPr>
          <w:color w:val="000000"/>
        </w:rPr>
        <w:t>changements climatiques, en tenant compte</w:t>
      </w:r>
      <w:r w:rsidR="00D24DC1" w:rsidRPr="009C2953">
        <w:rPr>
          <w:color w:val="000000"/>
        </w:rPr>
        <w:t xml:space="preserve"> des </w:t>
      </w:r>
      <w:r w:rsidR="00607B78" w:rsidRPr="009C2953">
        <w:rPr>
          <w:color w:val="000000"/>
        </w:rPr>
        <w:t>différentes activités économiques et du large éventail de pratiques durables dont on dispose</w:t>
      </w:r>
      <w:r w:rsidR="00F34644" w:rsidRPr="009C2953">
        <w:rPr>
          <w:color w:val="000000"/>
        </w:rPr>
        <w:t xml:space="preserve"> aux </w:t>
      </w:r>
      <w:r w:rsidR="00607B78" w:rsidRPr="009C2953">
        <w:rPr>
          <w:color w:val="000000"/>
        </w:rPr>
        <w:t>niveaux régional et national pour amplifier</w:t>
      </w:r>
      <w:r w:rsidR="00F34644" w:rsidRPr="009C2953">
        <w:rPr>
          <w:color w:val="000000"/>
        </w:rPr>
        <w:t xml:space="preserve"> les </w:t>
      </w:r>
      <w:r w:rsidR="00607B78" w:rsidRPr="009C2953">
        <w:rPr>
          <w:color w:val="000000"/>
        </w:rPr>
        <w:t>effets positifs.</w:t>
      </w:r>
    </w:p>
    <w:p w14:paraId="6221C47E" w14:textId="4C3FE028" w:rsidR="00607B78" w:rsidRPr="009C2953" w:rsidRDefault="00232C3F" w:rsidP="00232C3F">
      <w:pPr>
        <w:pStyle w:val="NormalNonumber"/>
      </w:pPr>
      <w:r w:rsidRPr="009C2953">
        <w:t>19.</w:t>
      </w:r>
      <w:r w:rsidRPr="009C2953">
        <w:tab/>
      </w:r>
      <w:r w:rsidR="00607B78" w:rsidRPr="009C2953">
        <w:t>Le chapitre adoptera</w:t>
      </w:r>
      <w:r w:rsidR="00F34644" w:rsidRPr="009C2953">
        <w:t xml:space="preserve"> une </w:t>
      </w:r>
      <w:r w:rsidR="00607B78" w:rsidRPr="009C2953">
        <w:t>approche à l</w:t>
      </w:r>
      <w:r w:rsidR="00EA2966" w:rsidRPr="009C2953">
        <w:t>’</w:t>
      </w:r>
      <w:r w:rsidR="00607B78" w:rsidRPr="009C2953">
        <w:t>échelle</w:t>
      </w:r>
      <w:r w:rsidR="00D24DC1" w:rsidRPr="009C2953">
        <w:t xml:space="preserve"> des </w:t>
      </w:r>
      <w:r w:rsidR="00607B78" w:rsidRPr="009C2953">
        <w:t>paysages terrestres et marins pour explorer</w:t>
      </w:r>
      <w:r w:rsidR="00F34644" w:rsidRPr="009C2953">
        <w:t xml:space="preserve"> les </w:t>
      </w:r>
      <w:r w:rsidR="00607B78" w:rsidRPr="009C2953">
        <w:t>différents besoins et intérêts en jeu ainsi que</w:t>
      </w:r>
      <w:r w:rsidR="00F34644" w:rsidRPr="009C2953">
        <w:t xml:space="preserve"> les </w:t>
      </w:r>
      <w:r w:rsidR="00607B78" w:rsidRPr="009C2953">
        <w:t>interactions entre ceux-ci. Il analysera</w:t>
      </w:r>
      <w:r w:rsidR="00F34644" w:rsidRPr="009C2953">
        <w:t xml:space="preserve"> la </w:t>
      </w:r>
      <w:r w:rsidR="00607B78" w:rsidRPr="009C2953">
        <w:t>manière dont l</w:t>
      </w:r>
      <w:r w:rsidR="00EA2966" w:rsidRPr="009C2953">
        <w:t>’</w:t>
      </w:r>
      <w:r w:rsidR="00607B78" w:rsidRPr="009C2953">
        <w:t>aménagement du territoire tenant compte de</w:t>
      </w:r>
      <w:r w:rsidR="00F34644" w:rsidRPr="009C2953">
        <w:t xml:space="preserve"> la </w:t>
      </w:r>
      <w:r w:rsidR="00607B78" w:rsidRPr="009C2953">
        <w:t>biodiversité influe sur</w:t>
      </w:r>
      <w:r w:rsidR="00F34644" w:rsidRPr="009C2953">
        <w:t xml:space="preserve"> la </w:t>
      </w:r>
      <w:r w:rsidR="00607B78" w:rsidRPr="009C2953">
        <w:t>biodiversité et</w:t>
      </w:r>
      <w:r w:rsidR="00F34644" w:rsidRPr="009C2953">
        <w:t xml:space="preserve"> les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w:t>
      </w:r>
      <w:r w:rsidR="00607B78" w:rsidRPr="009C2953">
        <w:rPr>
          <w:color w:val="000000"/>
        </w:rPr>
        <w:t xml:space="preserve"> Il évaluera</w:t>
      </w:r>
      <w:r w:rsidR="00F34644" w:rsidRPr="009C2953">
        <w:rPr>
          <w:color w:val="000000"/>
        </w:rPr>
        <w:t xml:space="preserve"> les </w:t>
      </w:r>
      <w:r w:rsidR="00607B78" w:rsidRPr="009C2953">
        <w:rPr>
          <w:color w:val="000000"/>
        </w:rPr>
        <w:t>applications dans différents contextes, tels que</w:t>
      </w:r>
      <w:r w:rsidR="00F34644" w:rsidRPr="009C2953">
        <w:rPr>
          <w:color w:val="000000"/>
        </w:rPr>
        <w:t xml:space="preserve"> la </w:t>
      </w:r>
      <w:r w:rsidR="00607B78" w:rsidRPr="009C2953">
        <w:rPr>
          <w:color w:val="000000"/>
        </w:rPr>
        <w:t>planification urbaine,</w:t>
      </w:r>
      <w:r w:rsidR="00F34644" w:rsidRPr="009C2953">
        <w:rPr>
          <w:color w:val="000000"/>
        </w:rPr>
        <w:t xml:space="preserve"> la </w:t>
      </w:r>
      <w:r w:rsidR="00607B78" w:rsidRPr="009C2953">
        <w:rPr>
          <w:color w:val="000000"/>
        </w:rPr>
        <w:t>planification</w:t>
      </w:r>
      <w:r w:rsidR="00D24DC1" w:rsidRPr="009C2953">
        <w:rPr>
          <w:color w:val="000000"/>
        </w:rPr>
        <w:t xml:space="preserve"> des </w:t>
      </w:r>
      <w:r w:rsidR="00607B78" w:rsidRPr="009C2953">
        <w:rPr>
          <w:color w:val="000000"/>
        </w:rPr>
        <w:t>zones protégées et</w:t>
      </w:r>
      <w:r w:rsidR="00D24DC1" w:rsidRPr="009C2953">
        <w:rPr>
          <w:color w:val="000000"/>
        </w:rPr>
        <w:t xml:space="preserve"> des </w:t>
      </w:r>
      <w:r w:rsidR="00607B78" w:rsidRPr="009C2953">
        <w:rPr>
          <w:color w:val="000000"/>
        </w:rPr>
        <w:t>réseaux écologiques,</w:t>
      </w:r>
      <w:r w:rsidR="00F34644" w:rsidRPr="009C2953">
        <w:rPr>
          <w:color w:val="000000"/>
        </w:rPr>
        <w:t xml:space="preserve"> la </w:t>
      </w:r>
      <w:r w:rsidR="00607B78" w:rsidRPr="009C2953">
        <w:rPr>
          <w:color w:val="000000"/>
        </w:rPr>
        <w:t>planification de</w:t>
      </w:r>
      <w:r w:rsidR="00F34644" w:rsidRPr="009C2953">
        <w:rPr>
          <w:color w:val="000000"/>
        </w:rPr>
        <w:t xml:space="preserve"> la </w:t>
      </w:r>
      <w:r w:rsidR="00607B78" w:rsidRPr="009C2953">
        <w:rPr>
          <w:color w:val="000000"/>
        </w:rPr>
        <w:t>restauration, l</w:t>
      </w:r>
      <w:r w:rsidR="00EA2966" w:rsidRPr="009C2953">
        <w:rPr>
          <w:color w:val="000000"/>
        </w:rPr>
        <w:t>’</w:t>
      </w:r>
      <w:r w:rsidR="00607B78" w:rsidRPr="009C2953">
        <w:rPr>
          <w:color w:val="000000"/>
        </w:rPr>
        <w:t>aménagement du territoire régional,</w:t>
      </w:r>
      <w:r w:rsidR="00F34644" w:rsidRPr="009C2953">
        <w:rPr>
          <w:color w:val="000000"/>
        </w:rPr>
        <w:t xml:space="preserve"> la </w:t>
      </w:r>
      <w:r w:rsidR="00607B78" w:rsidRPr="009C2953">
        <w:rPr>
          <w:color w:val="000000"/>
        </w:rPr>
        <w:t>planification marine et côtière et d</w:t>
      </w:r>
      <w:r w:rsidR="00EA2966" w:rsidRPr="009C2953">
        <w:rPr>
          <w:color w:val="000000"/>
        </w:rPr>
        <w:t>’</w:t>
      </w:r>
      <w:r w:rsidR="00607B78" w:rsidRPr="009C2953">
        <w:rPr>
          <w:color w:val="000000"/>
        </w:rPr>
        <w:t>autres types d</w:t>
      </w:r>
      <w:r w:rsidR="00EA2966" w:rsidRPr="009C2953">
        <w:rPr>
          <w:color w:val="000000"/>
        </w:rPr>
        <w:t>’</w:t>
      </w:r>
      <w:r w:rsidR="00607B78" w:rsidRPr="009C2953">
        <w:rPr>
          <w:color w:val="000000"/>
        </w:rPr>
        <w:t>aménagement intégré du territoire,</w:t>
      </w:r>
      <w:r w:rsidR="00F34644" w:rsidRPr="009C2953">
        <w:rPr>
          <w:color w:val="000000"/>
        </w:rPr>
        <w:t xml:space="preserve"> y </w:t>
      </w:r>
      <w:r w:rsidR="00607B78" w:rsidRPr="009C2953">
        <w:rPr>
          <w:color w:val="000000"/>
        </w:rPr>
        <w:t>compris</w:t>
      </w:r>
      <w:r w:rsidR="00F34644" w:rsidRPr="009C2953">
        <w:rPr>
          <w:color w:val="000000"/>
        </w:rPr>
        <w:t xml:space="preserve"> les </w:t>
      </w:r>
      <w:r w:rsidR="00607B78" w:rsidRPr="009C2953">
        <w:rPr>
          <w:color w:val="000000"/>
        </w:rPr>
        <w:t>pratiques coutumières</w:t>
      </w:r>
      <w:r w:rsidR="00D24DC1" w:rsidRPr="009C2953">
        <w:rPr>
          <w:color w:val="000000"/>
        </w:rPr>
        <w:t xml:space="preserve"> des </w:t>
      </w:r>
      <w:r w:rsidR="00607B78" w:rsidRPr="009C2953">
        <w:rPr>
          <w:color w:val="000000"/>
        </w:rPr>
        <w:t>peuples autochtones et</w:t>
      </w:r>
      <w:r w:rsidR="00D24DC1" w:rsidRPr="009C2953">
        <w:rPr>
          <w:color w:val="000000"/>
        </w:rPr>
        <w:t xml:space="preserve"> des </w:t>
      </w:r>
      <w:r w:rsidR="00607B78" w:rsidRPr="009C2953">
        <w:rPr>
          <w:color w:val="000000"/>
        </w:rPr>
        <w:t xml:space="preserve">communautés locales. </w:t>
      </w:r>
      <w:r w:rsidR="00607B78" w:rsidRPr="009C2953">
        <w:t>Il analysera</w:t>
      </w:r>
      <w:r w:rsidR="00F34644" w:rsidRPr="009C2953">
        <w:t xml:space="preserve"> les </w:t>
      </w:r>
      <w:r w:rsidR="00607B78" w:rsidRPr="009C2953">
        <w:t>méthodes et</w:t>
      </w:r>
      <w:r w:rsidR="00F34644" w:rsidRPr="009C2953">
        <w:t xml:space="preserve"> les </w:t>
      </w:r>
      <w:r w:rsidR="00607B78" w:rsidRPr="009C2953">
        <w:t>indicateurs disponibles pour mesurer</w:t>
      </w:r>
      <w:r w:rsidR="00F34644" w:rsidRPr="009C2953">
        <w:t xml:space="preserve"> les </w:t>
      </w:r>
      <w:r w:rsidR="00607B78" w:rsidRPr="009C2953">
        <w:t>progrès réalisés en matière d</w:t>
      </w:r>
      <w:r w:rsidR="00EA2966" w:rsidRPr="009C2953">
        <w:t>’</w:t>
      </w:r>
      <w:r w:rsidR="00607B78" w:rsidRPr="009C2953">
        <w:t>aménagement du territoire tenant compte de</w:t>
      </w:r>
      <w:r w:rsidR="00F34644" w:rsidRPr="009C2953">
        <w:t xml:space="preserve"> la </w:t>
      </w:r>
      <w:r w:rsidR="00607B78" w:rsidRPr="009C2953">
        <w:t>biodiversité et,</w:t>
      </w:r>
      <w:r w:rsidR="00F34644" w:rsidRPr="009C2953">
        <w:t xml:space="preserve"> le </w:t>
      </w:r>
      <w:r w:rsidR="00607B78" w:rsidRPr="009C2953">
        <w:t>cas échéant, proposera d</w:t>
      </w:r>
      <w:r w:rsidR="00EA2966" w:rsidRPr="009C2953">
        <w:t>’</w:t>
      </w:r>
      <w:r w:rsidR="00607B78" w:rsidRPr="009C2953">
        <w:t>autres indicateurs pour compléter ceux du cadre de suivi du Cadre mondial de</w:t>
      </w:r>
      <w:r w:rsidR="00F34644" w:rsidRPr="009C2953">
        <w:t xml:space="preserve"> la </w:t>
      </w:r>
      <w:r w:rsidR="00607B78" w:rsidRPr="009C2953">
        <w:t>biodiversité de Kunming-Montréal.</w:t>
      </w:r>
    </w:p>
    <w:p w14:paraId="447C0EC8" w14:textId="2F150931" w:rsidR="00607B78" w:rsidRPr="009C2953" w:rsidRDefault="005820A9" w:rsidP="005820A9">
      <w:pPr>
        <w:pStyle w:val="NormalNonumber"/>
      </w:pPr>
      <w:r w:rsidRPr="009C2953">
        <w:lastRenderedPageBreak/>
        <w:t>20.</w:t>
      </w:r>
      <w:r w:rsidRPr="009C2953">
        <w:tab/>
      </w:r>
      <w:r w:rsidR="00607B78" w:rsidRPr="009C2953">
        <w:rPr>
          <w:b/>
          <w:bCs/>
        </w:rPr>
        <w:t>Chapitre 3. Cibles 2 et 3 du Cadre mondial de</w:t>
      </w:r>
      <w:r w:rsidR="00F34644" w:rsidRPr="009C2953">
        <w:rPr>
          <w:b/>
          <w:bCs/>
        </w:rPr>
        <w:t xml:space="preserve"> la </w:t>
      </w:r>
      <w:r w:rsidR="00607B78" w:rsidRPr="009C2953">
        <w:rPr>
          <w:b/>
          <w:bCs/>
        </w:rPr>
        <w:t>biodiversité de Kunming-Montréal sur</w:t>
      </w:r>
      <w:r w:rsidR="00E30B1D" w:rsidRPr="009C2953">
        <w:rPr>
          <w:b/>
          <w:bCs/>
        </w:rPr>
        <w:t xml:space="preserve"> </w:t>
      </w:r>
      <w:r w:rsidR="00F34644" w:rsidRPr="009C2953">
        <w:rPr>
          <w:b/>
          <w:bCs/>
        </w:rPr>
        <w:t>la </w:t>
      </w:r>
      <w:r w:rsidR="00607B78" w:rsidRPr="009C2953">
        <w:rPr>
          <w:b/>
          <w:bCs/>
        </w:rPr>
        <w:t>restauration et</w:t>
      </w:r>
      <w:r w:rsidR="00F34644" w:rsidRPr="009C2953">
        <w:rPr>
          <w:b/>
          <w:bCs/>
        </w:rPr>
        <w:t xml:space="preserve"> les </w:t>
      </w:r>
      <w:r w:rsidR="00607B78" w:rsidRPr="009C2953">
        <w:rPr>
          <w:b/>
          <w:bCs/>
        </w:rPr>
        <w:t>zones protégées et d</w:t>
      </w:r>
      <w:r w:rsidR="00EA2966" w:rsidRPr="009C2953">
        <w:rPr>
          <w:b/>
          <w:bCs/>
        </w:rPr>
        <w:t>’</w:t>
      </w:r>
      <w:r w:rsidR="00607B78" w:rsidRPr="009C2953">
        <w:rPr>
          <w:b/>
          <w:bCs/>
        </w:rPr>
        <w:t>autres mesures de conservation par zone</w:t>
      </w:r>
      <w:r w:rsidR="00607B78" w:rsidRPr="009C2953">
        <w:t xml:space="preserve"> (</w:t>
      </w:r>
      <w:r w:rsidR="00607B78" w:rsidRPr="009C2953">
        <w:rPr>
          <w:i/>
        </w:rPr>
        <w:t>longueur suggérée : 25 000 mots</w:t>
      </w:r>
      <w:r w:rsidR="00607B78" w:rsidRPr="009C2953">
        <w:t>).</w:t>
      </w:r>
      <w:r w:rsidR="00F34644" w:rsidRPr="009C2953">
        <w:t xml:space="preserve"> Le </w:t>
      </w:r>
      <w:r w:rsidR="00607B78" w:rsidRPr="009C2953">
        <w:t>chapitre 3 donnera</w:t>
      </w:r>
      <w:r w:rsidR="00F34644" w:rsidRPr="009C2953">
        <w:t xml:space="preserve"> une </w:t>
      </w:r>
      <w:r w:rsidR="00607B78" w:rsidRPr="009C2953">
        <w:t>vue d</w:t>
      </w:r>
      <w:r w:rsidR="00EA2966" w:rsidRPr="009C2953">
        <w:t>’</w:t>
      </w:r>
      <w:r w:rsidR="00607B78" w:rsidRPr="009C2953">
        <w:t>ensemble</w:t>
      </w:r>
      <w:r w:rsidR="00D24DC1" w:rsidRPr="009C2953">
        <w:t xml:space="preserve"> des </w:t>
      </w:r>
      <w:r w:rsidR="00607B78" w:rsidRPr="009C2953">
        <w:t>zones qui font l</w:t>
      </w:r>
      <w:r w:rsidR="00EA2966" w:rsidRPr="009C2953">
        <w:t>’</w:t>
      </w:r>
      <w:r w:rsidR="00607B78" w:rsidRPr="009C2953">
        <w:t>objet d</w:t>
      </w:r>
      <w:r w:rsidR="00EA2966" w:rsidRPr="009C2953">
        <w:t>’</w:t>
      </w:r>
      <w:r w:rsidR="00607B78" w:rsidRPr="009C2953">
        <w:t>une</w:t>
      </w:r>
      <w:r w:rsidR="004C17BD" w:rsidRPr="009C2953">
        <w:t> </w:t>
      </w:r>
      <w:r w:rsidR="00607B78" w:rsidRPr="009C2953">
        <w:t>restauration ou d</w:t>
      </w:r>
      <w:r w:rsidR="00EA2966" w:rsidRPr="009C2953">
        <w:t>’</w:t>
      </w:r>
      <w:r w:rsidR="00607B78" w:rsidRPr="009C2953">
        <w:t>une conservation, proposera</w:t>
      </w:r>
      <w:r w:rsidR="00F34644" w:rsidRPr="009C2953">
        <w:t xml:space="preserve"> une </w:t>
      </w:r>
      <w:r w:rsidR="00607B78" w:rsidRPr="009C2953">
        <w:t>réflexion sur</w:t>
      </w:r>
      <w:r w:rsidR="00F34644" w:rsidRPr="009C2953">
        <w:t xml:space="preserve"> la </w:t>
      </w:r>
      <w:r w:rsidR="00607B78" w:rsidRPr="009C2953">
        <w:t>transposition</w:t>
      </w:r>
      <w:r w:rsidR="00D24DC1" w:rsidRPr="009C2953">
        <w:t xml:space="preserve"> des </w:t>
      </w:r>
      <w:r w:rsidR="00607B78" w:rsidRPr="009C2953">
        <w:t>objectifs mondiaux</w:t>
      </w:r>
      <w:r w:rsidR="00F34644" w:rsidRPr="009C2953">
        <w:t xml:space="preserve"> y </w:t>
      </w:r>
      <w:r w:rsidR="00607B78" w:rsidRPr="009C2953">
        <w:t>afférents</w:t>
      </w:r>
      <w:r w:rsidR="00F34644" w:rsidRPr="009C2953">
        <w:t xml:space="preserve"> aux </w:t>
      </w:r>
      <w:r w:rsidR="00607B78" w:rsidRPr="009C2953">
        <w:t>niveaux national et local et déterminera</w:t>
      </w:r>
      <w:r w:rsidR="00F34644" w:rsidRPr="009C2953">
        <w:t xml:space="preserve"> les </w:t>
      </w:r>
      <w:r w:rsidR="00607B78" w:rsidRPr="009C2953">
        <w:t>principales priorités et</w:t>
      </w:r>
      <w:r w:rsidR="00F34644" w:rsidRPr="009C2953">
        <w:t xml:space="preserve"> les </w:t>
      </w:r>
      <w:r w:rsidR="00607B78" w:rsidRPr="009C2953">
        <w:t>défis majeurs,</w:t>
      </w:r>
      <w:r w:rsidR="00F34644" w:rsidRPr="009C2953">
        <w:t xml:space="preserve"> y </w:t>
      </w:r>
      <w:r w:rsidR="00607B78" w:rsidRPr="009C2953">
        <w:t>compris</w:t>
      </w:r>
      <w:r w:rsidR="00F34644" w:rsidRPr="009C2953">
        <w:t xml:space="preserve"> les </w:t>
      </w:r>
      <w:r w:rsidR="00607B78" w:rsidRPr="009C2953">
        <w:t>priorités et défis de chaque pays en matière de développement durable. Il</w:t>
      </w:r>
      <w:r w:rsidR="004C17BD" w:rsidRPr="009C2953">
        <w:t> </w:t>
      </w:r>
      <w:r w:rsidR="00607B78" w:rsidRPr="009C2953">
        <w:t>définira ce qu</w:t>
      </w:r>
      <w:r w:rsidR="00EA2966" w:rsidRPr="009C2953">
        <w:t>’</w:t>
      </w:r>
      <w:r w:rsidR="00607B78" w:rsidRPr="009C2953">
        <w:t>on entend par restauration</w:t>
      </w:r>
      <w:r w:rsidR="00607B78" w:rsidRPr="009C2953">
        <w:rPr>
          <w:vertAlign w:val="superscript"/>
        </w:rPr>
        <w:footnoteReference w:id="23"/>
      </w:r>
      <w:r w:rsidR="00607B78" w:rsidRPr="009C2953">
        <w:t xml:space="preserve"> dans</w:t>
      </w:r>
      <w:r w:rsidR="00F34644" w:rsidRPr="009C2953">
        <w:t xml:space="preserve"> un </w:t>
      </w:r>
      <w:r w:rsidR="00607B78" w:rsidRPr="009C2953">
        <w:t>monde en mutation et examinera</w:t>
      </w:r>
      <w:r w:rsidR="00F34644" w:rsidRPr="009C2953">
        <w:t xml:space="preserve"> les </w:t>
      </w:r>
      <w:r w:rsidR="00607B78" w:rsidRPr="009C2953">
        <w:t>méthodes que</w:t>
      </w:r>
      <w:r w:rsidR="00F34644" w:rsidRPr="009C2953">
        <w:t xml:space="preserve"> les </w:t>
      </w:r>
      <w:r w:rsidR="00607B78" w:rsidRPr="009C2953">
        <w:t>gouvernements et d</w:t>
      </w:r>
      <w:r w:rsidR="00EA2966" w:rsidRPr="009C2953">
        <w:t>’</w:t>
      </w:r>
      <w:r w:rsidR="00607B78" w:rsidRPr="009C2953">
        <w:t>autres acteurs peuvent utiliser pour identifier</w:t>
      </w:r>
      <w:r w:rsidR="00F34644" w:rsidRPr="009C2953">
        <w:t xml:space="preserve"> les </w:t>
      </w:r>
      <w:r w:rsidR="00607B78" w:rsidRPr="009C2953">
        <w:t>zones</w:t>
      </w:r>
      <w:r w:rsidR="00F34644" w:rsidRPr="009C2953">
        <w:t xml:space="preserve"> les </w:t>
      </w:r>
      <w:r w:rsidR="00607B78" w:rsidRPr="009C2953">
        <w:t>plus importantes,</w:t>
      </w:r>
      <w:r w:rsidR="00F34644" w:rsidRPr="009C2953">
        <w:t xml:space="preserve"> les </w:t>
      </w:r>
      <w:r w:rsidR="00607B78" w:rsidRPr="009C2953">
        <w:t>corridors entre</w:t>
      </w:r>
      <w:r w:rsidR="00F34644" w:rsidRPr="009C2953">
        <w:t xml:space="preserve"> les </w:t>
      </w:r>
      <w:r w:rsidR="00607B78" w:rsidRPr="009C2953">
        <w:t>zones et d</w:t>
      </w:r>
      <w:r w:rsidR="00EA2966" w:rsidRPr="009C2953">
        <w:t>’</w:t>
      </w:r>
      <w:r w:rsidR="00607B78" w:rsidRPr="009C2953">
        <w:t>autres facteurs de connectivité à restaurer sur terre, dans</w:t>
      </w:r>
      <w:r w:rsidR="00226C07" w:rsidRPr="009C2953">
        <w:t> </w:t>
      </w:r>
      <w:r w:rsidR="00F34644" w:rsidRPr="009C2953">
        <w:t>les </w:t>
      </w:r>
      <w:r w:rsidR="00607B78" w:rsidRPr="009C2953">
        <w:t>eaux intérieures et en mer.</w:t>
      </w:r>
      <w:r w:rsidR="00F34644" w:rsidRPr="009C2953">
        <w:t xml:space="preserve"> Le </w:t>
      </w:r>
      <w:r w:rsidR="00607B78" w:rsidRPr="009C2953">
        <w:t>chapitre 3 mettra en évidence</w:t>
      </w:r>
      <w:r w:rsidR="00F34644" w:rsidRPr="009C2953">
        <w:t xml:space="preserve"> les </w:t>
      </w:r>
      <w:r w:rsidR="00607B78" w:rsidRPr="009C2953">
        <w:t>types de restauration qui permettent de restaurer et de renforcer</w:t>
      </w:r>
      <w:r w:rsidR="00F34644" w:rsidRPr="009C2953">
        <w:t xml:space="preserve"> la </w:t>
      </w:r>
      <w:r w:rsidR="00607B78" w:rsidRPr="009C2953">
        <w:t>biodiversité et</w:t>
      </w:r>
      <w:r w:rsidR="00F34644" w:rsidRPr="009C2953">
        <w:t xml:space="preserve"> la </w:t>
      </w:r>
      <w:r w:rsidR="00607B78" w:rsidRPr="009C2953">
        <w:t>connectivité écologique sans affecter</w:t>
      </w:r>
      <w:r w:rsidR="00F34644" w:rsidRPr="009C2953">
        <w:t xml:space="preserve"> les </w:t>
      </w:r>
      <w:r w:rsidR="00607B78" w:rsidRPr="009C2953">
        <w:t>utilisations durables. Il cernera</w:t>
      </w:r>
      <w:r w:rsidR="00D24DC1" w:rsidRPr="009C2953">
        <w:t xml:space="preserve"> des </w:t>
      </w:r>
      <w:r w:rsidR="00607B78" w:rsidRPr="009C2953">
        <w:t>approches de gestion adaptative du processus de restauration qui canalisent les résultats en matière de conservation au profit de</w:t>
      </w:r>
      <w:r w:rsidR="00F34644" w:rsidRPr="009C2953">
        <w:t xml:space="preserve"> la </w:t>
      </w:r>
      <w:r w:rsidR="00607B78" w:rsidRPr="009C2953">
        <w:t>protection de</w:t>
      </w:r>
      <w:r w:rsidR="00F34644" w:rsidRPr="009C2953">
        <w:t xml:space="preserve"> la </w:t>
      </w:r>
      <w:r w:rsidR="00607B78" w:rsidRPr="009C2953">
        <w:t>biodiversité, de</w:t>
      </w:r>
      <w:r w:rsidR="004C17BD" w:rsidRPr="009C2953">
        <w:t> </w:t>
      </w:r>
      <w:r w:rsidR="00607B78" w:rsidRPr="009C2953">
        <w:t>l</w:t>
      </w:r>
      <w:r w:rsidR="00EA2966" w:rsidRPr="009C2953">
        <w:t>’</w:t>
      </w:r>
      <w:r w:rsidR="00607B78" w:rsidRPr="009C2953">
        <w:t>amélioration de</w:t>
      </w:r>
      <w:r w:rsidR="00F34644" w:rsidRPr="009C2953">
        <w:t xml:space="preserve"> la </w:t>
      </w:r>
      <w:r w:rsidR="00607B78" w:rsidRPr="009C2953">
        <w:t>connectivité et de</w:t>
      </w:r>
      <w:r w:rsidR="00F34644" w:rsidRPr="009C2953">
        <w:t xml:space="preserve"> la </w:t>
      </w:r>
      <w:r w:rsidR="00607B78" w:rsidRPr="009C2953">
        <w:t>garantie</w:t>
      </w:r>
      <w:r w:rsidR="00D24DC1" w:rsidRPr="009C2953">
        <w:t xml:space="preserve"> 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au</w:t>
      </w:r>
      <w:r w:rsidR="004C17BD" w:rsidRPr="009C2953">
        <w:t> </w:t>
      </w:r>
      <w:r w:rsidR="00607B78" w:rsidRPr="009C2953">
        <w:t>moyen de processus de planification et de mise en œuvre justes et équitables. Il abordera</w:t>
      </w:r>
      <w:r w:rsidR="00F34644" w:rsidRPr="009C2953">
        <w:t xml:space="preserve"> le </w:t>
      </w:r>
      <w:r w:rsidR="00607B78" w:rsidRPr="009C2953">
        <w:t>rôle de</w:t>
      </w:r>
      <w:r w:rsidR="00226C07" w:rsidRPr="009C2953">
        <w:t> </w:t>
      </w:r>
      <w:r w:rsidR="00F34644" w:rsidRPr="009C2953">
        <w:t>la </w:t>
      </w:r>
      <w:r w:rsidR="00607B78" w:rsidRPr="009C2953">
        <w:t>restauration</w:t>
      </w:r>
      <w:r w:rsidR="00D24DC1" w:rsidRPr="009C2953">
        <w:t xml:space="preserve"> des </w:t>
      </w:r>
      <w:r w:rsidR="00607B78" w:rsidRPr="009C2953">
        <w:t>voies de dispersion et de migration dans</w:t>
      </w:r>
      <w:r w:rsidR="00F34644" w:rsidRPr="009C2953">
        <w:t xml:space="preserve"> le </w:t>
      </w:r>
      <w:r w:rsidR="00607B78" w:rsidRPr="009C2953">
        <w:t>renforcement de</w:t>
      </w:r>
      <w:r w:rsidR="00F34644" w:rsidRPr="009C2953">
        <w:t xml:space="preserve"> la </w:t>
      </w:r>
      <w:r w:rsidR="00607B78" w:rsidRPr="009C2953">
        <w:t>résilience</w:t>
      </w:r>
      <w:r w:rsidR="00D24DC1" w:rsidRPr="009C2953">
        <w:t xml:space="preserve"> des </w:t>
      </w:r>
      <w:r w:rsidR="00607B78" w:rsidRPr="009C2953">
        <w:t>écosystèmes et l</w:t>
      </w:r>
      <w:r w:rsidR="00EA2966" w:rsidRPr="009C2953">
        <w:t>’</w:t>
      </w:r>
      <w:r w:rsidR="00607B78" w:rsidRPr="009C2953">
        <w:t>adaptation</w:t>
      </w:r>
      <w:r w:rsidR="00F34644" w:rsidRPr="009C2953">
        <w:t xml:space="preserve"> aux </w:t>
      </w:r>
      <w:r w:rsidR="00607B78" w:rsidRPr="009C2953">
        <w:t>changements climatiques.</w:t>
      </w:r>
    </w:p>
    <w:p w14:paraId="664FF5E8" w14:textId="60E566FA" w:rsidR="00607B78" w:rsidRPr="009C2953" w:rsidRDefault="00B503C2" w:rsidP="00B503C2">
      <w:pPr>
        <w:pStyle w:val="NormalNonumber"/>
      </w:pPr>
      <w:r w:rsidRPr="009C2953">
        <w:t>21.</w:t>
      </w:r>
      <w:r w:rsidRPr="009C2953">
        <w:tab/>
      </w:r>
      <w:r w:rsidR="00607B78" w:rsidRPr="009C2953">
        <w:t>Étant donné que</w:t>
      </w:r>
      <w:r w:rsidR="00F34644" w:rsidRPr="009C2953">
        <w:t xml:space="preserve"> la </w:t>
      </w:r>
      <w:r w:rsidR="00607B78" w:rsidRPr="009C2953">
        <w:t>restauration</w:t>
      </w:r>
      <w:r w:rsidR="00D24DC1" w:rsidRPr="009C2953">
        <w:t xml:space="preserve"> des </w:t>
      </w:r>
      <w:r w:rsidR="00607B78" w:rsidRPr="009C2953">
        <w:t>habitats a souvent lieu à l</w:t>
      </w:r>
      <w:r w:rsidR="00EA2966" w:rsidRPr="009C2953">
        <w:t>’</w:t>
      </w:r>
      <w:r w:rsidR="00607B78" w:rsidRPr="009C2953">
        <w:t>intérieur</w:t>
      </w:r>
      <w:r w:rsidR="00D24DC1" w:rsidRPr="009C2953">
        <w:t xml:space="preserve"> des </w:t>
      </w:r>
      <w:r w:rsidR="00607B78" w:rsidRPr="009C2953">
        <w:t>zones protégées, ce</w:t>
      </w:r>
      <w:r w:rsidR="001230E3" w:rsidRPr="009C2953">
        <w:t> </w:t>
      </w:r>
      <w:r w:rsidR="00607B78" w:rsidRPr="009C2953">
        <w:t>chapitre évaluera</w:t>
      </w:r>
      <w:r w:rsidR="00F34644" w:rsidRPr="009C2953">
        <w:t xml:space="preserve"> les </w:t>
      </w:r>
      <w:r w:rsidR="00607B78" w:rsidRPr="009C2953">
        <w:t>connaissances spatiales et</w:t>
      </w:r>
      <w:r w:rsidR="00F34644" w:rsidRPr="009C2953">
        <w:t xml:space="preserve"> les </w:t>
      </w:r>
      <w:r w:rsidR="00607B78" w:rsidRPr="009C2953">
        <w:t>types d</w:t>
      </w:r>
      <w:r w:rsidR="00EA2966" w:rsidRPr="009C2953">
        <w:t>’</w:t>
      </w:r>
      <w:r w:rsidR="00607B78" w:rsidRPr="009C2953">
        <w:t>interventions qui présentent</w:t>
      </w:r>
      <w:r w:rsidR="00F34644" w:rsidRPr="009C2953">
        <w:t xml:space="preserve"> un </w:t>
      </w:r>
      <w:r w:rsidR="00607B78" w:rsidRPr="009C2953">
        <w:t>intérêt</w:t>
      </w:r>
      <w:r w:rsidR="00C012A9" w:rsidRPr="009C2953">
        <w:t> </w:t>
      </w:r>
      <w:r w:rsidR="00607B78" w:rsidRPr="009C2953">
        <w:t>pour</w:t>
      </w:r>
      <w:r w:rsidR="00F34644" w:rsidRPr="009C2953">
        <w:t xml:space="preserve"> la </w:t>
      </w:r>
      <w:r w:rsidR="00607B78" w:rsidRPr="009C2953">
        <w:t>mise en place et</w:t>
      </w:r>
      <w:r w:rsidR="00F34644" w:rsidRPr="009C2953">
        <w:t xml:space="preserve"> la </w:t>
      </w:r>
      <w:r w:rsidR="00607B78" w:rsidRPr="009C2953">
        <w:t>gestion</w:t>
      </w:r>
      <w:r w:rsidR="00D24DC1" w:rsidRPr="009C2953">
        <w:t xml:space="preserve"> des </w:t>
      </w:r>
      <w:r w:rsidR="00607B78" w:rsidRPr="009C2953">
        <w:t>zones protégées (cible 3) et pour</w:t>
      </w:r>
      <w:r w:rsidR="00F34644" w:rsidRPr="009C2953">
        <w:t xml:space="preserve"> les </w:t>
      </w:r>
      <w:r w:rsidR="00607B78" w:rsidRPr="009C2953">
        <w:t>actions de restauration</w:t>
      </w:r>
      <w:r w:rsidR="00C012A9" w:rsidRPr="009C2953">
        <w:t> </w:t>
      </w:r>
      <w:r w:rsidR="00607B78" w:rsidRPr="009C2953">
        <w:t>(cible 2). Il tiendra compte de l</w:t>
      </w:r>
      <w:r w:rsidR="00EA2966" w:rsidRPr="009C2953">
        <w:t>’</w:t>
      </w:r>
      <w:r w:rsidR="00607B78" w:rsidRPr="009C2953">
        <w:t>efficacité</w:t>
      </w:r>
      <w:r w:rsidR="00D24DC1" w:rsidRPr="009C2953">
        <w:t xml:space="preserve"> des </w:t>
      </w:r>
      <w:r w:rsidR="00607B78" w:rsidRPr="009C2953">
        <w:t>types de protection et d</w:t>
      </w:r>
      <w:r w:rsidR="00EA2966" w:rsidRPr="009C2953">
        <w:t>’</w:t>
      </w:r>
      <w:r w:rsidR="00607B78" w:rsidRPr="009C2953">
        <w:t>autres mesures efficaces de conservation par zone lorsqu</w:t>
      </w:r>
      <w:r w:rsidR="00EA2966" w:rsidRPr="009C2953">
        <w:t>’</w:t>
      </w:r>
      <w:r w:rsidR="00607B78" w:rsidRPr="009C2953">
        <w:t>il examinera</w:t>
      </w:r>
      <w:r w:rsidR="00F34644" w:rsidRPr="009C2953">
        <w:t xml:space="preserve"> la </w:t>
      </w:r>
      <w:r w:rsidR="00607B78" w:rsidRPr="009C2953">
        <w:t>manière dont l</w:t>
      </w:r>
      <w:r w:rsidR="00EA2966" w:rsidRPr="009C2953">
        <w:t>’</w:t>
      </w:r>
      <w:r w:rsidR="00607B78" w:rsidRPr="009C2953">
        <w:t>utilisation</w:t>
      </w:r>
      <w:r w:rsidR="00D24DC1" w:rsidRPr="009C2953">
        <w:t xml:space="preserve"> des </w:t>
      </w:r>
      <w:r w:rsidR="00607B78" w:rsidRPr="009C2953">
        <w:t>terres et</w:t>
      </w:r>
      <w:r w:rsidR="00D24DC1" w:rsidRPr="009C2953">
        <w:t xml:space="preserve"> des </w:t>
      </w:r>
      <w:r w:rsidR="00607B78" w:rsidRPr="009C2953">
        <w:t>mers peut permettre de protéger</w:t>
      </w:r>
      <w:r w:rsidR="00F34644" w:rsidRPr="009C2953">
        <w:t xml:space="preserve"> la </w:t>
      </w:r>
      <w:r w:rsidR="00607B78" w:rsidRPr="009C2953">
        <w:t>biodiversité, notamment en reconnaissant</w:t>
      </w:r>
      <w:r w:rsidR="00F34644" w:rsidRPr="009C2953">
        <w:t xml:space="preserve"> le </w:t>
      </w:r>
      <w:r w:rsidR="00607B78" w:rsidRPr="009C2953">
        <w:t>rôle et</w:t>
      </w:r>
      <w:r w:rsidR="00F34644" w:rsidRPr="009C2953">
        <w:t xml:space="preserve"> les </w:t>
      </w:r>
      <w:r w:rsidR="00607B78" w:rsidRPr="009C2953">
        <w:t>contributions</w:t>
      </w:r>
      <w:r w:rsidR="00D24DC1" w:rsidRPr="009C2953">
        <w:t xml:space="preserve"> des </w:t>
      </w:r>
      <w:r w:rsidR="00607B78" w:rsidRPr="009C2953">
        <w:t>territoires autochtones et</w:t>
      </w:r>
      <w:r w:rsidR="00D24DC1" w:rsidRPr="009C2953">
        <w:t xml:space="preserve"> des </w:t>
      </w:r>
      <w:r w:rsidR="00607B78" w:rsidRPr="009C2953">
        <w:t>terres traditionnelles, ainsi que d</w:t>
      </w:r>
      <w:r w:rsidR="00EA2966" w:rsidRPr="009C2953">
        <w:t>’</w:t>
      </w:r>
      <w:r w:rsidR="00607B78" w:rsidRPr="009C2953">
        <w:t>autres acteurs, conformément à</w:t>
      </w:r>
      <w:r w:rsidR="00F34644" w:rsidRPr="009C2953">
        <w:t xml:space="preserve"> la </w:t>
      </w:r>
      <w:r w:rsidR="00607B78" w:rsidRPr="009C2953">
        <w:t>législation nationale. Il analysera</w:t>
      </w:r>
      <w:r w:rsidR="00F34644" w:rsidRPr="009C2953">
        <w:t xml:space="preserve"> les </w:t>
      </w:r>
      <w:r w:rsidR="00607B78" w:rsidRPr="009C2953">
        <w:t>méthodes et</w:t>
      </w:r>
      <w:r w:rsidR="00F34644" w:rsidRPr="009C2953">
        <w:t xml:space="preserve"> les </w:t>
      </w:r>
      <w:r w:rsidR="00607B78" w:rsidRPr="009C2953">
        <w:t>indicateurs disponibles pour mesurer</w:t>
      </w:r>
      <w:r w:rsidR="00F34644" w:rsidRPr="009C2953">
        <w:t xml:space="preserve"> les </w:t>
      </w:r>
      <w:r w:rsidR="00607B78" w:rsidRPr="009C2953">
        <w:t>progrès réalisés dans</w:t>
      </w:r>
      <w:r w:rsidR="00F34644" w:rsidRPr="009C2953">
        <w:t xml:space="preserve"> les </w:t>
      </w:r>
      <w:r w:rsidR="00607B78" w:rsidRPr="009C2953">
        <w:t>zones qui font l</w:t>
      </w:r>
      <w:r w:rsidR="00EA2966" w:rsidRPr="009C2953">
        <w:t>’</w:t>
      </w:r>
      <w:r w:rsidR="00607B78" w:rsidRPr="009C2953">
        <w:t>objet d</w:t>
      </w:r>
      <w:r w:rsidR="00EA2966" w:rsidRPr="009C2953">
        <w:t>’</w:t>
      </w:r>
      <w:r w:rsidR="00607B78" w:rsidRPr="009C2953">
        <w:t>une restauration ou d</w:t>
      </w:r>
      <w:r w:rsidR="00EA2966" w:rsidRPr="009C2953">
        <w:t>’</w:t>
      </w:r>
      <w:r w:rsidR="00607B78" w:rsidRPr="009C2953">
        <w:t>une conservation et,</w:t>
      </w:r>
      <w:r w:rsidR="00F34644" w:rsidRPr="009C2953">
        <w:t xml:space="preserve"> le </w:t>
      </w:r>
      <w:r w:rsidR="00607B78" w:rsidRPr="009C2953">
        <w:t>cas</w:t>
      </w:r>
      <w:r w:rsidR="001230E3" w:rsidRPr="009C2953">
        <w:t> </w:t>
      </w:r>
      <w:r w:rsidR="00607B78" w:rsidRPr="009C2953">
        <w:t>échéant, passera en revue d</w:t>
      </w:r>
      <w:r w:rsidR="00EA2966" w:rsidRPr="009C2953">
        <w:t>’</w:t>
      </w:r>
      <w:r w:rsidR="00607B78" w:rsidRPr="009C2953">
        <w:t>autres indicateurs pour compléter ceux du cadre de suivi du</w:t>
      </w:r>
      <w:r w:rsidR="00C012A9" w:rsidRPr="009C2953">
        <w:t> </w:t>
      </w:r>
      <w:r w:rsidR="00607B78" w:rsidRPr="009C2953">
        <w:t>Cadre mondial de</w:t>
      </w:r>
      <w:r w:rsidR="00F34644" w:rsidRPr="009C2953">
        <w:t xml:space="preserve"> la </w:t>
      </w:r>
      <w:r w:rsidR="00607B78" w:rsidRPr="009C2953">
        <w:t>biodiversité de Kunming</w:t>
      </w:r>
      <w:r w:rsidR="00607B78" w:rsidRPr="009C2953">
        <w:sym w:font="Symbol" w:char="F02D"/>
      </w:r>
      <w:r w:rsidR="00607B78" w:rsidRPr="009C2953">
        <w:t>Montréal.</w:t>
      </w:r>
      <w:r w:rsidR="00F34644" w:rsidRPr="009C2953">
        <w:t xml:space="preserve"> Le </w:t>
      </w:r>
      <w:r w:rsidR="00607B78" w:rsidRPr="009C2953">
        <w:t>chapitre évaluera</w:t>
      </w:r>
      <w:r w:rsidR="00F34644" w:rsidRPr="009C2953">
        <w:t xml:space="preserve"> les </w:t>
      </w:r>
      <w:r w:rsidR="00607B78" w:rsidRPr="009C2953">
        <w:t>outils et</w:t>
      </w:r>
      <w:r w:rsidR="00F34644" w:rsidRPr="009C2953">
        <w:t xml:space="preserve"> les </w:t>
      </w:r>
      <w:r w:rsidR="00607B78" w:rsidRPr="009C2953">
        <w:t>stratégies, ainsi</w:t>
      </w:r>
      <w:r w:rsidR="001230E3" w:rsidRPr="009C2953">
        <w:t> </w:t>
      </w:r>
      <w:r w:rsidR="00607B78" w:rsidRPr="009C2953">
        <w:t>que</w:t>
      </w:r>
      <w:r w:rsidR="00F34644" w:rsidRPr="009C2953">
        <w:t xml:space="preserve"> les </w:t>
      </w:r>
      <w:r w:rsidR="00607B78" w:rsidRPr="009C2953">
        <w:t>solutions fondées sur</w:t>
      </w:r>
      <w:r w:rsidR="00F34644" w:rsidRPr="009C2953">
        <w:t xml:space="preserve"> la </w:t>
      </w:r>
      <w:r w:rsidR="00607B78" w:rsidRPr="009C2953">
        <w:t>nature,</w:t>
      </w:r>
      <w:r w:rsidR="00F34644" w:rsidRPr="009C2953">
        <w:t xml:space="preserve"> les </w:t>
      </w:r>
      <w:r w:rsidR="00607B78" w:rsidRPr="009C2953">
        <w:t>approches fondées sur</w:t>
      </w:r>
      <w:r w:rsidR="00F34644" w:rsidRPr="009C2953">
        <w:t xml:space="preserve"> les </w:t>
      </w:r>
      <w:r w:rsidR="00607B78" w:rsidRPr="009C2953">
        <w:t>écosystèmes et</w:t>
      </w:r>
      <w:r w:rsidR="00F34644" w:rsidRPr="009C2953">
        <w:t xml:space="preserve"> les </w:t>
      </w:r>
      <w:r w:rsidR="00607B78" w:rsidRPr="009C2953">
        <w:t>actions centrées sur</w:t>
      </w:r>
      <w:r w:rsidR="00F34644" w:rsidRPr="009C2953">
        <w:t xml:space="preserve"> la </w:t>
      </w:r>
      <w:r w:rsidR="00607B78" w:rsidRPr="009C2953">
        <w:t>Terre nourricière, entre autres, afin de promouvoir</w:t>
      </w:r>
      <w:r w:rsidR="00D24DC1" w:rsidRPr="009C2953">
        <w:t xml:space="preserve"> des </w:t>
      </w:r>
      <w:r w:rsidR="00607B78" w:rsidRPr="009C2953">
        <w:t>moyens de</w:t>
      </w:r>
      <w:r w:rsidR="00C012A9" w:rsidRPr="009C2953">
        <w:t> </w:t>
      </w:r>
      <w:r w:rsidR="00607B78" w:rsidRPr="009C2953">
        <w:t>subsistance durables et</w:t>
      </w:r>
      <w:r w:rsidR="00D24DC1" w:rsidRPr="009C2953">
        <w:t xml:space="preserve"> des </w:t>
      </w:r>
      <w:r w:rsidR="00607B78" w:rsidRPr="009C2953">
        <w:t>activités rémunératrices découlant de</w:t>
      </w:r>
      <w:r w:rsidR="00F34644" w:rsidRPr="009C2953">
        <w:t xml:space="preserve"> la </w:t>
      </w:r>
      <w:r w:rsidR="00607B78" w:rsidRPr="009C2953">
        <w:t>restauration et d</w:t>
      </w:r>
      <w:r w:rsidR="00EA2966" w:rsidRPr="009C2953">
        <w:t>’</w:t>
      </w:r>
      <w:r w:rsidR="00607B78" w:rsidRPr="009C2953">
        <w:t>assurer leur</w:t>
      </w:r>
      <w:r w:rsidR="00C012A9" w:rsidRPr="009C2953">
        <w:t> </w:t>
      </w:r>
      <w:r w:rsidR="00607B78" w:rsidRPr="009C2953">
        <w:t>durabilité et</w:t>
      </w:r>
      <w:r w:rsidR="00F34644" w:rsidRPr="009C2953">
        <w:t xml:space="preserve"> leur </w:t>
      </w:r>
      <w:r w:rsidR="00607B78" w:rsidRPr="009C2953">
        <w:t>résilience.</w:t>
      </w:r>
    </w:p>
    <w:p w14:paraId="2499AAA9" w14:textId="283025E4" w:rsidR="00607B78" w:rsidRPr="009C2953" w:rsidRDefault="00133FC3" w:rsidP="00133FC3">
      <w:pPr>
        <w:pStyle w:val="NormalNonumber"/>
        <w:rPr>
          <w:color w:val="000000"/>
        </w:rPr>
      </w:pPr>
      <w:r w:rsidRPr="009C2953">
        <w:rPr>
          <w:bCs/>
          <w:color w:val="000000"/>
        </w:rPr>
        <w:t>22.</w:t>
      </w:r>
      <w:r w:rsidRPr="009C2953">
        <w:rPr>
          <w:bCs/>
          <w:color w:val="000000"/>
        </w:rPr>
        <w:tab/>
      </w:r>
      <w:r w:rsidR="00607B78" w:rsidRPr="009C2953">
        <w:rPr>
          <w:b/>
          <w:color w:val="000000"/>
        </w:rPr>
        <w:t xml:space="preserve">Chapitre 4. </w:t>
      </w:r>
      <w:r w:rsidR="00607B78" w:rsidRPr="009C2953">
        <w:rPr>
          <w:b/>
        </w:rPr>
        <w:t>Maintenir, restaurer et améliorer</w:t>
      </w:r>
      <w:r w:rsidR="00F34644" w:rsidRPr="009C2953">
        <w:rPr>
          <w:b/>
        </w:rPr>
        <w:t xml:space="preserve"> la </w:t>
      </w:r>
      <w:r w:rsidR="00607B78" w:rsidRPr="009C2953">
        <w:rPr>
          <w:b/>
        </w:rPr>
        <w:t xml:space="preserve">connectivité écologique </w:t>
      </w:r>
      <w:r w:rsidR="00607B78" w:rsidRPr="009C2953">
        <w:rPr>
          <w:i/>
        </w:rPr>
        <w:t>(longueur suggérée : 25 000 mots</w:t>
      </w:r>
      <w:r w:rsidR="00607B78" w:rsidRPr="009C2953">
        <w:t>).</w:t>
      </w:r>
      <w:r w:rsidR="00F34644" w:rsidRPr="009C2953">
        <w:rPr>
          <w:color w:val="000000"/>
        </w:rPr>
        <w:t xml:space="preserve"> Le </w:t>
      </w:r>
      <w:r w:rsidR="00607B78" w:rsidRPr="009C2953">
        <w:t>chapitre 4 évaluera</w:t>
      </w:r>
      <w:r w:rsidR="00F34644" w:rsidRPr="009C2953">
        <w:t xml:space="preserve"> le </w:t>
      </w:r>
      <w:r w:rsidR="00607B78" w:rsidRPr="009C2953">
        <w:t>rôle et l</w:t>
      </w:r>
      <w:r w:rsidR="00EA2966" w:rsidRPr="009C2953">
        <w:t>’</w:t>
      </w:r>
      <w:r w:rsidR="00607B78" w:rsidRPr="009C2953">
        <w:t>importance de</w:t>
      </w:r>
      <w:r w:rsidR="00F34644" w:rsidRPr="009C2953">
        <w:t xml:space="preserve"> la </w:t>
      </w:r>
      <w:r w:rsidR="00607B78" w:rsidRPr="009C2953">
        <w:t>connectivité écologique en tant qu</w:t>
      </w:r>
      <w:r w:rsidR="00EA2966" w:rsidRPr="009C2953">
        <w:t>’</w:t>
      </w:r>
      <w:r w:rsidR="00607B78" w:rsidRPr="009C2953">
        <w:t>élément clé de l</w:t>
      </w:r>
      <w:r w:rsidR="00EA2966" w:rsidRPr="009C2953">
        <w:t>’</w:t>
      </w:r>
      <w:r w:rsidR="00607B78" w:rsidRPr="009C2953">
        <w:t>aménagement du territoire pour</w:t>
      </w:r>
      <w:r w:rsidR="00F34644" w:rsidRPr="009C2953">
        <w:t xml:space="preserve"> le </w:t>
      </w:r>
      <w:r w:rsidR="00607B78" w:rsidRPr="009C2953">
        <w:t>bon fonctionnement</w:t>
      </w:r>
      <w:r w:rsidR="00D24DC1" w:rsidRPr="009C2953">
        <w:t xml:space="preserve"> des </w:t>
      </w:r>
      <w:r w:rsidR="00607B78" w:rsidRPr="009C2953">
        <w:t>écosystèmes,</w:t>
      </w:r>
      <w:r w:rsidR="00F34644" w:rsidRPr="009C2953">
        <w:t xml:space="preserve"> la </w:t>
      </w:r>
      <w:r w:rsidR="00607B78" w:rsidRPr="009C2953">
        <w:t>survie</w:t>
      </w:r>
      <w:r w:rsidR="00D24DC1" w:rsidRPr="009C2953">
        <w:t xml:space="preserve"> des </w:t>
      </w:r>
      <w:r w:rsidR="00607B78" w:rsidRPr="009C2953">
        <w:t>espèces animales et végétales sauvages,</w:t>
      </w:r>
      <w:r w:rsidR="00F34644" w:rsidRPr="009C2953">
        <w:t xml:space="preserve"> la </w:t>
      </w:r>
      <w:r w:rsidR="00607B78" w:rsidRPr="009C2953">
        <w:t>diversité génétique et l</w:t>
      </w:r>
      <w:r w:rsidR="00EA2966" w:rsidRPr="009C2953">
        <w:t>’</w:t>
      </w:r>
      <w:r w:rsidR="00607B78" w:rsidRPr="009C2953">
        <w:t>amélioration</w:t>
      </w:r>
      <w:r w:rsidR="00D24DC1" w:rsidRPr="009C2953">
        <w:t xml:space="preserve"> des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 xml:space="preserve">populations. </w:t>
      </w:r>
      <w:r w:rsidR="00607B78" w:rsidRPr="009C2953">
        <w:rPr>
          <w:color w:val="000000"/>
        </w:rPr>
        <w:t>Il couvrira</w:t>
      </w:r>
      <w:r w:rsidR="00F34644" w:rsidRPr="009C2953">
        <w:rPr>
          <w:color w:val="000000"/>
        </w:rPr>
        <w:t xml:space="preserve"> les </w:t>
      </w:r>
      <w:r w:rsidR="00607B78" w:rsidRPr="009C2953">
        <w:rPr>
          <w:color w:val="000000"/>
        </w:rPr>
        <w:t>composantes structurelles et fonctionnelles de</w:t>
      </w:r>
      <w:r w:rsidR="00F34644" w:rsidRPr="009C2953">
        <w:rPr>
          <w:color w:val="000000"/>
        </w:rPr>
        <w:t xml:space="preserve"> la </w:t>
      </w:r>
      <w:r w:rsidR="00607B78" w:rsidRPr="009C2953">
        <w:rPr>
          <w:color w:val="000000"/>
        </w:rPr>
        <w:t>connectivité et</w:t>
      </w:r>
      <w:r w:rsidR="00F34644" w:rsidRPr="009C2953">
        <w:rPr>
          <w:color w:val="000000"/>
        </w:rPr>
        <w:t xml:space="preserve"> son </w:t>
      </w:r>
      <w:r w:rsidR="00607B78" w:rsidRPr="009C2953">
        <w:rPr>
          <w:color w:val="000000"/>
        </w:rPr>
        <w:t>rôle dans</w:t>
      </w:r>
      <w:r w:rsidR="00F34644" w:rsidRPr="009C2953">
        <w:rPr>
          <w:color w:val="000000"/>
        </w:rPr>
        <w:t xml:space="preserve"> le </w:t>
      </w:r>
      <w:r w:rsidR="00607B78" w:rsidRPr="009C2953">
        <w:rPr>
          <w:color w:val="000000"/>
        </w:rPr>
        <w:t>contexte d</w:t>
      </w:r>
      <w:r w:rsidR="00EA2966" w:rsidRPr="009C2953">
        <w:rPr>
          <w:color w:val="000000"/>
        </w:rPr>
        <w:t>’</w:t>
      </w:r>
      <w:r w:rsidR="00AA3AC3" w:rsidRPr="009C2953">
        <w:rPr>
          <w:color w:val="000000"/>
        </w:rPr>
        <w:t>un climat changeant</w:t>
      </w:r>
      <w:r w:rsidR="00607B78" w:rsidRPr="009C2953">
        <w:rPr>
          <w:color w:val="000000"/>
        </w:rPr>
        <w:t>. Il abordera</w:t>
      </w:r>
      <w:r w:rsidR="00F34644" w:rsidRPr="009C2953">
        <w:rPr>
          <w:color w:val="000000"/>
        </w:rPr>
        <w:t xml:space="preserve"> les </w:t>
      </w:r>
      <w:r w:rsidR="00607B78" w:rsidRPr="009C2953">
        <w:rPr>
          <w:color w:val="000000"/>
        </w:rPr>
        <w:t>éléments de l</w:t>
      </w:r>
      <w:r w:rsidR="00EA2966" w:rsidRPr="009C2953">
        <w:rPr>
          <w:color w:val="000000"/>
        </w:rPr>
        <w:t>’</w:t>
      </w:r>
      <w:r w:rsidR="00607B78" w:rsidRPr="009C2953">
        <w:rPr>
          <w:color w:val="000000"/>
        </w:rPr>
        <w:t>objectif A du Cadre mondial de</w:t>
      </w:r>
      <w:r w:rsidR="00F34644" w:rsidRPr="009C2953">
        <w:rPr>
          <w:color w:val="000000"/>
        </w:rPr>
        <w:t xml:space="preserve"> la </w:t>
      </w:r>
      <w:r w:rsidR="00607B78" w:rsidRPr="009C2953">
        <w:rPr>
          <w:color w:val="000000"/>
        </w:rPr>
        <w:t>biodiversité de Kunming-Montréal</w:t>
      </w:r>
      <w:r w:rsidR="00607B78" w:rsidRPr="009C2953">
        <w:rPr>
          <w:color w:val="000000"/>
          <w:vertAlign w:val="superscript"/>
        </w:rPr>
        <w:footnoteReference w:id="24"/>
      </w:r>
      <w:r w:rsidR="00607B78" w:rsidRPr="009C2953">
        <w:rPr>
          <w:color w:val="000000"/>
        </w:rPr>
        <w:t>, ainsi que certains aspects</w:t>
      </w:r>
      <w:r w:rsidR="00D24DC1" w:rsidRPr="009C2953">
        <w:rPr>
          <w:color w:val="000000"/>
        </w:rPr>
        <w:t xml:space="preserve"> des </w:t>
      </w:r>
      <w:r w:rsidR="00607B78" w:rsidRPr="009C2953">
        <w:rPr>
          <w:color w:val="000000"/>
        </w:rPr>
        <w:t>cibles 2, 3</w:t>
      </w:r>
      <w:r w:rsidR="00607B78" w:rsidRPr="009C2953">
        <w:rPr>
          <w:color w:val="000000"/>
          <w:vertAlign w:val="superscript"/>
        </w:rPr>
        <w:footnoteReference w:id="25"/>
      </w:r>
      <w:r w:rsidR="00607B78" w:rsidRPr="009C2953">
        <w:rPr>
          <w:color w:val="000000"/>
        </w:rPr>
        <w:t xml:space="preserve"> et 12</w:t>
      </w:r>
      <w:r w:rsidR="00607B78" w:rsidRPr="009C2953">
        <w:rPr>
          <w:color w:val="000000"/>
          <w:vertAlign w:val="superscript"/>
        </w:rPr>
        <w:footnoteReference w:id="26"/>
      </w:r>
      <w:r w:rsidR="00607B78" w:rsidRPr="009C2953">
        <w:rPr>
          <w:color w:val="000000"/>
        </w:rPr>
        <w:t xml:space="preserve"> de celui-ci. </w:t>
      </w:r>
      <w:r w:rsidR="00607B78" w:rsidRPr="009C2953">
        <w:t>Il passera en revue</w:t>
      </w:r>
      <w:r w:rsidR="00F34644" w:rsidRPr="009C2953">
        <w:t xml:space="preserve"> les </w:t>
      </w:r>
      <w:r w:rsidR="00607B78" w:rsidRPr="009C2953">
        <w:t>multiples définitions de</w:t>
      </w:r>
      <w:r w:rsidR="00F34644" w:rsidRPr="009C2953">
        <w:t xml:space="preserve"> la </w:t>
      </w:r>
      <w:r w:rsidR="00607B78" w:rsidRPr="009C2953">
        <w:t>connectivité dans</w:t>
      </w:r>
      <w:r w:rsidR="00F34644" w:rsidRPr="009C2953">
        <w:t xml:space="preserve"> la </w:t>
      </w:r>
      <w:r w:rsidR="00607B78" w:rsidRPr="009C2953">
        <w:t>recherche et</w:t>
      </w:r>
      <w:r w:rsidR="00F34644" w:rsidRPr="009C2953">
        <w:t xml:space="preserve"> la </w:t>
      </w:r>
      <w:r w:rsidR="00607B78" w:rsidRPr="009C2953">
        <w:t>mise en œuvre de l</w:t>
      </w:r>
      <w:r w:rsidR="00EA2966" w:rsidRPr="009C2953">
        <w:t>’</w:t>
      </w:r>
      <w:r w:rsidR="00607B78" w:rsidRPr="009C2953">
        <w:t>aménagement du territoire, en s</w:t>
      </w:r>
      <w:r w:rsidR="00EA2966" w:rsidRPr="009C2953">
        <w:t>’</w:t>
      </w:r>
      <w:r w:rsidR="00607B78" w:rsidRPr="009C2953">
        <w:t>appuyant sur</w:t>
      </w:r>
      <w:r w:rsidR="00F34644" w:rsidRPr="009C2953">
        <w:t xml:space="preserve"> un </w:t>
      </w:r>
      <w:r w:rsidR="00607B78" w:rsidRPr="009C2953">
        <w:t>large éventail de points de vue et de contributions de différentes régions.</w:t>
      </w:r>
      <w:r w:rsidR="00F34644" w:rsidRPr="009C2953">
        <w:rPr>
          <w:color w:val="000000"/>
        </w:rPr>
        <w:t xml:space="preserve"> Une </w:t>
      </w:r>
      <w:r w:rsidR="00607B78" w:rsidRPr="009C2953">
        <w:rPr>
          <w:color w:val="000000"/>
        </w:rPr>
        <w:t>taxonomie potentielle de</w:t>
      </w:r>
      <w:r w:rsidR="00F34644" w:rsidRPr="009C2953">
        <w:rPr>
          <w:color w:val="000000"/>
        </w:rPr>
        <w:t xml:space="preserve"> la </w:t>
      </w:r>
      <w:r w:rsidR="00607B78" w:rsidRPr="009C2953">
        <w:rPr>
          <w:color w:val="000000"/>
        </w:rPr>
        <w:t>planification de</w:t>
      </w:r>
      <w:r w:rsidR="00F34644" w:rsidRPr="009C2953">
        <w:rPr>
          <w:color w:val="000000"/>
        </w:rPr>
        <w:t xml:space="preserve"> la </w:t>
      </w:r>
      <w:r w:rsidR="00607B78" w:rsidRPr="009C2953">
        <w:rPr>
          <w:color w:val="000000"/>
        </w:rPr>
        <w:t>connectivité pourrait inclure</w:t>
      </w:r>
      <w:r w:rsidR="00F34644" w:rsidRPr="009C2953">
        <w:rPr>
          <w:color w:val="000000"/>
        </w:rPr>
        <w:t xml:space="preserve"> les </w:t>
      </w:r>
      <w:r w:rsidR="00607B78" w:rsidRPr="009C2953">
        <w:rPr>
          <w:color w:val="000000"/>
        </w:rPr>
        <w:t>principaux objectifs considérés,</w:t>
      </w:r>
      <w:r w:rsidR="00F34644" w:rsidRPr="009C2953">
        <w:rPr>
          <w:color w:val="000000"/>
        </w:rPr>
        <w:t xml:space="preserve"> la </w:t>
      </w:r>
      <w:r w:rsidR="00607B78" w:rsidRPr="009C2953">
        <w:rPr>
          <w:color w:val="000000"/>
        </w:rPr>
        <w:t>conservation de</w:t>
      </w:r>
      <w:r w:rsidR="00F34644" w:rsidRPr="009C2953">
        <w:rPr>
          <w:color w:val="000000"/>
        </w:rPr>
        <w:t xml:space="preserve"> la </w:t>
      </w:r>
      <w:r w:rsidR="00607B78" w:rsidRPr="009C2953">
        <w:rPr>
          <w:color w:val="000000"/>
        </w:rPr>
        <w:t>connectivité (par exemple, pour</w:t>
      </w:r>
      <w:r w:rsidR="00F34644" w:rsidRPr="009C2953">
        <w:rPr>
          <w:color w:val="000000"/>
        </w:rPr>
        <w:t xml:space="preserve"> les </w:t>
      </w:r>
      <w:r w:rsidR="00607B78" w:rsidRPr="009C2953">
        <w:rPr>
          <w:color w:val="000000"/>
        </w:rPr>
        <w:t>espèces migratrices,</w:t>
      </w:r>
      <w:r w:rsidR="00F34644" w:rsidRPr="009C2953">
        <w:rPr>
          <w:color w:val="000000"/>
        </w:rPr>
        <w:t xml:space="preserve"> les </w:t>
      </w:r>
      <w:r w:rsidR="00607B78" w:rsidRPr="009C2953">
        <w:rPr>
          <w:color w:val="000000"/>
        </w:rPr>
        <w:t>métapopulations ou</w:t>
      </w:r>
      <w:r w:rsidR="00F34644" w:rsidRPr="009C2953">
        <w:rPr>
          <w:color w:val="000000"/>
        </w:rPr>
        <w:t xml:space="preserve"> la </w:t>
      </w:r>
      <w:r w:rsidR="00607B78" w:rsidRPr="009C2953">
        <w:rPr>
          <w:color w:val="000000"/>
        </w:rPr>
        <w:t>connectivité structurelle</w:t>
      </w:r>
      <w:r w:rsidR="00D24DC1" w:rsidRPr="009C2953">
        <w:rPr>
          <w:color w:val="000000"/>
        </w:rPr>
        <w:t xml:space="preserve"> des </w:t>
      </w:r>
      <w:r w:rsidR="00607B78" w:rsidRPr="009C2953">
        <w:rPr>
          <w:color w:val="000000"/>
        </w:rPr>
        <w:t>habitats) et</w:t>
      </w:r>
      <w:r w:rsidR="00F34644" w:rsidRPr="009C2953">
        <w:rPr>
          <w:color w:val="000000"/>
        </w:rPr>
        <w:t xml:space="preserve"> les </w:t>
      </w:r>
      <w:r w:rsidR="00607B78" w:rsidRPr="009C2953">
        <w:rPr>
          <w:color w:val="000000"/>
        </w:rPr>
        <w:t>échelles géographiques et temporelles sur lesquelles</w:t>
      </w:r>
      <w:r w:rsidR="00F34644" w:rsidRPr="009C2953">
        <w:rPr>
          <w:color w:val="000000"/>
        </w:rPr>
        <w:t xml:space="preserve"> la </w:t>
      </w:r>
      <w:r w:rsidR="00607B78" w:rsidRPr="009C2953">
        <w:rPr>
          <w:color w:val="000000"/>
        </w:rPr>
        <w:t>connectivité est mesurée. Ce chapitre fournira</w:t>
      </w:r>
      <w:r w:rsidR="00F34644" w:rsidRPr="009C2953">
        <w:rPr>
          <w:color w:val="000000"/>
        </w:rPr>
        <w:t xml:space="preserve"> une </w:t>
      </w:r>
      <w:r w:rsidR="00607B78" w:rsidRPr="009C2953">
        <w:rPr>
          <w:color w:val="000000"/>
        </w:rPr>
        <w:t>évaluation</w:t>
      </w:r>
      <w:r w:rsidR="00D24DC1" w:rsidRPr="009C2953">
        <w:rPr>
          <w:color w:val="000000"/>
        </w:rPr>
        <w:t xml:space="preserve"> des </w:t>
      </w:r>
      <w:r w:rsidR="00607B78" w:rsidRPr="009C2953">
        <w:rPr>
          <w:color w:val="000000"/>
        </w:rPr>
        <w:t>politiques existantes pour</w:t>
      </w:r>
      <w:r w:rsidR="00F34644" w:rsidRPr="009C2953">
        <w:rPr>
          <w:color w:val="000000"/>
        </w:rPr>
        <w:t xml:space="preserve"> la </w:t>
      </w:r>
      <w:r w:rsidR="00607B78" w:rsidRPr="009C2953">
        <w:rPr>
          <w:color w:val="000000"/>
        </w:rPr>
        <w:t>mise en place,</w:t>
      </w:r>
      <w:r w:rsidR="00F34644" w:rsidRPr="009C2953">
        <w:rPr>
          <w:color w:val="000000"/>
        </w:rPr>
        <w:t xml:space="preserve"> la </w:t>
      </w:r>
      <w:r w:rsidR="00607B78" w:rsidRPr="009C2953">
        <w:rPr>
          <w:color w:val="000000"/>
        </w:rPr>
        <w:t>restauration et</w:t>
      </w:r>
      <w:r w:rsidR="00F34644" w:rsidRPr="009C2953">
        <w:rPr>
          <w:color w:val="000000"/>
        </w:rPr>
        <w:t xml:space="preserve"> la </w:t>
      </w:r>
      <w:r w:rsidR="00607B78" w:rsidRPr="009C2953">
        <w:rPr>
          <w:color w:val="000000"/>
        </w:rPr>
        <w:t>sauvegarde</w:t>
      </w:r>
      <w:r w:rsidR="00D24DC1" w:rsidRPr="009C2953">
        <w:rPr>
          <w:color w:val="000000"/>
        </w:rPr>
        <w:t xml:space="preserve"> des </w:t>
      </w:r>
      <w:r w:rsidR="00607B78" w:rsidRPr="009C2953">
        <w:rPr>
          <w:color w:val="000000"/>
        </w:rPr>
        <w:t>corridors et</w:t>
      </w:r>
      <w:r w:rsidR="00D24DC1" w:rsidRPr="009C2953">
        <w:rPr>
          <w:color w:val="000000"/>
        </w:rPr>
        <w:t xml:space="preserve"> des </w:t>
      </w:r>
      <w:r w:rsidR="00607B78" w:rsidRPr="009C2953">
        <w:rPr>
          <w:color w:val="000000"/>
        </w:rPr>
        <w:t>réseaux écologiques</w:t>
      </w:r>
      <w:r w:rsidR="00F34644" w:rsidRPr="009C2953">
        <w:rPr>
          <w:color w:val="000000"/>
        </w:rPr>
        <w:t xml:space="preserve"> aux </w:t>
      </w:r>
      <w:r w:rsidR="00607B78" w:rsidRPr="009C2953">
        <w:rPr>
          <w:color w:val="000000"/>
        </w:rPr>
        <w:t>fins de connectivité. Il examinera également</w:t>
      </w:r>
      <w:r w:rsidR="00F34644" w:rsidRPr="009C2953">
        <w:rPr>
          <w:color w:val="000000"/>
        </w:rPr>
        <w:t xml:space="preserve"> les </w:t>
      </w:r>
      <w:r w:rsidR="00607B78" w:rsidRPr="009C2953">
        <w:rPr>
          <w:color w:val="000000"/>
        </w:rPr>
        <w:t>indicateurs de connectivité écologique existants et proposés pour suivre</w:t>
      </w:r>
      <w:r w:rsidR="00F34644" w:rsidRPr="009C2953">
        <w:rPr>
          <w:color w:val="000000"/>
        </w:rPr>
        <w:t xml:space="preserve"> les </w:t>
      </w:r>
      <w:r w:rsidR="00607B78" w:rsidRPr="009C2953">
        <w:rPr>
          <w:color w:val="000000"/>
        </w:rPr>
        <w:t>progrès accomplis dans</w:t>
      </w:r>
      <w:r w:rsidR="00F34644" w:rsidRPr="009C2953">
        <w:rPr>
          <w:color w:val="000000"/>
        </w:rPr>
        <w:t xml:space="preserve"> la </w:t>
      </w:r>
      <w:r w:rsidR="00607B78" w:rsidRPr="009C2953">
        <w:rPr>
          <w:color w:val="000000"/>
        </w:rPr>
        <w:t>réalisation</w:t>
      </w:r>
      <w:r w:rsidR="00D24DC1" w:rsidRPr="009C2953">
        <w:rPr>
          <w:color w:val="000000"/>
        </w:rPr>
        <w:t xml:space="preserve"> des </w:t>
      </w:r>
      <w:r w:rsidR="00607B78" w:rsidRPr="009C2953">
        <w:rPr>
          <w:color w:val="000000"/>
        </w:rPr>
        <w:t>cibles et objectifs pertinents du Cadre mondial de</w:t>
      </w:r>
      <w:r w:rsidR="00F34644" w:rsidRPr="009C2953">
        <w:rPr>
          <w:color w:val="000000"/>
        </w:rPr>
        <w:t xml:space="preserve"> la </w:t>
      </w:r>
      <w:r w:rsidR="00607B78" w:rsidRPr="009C2953">
        <w:rPr>
          <w:color w:val="000000"/>
        </w:rPr>
        <w:t>biodiversité de Kunming-Montréal.</w:t>
      </w:r>
      <w:r w:rsidR="00F34644" w:rsidRPr="009C2953">
        <w:rPr>
          <w:color w:val="000000"/>
        </w:rPr>
        <w:t xml:space="preserve"> Le </w:t>
      </w:r>
      <w:r w:rsidR="00607B78" w:rsidRPr="009C2953">
        <w:rPr>
          <w:color w:val="000000"/>
        </w:rPr>
        <w:t>chapitre évaluera</w:t>
      </w:r>
      <w:r w:rsidR="00F34644" w:rsidRPr="009C2953">
        <w:rPr>
          <w:color w:val="000000"/>
        </w:rPr>
        <w:t xml:space="preserve"> la </w:t>
      </w:r>
      <w:r w:rsidR="00607B78" w:rsidRPr="009C2953">
        <w:rPr>
          <w:color w:val="000000"/>
        </w:rPr>
        <w:t>manière dont</w:t>
      </w:r>
      <w:r w:rsidR="00F34644" w:rsidRPr="009C2953">
        <w:rPr>
          <w:color w:val="000000"/>
        </w:rPr>
        <w:t xml:space="preserve"> la </w:t>
      </w:r>
      <w:r w:rsidR="00607B78" w:rsidRPr="009C2953">
        <w:rPr>
          <w:color w:val="000000"/>
        </w:rPr>
        <w:t>connectivité est prise en compte dans</w:t>
      </w:r>
      <w:r w:rsidR="00F34644" w:rsidRPr="009C2953">
        <w:rPr>
          <w:color w:val="000000"/>
        </w:rPr>
        <w:t xml:space="preserve"> la </w:t>
      </w:r>
      <w:r w:rsidR="00607B78" w:rsidRPr="009C2953">
        <w:rPr>
          <w:color w:val="000000"/>
        </w:rPr>
        <w:t>planification et l</w:t>
      </w:r>
      <w:r w:rsidR="00EA2966" w:rsidRPr="009C2953">
        <w:rPr>
          <w:color w:val="000000"/>
        </w:rPr>
        <w:t>’</w:t>
      </w:r>
      <w:r w:rsidR="00607B78" w:rsidRPr="009C2953">
        <w:rPr>
          <w:color w:val="000000"/>
        </w:rPr>
        <w:t>évaluation de</w:t>
      </w:r>
      <w:r w:rsidR="00F34644" w:rsidRPr="009C2953">
        <w:rPr>
          <w:color w:val="000000"/>
        </w:rPr>
        <w:t xml:space="preserve"> la </w:t>
      </w:r>
      <w:r w:rsidR="00607B78" w:rsidRPr="009C2953">
        <w:rPr>
          <w:color w:val="000000"/>
        </w:rPr>
        <w:t>conservation par zone, en rapport avec</w:t>
      </w:r>
      <w:r w:rsidR="00F34644" w:rsidRPr="009C2953">
        <w:rPr>
          <w:color w:val="000000"/>
        </w:rPr>
        <w:t xml:space="preserve"> les </w:t>
      </w:r>
      <w:r w:rsidR="00607B78" w:rsidRPr="009C2953">
        <w:rPr>
          <w:color w:val="000000"/>
        </w:rPr>
        <w:t>objectifs 1, 2, 3 et 12 du Cadre.</w:t>
      </w:r>
    </w:p>
    <w:p w14:paraId="3634E605" w14:textId="6124DCE0" w:rsidR="00607B78" w:rsidRPr="009C2953" w:rsidRDefault="00015C74" w:rsidP="000D47E2">
      <w:pPr>
        <w:pStyle w:val="NormalNonumber"/>
        <w:keepLines/>
      </w:pPr>
      <w:r w:rsidRPr="009C2953">
        <w:lastRenderedPageBreak/>
        <w:t>23.</w:t>
      </w:r>
      <w:r w:rsidRPr="009C2953">
        <w:tab/>
      </w:r>
      <w:r w:rsidR="00607B78" w:rsidRPr="009C2953">
        <w:rPr>
          <w:b/>
          <w:bCs/>
        </w:rPr>
        <w:t>Chapitre 5. Aménagement du territoire tourné vers l</w:t>
      </w:r>
      <w:r w:rsidR="00EA2966" w:rsidRPr="009C2953">
        <w:rPr>
          <w:b/>
          <w:bCs/>
        </w:rPr>
        <w:t>’</w:t>
      </w:r>
      <w:r w:rsidR="00607B78" w:rsidRPr="009C2953">
        <w:rPr>
          <w:b/>
          <w:bCs/>
        </w:rPr>
        <w:t>avenir</w:t>
      </w:r>
      <w:r w:rsidR="00647EC0" w:rsidRPr="009C2953">
        <w:rPr>
          <w:b/>
        </w:rPr>
        <w:t xml:space="preserve"> </w:t>
      </w:r>
      <w:r w:rsidR="00607B78" w:rsidRPr="009C2953">
        <w:rPr>
          <w:i/>
        </w:rPr>
        <w:t>(longueur</w:t>
      </w:r>
      <w:r w:rsidR="00647EC0" w:rsidRPr="009C2953">
        <w:rPr>
          <w:i/>
        </w:rPr>
        <w:t xml:space="preserve"> </w:t>
      </w:r>
      <w:r w:rsidR="00607B78" w:rsidRPr="009C2953">
        <w:rPr>
          <w:i/>
        </w:rPr>
        <w:t>suggérée</w:t>
      </w:r>
      <w:r w:rsidR="00647EC0" w:rsidRPr="009C2953">
        <w:rPr>
          <w:i/>
        </w:rPr>
        <w:t> </w:t>
      </w:r>
      <w:r w:rsidR="00607B78" w:rsidRPr="009C2953">
        <w:rPr>
          <w:i/>
        </w:rPr>
        <w:t>:</w:t>
      </w:r>
      <w:r w:rsidR="00346001" w:rsidRPr="009C2953">
        <w:rPr>
          <w:i/>
        </w:rPr>
        <w:t> </w:t>
      </w:r>
      <w:r w:rsidR="00607B78" w:rsidRPr="009C2953">
        <w:rPr>
          <w:i/>
        </w:rPr>
        <w:t>20</w:t>
      </w:r>
      <w:r w:rsidR="00346001" w:rsidRPr="009C2953">
        <w:rPr>
          <w:i/>
        </w:rPr>
        <w:t> </w:t>
      </w:r>
      <w:r w:rsidR="00607B78" w:rsidRPr="009C2953">
        <w:rPr>
          <w:i/>
        </w:rPr>
        <w:t>000</w:t>
      </w:r>
      <w:r w:rsidR="00346001" w:rsidRPr="009C2953">
        <w:rPr>
          <w:i/>
        </w:rPr>
        <w:t> </w:t>
      </w:r>
      <w:r w:rsidR="00607B78" w:rsidRPr="009C2953">
        <w:rPr>
          <w:i/>
        </w:rPr>
        <w:t>mots</w:t>
      </w:r>
      <w:r w:rsidR="00607B78" w:rsidRPr="009C2953">
        <w:t>).</w:t>
      </w:r>
      <w:r w:rsidR="00F34644" w:rsidRPr="009C2953">
        <w:t xml:space="preserve"> Le </w:t>
      </w:r>
      <w:r w:rsidR="00607B78" w:rsidRPr="009C2953">
        <w:t>chapitre 5 évaluera ce que</w:t>
      </w:r>
      <w:r w:rsidR="00F34644" w:rsidRPr="009C2953">
        <w:t xml:space="preserve"> les </w:t>
      </w:r>
      <w:r w:rsidR="00607B78" w:rsidRPr="009C2953">
        <w:t>scénarios d</w:t>
      </w:r>
      <w:r w:rsidR="00EA2966" w:rsidRPr="009C2953">
        <w:t>’</w:t>
      </w:r>
      <w:r w:rsidR="00607B78" w:rsidRPr="009C2953">
        <w:t>aménagement du</w:t>
      </w:r>
      <w:r w:rsidR="00346001" w:rsidRPr="009C2953">
        <w:t> </w:t>
      </w:r>
      <w:r w:rsidR="00607B78" w:rsidRPr="009C2953">
        <w:t>territoire nous</w:t>
      </w:r>
      <w:r w:rsidR="00647EC0" w:rsidRPr="009C2953">
        <w:t> </w:t>
      </w:r>
      <w:r w:rsidR="00607B78" w:rsidRPr="009C2953">
        <w:t>apprennent sur</w:t>
      </w:r>
      <w:r w:rsidR="00F34644" w:rsidRPr="009C2953">
        <w:t xml:space="preserve"> les </w:t>
      </w:r>
      <w:r w:rsidR="00607B78" w:rsidRPr="009C2953">
        <w:t>synergies et</w:t>
      </w:r>
      <w:r w:rsidR="00F34644" w:rsidRPr="009C2953">
        <w:t xml:space="preserve"> les </w:t>
      </w:r>
      <w:r w:rsidR="00607B78" w:rsidRPr="009C2953">
        <w:t>compromis dans</w:t>
      </w:r>
      <w:r w:rsidR="00F34644" w:rsidRPr="009C2953">
        <w:t xml:space="preserve"> le </w:t>
      </w:r>
      <w:r w:rsidR="00607B78" w:rsidRPr="009C2953">
        <w:t>système biodiversité</w:t>
      </w:r>
      <w:r w:rsidR="00607B78" w:rsidRPr="009C2953">
        <w:noBreakHyphen/>
        <w:t>alimentation</w:t>
      </w:r>
      <w:r w:rsidR="00647EC0" w:rsidRPr="009C2953">
        <w:noBreakHyphen/>
      </w:r>
      <w:r w:rsidR="00607B78" w:rsidRPr="009C2953">
        <w:t>eau</w:t>
      </w:r>
      <w:r w:rsidR="00647EC0" w:rsidRPr="009C2953">
        <w:noBreakHyphen/>
      </w:r>
      <w:r w:rsidR="00607B78" w:rsidRPr="009C2953">
        <w:t>santé-climat-énergie et sur</w:t>
      </w:r>
      <w:r w:rsidR="00F34644" w:rsidRPr="009C2953">
        <w:t xml:space="preserve"> la </w:t>
      </w:r>
      <w:r w:rsidR="00607B78" w:rsidRPr="009C2953">
        <w:t>manière dont l</w:t>
      </w:r>
      <w:r w:rsidR="00EA2966" w:rsidRPr="009C2953">
        <w:t>’</w:t>
      </w:r>
      <w:r w:rsidR="00607B78" w:rsidRPr="009C2953">
        <w:t>aménagement du</w:t>
      </w:r>
      <w:r w:rsidR="00647EC0" w:rsidRPr="009C2953">
        <w:t> </w:t>
      </w:r>
      <w:r w:rsidR="00607B78" w:rsidRPr="009C2953">
        <w:t>territoire</w:t>
      </w:r>
      <w:r w:rsidR="00647EC0" w:rsidRPr="009C2953">
        <w:t> </w:t>
      </w:r>
      <w:r w:rsidR="00607B78" w:rsidRPr="009C2953">
        <w:t>pourrait contribuer à renforcer</w:t>
      </w:r>
      <w:r w:rsidR="00F34644" w:rsidRPr="009C2953">
        <w:t xml:space="preserve"> les </w:t>
      </w:r>
      <w:r w:rsidR="00607B78" w:rsidRPr="009C2953">
        <w:t>synergies et à établir de meilleurs compromis. Il</w:t>
      </w:r>
      <w:r w:rsidR="00647EC0" w:rsidRPr="009C2953">
        <w:t> </w:t>
      </w:r>
      <w:r w:rsidR="00607B78" w:rsidRPr="009C2953">
        <w:t xml:space="preserve">examinera différents types de scénario, conformément au </w:t>
      </w:r>
      <w:r w:rsidR="00607B78" w:rsidRPr="009C2953">
        <w:rPr>
          <w:i/>
        </w:rPr>
        <w:t>Rapport d</w:t>
      </w:r>
      <w:r w:rsidR="00EA2966" w:rsidRPr="009C2953">
        <w:rPr>
          <w:i/>
        </w:rPr>
        <w:t>’</w:t>
      </w:r>
      <w:r w:rsidR="00607B78" w:rsidRPr="009C2953">
        <w:rPr>
          <w:i/>
        </w:rPr>
        <w:t>évaluation méthodologique sur</w:t>
      </w:r>
      <w:r w:rsidR="00F34644" w:rsidRPr="009C2953">
        <w:rPr>
          <w:i/>
        </w:rPr>
        <w:t xml:space="preserve"> les </w:t>
      </w:r>
      <w:r w:rsidR="00607B78" w:rsidRPr="009C2953">
        <w:rPr>
          <w:i/>
        </w:rPr>
        <w:t>scénarios et</w:t>
      </w:r>
      <w:r w:rsidR="00F34644" w:rsidRPr="009C2953">
        <w:rPr>
          <w:i/>
        </w:rPr>
        <w:t xml:space="preserve"> les </w:t>
      </w:r>
      <w:r w:rsidR="00607B78" w:rsidRPr="009C2953">
        <w:rPr>
          <w:i/>
        </w:rPr>
        <w:t>modèles relatifs à</w:t>
      </w:r>
      <w:r w:rsidR="00F34644" w:rsidRPr="009C2953">
        <w:rPr>
          <w:i/>
        </w:rPr>
        <w:t xml:space="preserve"> la </w:t>
      </w:r>
      <w:r w:rsidR="00607B78" w:rsidRPr="009C2953">
        <w:rPr>
          <w:i/>
        </w:rPr>
        <w:t>biodiversité et</w:t>
      </w:r>
      <w:r w:rsidR="00F34644" w:rsidRPr="009C2953">
        <w:rPr>
          <w:i/>
        </w:rPr>
        <w:t xml:space="preserve"> aux </w:t>
      </w:r>
      <w:r w:rsidR="00607B78" w:rsidRPr="009C2953">
        <w:rPr>
          <w:i/>
        </w:rPr>
        <w:t>services écosystémiques</w:t>
      </w:r>
      <w:r w:rsidR="00607B78" w:rsidRPr="009C2953">
        <w:t xml:space="preserve"> de</w:t>
      </w:r>
      <w:r w:rsidR="00F34644" w:rsidRPr="009C2953">
        <w:t xml:space="preserve"> la </w:t>
      </w:r>
      <w:r w:rsidR="00607B78" w:rsidRPr="009C2953">
        <w:t>Plateforme, qui</w:t>
      </w:r>
      <w:r w:rsidR="00647EC0" w:rsidRPr="009C2953">
        <w:t> </w:t>
      </w:r>
      <w:r w:rsidR="00607B78" w:rsidRPr="009C2953">
        <w:t>représentent</w:t>
      </w:r>
      <w:r w:rsidR="00D24DC1" w:rsidRPr="009C2953">
        <w:t xml:space="preserve"> des </w:t>
      </w:r>
      <w:r w:rsidR="00607B78" w:rsidRPr="009C2953">
        <w:t>avenirs plausibles pour l</w:t>
      </w:r>
      <w:r w:rsidR="00EA2966" w:rsidRPr="009C2953">
        <w:t>’</w:t>
      </w:r>
      <w:r w:rsidR="00607B78" w:rsidRPr="009C2953">
        <w:t>aménagement du territoire dans</w:t>
      </w:r>
      <w:r w:rsidR="00F34644" w:rsidRPr="009C2953">
        <w:t xml:space="preserve"> les </w:t>
      </w:r>
      <w:r w:rsidR="00607B78" w:rsidRPr="009C2953">
        <w:t>milieux terrestres,</w:t>
      </w:r>
      <w:r w:rsidR="00F34644" w:rsidRPr="009C2953">
        <w:t xml:space="preserve"> les </w:t>
      </w:r>
      <w:r w:rsidR="00607B78" w:rsidRPr="009C2953">
        <w:t>eaux intérieures et</w:t>
      </w:r>
      <w:r w:rsidR="00F34644" w:rsidRPr="009C2953">
        <w:t xml:space="preserve"> les </w:t>
      </w:r>
      <w:r w:rsidR="00607B78" w:rsidRPr="009C2953">
        <w:t>milieux marins, à toutes</w:t>
      </w:r>
      <w:r w:rsidR="00F34644" w:rsidRPr="009C2953">
        <w:t xml:space="preserve"> les </w:t>
      </w:r>
      <w:r w:rsidR="00607B78" w:rsidRPr="009C2953">
        <w:t>échelles pertinentes pour</w:t>
      </w:r>
      <w:r w:rsidR="00F34644" w:rsidRPr="009C2953">
        <w:t xml:space="preserve"> la </w:t>
      </w:r>
      <w:r w:rsidR="00607B78" w:rsidRPr="009C2953">
        <w:t>mise en œuvre du</w:t>
      </w:r>
      <w:r w:rsidR="00346001" w:rsidRPr="009C2953">
        <w:t> </w:t>
      </w:r>
      <w:r w:rsidR="00607B78" w:rsidRPr="009C2953">
        <w:t>Cadre mondial de</w:t>
      </w:r>
      <w:r w:rsidR="00F34644" w:rsidRPr="009C2953">
        <w:t xml:space="preserve"> la </w:t>
      </w:r>
      <w:r w:rsidR="00607B78" w:rsidRPr="009C2953">
        <w:t>biodiversité de Kunming-Montréal.</w:t>
      </w:r>
      <w:r w:rsidR="00F34644" w:rsidRPr="009C2953">
        <w:t xml:space="preserve"> Les </w:t>
      </w:r>
      <w:r w:rsidR="00607B78" w:rsidRPr="009C2953">
        <w:t>scénarios à fort impact et faible probabilité seront également étudiés. Ce chapitre s</w:t>
      </w:r>
      <w:r w:rsidR="00EA2966" w:rsidRPr="009C2953">
        <w:t>’</w:t>
      </w:r>
      <w:r w:rsidR="00607B78" w:rsidRPr="009C2953">
        <w:t>appuiera sur l</w:t>
      </w:r>
      <w:r w:rsidR="00EA2966" w:rsidRPr="009C2953">
        <w:t>’</w:t>
      </w:r>
      <w:r w:rsidR="00607B78" w:rsidRPr="009C2953">
        <w:t>évaluation thématique</w:t>
      </w:r>
      <w:r w:rsidR="00D24DC1" w:rsidRPr="009C2953">
        <w:t xml:space="preserve"> des </w:t>
      </w:r>
      <w:r w:rsidR="00607B78" w:rsidRPr="009C2953">
        <w:t>liens entre</w:t>
      </w:r>
      <w:r w:rsidR="00647EC0" w:rsidRPr="009C2953">
        <w:t> </w:t>
      </w:r>
      <w:r w:rsidR="00F34644" w:rsidRPr="009C2953">
        <w:t>la </w:t>
      </w:r>
      <w:r w:rsidR="00607B78" w:rsidRPr="009C2953">
        <w:t>biodiversité, l</w:t>
      </w:r>
      <w:r w:rsidR="00EA2966" w:rsidRPr="009C2953">
        <w:t>’</w:t>
      </w:r>
      <w:r w:rsidR="00607B78" w:rsidRPr="009C2953">
        <w:t>eau, l</w:t>
      </w:r>
      <w:r w:rsidR="00EA2966" w:rsidRPr="009C2953">
        <w:t>’</w:t>
      </w:r>
      <w:r w:rsidR="00607B78" w:rsidRPr="009C2953">
        <w:t>alimentation et</w:t>
      </w:r>
      <w:r w:rsidR="00F34644" w:rsidRPr="009C2953">
        <w:t xml:space="preserve"> la </w:t>
      </w:r>
      <w:r w:rsidR="00607B78" w:rsidRPr="009C2953">
        <w:t>santé, et en particulier sur</w:t>
      </w:r>
      <w:r w:rsidR="00F34644" w:rsidRPr="009C2953">
        <w:t xml:space="preserve"> les </w:t>
      </w:r>
      <w:r w:rsidR="00607B78" w:rsidRPr="009C2953">
        <w:t>éléments qui traitent</w:t>
      </w:r>
      <w:r w:rsidR="00D24DC1" w:rsidRPr="009C2953">
        <w:t xml:space="preserve"> des </w:t>
      </w:r>
      <w:r w:rsidR="00607B78" w:rsidRPr="009C2953">
        <w:t>interventions possibles, notamment l</w:t>
      </w:r>
      <w:r w:rsidR="00EA2966" w:rsidRPr="009C2953">
        <w:t>’</w:t>
      </w:r>
      <w:r w:rsidR="00607B78" w:rsidRPr="009C2953">
        <w:t>aménagement du territoire,</w:t>
      </w:r>
      <w:r w:rsidR="00F34644" w:rsidRPr="009C2953">
        <w:t xml:space="preserve"> les </w:t>
      </w:r>
      <w:r w:rsidR="00607B78" w:rsidRPr="009C2953">
        <w:t>réseaux de zones protégées</w:t>
      </w:r>
      <w:r w:rsidR="00346001" w:rsidRPr="009C2953">
        <w:t> </w:t>
      </w:r>
      <w:r w:rsidR="00607B78" w:rsidRPr="009C2953">
        <w:t>(qui peuvent inclure</w:t>
      </w:r>
      <w:r w:rsidR="00F34644" w:rsidRPr="009C2953">
        <w:t xml:space="preserve"> les </w:t>
      </w:r>
      <w:r w:rsidR="00607B78" w:rsidRPr="009C2953">
        <w:t>corridors écologiques) et</w:t>
      </w:r>
      <w:r w:rsidR="00F34644" w:rsidRPr="009C2953">
        <w:t xml:space="preserve"> les </w:t>
      </w:r>
      <w:r w:rsidR="00607B78" w:rsidRPr="009C2953">
        <w:t>mesures visant à renforcer</w:t>
      </w:r>
      <w:r w:rsidR="00F34644" w:rsidRPr="009C2953">
        <w:t xml:space="preserve"> la </w:t>
      </w:r>
      <w:r w:rsidR="00607B78" w:rsidRPr="009C2953">
        <w:t>connectivité.</w:t>
      </w:r>
      <w:r w:rsidR="00F34644" w:rsidRPr="009C2953">
        <w:t xml:space="preserve"> Le </w:t>
      </w:r>
      <w:r w:rsidR="00607B78" w:rsidRPr="009C2953">
        <w:t>chapitre couvrira</w:t>
      </w:r>
      <w:r w:rsidR="00F34644" w:rsidRPr="009C2953">
        <w:t xml:space="preserve"> un </w:t>
      </w:r>
      <w:r w:rsidR="00607B78" w:rsidRPr="009C2953">
        <w:t>large éventail de facteurs directs (par exemple,</w:t>
      </w:r>
      <w:r w:rsidR="00F34644" w:rsidRPr="009C2953">
        <w:t xml:space="preserve"> les </w:t>
      </w:r>
      <w:r w:rsidR="00607B78" w:rsidRPr="009C2953">
        <w:t>changements climatiques,</w:t>
      </w:r>
      <w:r w:rsidR="00F34644" w:rsidRPr="009C2953">
        <w:t xml:space="preserve"> les </w:t>
      </w:r>
      <w:r w:rsidR="00607B78" w:rsidRPr="009C2953">
        <w:t>changements d</w:t>
      </w:r>
      <w:r w:rsidR="00EA2966" w:rsidRPr="009C2953">
        <w:t>’</w:t>
      </w:r>
      <w:r w:rsidR="00607B78" w:rsidRPr="009C2953">
        <w:t>affectation</w:t>
      </w:r>
      <w:r w:rsidR="00D24DC1" w:rsidRPr="009C2953">
        <w:t xml:space="preserve"> des </w:t>
      </w:r>
      <w:r w:rsidR="00607B78" w:rsidRPr="009C2953">
        <w:t>terres,</w:t>
      </w:r>
      <w:r w:rsidR="00D24DC1" w:rsidRPr="009C2953">
        <w:t xml:space="preserve"> des </w:t>
      </w:r>
      <w:r w:rsidR="00607B78" w:rsidRPr="009C2953">
        <w:t>eaux douces et</w:t>
      </w:r>
      <w:r w:rsidR="00D24DC1" w:rsidRPr="009C2953">
        <w:t xml:space="preserve"> des </w:t>
      </w:r>
      <w:r w:rsidR="00607B78" w:rsidRPr="009C2953">
        <w:t>mers,</w:t>
      </w:r>
      <w:r w:rsidR="00346001" w:rsidRPr="009C2953">
        <w:t> </w:t>
      </w:r>
      <w:r w:rsidR="00607B78" w:rsidRPr="009C2953">
        <w:t>l</w:t>
      </w:r>
      <w:r w:rsidR="00EA2966" w:rsidRPr="009C2953">
        <w:t>’</w:t>
      </w:r>
      <w:r w:rsidR="00607B78" w:rsidRPr="009C2953">
        <w:t>extraction</w:t>
      </w:r>
      <w:r w:rsidR="00D24DC1" w:rsidRPr="009C2953">
        <w:t xml:space="preserve"> des </w:t>
      </w:r>
      <w:r w:rsidR="00607B78" w:rsidRPr="009C2953">
        <w:t>ressources naturelles,</w:t>
      </w:r>
      <w:r w:rsidR="00F34644" w:rsidRPr="009C2953">
        <w:t xml:space="preserve"> la </w:t>
      </w:r>
      <w:r w:rsidR="00607B78" w:rsidRPr="009C2953">
        <w:t>pollution et</w:t>
      </w:r>
      <w:r w:rsidR="00F34644" w:rsidRPr="009C2953">
        <w:t xml:space="preserve"> les </w:t>
      </w:r>
      <w:r w:rsidR="00607B78" w:rsidRPr="009C2953">
        <w:t>espèces exotiques envahissantes) et</w:t>
      </w:r>
      <w:r w:rsidR="00346001" w:rsidRPr="009C2953">
        <w:t> </w:t>
      </w:r>
      <w:r w:rsidR="00607B78" w:rsidRPr="009C2953">
        <w:t>indirects</w:t>
      </w:r>
      <w:r w:rsidR="00346001" w:rsidRPr="009C2953">
        <w:t> </w:t>
      </w:r>
      <w:r w:rsidR="00607B78" w:rsidRPr="009C2953">
        <w:t>(par exemple,</w:t>
      </w:r>
      <w:r w:rsidR="00F34644" w:rsidRPr="009C2953">
        <w:t xml:space="preserve"> les </w:t>
      </w:r>
      <w:r w:rsidR="00607B78" w:rsidRPr="009C2953">
        <w:t>facteurs démographiques, économiques, scientifiques et technologiques, socioculturels et institutionnels) d</w:t>
      </w:r>
      <w:r w:rsidR="00EA2966" w:rsidRPr="009C2953">
        <w:t>’</w:t>
      </w:r>
      <w:r w:rsidR="00607B78" w:rsidRPr="009C2953">
        <w:t>évolution de</w:t>
      </w:r>
      <w:r w:rsidR="00F34644" w:rsidRPr="009C2953">
        <w:t xml:space="preserve"> la </w:t>
      </w:r>
      <w:r w:rsidR="00607B78" w:rsidRPr="009C2953">
        <w:t>biodiversité qui sont pris en compte dans</w:t>
      </w:r>
      <w:r w:rsidR="00F34644" w:rsidRPr="009C2953">
        <w:t xml:space="preserve"> les </w:t>
      </w:r>
      <w:r w:rsidR="00607B78" w:rsidRPr="009C2953">
        <w:t>scénarios qui façonnent l</w:t>
      </w:r>
      <w:r w:rsidR="00EA2966" w:rsidRPr="009C2953">
        <w:t>’</w:t>
      </w:r>
      <w:r w:rsidR="00607B78" w:rsidRPr="009C2953">
        <w:t>aménagement du territoire. Il examinera</w:t>
      </w:r>
      <w:r w:rsidR="00F34644" w:rsidRPr="009C2953">
        <w:t xml:space="preserve"> le </w:t>
      </w:r>
      <w:r w:rsidR="00607B78" w:rsidRPr="009C2953">
        <w:t>rôle joué par</w:t>
      </w:r>
      <w:r w:rsidR="00F34644" w:rsidRPr="009C2953">
        <w:t xml:space="preserve"> la </w:t>
      </w:r>
      <w:r w:rsidR="00607B78" w:rsidRPr="009C2953">
        <w:t>connectivité écologique dans l</w:t>
      </w:r>
      <w:r w:rsidR="00EA2966" w:rsidRPr="009C2953">
        <w:t>’</w:t>
      </w:r>
      <w:r w:rsidR="00607B78" w:rsidRPr="009C2953">
        <w:t>atténuation</w:t>
      </w:r>
      <w:r w:rsidR="00D24DC1" w:rsidRPr="009C2953">
        <w:t xml:space="preserve"> des </w:t>
      </w:r>
      <w:r w:rsidR="00607B78" w:rsidRPr="009C2953">
        <w:t>effets de ces facteurs.</w:t>
      </w:r>
    </w:p>
    <w:p w14:paraId="26691261" w14:textId="76ACB771" w:rsidR="00607B78" w:rsidRPr="009C2953" w:rsidRDefault="001320A3" w:rsidP="001320A3">
      <w:pPr>
        <w:pStyle w:val="NormalNonumber"/>
        <w:rPr>
          <w:color w:val="000000"/>
        </w:rPr>
      </w:pPr>
      <w:r w:rsidRPr="009C2953">
        <w:rPr>
          <w:color w:val="000000"/>
        </w:rPr>
        <w:t>24.</w:t>
      </w:r>
      <w:r w:rsidRPr="009C2953">
        <w:rPr>
          <w:color w:val="000000"/>
        </w:rPr>
        <w:tab/>
      </w:r>
      <w:r w:rsidR="00607B78" w:rsidRPr="009C2953">
        <w:rPr>
          <w:b/>
          <w:bCs/>
          <w:color w:val="000000"/>
        </w:rPr>
        <w:t xml:space="preserve">Chapitre 6. </w:t>
      </w:r>
      <w:r w:rsidR="00607B78" w:rsidRPr="009C2953">
        <w:rPr>
          <w:b/>
          <w:bCs/>
        </w:rPr>
        <w:t>Créer</w:t>
      </w:r>
      <w:r w:rsidR="00F34644" w:rsidRPr="009C2953">
        <w:rPr>
          <w:b/>
          <w:bCs/>
        </w:rPr>
        <w:t xml:space="preserve"> un </w:t>
      </w:r>
      <w:r w:rsidR="00607B78" w:rsidRPr="009C2953">
        <w:rPr>
          <w:b/>
          <w:bCs/>
        </w:rPr>
        <w:t>environnement favorable à l</w:t>
      </w:r>
      <w:r w:rsidR="00EA2966" w:rsidRPr="009C2953">
        <w:rPr>
          <w:b/>
          <w:bCs/>
        </w:rPr>
        <w:t>’</w:t>
      </w:r>
      <w:r w:rsidR="00607B78" w:rsidRPr="009C2953">
        <w:rPr>
          <w:b/>
          <w:bCs/>
        </w:rPr>
        <w:t>aménagement du territoire intégré tenant compte de</w:t>
      </w:r>
      <w:r w:rsidR="00F34644" w:rsidRPr="009C2953">
        <w:rPr>
          <w:b/>
          <w:bCs/>
        </w:rPr>
        <w:t xml:space="preserve"> la </w:t>
      </w:r>
      <w:r w:rsidR="00607B78" w:rsidRPr="009C2953">
        <w:rPr>
          <w:b/>
          <w:bCs/>
        </w:rPr>
        <w:t>biodiversité et à</w:t>
      </w:r>
      <w:r w:rsidR="00F34644" w:rsidRPr="009C2953">
        <w:rPr>
          <w:b/>
          <w:bCs/>
        </w:rPr>
        <w:t xml:space="preserve"> la </w:t>
      </w:r>
      <w:r w:rsidR="00607B78" w:rsidRPr="009C2953">
        <w:rPr>
          <w:b/>
          <w:bCs/>
        </w:rPr>
        <w:t>connectivité écologique</w:t>
      </w:r>
      <w:r w:rsidR="00607B78" w:rsidRPr="009C2953">
        <w:t xml:space="preserve"> </w:t>
      </w:r>
      <w:r w:rsidR="00607B78" w:rsidRPr="009C2953">
        <w:rPr>
          <w:i/>
        </w:rPr>
        <w:t>(longueur suggérée : 20 000 mots</w:t>
      </w:r>
      <w:r w:rsidR="00607B78" w:rsidRPr="009C2953">
        <w:t>).</w:t>
      </w:r>
      <w:r w:rsidR="00F34644" w:rsidRPr="009C2953">
        <w:rPr>
          <w:color w:val="000000"/>
        </w:rPr>
        <w:t xml:space="preserve"> Le </w:t>
      </w:r>
      <w:r w:rsidR="00607B78" w:rsidRPr="009C2953">
        <w:rPr>
          <w:color w:val="000000"/>
        </w:rPr>
        <w:t>chapitre 6 évaluera</w:t>
      </w:r>
      <w:r w:rsidR="00F34644" w:rsidRPr="009C2953">
        <w:rPr>
          <w:color w:val="000000"/>
        </w:rPr>
        <w:t xml:space="preserve"> les </w:t>
      </w:r>
      <w:r w:rsidR="00607B78" w:rsidRPr="009C2953">
        <w:rPr>
          <w:color w:val="000000"/>
        </w:rPr>
        <w:t>orientations et</w:t>
      </w:r>
      <w:r w:rsidR="00F34644" w:rsidRPr="009C2953">
        <w:rPr>
          <w:color w:val="000000"/>
        </w:rPr>
        <w:t xml:space="preserve"> les </w:t>
      </w:r>
      <w:r w:rsidR="00607B78" w:rsidRPr="009C2953">
        <w:rPr>
          <w:color w:val="000000"/>
        </w:rPr>
        <w:t>outils existants,</w:t>
      </w:r>
      <w:r w:rsidR="00F34644" w:rsidRPr="009C2953">
        <w:rPr>
          <w:color w:val="000000"/>
        </w:rPr>
        <w:t xml:space="preserve"> les </w:t>
      </w:r>
      <w:r w:rsidR="00607B78" w:rsidRPr="009C2953">
        <w:rPr>
          <w:color w:val="000000"/>
        </w:rPr>
        <w:t>méthodes,</w:t>
      </w:r>
      <w:r w:rsidR="00F34644" w:rsidRPr="009C2953">
        <w:rPr>
          <w:color w:val="000000"/>
        </w:rPr>
        <w:t xml:space="preserve"> les </w:t>
      </w:r>
      <w:r w:rsidR="00607B78" w:rsidRPr="009C2953">
        <w:rPr>
          <w:color w:val="000000"/>
        </w:rPr>
        <w:t>scénarios,</w:t>
      </w:r>
      <w:r w:rsidR="00F34644" w:rsidRPr="009C2953">
        <w:rPr>
          <w:color w:val="000000"/>
        </w:rPr>
        <w:t xml:space="preserve"> les </w:t>
      </w:r>
      <w:r w:rsidR="00607B78" w:rsidRPr="009C2953">
        <w:rPr>
          <w:color w:val="000000"/>
        </w:rPr>
        <w:t>modèles,</w:t>
      </w:r>
      <w:r w:rsidR="00F34644" w:rsidRPr="009C2953">
        <w:rPr>
          <w:color w:val="000000"/>
        </w:rPr>
        <w:t xml:space="preserve"> les </w:t>
      </w:r>
      <w:r w:rsidR="00607B78" w:rsidRPr="009C2953">
        <w:rPr>
          <w:color w:val="000000"/>
        </w:rPr>
        <w:t>données,</w:t>
      </w:r>
      <w:r w:rsidR="00F34644" w:rsidRPr="009C2953">
        <w:rPr>
          <w:color w:val="000000"/>
        </w:rPr>
        <w:t xml:space="preserve"> les </w:t>
      </w:r>
      <w:r w:rsidR="00607B78" w:rsidRPr="009C2953">
        <w:rPr>
          <w:color w:val="000000"/>
        </w:rPr>
        <w:t>connaissances et</w:t>
      </w:r>
      <w:r w:rsidR="00F34644" w:rsidRPr="009C2953">
        <w:rPr>
          <w:color w:val="000000"/>
        </w:rPr>
        <w:t xml:space="preserve"> le </w:t>
      </w:r>
      <w:r w:rsidR="00607B78" w:rsidRPr="009C2953">
        <w:rPr>
          <w:color w:val="000000"/>
        </w:rPr>
        <w:t>renforcement</w:t>
      </w:r>
      <w:r w:rsidR="00D24DC1" w:rsidRPr="009C2953">
        <w:rPr>
          <w:color w:val="000000"/>
        </w:rPr>
        <w:t xml:space="preserve"> des </w:t>
      </w:r>
      <w:r w:rsidR="00607B78" w:rsidRPr="009C2953">
        <w:rPr>
          <w:color w:val="000000"/>
        </w:rPr>
        <w:t>capacités en matière d</w:t>
      </w:r>
      <w:r w:rsidR="00EA2966" w:rsidRPr="009C2953">
        <w:rPr>
          <w:color w:val="000000"/>
        </w:rPr>
        <w:t>’</w:t>
      </w:r>
      <w:r w:rsidR="00607B78" w:rsidRPr="009C2953">
        <w:rPr>
          <w:color w:val="000000"/>
        </w:rPr>
        <w:t>aménagement du</w:t>
      </w:r>
      <w:r w:rsidR="007B4C2D" w:rsidRPr="009C2953">
        <w:rPr>
          <w:color w:val="000000"/>
        </w:rPr>
        <w:t> </w:t>
      </w:r>
      <w:r w:rsidR="00607B78" w:rsidRPr="009C2953">
        <w:rPr>
          <w:color w:val="000000"/>
        </w:rPr>
        <w:t xml:space="preserve">territoire et de connectivité écologique. </w:t>
      </w:r>
      <w:r w:rsidR="00607B78" w:rsidRPr="009C2953">
        <w:t>Il analysera les politiques fondées sur</w:t>
      </w:r>
      <w:r w:rsidR="00F34644" w:rsidRPr="009C2953">
        <w:t xml:space="preserve"> la </w:t>
      </w:r>
      <w:r w:rsidR="00607B78" w:rsidRPr="009C2953">
        <w:t>science et</w:t>
      </w:r>
      <w:r w:rsidR="00F34644" w:rsidRPr="009C2953">
        <w:t xml:space="preserve"> la </w:t>
      </w:r>
      <w:r w:rsidR="00607B78" w:rsidRPr="009C2953">
        <w:t>gouvernance à tous</w:t>
      </w:r>
      <w:r w:rsidR="00F34644" w:rsidRPr="009C2953">
        <w:t xml:space="preserve"> les </w:t>
      </w:r>
      <w:r w:rsidR="00607B78" w:rsidRPr="009C2953">
        <w:t>niveaux,</w:t>
      </w:r>
      <w:r w:rsidR="00F34644" w:rsidRPr="009C2953">
        <w:t xml:space="preserve"> y </w:t>
      </w:r>
      <w:r w:rsidR="00607B78" w:rsidRPr="009C2953">
        <w:t>compris</w:t>
      </w:r>
      <w:r w:rsidR="00F34644" w:rsidRPr="009C2953">
        <w:t xml:space="preserve"> la </w:t>
      </w:r>
      <w:r w:rsidR="00607B78" w:rsidRPr="009C2953">
        <w:t>gouvernance transfrontière,</w:t>
      </w:r>
      <w:r w:rsidR="00F34644" w:rsidRPr="009C2953">
        <w:t xml:space="preserve"> le </w:t>
      </w:r>
      <w:r w:rsidR="00607B78" w:rsidRPr="009C2953">
        <w:t>cas échéant, et</w:t>
      </w:r>
      <w:r w:rsidR="00F34644" w:rsidRPr="009C2953">
        <w:t xml:space="preserve"> le </w:t>
      </w:r>
      <w:r w:rsidR="00607B78" w:rsidRPr="009C2953">
        <w:t>rôle</w:t>
      </w:r>
      <w:r w:rsidR="00D24DC1" w:rsidRPr="009C2953">
        <w:t xml:space="preserve"> des </w:t>
      </w:r>
      <w:r w:rsidR="00607B78" w:rsidRPr="009C2953">
        <w:t>peuples autochtones et</w:t>
      </w:r>
      <w:r w:rsidR="00D24DC1" w:rsidRPr="009C2953">
        <w:t xml:space="preserve"> des </w:t>
      </w:r>
      <w:r w:rsidR="00607B78" w:rsidRPr="009C2953">
        <w:t>communautés locales.</w:t>
      </w:r>
      <w:r w:rsidR="00607B78" w:rsidRPr="009C2953">
        <w:rPr>
          <w:color w:val="000000"/>
        </w:rPr>
        <w:t xml:space="preserve"> Ce chapitre étudiera également</w:t>
      </w:r>
      <w:r w:rsidR="00F34644" w:rsidRPr="009C2953">
        <w:rPr>
          <w:color w:val="000000"/>
        </w:rPr>
        <w:t xml:space="preserve"> le </w:t>
      </w:r>
      <w:r w:rsidR="00607B78" w:rsidRPr="009C2953">
        <w:rPr>
          <w:color w:val="000000"/>
        </w:rPr>
        <w:t>rôle de</w:t>
      </w:r>
      <w:r w:rsidR="007B4C2D" w:rsidRPr="009C2953">
        <w:rPr>
          <w:color w:val="000000"/>
        </w:rPr>
        <w:t> </w:t>
      </w:r>
      <w:r w:rsidR="00F34644" w:rsidRPr="009C2953">
        <w:rPr>
          <w:color w:val="000000"/>
        </w:rPr>
        <w:t>la </w:t>
      </w:r>
      <w:r w:rsidR="00607B78" w:rsidRPr="009C2953">
        <w:rPr>
          <w:color w:val="000000"/>
        </w:rPr>
        <w:t>gestion adaptative dans</w:t>
      </w:r>
      <w:r w:rsidR="00F34644" w:rsidRPr="009C2953">
        <w:rPr>
          <w:color w:val="000000"/>
        </w:rPr>
        <w:t xml:space="preserve"> la </w:t>
      </w:r>
      <w:r w:rsidR="00607B78" w:rsidRPr="009C2953">
        <w:rPr>
          <w:color w:val="000000"/>
        </w:rPr>
        <w:t>gestion de</w:t>
      </w:r>
      <w:r w:rsidR="00F34644" w:rsidRPr="009C2953">
        <w:rPr>
          <w:color w:val="000000"/>
        </w:rPr>
        <w:t xml:space="preserve"> la </w:t>
      </w:r>
      <w:r w:rsidR="00607B78" w:rsidRPr="009C2953">
        <w:rPr>
          <w:color w:val="000000"/>
        </w:rPr>
        <w:t>biodiversité au fil du temps.</w:t>
      </w:r>
      <w:r w:rsidR="00F34644" w:rsidRPr="009C2953">
        <w:rPr>
          <w:color w:val="000000"/>
        </w:rPr>
        <w:t xml:space="preserve"> Les </w:t>
      </w:r>
      <w:r w:rsidR="00607B78" w:rsidRPr="009C2953">
        <w:rPr>
          <w:color w:val="000000"/>
        </w:rPr>
        <w:t>analyses se concentreront sur</w:t>
      </w:r>
      <w:r w:rsidR="00F34644" w:rsidRPr="009C2953">
        <w:rPr>
          <w:color w:val="000000"/>
        </w:rPr>
        <w:t xml:space="preserve"> la </w:t>
      </w:r>
      <w:r w:rsidR="00607B78" w:rsidRPr="009C2953">
        <w:rPr>
          <w:color w:val="000000"/>
        </w:rPr>
        <w:t>planification et</w:t>
      </w:r>
      <w:r w:rsidR="00F34644" w:rsidRPr="009C2953">
        <w:rPr>
          <w:color w:val="000000"/>
        </w:rPr>
        <w:t xml:space="preserve"> les </w:t>
      </w:r>
      <w:r w:rsidR="00607B78" w:rsidRPr="009C2953">
        <w:rPr>
          <w:color w:val="000000"/>
        </w:rPr>
        <w:t>décisions en matière de conservation, de restauration et de</w:t>
      </w:r>
      <w:r w:rsidR="007B4C2D" w:rsidRPr="009C2953">
        <w:rPr>
          <w:color w:val="000000"/>
        </w:rPr>
        <w:t xml:space="preserve"> </w:t>
      </w:r>
      <w:r w:rsidR="00607B78" w:rsidRPr="009C2953">
        <w:rPr>
          <w:color w:val="000000"/>
        </w:rPr>
        <w:t>gestion</w:t>
      </w:r>
      <w:r w:rsidR="00D24DC1" w:rsidRPr="009C2953">
        <w:rPr>
          <w:color w:val="000000"/>
        </w:rPr>
        <w:t xml:space="preserve"> des </w:t>
      </w:r>
      <w:r w:rsidR="00607B78" w:rsidRPr="009C2953">
        <w:rPr>
          <w:color w:val="000000"/>
        </w:rPr>
        <w:t>ressources qui intègrent</w:t>
      </w:r>
      <w:r w:rsidR="00F34644" w:rsidRPr="009C2953">
        <w:rPr>
          <w:color w:val="000000"/>
        </w:rPr>
        <w:t xml:space="preserve"> la </w:t>
      </w:r>
      <w:r w:rsidR="00607B78" w:rsidRPr="009C2953">
        <w:rPr>
          <w:color w:val="000000"/>
        </w:rPr>
        <w:t>gestion</w:t>
      </w:r>
      <w:r w:rsidR="00D24DC1" w:rsidRPr="009C2953">
        <w:rPr>
          <w:color w:val="000000"/>
        </w:rPr>
        <w:t xml:space="preserve"> des </w:t>
      </w:r>
      <w:r w:rsidR="00607B78" w:rsidRPr="009C2953">
        <w:rPr>
          <w:color w:val="000000"/>
        </w:rPr>
        <w:t>risques,</w:t>
      </w:r>
      <w:r w:rsidR="00D24DC1" w:rsidRPr="009C2953">
        <w:rPr>
          <w:color w:val="000000"/>
        </w:rPr>
        <w:t xml:space="preserve"> des </w:t>
      </w:r>
      <w:r w:rsidR="00607B78" w:rsidRPr="009C2953">
        <w:rPr>
          <w:color w:val="000000"/>
        </w:rPr>
        <w:t>méthodes et</w:t>
      </w:r>
      <w:r w:rsidR="00D24DC1" w:rsidRPr="009C2953">
        <w:rPr>
          <w:color w:val="000000"/>
        </w:rPr>
        <w:t xml:space="preserve"> des </w:t>
      </w:r>
      <w:r w:rsidR="00607B78" w:rsidRPr="009C2953">
        <w:rPr>
          <w:color w:val="000000"/>
        </w:rPr>
        <w:t>outils appropriés pour</w:t>
      </w:r>
      <w:r w:rsidR="007B4C2D" w:rsidRPr="009C2953">
        <w:rPr>
          <w:color w:val="000000"/>
        </w:rPr>
        <w:t> </w:t>
      </w:r>
      <w:r w:rsidR="00607B78" w:rsidRPr="009C2953">
        <w:rPr>
          <w:color w:val="000000"/>
        </w:rPr>
        <w:t>prendre en compte</w:t>
      </w:r>
      <w:r w:rsidR="00F34644" w:rsidRPr="009C2953">
        <w:rPr>
          <w:color w:val="000000"/>
        </w:rPr>
        <w:t xml:space="preserve"> les </w:t>
      </w:r>
      <w:r w:rsidR="00607B78" w:rsidRPr="009C2953">
        <w:rPr>
          <w:color w:val="000000"/>
        </w:rPr>
        <w:t>conditions climatiques futures potentielles et</w:t>
      </w:r>
      <w:r w:rsidR="00F34644" w:rsidRPr="009C2953">
        <w:rPr>
          <w:color w:val="000000"/>
        </w:rPr>
        <w:t xml:space="preserve"> les </w:t>
      </w:r>
      <w:r w:rsidR="00607B78" w:rsidRPr="009C2953">
        <w:rPr>
          <w:color w:val="000000"/>
        </w:rPr>
        <w:t>coûts d</w:t>
      </w:r>
      <w:r w:rsidR="00EA2966" w:rsidRPr="009C2953">
        <w:rPr>
          <w:color w:val="000000"/>
        </w:rPr>
        <w:t>’</w:t>
      </w:r>
      <w:r w:rsidR="00607B78" w:rsidRPr="009C2953">
        <w:rPr>
          <w:color w:val="000000"/>
        </w:rPr>
        <w:t>adaptation, et</w:t>
      </w:r>
      <w:r w:rsidR="007B4C2D" w:rsidRPr="009C2953">
        <w:rPr>
          <w:color w:val="000000"/>
        </w:rPr>
        <w:t> </w:t>
      </w:r>
      <w:r w:rsidR="00607B78" w:rsidRPr="009C2953">
        <w:rPr>
          <w:color w:val="000000"/>
        </w:rPr>
        <w:t>qui</w:t>
      </w:r>
      <w:r w:rsidR="007B4C2D" w:rsidRPr="009C2953">
        <w:rPr>
          <w:color w:val="000000"/>
        </w:rPr>
        <w:t> </w:t>
      </w:r>
      <w:r w:rsidR="00607B78" w:rsidRPr="009C2953">
        <w:rPr>
          <w:color w:val="000000"/>
        </w:rPr>
        <w:t>donnent</w:t>
      </w:r>
      <w:r w:rsidR="00F34644" w:rsidRPr="009C2953">
        <w:rPr>
          <w:color w:val="000000"/>
        </w:rPr>
        <w:t xml:space="preserve"> la </w:t>
      </w:r>
      <w:r w:rsidR="00607B78" w:rsidRPr="009C2953">
        <w:rPr>
          <w:color w:val="000000"/>
        </w:rPr>
        <w:t>priorité</w:t>
      </w:r>
      <w:r w:rsidR="00F34644" w:rsidRPr="009C2953">
        <w:rPr>
          <w:color w:val="000000"/>
        </w:rPr>
        <w:t xml:space="preserve"> aux </w:t>
      </w:r>
      <w:r w:rsidR="00607B78" w:rsidRPr="009C2953">
        <w:rPr>
          <w:color w:val="000000"/>
        </w:rPr>
        <w:t>options visant à réduire</w:t>
      </w:r>
      <w:r w:rsidR="00F34644" w:rsidRPr="009C2953">
        <w:rPr>
          <w:color w:val="000000"/>
        </w:rPr>
        <w:t xml:space="preserve"> la </w:t>
      </w:r>
      <w:r w:rsidR="00607B78" w:rsidRPr="009C2953">
        <w:rPr>
          <w:color w:val="000000"/>
        </w:rPr>
        <w:t>vulnérabilité</w:t>
      </w:r>
      <w:r w:rsidR="00F34644" w:rsidRPr="009C2953">
        <w:rPr>
          <w:color w:val="000000"/>
        </w:rPr>
        <w:t xml:space="preserve"> aux </w:t>
      </w:r>
      <w:r w:rsidR="00607B78" w:rsidRPr="009C2953">
        <w:rPr>
          <w:color w:val="000000"/>
        </w:rPr>
        <w:t>impacts environnementaux, sociaux et économiques</w:t>
      </w:r>
      <w:r w:rsidR="00D24DC1" w:rsidRPr="009C2953">
        <w:rPr>
          <w:color w:val="000000"/>
        </w:rPr>
        <w:t xml:space="preserve"> des </w:t>
      </w:r>
      <w:r w:rsidR="00607B78" w:rsidRPr="009C2953">
        <w:rPr>
          <w:color w:val="000000"/>
        </w:rPr>
        <w:t>différents facteurs de changement. Ce chapitre examinera également</w:t>
      </w:r>
      <w:r w:rsidR="00F34644" w:rsidRPr="009C2953">
        <w:rPr>
          <w:color w:val="000000"/>
        </w:rPr>
        <w:t xml:space="preserve"> les </w:t>
      </w:r>
      <w:r w:rsidR="00607B78" w:rsidRPr="009C2953">
        <w:rPr>
          <w:color w:val="000000"/>
        </w:rPr>
        <w:t>instruments réglementaires et financiers qui soutiennent</w:t>
      </w:r>
      <w:r w:rsidR="00F34644" w:rsidRPr="009C2953">
        <w:rPr>
          <w:color w:val="000000"/>
        </w:rPr>
        <w:t xml:space="preserve"> la </w:t>
      </w:r>
      <w:r w:rsidR="00607B78" w:rsidRPr="009C2953">
        <w:rPr>
          <w:color w:val="000000"/>
        </w:rPr>
        <w:t>planification et</w:t>
      </w:r>
      <w:r w:rsidR="00F34644" w:rsidRPr="009C2953">
        <w:rPr>
          <w:color w:val="000000"/>
        </w:rPr>
        <w:t xml:space="preserve"> la </w:t>
      </w:r>
      <w:r w:rsidR="00607B78" w:rsidRPr="009C2953">
        <w:rPr>
          <w:color w:val="000000"/>
        </w:rPr>
        <w:t>mise en œuvre de politiques et d</w:t>
      </w:r>
      <w:r w:rsidR="00EA2966" w:rsidRPr="009C2953">
        <w:rPr>
          <w:color w:val="000000"/>
        </w:rPr>
        <w:t>’</w:t>
      </w:r>
      <w:r w:rsidR="00607B78" w:rsidRPr="009C2953">
        <w:rPr>
          <w:color w:val="000000"/>
        </w:rPr>
        <w:t>actions qui créent</w:t>
      </w:r>
      <w:r w:rsidR="00F34644" w:rsidRPr="009C2953">
        <w:rPr>
          <w:color w:val="000000"/>
        </w:rPr>
        <w:t xml:space="preserve"> un </w:t>
      </w:r>
      <w:r w:rsidR="00607B78" w:rsidRPr="009C2953">
        <w:rPr>
          <w:color w:val="000000"/>
        </w:rPr>
        <w:t xml:space="preserve">environnement favorable. </w:t>
      </w:r>
      <w:r w:rsidR="00607B78" w:rsidRPr="009C2953">
        <w:t>Ce chapitre recensera et évaluera</w:t>
      </w:r>
      <w:r w:rsidR="00F34644" w:rsidRPr="009C2953">
        <w:t xml:space="preserve"> les </w:t>
      </w:r>
      <w:r w:rsidR="00607B78" w:rsidRPr="009C2953">
        <w:t>capacités existantes ainsi que</w:t>
      </w:r>
      <w:r w:rsidR="00F34644" w:rsidRPr="009C2953">
        <w:t xml:space="preserve"> les </w:t>
      </w:r>
      <w:r w:rsidR="00607B78" w:rsidRPr="009C2953">
        <w:t>lacunes et</w:t>
      </w:r>
      <w:r w:rsidR="00F34644" w:rsidRPr="009C2953">
        <w:t xml:space="preserve"> les </w:t>
      </w:r>
      <w:r w:rsidR="00607B78" w:rsidRPr="009C2953">
        <w:t>contraintes financières et technologiques qui entravent</w:t>
      </w:r>
      <w:r w:rsidR="00F34644" w:rsidRPr="009C2953">
        <w:t xml:space="preserve"> la </w:t>
      </w:r>
      <w:r w:rsidR="00607B78" w:rsidRPr="009C2953">
        <w:t>mise en</w:t>
      </w:r>
      <w:r w:rsidR="00346001" w:rsidRPr="009C2953">
        <w:t> </w:t>
      </w:r>
      <w:r w:rsidR="00607B78" w:rsidRPr="009C2953">
        <w:t>œuvre</w:t>
      </w:r>
      <w:r w:rsidR="00D24DC1" w:rsidRPr="009C2953">
        <w:t xml:space="preserve"> des </w:t>
      </w:r>
      <w:r w:rsidR="00607B78" w:rsidRPr="009C2953">
        <w:t>interventions en matière d</w:t>
      </w:r>
      <w:r w:rsidR="00EA2966" w:rsidRPr="009C2953">
        <w:t>’</w:t>
      </w:r>
      <w:r w:rsidR="00607B78" w:rsidRPr="009C2953">
        <w:t>aménagement du territoire et de connectivité écologique,</w:t>
      </w:r>
      <w:r w:rsidR="00F34644" w:rsidRPr="009C2953">
        <w:t xml:space="preserve"> y </w:t>
      </w:r>
      <w:r w:rsidR="00607B78" w:rsidRPr="009C2953">
        <w:t>compris</w:t>
      </w:r>
      <w:r w:rsidR="00F34644" w:rsidRPr="009C2953">
        <w:t xml:space="preserve"> les </w:t>
      </w:r>
      <w:r w:rsidR="00607B78" w:rsidRPr="009C2953">
        <w:t>défis</w:t>
      </w:r>
      <w:r w:rsidR="00D24DC1" w:rsidRPr="009C2953">
        <w:t xml:space="preserve"> des </w:t>
      </w:r>
      <w:r w:rsidR="00607B78" w:rsidRPr="009C2953">
        <w:t>pays en développement, et il définira</w:t>
      </w:r>
      <w:r w:rsidR="00F34644" w:rsidRPr="009C2953">
        <w:t xml:space="preserve"> les </w:t>
      </w:r>
      <w:r w:rsidR="00607B78" w:rsidRPr="009C2953">
        <w:t>outils et</w:t>
      </w:r>
      <w:r w:rsidR="00F34644" w:rsidRPr="009C2953">
        <w:t xml:space="preserve"> les </w:t>
      </w:r>
      <w:r w:rsidR="00607B78" w:rsidRPr="009C2953">
        <w:t>voies à suivre pour remédier à ces carences.</w:t>
      </w:r>
    </w:p>
    <w:p w14:paraId="27F2CE6F" w14:textId="72767CE9" w:rsidR="00607B78" w:rsidRPr="009C2953" w:rsidRDefault="00607B78" w:rsidP="00607B78">
      <w:pPr>
        <w:pStyle w:val="CH1"/>
      </w:pPr>
      <w:r w:rsidRPr="009C2953">
        <w:tab/>
        <w:t>III.</w:t>
      </w:r>
      <w:r w:rsidRPr="009C2953">
        <w:tab/>
        <w:t>Calendrier</w:t>
      </w:r>
    </w:p>
    <w:tbl>
      <w:tblPr>
        <w:tblW w:w="8310" w:type="dxa"/>
        <w:jc w:val="right"/>
        <w:tblBorders>
          <w:insideH w:val="nil"/>
          <w:insideV w:val="nil"/>
        </w:tblBorders>
        <w:tblLayout w:type="fixed"/>
        <w:tblLook w:val="0400" w:firstRow="0" w:lastRow="0" w:firstColumn="0" w:lastColumn="0" w:noHBand="0" w:noVBand="1"/>
      </w:tblPr>
      <w:tblGrid>
        <w:gridCol w:w="1660"/>
        <w:gridCol w:w="6650"/>
      </w:tblGrid>
      <w:tr w:rsidR="00607B78" w:rsidRPr="009C2953" w14:paraId="79B35A0E" w14:textId="77777777" w:rsidTr="00A068F8">
        <w:trPr>
          <w:trHeight w:val="57"/>
          <w:tblHeader/>
          <w:jc w:val="right"/>
        </w:trPr>
        <w:tc>
          <w:tcPr>
            <w:tcW w:w="1660" w:type="dxa"/>
            <w:tcBorders>
              <w:top w:val="single" w:sz="4" w:space="0" w:color="000000"/>
              <w:left w:val="nil"/>
              <w:bottom w:val="single" w:sz="12" w:space="0" w:color="000000"/>
              <w:right w:val="nil"/>
            </w:tcBorders>
            <w:hideMark/>
          </w:tcPr>
          <w:p w14:paraId="28E63ED5" w14:textId="77777777" w:rsidR="00607B78" w:rsidRPr="009C2953" w:rsidRDefault="00607B78" w:rsidP="00A068F8">
            <w:pPr>
              <w:pStyle w:val="Normal-pool"/>
              <w:spacing w:before="40" w:after="40"/>
              <w:rPr>
                <w:i/>
                <w:iCs/>
                <w:sz w:val="18"/>
                <w:szCs w:val="18"/>
              </w:rPr>
            </w:pPr>
            <w:r w:rsidRPr="009C2953">
              <w:rPr>
                <w:i/>
                <w:sz w:val="18"/>
              </w:rPr>
              <w:t>Date</w:t>
            </w:r>
          </w:p>
        </w:tc>
        <w:tc>
          <w:tcPr>
            <w:tcW w:w="6650" w:type="dxa"/>
            <w:tcBorders>
              <w:top w:val="single" w:sz="4" w:space="0" w:color="000000"/>
              <w:left w:val="nil"/>
              <w:bottom w:val="single" w:sz="12" w:space="0" w:color="000000"/>
              <w:right w:val="nil"/>
            </w:tcBorders>
            <w:hideMark/>
          </w:tcPr>
          <w:p w14:paraId="2405484C" w14:textId="77777777" w:rsidR="00607B78" w:rsidRPr="009C2953" w:rsidRDefault="00607B78" w:rsidP="00A068F8">
            <w:pPr>
              <w:pStyle w:val="Normal-pool"/>
              <w:spacing w:before="40" w:after="40"/>
              <w:rPr>
                <w:i/>
                <w:iCs/>
                <w:sz w:val="18"/>
                <w:szCs w:val="18"/>
              </w:rPr>
            </w:pPr>
            <w:r w:rsidRPr="009C2953">
              <w:rPr>
                <w:i/>
                <w:sz w:val="18"/>
              </w:rPr>
              <w:t>Actions et dispositions institutionnelles</w:t>
            </w:r>
          </w:p>
        </w:tc>
      </w:tr>
      <w:tr w:rsidR="00607B78" w:rsidRPr="009C2953" w14:paraId="4B933BEF" w14:textId="77777777" w:rsidTr="00A068F8">
        <w:trPr>
          <w:trHeight w:val="57"/>
          <w:jc w:val="right"/>
        </w:trPr>
        <w:tc>
          <w:tcPr>
            <w:tcW w:w="8310" w:type="dxa"/>
            <w:gridSpan w:val="2"/>
            <w:tcBorders>
              <w:top w:val="single" w:sz="4" w:space="0" w:color="000000"/>
              <w:left w:val="nil"/>
              <w:bottom w:val="single" w:sz="4" w:space="0" w:color="000000"/>
              <w:right w:val="nil"/>
            </w:tcBorders>
            <w:hideMark/>
          </w:tcPr>
          <w:p w14:paraId="7092D21B" w14:textId="77777777" w:rsidR="00607B78" w:rsidRPr="009C2953" w:rsidRDefault="00607B78" w:rsidP="00A068F8">
            <w:pPr>
              <w:pStyle w:val="Normal-pool"/>
              <w:spacing w:before="40" w:after="40"/>
              <w:rPr>
                <w:sz w:val="18"/>
                <w:szCs w:val="18"/>
              </w:rPr>
            </w:pPr>
            <w:r w:rsidRPr="009C2953">
              <w:rPr>
                <w:b/>
                <w:sz w:val="18"/>
              </w:rPr>
              <w:t>2024</w:t>
            </w:r>
          </w:p>
        </w:tc>
      </w:tr>
      <w:tr w:rsidR="00607B78" w:rsidRPr="009C2953" w14:paraId="6642A4FC" w14:textId="77777777" w:rsidTr="00A068F8">
        <w:trPr>
          <w:trHeight w:val="57"/>
          <w:jc w:val="right"/>
        </w:trPr>
        <w:tc>
          <w:tcPr>
            <w:tcW w:w="1660" w:type="dxa"/>
            <w:tcBorders>
              <w:top w:val="single" w:sz="4" w:space="0" w:color="000000"/>
              <w:left w:val="nil"/>
              <w:bottom w:val="single" w:sz="4" w:space="0" w:color="000000"/>
              <w:right w:val="nil"/>
            </w:tcBorders>
            <w:hideMark/>
          </w:tcPr>
          <w:p w14:paraId="6A6F2FD7" w14:textId="2839A39F" w:rsidR="00607B78" w:rsidRPr="009C2953" w:rsidRDefault="00607B78" w:rsidP="00A068F8">
            <w:pPr>
              <w:pStyle w:val="Normal-pool"/>
              <w:spacing w:before="40" w:after="40"/>
              <w:rPr>
                <w:sz w:val="18"/>
                <w:szCs w:val="18"/>
              </w:rPr>
            </w:pPr>
            <w:r w:rsidRPr="009C2953">
              <w:rPr>
                <w:sz w:val="18"/>
              </w:rPr>
              <w:t xml:space="preserve">Troisième </w:t>
            </w:r>
            <w:r w:rsidR="000D47E2" w:rsidRPr="009C2953">
              <w:rPr>
                <w:sz w:val="18"/>
              </w:rPr>
              <w:br/>
            </w:r>
            <w:r w:rsidRPr="009C2953">
              <w:rPr>
                <w:sz w:val="18"/>
              </w:rPr>
              <w:t>trimestre</w:t>
            </w:r>
          </w:p>
        </w:tc>
        <w:tc>
          <w:tcPr>
            <w:tcW w:w="6650" w:type="dxa"/>
            <w:tcBorders>
              <w:top w:val="single" w:sz="4" w:space="0" w:color="000000"/>
              <w:left w:val="nil"/>
              <w:bottom w:val="single" w:sz="4" w:space="0" w:color="000000"/>
              <w:right w:val="nil"/>
            </w:tcBorders>
            <w:hideMark/>
          </w:tcPr>
          <w:p w14:paraId="468B3A26" w14:textId="139A528E" w:rsidR="00607B78" w:rsidRPr="009C2953" w:rsidRDefault="00607B78" w:rsidP="00A068F8">
            <w:pPr>
              <w:pStyle w:val="Normal-pool"/>
              <w:spacing w:before="40" w:after="40"/>
              <w:rPr>
                <w:strike/>
                <w:sz w:val="18"/>
                <w:szCs w:val="18"/>
              </w:rPr>
            </w:pPr>
            <w:r w:rsidRPr="009C2953">
              <w:rPr>
                <w:sz w:val="18"/>
              </w:rPr>
              <w:t>Le Groupe d</w:t>
            </w:r>
            <w:r w:rsidR="00EA2966" w:rsidRPr="009C2953">
              <w:rPr>
                <w:sz w:val="18"/>
              </w:rPr>
              <w:t>’</w:t>
            </w:r>
            <w:r w:rsidRPr="009C2953">
              <w:rPr>
                <w:sz w:val="18"/>
              </w:rPr>
              <w:t>experts multidisciplinaire, par l</w:t>
            </w:r>
            <w:r w:rsidR="00EA2966" w:rsidRPr="009C2953">
              <w:rPr>
                <w:sz w:val="18"/>
              </w:rPr>
              <w:t>’</w:t>
            </w:r>
            <w:r w:rsidRPr="009C2953">
              <w:rPr>
                <w:sz w:val="18"/>
              </w:rPr>
              <w:t>intermédiaire du secrétariat, demande</w:t>
            </w:r>
            <w:r w:rsidR="00F34644" w:rsidRPr="009C2953">
              <w:rPr>
                <w:sz w:val="18"/>
              </w:rPr>
              <w:t xml:space="preserve"> aux </w:t>
            </w:r>
            <w:r w:rsidRPr="009C2953">
              <w:rPr>
                <w:sz w:val="18"/>
              </w:rPr>
              <w:t>gouvernements et autres parties prenantes de proposer</w:t>
            </w:r>
            <w:r w:rsidR="00D24DC1" w:rsidRPr="009C2953">
              <w:rPr>
                <w:sz w:val="18"/>
              </w:rPr>
              <w:t xml:space="preserve"> des </w:t>
            </w:r>
            <w:r w:rsidRPr="009C2953">
              <w:rPr>
                <w:sz w:val="18"/>
              </w:rPr>
              <w:t>candidatures d</w:t>
            </w:r>
            <w:r w:rsidR="00EA2966" w:rsidRPr="009C2953">
              <w:rPr>
                <w:sz w:val="18"/>
              </w:rPr>
              <w:t>’</w:t>
            </w:r>
            <w:r w:rsidRPr="009C2953">
              <w:rPr>
                <w:sz w:val="18"/>
              </w:rPr>
              <w:t>expert(e)s.</w:t>
            </w:r>
          </w:p>
        </w:tc>
      </w:tr>
      <w:tr w:rsidR="00607B78" w:rsidRPr="009C2953" w14:paraId="5C94ADB5" w14:textId="77777777" w:rsidTr="00A068F8">
        <w:trPr>
          <w:trHeight w:val="57"/>
          <w:jc w:val="right"/>
        </w:trPr>
        <w:tc>
          <w:tcPr>
            <w:tcW w:w="8310" w:type="dxa"/>
            <w:gridSpan w:val="2"/>
            <w:tcBorders>
              <w:top w:val="single" w:sz="4" w:space="0" w:color="000000"/>
              <w:left w:val="nil"/>
              <w:bottom w:val="single" w:sz="4" w:space="0" w:color="000000"/>
              <w:right w:val="nil"/>
            </w:tcBorders>
            <w:hideMark/>
          </w:tcPr>
          <w:p w14:paraId="25C047F1" w14:textId="77777777" w:rsidR="00607B78" w:rsidRPr="009C2953" w:rsidRDefault="00607B78" w:rsidP="00A068F8">
            <w:pPr>
              <w:pStyle w:val="Normal-pool"/>
              <w:spacing w:before="40" w:after="40"/>
              <w:rPr>
                <w:b/>
                <w:sz w:val="18"/>
                <w:szCs w:val="18"/>
              </w:rPr>
            </w:pPr>
            <w:r w:rsidRPr="009C2953">
              <w:rPr>
                <w:b/>
                <w:sz w:val="18"/>
              </w:rPr>
              <w:t>2025</w:t>
            </w:r>
          </w:p>
        </w:tc>
      </w:tr>
      <w:tr w:rsidR="00607B78" w:rsidRPr="009C2953" w14:paraId="3718AF97" w14:textId="77777777" w:rsidTr="00A068F8">
        <w:trPr>
          <w:trHeight w:val="57"/>
          <w:jc w:val="right"/>
        </w:trPr>
        <w:tc>
          <w:tcPr>
            <w:tcW w:w="1660" w:type="dxa"/>
            <w:tcBorders>
              <w:top w:val="single" w:sz="4" w:space="0" w:color="000000"/>
              <w:left w:val="nil"/>
              <w:bottom w:val="nil"/>
              <w:right w:val="nil"/>
            </w:tcBorders>
            <w:hideMark/>
          </w:tcPr>
          <w:p w14:paraId="4ED8EBB1" w14:textId="29E78DD9" w:rsidR="00607B78" w:rsidRPr="009C2953" w:rsidRDefault="00607B78" w:rsidP="00A068F8">
            <w:pPr>
              <w:pStyle w:val="Normal-pool"/>
              <w:spacing w:before="40" w:after="40"/>
              <w:rPr>
                <w:sz w:val="18"/>
                <w:szCs w:val="18"/>
              </w:rPr>
            </w:pPr>
            <w:r w:rsidRPr="009C2953">
              <w:rPr>
                <w:sz w:val="18"/>
              </w:rPr>
              <w:t xml:space="preserve">Premier </w:t>
            </w:r>
            <w:r w:rsidR="000D47E2" w:rsidRPr="009C2953">
              <w:rPr>
                <w:sz w:val="18"/>
              </w:rPr>
              <w:br/>
            </w:r>
            <w:r w:rsidRPr="009C2953">
              <w:rPr>
                <w:sz w:val="18"/>
              </w:rPr>
              <w:t>trimestre</w:t>
            </w:r>
          </w:p>
        </w:tc>
        <w:tc>
          <w:tcPr>
            <w:tcW w:w="6650" w:type="dxa"/>
            <w:tcBorders>
              <w:top w:val="single" w:sz="4" w:space="0" w:color="000000"/>
              <w:left w:val="nil"/>
              <w:bottom w:val="nil"/>
              <w:right w:val="nil"/>
            </w:tcBorders>
            <w:hideMark/>
          </w:tcPr>
          <w:p w14:paraId="72D6D790" w14:textId="4EC8DE21" w:rsidR="00607B78" w:rsidRPr="009C2953" w:rsidRDefault="00607B78" w:rsidP="00A068F8">
            <w:pPr>
              <w:pStyle w:val="Normal-pool"/>
              <w:spacing w:before="40" w:after="40"/>
              <w:rPr>
                <w:sz w:val="18"/>
                <w:szCs w:val="18"/>
              </w:rPr>
            </w:pPr>
            <w:r w:rsidRPr="009C2953">
              <w:rPr>
                <w:sz w:val="18"/>
              </w:rPr>
              <w:t>Le Groupe d</w:t>
            </w:r>
            <w:r w:rsidR="00EA2966" w:rsidRPr="009C2953">
              <w:rPr>
                <w:sz w:val="18"/>
              </w:rPr>
              <w:t>’</w:t>
            </w:r>
            <w:r w:rsidRPr="009C2953">
              <w:rPr>
                <w:sz w:val="18"/>
              </w:rPr>
              <w:t>experts multidisciplinaire désigne</w:t>
            </w:r>
            <w:r w:rsidR="00F34644" w:rsidRPr="009C2953">
              <w:rPr>
                <w:sz w:val="18"/>
              </w:rPr>
              <w:t xml:space="preserve"> les </w:t>
            </w:r>
            <w:r w:rsidRPr="009C2953">
              <w:rPr>
                <w:sz w:val="18"/>
              </w:rPr>
              <w:t>coprésident(e)s,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de l</w:t>
            </w:r>
            <w:r w:rsidR="00EA2966" w:rsidRPr="009C2953">
              <w:rPr>
                <w:sz w:val="18"/>
              </w:rPr>
              <w:t>’</w:t>
            </w:r>
            <w:r w:rsidRPr="009C2953">
              <w:rPr>
                <w:sz w:val="18"/>
              </w:rPr>
              <w:t>évaluation, conformément</w:t>
            </w:r>
            <w:r w:rsidR="00F34644" w:rsidRPr="009C2953">
              <w:rPr>
                <w:sz w:val="18"/>
              </w:rPr>
              <w:t xml:space="preserve"> aux </w:t>
            </w:r>
            <w:r w:rsidRPr="009C2953">
              <w:rPr>
                <w:sz w:val="18"/>
              </w:rPr>
              <w:t>procédures d</w:t>
            </w:r>
            <w:r w:rsidR="00EA2966" w:rsidRPr="009C2953">
              <w:rPr>
                <w:sz w:val="18"/>
              </w:rPr>
              <w:t>’</w:t>
            </w:r>
            <w:r w:rsidRPr="009C2953">
              <w:rPr>
                <w:sz w:val="18"/>
              </w:rPr>
              <w:t>établissement</w:t>
            </w:r>
            <w:r w:rsidR="00D24DC1" w:rsidRPr="009C2953">
              <w:rPr>
                <w:sz w:val="18"/>
              </w:rPr>
              <w:t xml:space="preserve"> des </w:t>
            </w:r>
            <w:r w:rsidRPr="009C2953">
              <w:rPr>
                <w:sz w:val="18"/>
              </w:rPr>
              <w:t>produits de</w:t>
            </w:r>
            <w:r w:rsidR="00F34644" w:rsidRPr="009C2953">
              <w:rPr>
                <w:sz w:val="18"/>
              </w:rPr>
              <w:t xml:space="preserve"> la </w:t>
            </w:r>
            <w:r w:rsidRPr="009C2953">
              <w:rPr>
                <w:sz w:val="18"/>
              </w:rPr>
              <w:t>Plateforme, notamment en mettant en œuvre</w:t>
            </w:r>
            <w:r w:rsidR="00F34644" w:rsidRPr="009C2953">
              <w:rPr>
                <w:sz w:val="18"/>
              </w:rPr>
              <w:t xml:space="preserve"> la </w:t>
            </w:r>
            <w:r w:rsidRPr="009C2953">
              <w:rPr>
                <w:sz w:val="18"/>
              </w:rPr>
              <w:t>procédure prévue pour combler</w:t>
            </w:r>
            <w:r w:rsidR="00F34644" w:rsidRPr="009C2953">
              <w:rPr>
                <w:sz w:val="18"/>
              </w:rPr>
              <w:t xml:space="preserve"> les </w:t>
            </w:r>
            <w:r w:rsidRPr="009C2953">
              <w:rPr>
                <w:sz w:val="18"/>
              </w:rPr>
              <w:t>lacunes en matière de connaissances spécialisées.</w:t>
            </w:r>
          </w:p>
        </w:tc>
      </w:tr>
      <w:tr w:rsidR="00607B78" w:rsidRPr="009C2953" w14:paraId="0FE01962" w14:textId="77777777" w:rsidTr="00A068F8">
        <w:trPr>
          <w:trHeight w:val="57"/>
          <w:jc w:val="right"/>
        </w:trPr>
        <w:tc>
          <w:tcPr>
            <w:tcW w:w="1660" w:type="dxa"/>
            <w:tcBorders>
              <w:top w:val="nil"/>
              <w:left w:val="nil"/>
              <w:bottom w:val="single" w:sz="4" w:space="0" w:color="000000"/>
              <w:right w:val="nil"/>
            </w:tcBorders>
            <w:hideMark/>
          </w:tcPr>
          <w:p w14:paraId="49150C7F" w14:textId="1C2DA8AC" w:rsidR="00607B78" w:rsidRPr="009C2953" w:rsidRDefault="00607B78" w:rsidP="00A068F8">
            <w:pPr>
              <w:pStyle w:val="Normal-pool"/>
              <w:spacing w:before="40" w:after="40"/>
              <w:rPr>
                <w:sz w:val="18"/>
                <w:szCs w:val="18"/>
              </w:rPr>
            </w:pPr>
            <w:r w:rsidRPr="009C2953">
              <w:rPr>
                <w:sz w:val="18"/>
              </w:rPr>
              <w:t xml:space="preserve">Troisième </w:t>
            </w:r>
            <w:r w:rsidR="000D47E2" w:rsidRPr="009C2953">
              <w:rPr>
                <w:sz w:val="18"/>
              </w:rPr>
              <w:br/>
            </w:r>
            <w:r w:rsidRPr="009C2953">
              <w:rPr>
                <w:sz w:val="18"/>
              </w:rPr>
              <w:t>trimestre</w:t>
            </w:r>
          </w:p>
        </w:tc>
        <w:tc>
          <w:tcPr>
            <w:tcW w:w="6650" w:type="dxa"/>
            <w:tcBorders>
              <w:top w:val="nil"/>
              <w:left w:val="nil"/>
              <w:bottom w:val="single" w:sz="4" w:space="0" w:color="000000"/>
              <w:right w:val="nil"/>
            </w:tcBorders>
            <w:hideMark/>
          </w:tcPr>
          <w:p w14:paraId="478D3968" w14:textId="6837096C" w:rsidR="00607B78" w:rsidRPr="009C2953" w:rsidRDefault="00607B78" w:rsidP="00A068F8">
            <w:pPr>
              <w:pStyle w:val="Normal-pool"/>
              <w:spacing w:before="40" w:after="40"/>
              <w:rPr>
                <w:sz w:val="18"/>
                <w:szCs w:val="18"/>
              </w:rPr>
            </w:pPr>
            <w:r w:rsidRPr="009C2953">
              <w:rPr>
                <w:sz w:val="18"/>
              </w:rPr>
              <w:t>Première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w:t>
            </w:r>
            <w:r w:rsidR="00E1113F" w:rsidRPr="009C2953">
              <w:rPr>
                <w:sz w:val="18"/>
              </w:rPr>
              <w:t> </w:t>
            </w:r>
            <w:r w:rsidRPr="009C2953">
              <w:rPr>
                <w:sz w:val="18"/>
              </w:rPr>
              <w:t>multidisciplinaire qui font partie du comité de gestion de l</w:t>
            </w:r>
            <w:r w:rsidR="00EA2966" w:rsidRPr="009C2953">
              <w:rPr>
                <w:sz w:val="18"/>
              </w:rPr>
              <w:t>’</w:t>
            </w:r>
            <w:r w:rsidRPr="009C2953">
              <w:rPr>
                <w:sz w:val="18"/>
              </w:rPr>
              <w:t>évaluation.</w:t>
            </w:r>
          </w:p>
        </w:tc>
      </w:tr>
      <w:tr w:rsidR="00607B78" w:rsidRPr="009C2953" w14:paraId="1839A51E" w14:textId="77777777" w:rsidTr="00A068F8">
        <w:trPr>
          <w:trHeight w:val="57"/>
          <w:jc w:val="right"/>
        </w:trPr>
        <w:tc>
          <w:tcPr>
            <w:tcW w:w="8310" w:type="dxa"/>
            <w:gridSpan w:val="2"/>
            <w:tcBorders>
              <w:top w:val="single" w:sz="4" w:space="0" w:color="000000"/>
              <w:left w:val="nil"/>
              <w:bottom w:val="single" w:sz="4" w:space="0" w:color="000000"/>
              <w:right w:val="nil"/>
            </w:tcBorders>
            <w:hideMark/>
          </w:tcPr>
          <w:p w14:paraId="233A8CD6" w14:textId="77777777" w:rsidR="00607B78" w:rsidRPr="009C2953" w:rsidRDefault="00607B78" w:rsidP="0055667D">
            <w:pPr>
              <w:pStyle w:val="Normal-pool"/>
              <w:keepNext/>
              <w:keepLines/>
              <w:spacing w:before="40" w:after="40"/>
              <w:rPr>
                <w:b/>
                <w:sz w:val="18"/>
                <w:szCs w:val="18"/>
              </w:rPr>
            </w:pPr>
            <w:r w:rsidRPr="009C2953">
              <w:rPr>
                <w:b/>
                <w:sz w:val="18"/>
              </w:rPr>
              <w:lastRenderedPageBreak/>
              <w:t>2026</w:t>
            </w:r>
          </w:p>
        </w:tc>
      </w:tr>
      <w:tr w:rsidR="00607B78" w:rsidRPr="009C2953" w14:paraId="01E96C51" w14:textId="77777777" w:rsidTr="00A068F8">
        <w:trPr>
          <w:trHeight w:val="57"/>
          <w:jc w:val="right"/>
        </w:trPr>
        <w:tc>
          <w:tcPr>
            <w:tcW w:w="1660" w:type="dxa"/>
            <w:tcBorders>
              <w:top w:val="single" w:sz="4" w:space="0" w:color="000000"/>
              <w:left w:val="nil"/>
              <w:bottom w:val="nil"/>
              <w:right w:val="nil"/>
            </w:tcBorders>
            <w:hideMark/>
          </w:tcPr>
          <w:p w14:paraId="76802C4A" w14:textId="77DEDE36" w:rsidR="00607B78" w:rsidRPr="009C2953" w:rsidRDefault="00607B78" w:rsidP="0055667D">
            <w:pPr>
              <w:pStyle w:val="Normal-pool"/>
              <w:keepNext/>
              <w:keepLines/>
              <w:spacing w:before="40" w:after="40"/>
              <w:rPr>
                <w:sz w:val="18"/>
                <w:szCs w:val="18"/>
              </w:rPr>
            </w:pPr>
            <w:r w:rsidRPr="009C2953">
              <w:rPr>
                <w:sz w:val="18"/>
              </w:rPr>
              <w:t xml:space="preserve">Premier </w:t>
            </w:r>
            <w:r w:rsidR="000D47E2" w:rsidRPr="009C2953">
              <w:rPr>
                <w:sz w:val="18"/>
              </w:rPr>
              <w:br/>
            </w:r>
            <w:r w:rsidRPr="009C2953">
              <w:rPr>
                <w:sz w:val="18"/>
              </w:rPr>
              <w:t>trimestre</w:t>
            </w:r>
          </w:p>
        </w:tc>
        <w:tc>
          <w:tcPr>
            <w:tcW w:w="6650" w:type="dxa"/>
            <w:tcBorders>
              <w:top w:val="single" w:sz="4" w:space="0" w:color="000000"/>
              <w:left w:val="nil"/>
              <w:bottom w:val="nil"/>
              <w:right w:val="nil"/>
            </w:tcBorders>
            <w:hideMark/>
          </w:tcPr>
          <w:p w14:paraId="2E2FFC29" w14:textId="35EA6098" w:rsidR="00607B78" w:rsidRPr="009C2953" w:rsidRDefault="00607B78" w:rsidP="00A068F8">
            <w:pPr>
              <w:pStyle w:val="Normal-pool"/>
              <w:spacing w:before="40" w:after="40"/>
              <w:rPr>
                <w:sz w:val="18"/>
                <w:szCs w:val="18"/>
              </w:rPr>
            </w:pPr>
            <w:r w:rsidRPr="009C2953">
              <w:rPr>
                <w:sz w:val="18"/>
              </w:rPr>
              <w:t>Réunion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B34E80" w:rsidRPr="009C2953">
              <w:rPr>
                <w:sz w:val="18"/>
              </w:rPr>
              <w:t>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B34E80" w:rsidRPr="009C2953">
              <w:rPr>
                <w:sz w:val="18"/>
              </w:rPr>
              <w:t> </w:t>
            </w:r>
            <w:r w:rsidR="00F34644" w:rsidRPr="009C2953">
              <w:rPr>
                <w:sz w:val="18"/>
              </w:rPr>
              <w:t>les </w:t>
            </w:r>
            <w:r w:rsidRPr="009C2953">
              <w:rPr>
                <w:sz w:val="18"/>
              </w:rPr>
              <w:t>membres du Bureau et du Groupe d</w:t>
            </w:r>
            <w:r w:rsidR="00EA2966" w:rsidRPr="009C2953">
              <w:rPr>
                <w:sz w:val="18"/>
              </w:rPr>
              <w:t>’</w:t>
            </w:r>
            <w:r w:rsidRPr="009C2953">
              <w:rPr>
                <w:sz w:val="18"/>
              </w:rPr>
              <w:t>experts multidisciplinaire qui font partie du</w:t>
            </w:r>
            <w:r w:rsidR="00B34E80" w:rsidRPr="009C2953">
              <w:rPr>
                <w:sz w:val="18"/>
              </w:rPr>
              <w:t> </w:t>
            </w:r>
            <w:r w:rsidRPr="009C2953">
              <w:rPr>
                <w:sz w:val="18"/>
              </w:rPr>
              <w:t>comité de gestion de l</w:t>
            </w:r>
            <w:r w:rsidR="00EA2966" w:rsidRPr="009C2953">
              <w:rPr>
                <w:sz w:val="18"/>
              </w:rPr>
              <w:t>’</w:t>
            </w:r>
            <w:r w:rsidRPr="009C2953">
              <w:rPr>
                <w:sz w:val="18"/>
              </w:rPr>
              <w:t>évaluation.</w:t>
            </w:r>
          </w:p>
        </w:tc>
      </w:tr>
      <w:tr w:rsidR="00607B78" w:rsidRPr="009C2953" w14:paraId="420CB5F4" w14:textId="77777777" w:rsidTr="00A068F8">
        <w:trPr>
          <w:trHeight w:val="57"/>
          <w:jc w:val="right"/>
        </w:trPr>
        <w:tc>
          <w:tcPr>
            <w:tcW w:w="1660" w:type="dxa"/>
            <w:tcBorders>
              <w:top w:val="nil"/>
              <w:left w:val="nil"/>
              <w:bottom w:val="nil"/>
              <w:right w:val="nil"/>
            </w:tcBorders>
            <w:hideMark/>
          </w:tcPr>
          <w:p w14:paraId="72ED1479" w14:textId="18AF5F1F" w:rsidR="00607B78" w:rsidRPr="009C2953" w:rsidRDefault="00607B78" w:rsidP="0055667D">
            <w:pPr>
              <w:pStyle w:val="Normal-pool"/>
              <w:keepNext/>
              <w:keepLines/>
              <w:spacing w:before="40" w:after="40"/>
              <w:rPr>
                <w:sz w:val="18"/>
                <w:szCs w:val="18"/>
              </w:rPr>
            </w:pPr>
            <w:r w:rsidRPr="009C2953">
              <w:rPr>
                <w:sz w:val="18"/>
              </w:rPr>
              <w:t xml:space="preserve">Deuxième </w:t>
            </w:r>
            <w:r w:rsidR="000D47E2" w:rsidRPr="009C2953">
              <w:rPr>
                <w:sz w:val="18"/>
              </w:rPr>
              <w:br/>
            </w:r>
            <w:r w:rsidRPr="009C2953">
              <w:rPr>
                <w:sz w:val="18"/>
              </w:rPr>
              <w:t>trimestre</w:t>
            </w:r>
          </w:p>
        </w:tc>
        <w:tc>
          <w:tcPr>
            <w:tcW w:w="6650" w:type="dxa"/>
            <w:tcBorders>
              <w:top w:val="nil"/>
              <w:left w:val="nil"/>
              <w:bottom w:val="nil"/>
              <w:right w:val="nil"/>
            </w:tcBorders>
            <w:hideMark/>
          </w:tcPr>
          <w:p w14:paraId="0C3756E1" w14:textId="3CBB05EB" w:rsidR="00607B78" w:rsidRPr="009C2953" w:rsidRDefault="00607B78" w:rsidP="009168F2">
            <w:pPr>
              <w:pStyle w:val="Normalnumber"/>
              <w:tabs>
                <w:tab w:val="left" w:pos="1985"/>
              </w:tabs>
              <w:rPr>
                <w:sz w:val="18"/>
                <w:szCs w:val="18"/>
                <w:lang w:val="fr-FR"/>
              </w:rPr>
            </w:pPr>
            <w:r w:rsidRPr="009C2953">
              <w:rPr>
                <w:sz w:val="18"/>
                <w:lang w:val="fr-FR"/>
              </w:rPr>
              <w:t>Premier examen externe (</w:t>
            </w:r>
            <w:r w:rsidR="000835D3" w:rsidRPr="009C2953">
              <w:rPr>
                <w:sz w:val="18"/>
                <w:lang w:val="fr-FR"/>
              </w:rPr>
              <w:t>huit</w:t>
            </w:r>
            <w:r w:rsidRPr="009C2953">
              <w:rPr>
                <w:sz w:val="18"/>
                <w:lang w:val="fr-FR"/>
              </w:rPr>
              <w:t xml:space="preserve"> semaines) – projets de chapitre et projet de résumé à l</w:t>
            </w:r>
            <w:r w:rsidR="00EA2966" w:rsidRPr="009C2953">
              <w:rPr>
                <w:sz w:val="18"/>
                <w:lang w:val="fr-FR"/>
              </w:rPr>
              <w:t>’</w:t>
            </w:r>
            <w:r w:rsidRPr="009C2953">
              <w:rPr>
                <w:sz w:val="18"/>
                <w:lang w:val="fr-FR"/>
              </w:rPr>
              <w:t>intention</w:t>
            </w:r>
            <w:r w:rsidR="00D24DC1" w:rsidRPr="009C2953">
              <w:rPr>
                <w:sz w:val="18"/>
                <w:lang w:val="fr-FR"/>
              </w:rPr>
              <w:t xml:space="preserve"> des </w:t>
            </w:r>
            <w:r w:rsidRPr="009C2953">
              <w:rPr>
                <w:sz w:val="18"/>
                <w:lang w:val="fr-FR"/>
              </w:rPr>
              <w:t xml:space="preserve">décideurs </w:t>
            </w:r>
            <w:r w:rsidRPr="009C2953">
              <w:rPr>
                <w:lang w:val="fr-FR"/>
              </w:rPr>
              <w:t>diffusé</w:t>
            </w:r>
            <w:r w:rsidRPr="009C2953">
              <w:rPr>
                <w:sz w:val="18"/>
                <w:lang w:val="fr-FR"/>
              </w:rPr>
              <w:t xml:space="preserve"> pour examen par</w:t>
            </w:r>
            <w:r w:rsidR="00F34644" w:rsidRPr="009C2953">
              <w:rPr>
                <w:sz w:val="18"/>
                <w:lang w:val="fr-FR"/>
              </w:rPr>
              <w:t xml:space="preserve"> les </w:t>
            </w:r>
            <w:r w:rsidRPr="009C2953">
              <w:rPr>
                <w:sz w:val="18"/>
                <w:lang w:val="fr-FR"/>
              </w:rPr>
              <w:t>gouvernements et</w:t>
            </w:r>
            <w:r w:rsidR="00F34644" w:rsidRPr="009C2953">
              <w:rPr>
                <w:sz w:val="18"/>
                <w:lang w:val="fr-FR"/>
              </w:rPr>
              <w:t xml:space="preserve"> les </w:t>
            </w:r>
            <w:r w:rsidRPr="009C2953">
              <w:rPr>
                <w:sz w:val="18"/>
                <w:lang w:val="fr-FR"/>
              </w:rPr>
              <w:t>expert(e)s.</w:t>
            </w:r>
          </w:p>
        </w:tc>
      </w:tr>
      <w:tr w:rsidR="00607B78" w:rsidRPr="009C2953" w14:paraId="75F17A32" w14:textId="77777777" w:rsidTr="00A068F8">
        <w:trPr>
          <w:trHeight w:val="57"/>
          <w:jc w:val="right"/>
        </w:trPr>
        <w:tc>
          <w:tcPr>
            <w:tcW w:w="1660" w:type="dxa"/>
            <w:tcBorders>
              <w:top w:val="nil"/>
              <w:left w:val="nil"/>
              <w:bottom w:val="nil"/>
              <w:right w:val="nil"/>
            </w:tcBorders>
            <w:hideMark/>
          </w:tcPr>
          <w:p w14:paraId="7CAD1EAA" w14:textId="1040F602" w:rsidR="00607B78" w:rsidRPr="009C2953" w:rsidRDefault="00607B78" w:rsidP="00A068F8">
            <w:pPr>
              <w:pStyle w:val="Normal-pool"/>
              <w:spacing w:before="40" w:after="40"/>
              <w:rPr>
                <w:sz w:val="18"/>
                <w:szCs w:val="18"/>
              </w:rPr>
            </w:pPr>
            <w:r w:rsidRPr="009C2953">
              <w:rPr>
                <w:sz w:val="18"/>
              </w:rPr>
              <w:t xml:space="preserve">Troisième </w:t>
            </w:r>
            <w:r w:rsidR="000D47E2" w:rsidRPr="009C2953">
              <w:rPr>
                <w:sz w:val="18"/>
              </w:rPr>
              <w:br/>
            </w:r>
            <w:r w:rsidRPr="009C2953">
              <w:rPr>
                <w:sz w:val="18"/>
              </w:rPr>
              <w:t>trimestre</w:t>
            </w:r>
          </w:p>
        </w:tc>
        <w:tc>
          <w:tcPr>
            <w:tcW w:w="6650" w:type="dxa"/>
            <w:tcBorders>
              <w:top w:val="nil"/>
              <w:left w:val="nil"/>
              <w:bottom w:val="nil"/>
              <w:right w:val="nil"/>
            </w:tcBorders>
            <w:hideMark/>
          </w:tcPr>
          <w:p w14:paraId="187E5579" w14:textId="7DD2BD40" w:rsidR="00607B78" w:rsidRPr="009C2953" w:rsidRDefault="00607B78" w:rsidP="00A068F8">
            <w:pPr>
              <w:pStyle w:val="Normal-pool"/>
              <w:spacing w:before="40" w:after="40"/>
              <w:rPr>
                <w:sz w:val="18"/>
                <w:szCs w:val="18"/>
              </w:rPr>
            </w:pPr>
            <w:r w:rsidRPr="009C2953">
              <w:rPr>
                <w:sz w:val="18"/>
              </w:rPr>
              <w:t>Deuxième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principaux(ales),</w:t>
            </w:r>
            <w:r w:rsidR="00F34644" w:rsidRPr="009C2953">
              <w:rPr>
                <w:sz w:val="18"/>
              </w:rPr>
              <w:t xml:space="preserve"> les </w:t>
            </w:r>
            <w:r w:rsidRPr="009C2953">
              <w:rPr>
                <w:sz w:val="18"/>
              </w:rPr>
              <w:t>éditeur(</w:t>
            </w:r>
            <w:proofErr w:type="spellStart"/>
            <w:r w:rsidRPr="009C2953">
              <w:rPr>
                <w:sz w:val="18"/>
              </w:rPr>
              <w:t>rice</w:t>
            </w:r>
            <w:proofErr w:type="spellEnd"/>
            <w:r w:rsidRPr="009C2953">
              <w:rPr>
                <w:sz w:val="18"/>
              </w:rPr>
              <w:t>)s-réviseur(se)s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 du comité de gestion de l</w:t>
            </w:r>
            <w:r w:rsidR="00EA2966" w:rsidRPr="009C2953">
              <w:rPr>
                <w:sz w:val="18"/>
              </w:rPr>
              <w:t>’</w:t>
            </w:r>
            <w:r w:rsidRPr="009C2953">
              <w:rPr>
                <w:sz w:val="18"/>
              </w:rPr>
              <w:t>évaluation.</w:t>
            </w:r>
          </w:p>
          <w:p w14:paraId="41A1C438" w14:textId="15B02CDE" w:rsidR="00607B78" w:rsidRPr="009C2953" w:rsidRDefault="00607B78" w:rsidP="00A068F8">
            <w:pPr>
              <w:pStyle w:val="Normal-pool"/>
              <w:spacing w:before="40" w:after="40"/>
              <w:rPr>
                <w:sz w:val="18"/>
                <w:szCs w:val="18"/>
              </w:rPr>
            </w:pPr>
            <w:r w:rsidRPr="009C2953">
              <w:rPr>
                <w:sz w:val="18"/>
              </w:rPr>
              <w:t>Immédiatement après</w:t>
            </w:r>
            <w:r w:rsidR="00F34644" w:rsidRPr="009C2953">
              <w:rPr>
                <w:sz w:val="18"/>
              </w:rPr>
              <w:t xml:space="preserve"> la </w:t>
            </w:r>
            <w:r w:rsidRPr="009C2953">
              <w:rPr>
                <w:sz w:val="18"/>
              </w:rPr>
              <w:t>deuxième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 réunion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 font partie du comité de gestion de l</w:t>
            </w:r>
            <w:r w:rsidR="00EA2966" w:rsidRPr="009C2953">
              <w:rPr>
                <w:sz w:val="18"/>
              </w:rPr>
              <w:t>’</w:t>
            </w:r>
            <w:r w:rsidRPr="009C2953">
              <w:rPr>
                <w:sz w:val="18"/>
              </w:rPr>
              <w:t>évaluation.</w:t>
            </w:r>
          </w:p>
        </w:tc>
      </w:tr>
      <w:tr w:rsidR="00607B78" w:rsidRPr="009C2953" w14:paraId="76BE9415" w14:textId="77777777" w:rsidTr="00A068F8">
        <w:trPr>
          <w:trHeight w:val="57"/>
          <w:jc w:val="right"/>
        </w:trPr>
        <w:tc>
          <w:tcPr>
            <w:tcW w:w="1660" w:type="dxa"/>
            <w:tcBorders>
              <w:top w:val="nil"/>
              <w:left w:val="nil"/>
              <w:bottom w:val="single" w:sz="4" w:space="0" w:color="000000"/>
              <w:right w:val="nil"/>
            </w:tcBorders>
            <w:hideMark/>
          </w:tcPr>
          <w:p w14:paraId="4BE9D8E8" w14:textId="609A9413" w:rsidR="00607B78" w:rsidRPr="009C2953" w:rsidRDefault="00607B78" w:rsidP="00A068F8">
            <w:pPr>
              <w:pStyle w:val="Normal-pool"/>
              <w:spacing w:before="40" w:after="40"/>
              <w:rPr>
                <w:sz w:val="18"/>
                <w:szCs w:val="18"/>
              </w:rPr>
            </w:pPr>
            <w:r w:rsidRPr="009C2953">
              <w:rPr>
                <w:sz w:val="18"/>
              </w:rPr>
              <w:t xml:space="preserve">Quatrième </w:t>
            </w:r>
            <w:r w:rsidR="00FA7442">
              <w:rPr>
                <w:sz w:val="18"/>
              </w:rPr>
              <w:br/>
            </w:r>
            <w:r w:rsidRPr="009C2953">
              <w:rPr>
                <w:sz w:val="18"/>
              </w:rPr>
              <w:t>trimestre</w:t>
            </w:r>
          </w:p>
        </w:tc>
        <w:tc>
          <w:tcPr>
            <w:tcW w:w="6650" w:type="dxa"/>
            <w:tcBorders>
              <w:top w:val="nil"/>
              <w:left w:val="nil"/>
              <w:bottom w:val="single" w:sz="4" w:space="0" w:color="000000"/>
              <w:right w:val="nil"/>
            </w:tcBorders>
            <w:hideMark/>
          </w:tcPr>
          <w:p w14:paraId="65332926" w14:textId="3694257F" w:rsidR="00607B78" w:rsidRPr="009C2953" w:rsidRDefault="00607B78" w:rsidP="00A068F8">
            <w:pPr>
              <w:pStyle w:val="Normal-pool"/>
              <w:spacing w:before="40" w:after="40"/>
              <w:rPr>
                <w:sz w:val="18"/>
                <w:szCs w:val="18"/>
              </w:rPr>
            </w:pPr>
            <w:r w:rsidRPr="009C2953">
              <w:rPr>
                <w:sz w:val="18"/>
              </w:rPr>
              <w:t>Examen externe supplémentaire du projet 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w:t>
            </w:r>
            <w:r w:rsidR="000835D3" w:rsidRPr="009C2953">
              <w:rPr>
                <w:sz w:val="18"/>
              </w:rPr>
              <w:t>huit</w:t>
            </w:r>
            <w:r w:rsidR="00E1113F" w:rsidRPr="009C2953">
              <w:rPr>
                <w:sz w:val="18"/>
              </w:rPr>
              <w:t> </w:t>
            </w:r>
            <w:r w:rsidRPr="009C2953">
              <w:rPr>
                <w:sz w:val="18"/>
              </w:rPr>
              <w:t>semaines) – projet</w:t>
            </w:r>
            <w:r w:rsidR="00121CBC" w:rsidRPr="009C2953">
              <w:rPr>
                <w:sz w:val="18"/>
              </w:rPr>
              <w:t xml:space="preserve"> de</w:t>
            </w:r>
            <w:r w:rsidRPr="009C2953">
              <w:rPr>
                <w:sz w:val="18"/>
              </w:rPr>
              <w:t xml:space="preserv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diffusé</w:t>
            </w:r>
            <w:r w:rsidR="00E1113F" w:rsidRPr="009C2953">
              <w:rPr>
                <w:sz w:val="18"/>
              </w:rPr>
              <w:t> </w:t>
            </w:r>
            <w:r w:rsidRPr="009C2953">
              <w:rPr>
                <w:sz w:val="18"/>
              </w:rPr>
              <w:t>pour examen par</w:t>
            </w:r>
            <w:r w:rsidR="00B16765" w:rsidRPr="009C2953">
              <w:rPr>
                <w:sz w:val="18"/>
              </w:rPr>
              <w:t> </w:t>
            </w:r>
            <w:r w:rsidR="00F34644" w:rsidRPr="009C2953">
              <w:rPr>
                <w:sz w:val="18"/>
              </w:rPr>
              <w:t>les </w:t>
            </w:r>
            <w:r w:rsidRPr="009C2953">
              <w:rPr>
                <w:sz w:val="18"/>
              </w:rPr>
              <w:t>gouvernements et</w:t>
            </w:r>
            <w:r w:rsidR="00F34644" w:rsidRPr="009C2953">
              <w:rPr>
                <w:sz w:val="18"/>
              </w:rPr>
              <w:t xml:space="preserve"> les </w:t>
            </w:r>
            <w:r w:rsidRPr="009C2953">
              <w:rPr>
                <w:sz w:val="18"/>
              </w:rPr>
              <w:t>expert(e)s.</w:t>
            </w:r>
          </w:p>
        </w:tc>
      </w:tr>
      <w:tr w:rsidR="00607B78" w:rsidRPr="009C2953" w14:paraId="2EB975C9" w14:textId="77777777" w:rsidTr="00A068F8">
        <w:trPr>
          <w:trHeight w:val="57"/>
          <w:jc w:val="right"/>
        </w:trPr>
        <w:tc>
          <w:tcPr>
            <w:tcW w:w="8310" w:type="dxa"/>
            <w:gridSpan w:val="2"/>
            <w:tcBorders>
              <w:top w:val="single" w:sz="4" w:space="0" w:color="000000"/>
              <w:left w:val="nil"/>
              <w:bottom w:val="single" w:sz="4" w:space="0" w:color="000000"/>
              <w:right w:val="nil"/>
            </w:tcBorders>
            <w:hideMark/>
          </w:tcPr>
          <w:p w14:paraId="0843DE72" w14:textId="77777777" w:rsidR="00607B78" w:rsidRPr="009C2953" w:rsidRDefault="00607B78" w:rsidP="00A068F8">
            <w:pPr>
              <w:pStyle w:val="Normal-pool"/>
              <w:spacing w:before="40" w:after="40"/>
              <w:rPr>
                <w:b/>
                <w:sz w:val="18"/>
                <w:szCs w:val="18"/>
              </w:rPr>
            </w:pPr>
            <w:r w:rsidRPr="009C2953">
              <w:rPr>
                <w:b/>
                <w:sz w:val="18"/>
              </w:rPr>
              <w:t>2027</w:t>
            </w:r>
          </w:p>
        </w:tc>
      </w:tr>
      <w:tr w:rsidR="00607B78" w:rsidRPr="009C2953" w14:paraId="63C758B5" w14:textId="77777777" w:rsidTr="00A068F8">
        <w:trPr>
          <w:trHeight w:val="57"/>
          <w:jc w:val="right"/>
        </w:trPr>
        <w:tc>
          <w:tcPr>
            <w:tcW w:w="1660" w:type="dxa"/>
            <w:tcBorders>
              <w:top w:val="single" w:sz="4" w:space="0" w:color="000000"/>
              <w:left w:val="nil"/>
              <w:bottom w:val="nil"/>
              <w:right w:val="nil"/>
            </w:tcBorders>
            <w:hideMark/>
          </w:tcPr>
          <w:p w14:paraId="1BE8669B" w14:textId="127FDE3D" w:rsidR="00607B78" w:rsidRPr="009C2953" w:rsidRDefault="00607B78" w:rsidP="00A068F8">
            <w:pPr>
              <w:pStyle w:val="Normal-pool"/>
              <w:spacing w:before="40" w:after="40"/>
              <w:rPr>
                <w:sz w:val="18"/>
                <w:szCs w:val="18"/>
              </w:rPr>
            </w:pPr>
            <w:r w:rsidRPr="009C2953">
              <w:rPr>
                <w:sz w:val="18"/>
              </w:rPr>
              <w:t xml:space="preserve">Premier </w:t>
            </w:r>
            <w:r w:rsidR="000D47E2" w:rsidRPr="009C2953">
              <w:rPr>
                <w:sz w:val="18"/>
              </w:rPr>
              <w:br/>
            </w:r>
            <w:r w:rsidRPr="009C2953">
              <w:rPr>
                <w:sz w:val="18"/>
              </w:rPr>
              <w:t>trimestre</w:t>
            </w:r>
          </w:p>
        </w:tc>
        <w:tc>
          <w:tcPr>
            <w:tcW w:w="6650" w:type="dxa"/>
            <w:tcBorders>
              <w:top w:val="single" w:sz="4" w:space="0" w:color="000000"/>
              <w:left w:val="nil"/>
              <w:bottom w:val="nil"/>
              <w:right w:val="nil"/>
            </w:tcBorders>
            <w:hideMark/>
          </w:tcPr>
          <w:p w14:paraId="3DB4FFD5" w14:textId="126449B9" w:rsidR="00607B78" w:rsidRPr="009C2953" w:rsidRDefault="00607B78" w:rsidP="00A068F8">
            <w:pPr>
              <w:pStyle w:val="Normal-pool"/>
              <w:spacing w:before="40" w:after="40"/>
              <w:rPr>
                <w:sz w:val="18"/>
                <w:szCs w:val="18"/>
              </w:rPr>
            </w:pPr>
            <w:r w:rsidRPr="009C2953">
              <w:rPr>
                <w:sz w:val="18"/>
              </w:rPr>
              <w:t>Atelier de rédaction en ligne pour faire avancer l</w:t>
            </w:r>
            <w:r w:rsidR="00EA2966" w:rsidRPr="009C2953">
              <w:rPr>
                <w:sz w:val="18"/>
              </w:rPr>
              <w:t>’</w:t>
            </w:r>
            <w:r w:rsidRPr="009C2953">
              <w:rPr>
                <w:sz w:val="18"/>
              </w:rPr>
              <w:t>élaboration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avec</w:t>
            </w:r>
            <w:r w:rsidR="00F34644" w:rsidRPr="009C2953">
              <w:rPr>
                <w:sz w:val="18"/>
              </w:rPr>
              <w:t xml:space="preserve"> </w:t>
            </w:r>
            <w:proofErr w:type="gramStart"/>
            <w:r w:rsidR="00F34644" w:rsidRPr="009C2953">
              <w:rPr>
                <w:sz w:val="18"/>
              </w:rPr>
              <w:t>les </w:t>
            </w:r>
            <w:r w:rsidRPr="009C2953">
              <w:rPr>
                <w:sz w:val="18"/>
              </w:rPr>
              <w:t>coprésident</w:t>
            </w:r>
            <w:proofErr w:type="gramEnd"/>
            <w:r w:rsidRPr="009C2953">
              <w:rPr>
                <w:sz w:val="18"/>
              </w:rPr>
              <w:t>(e)s,</w:t>
            </w:r>
            <w:r w:rsidR="00F34644" w:rsidRPr="009C2953">
              <w:rPr>
                <w:sz w:val="18"/>
              </w:rPr>
              <w:t xml:space="preserve"> les </w:t>
            </w:r>
            <w:r w:rsidRPr="009C2953">
              <w:rPr>
                <w:sz w:val="18"/>
              </w:rPr>
              <w:t>auteur(</w:t>
            </w:r>
            <w:proofErr w:type="spellStart"/>
            <w:r w:rsidRPr="009C2953">
              <w:rPr>
                <w:sz w:val="18"/>
              </w:rPr>
              <w:t>rice</w:t>
            </w:r>
            <w:proofErr w:type="spellEnd"/>
            <w:r w:rsidRPr="009C2953">
              <w:rPr>
                <w:sz w:val="18"/>
              </w:rPr>
              <w:t>)s coordonnateur(</w:t>
            </w:r>
            <w:proofErr w:type="spellStart"/>
            <w:r w:rsidRPr="009C2953">
              <w:rPr>
                <w:sz w:val="18"/>
              </w:rPr>
              <w:t>rice</w:t>
            </w:r>
            <w:proofErr w:type="spellEnd"/>
            <w:r w:rsidRPr="009C2953">
              <w:rPr>
                <w:sz w:val="18"/>
              </w:rPr>
              <w:t>)s principaux(ales) et</w:t>
            </w:r>
            <w:r w:rsidR="00F34644" w:rsidRPr="009C2953">
              <w:rPr>
                <w:sz w:val="18"/>
              </w:rPr>
              <w:t xml:space="preserve"> les </w:t>
            </w:r>
            <w:r w:rsidRPr="009C2953">
              <w:rPr>
                <w:sz w:val="18"/>
              </w:rPr>
              <w:t>membres du Bureau et du Groupe d</w:t>
            </w:r>
            <w:r w:rsidR="00EA2966" w:rsidRPr="009C2953">
              <w:rPr>
                <w:sz w:val="18"/>
              </w:rPr>
              <w:t>’</w:t>
            </w:r>
            <w:r w:rsidRPr="009C2953">
              <w:rPr>
                <w:sz w:val="18"/>
              </w:rPr>
              <w:t>experts multidisciplinaire qui</w:t>
            </w:r>
            <w:r w:rsidR="00E1113F" w:rsidRPr="009C2953">
              <w:rPr>
                <w:sz w:val="18"/>
              </w:rPr>
              <w:t> </w:t>
            </w:r>
            <w:r w:rsidRPr="009C2953">
              <w:rPr>
                <w:sz w:val="18"/>
              </w:rPr>
              <w:t>font partie du comité de gestion de l</w:t>
            </w:r>
            <w:r w:rsidR="00EA2966" w:rsidRPr="009C2953">
              <w:rPr>
                <w:sz w:val="18"/>
              </w:rPr>
              <w:t>’</w:t>
            </w:r>
            <w:r w:rsidRPr="009C2953">
              <w:rPr>
                <w:sz w:val="18"/>
              </w:rPr>
              <w:t>évaluation.</w:t>
            </w:r>
          </w:p>
        </w:tc>
      </w:tr>
      <w:tr w:rsidR="00607B78" w:rsidRPr="009C2953" w14:paraId="6DF12ADE" w14:textId="77777777" w:rsidTr="00A068F8">
        <w:trPr>
          <w:trHeight w:val="57"/>
          <w:jc w:val="right"/>
        </w:trPr>
        <w:tc>
          <w:tcPr>
            <w:tcW w:w="1660" w:type="dxa"/>
            <w:tcBorders>
              <w:top w:val="nil"/>
              <w:left w:val="nil"/>
              <w:bottom w:val="nil"/>
              <w:right w:val="nil"/>
            </w:tcBorders>
            <w:hideMark/>
          </w:tcPr>
          <w:p w14:paraId="71A2F8C9" w14:textId="7EEE3464" w:rsidR="00607B78" w:rsidRPr="009C2953" w:rsidRDefault="00607B78" w:rsidP="00A068F8">
            <w:pPr>
              <w:pStyle w:val="Normal-pool"/>
              <w:spacing w:before="40" w:after="40"/>
              <w:rPr>
                <w:sz w:val="18"/>
                <w:szCs w:val="18"/>
              </w:rPr>
            </w:pPr>
            <w:r w:rsidRPr="009C2953">
              <w:rPr>
                <w:sz w:val="18"/>
              </w:rPr>
              <w:t xml:space="preserve">Troisième </w:t>
            </w:r>
            <w:r w:rsidR="000D47E2" w:rsidRPr="009C2953">
              <w:rPr>
                <w:sz w:val="18"/>
              </w:rPr>
              <w:br/>
            </w:r>
            <w:r w:rsidRPr="009C2953">
              <w:rPr>
                <w:sz w:val="18"/>
              </w:rPr>
              <w:t>trimestre</w:t>
            </w:r>
          </w:p>
        </w:tc>
        <w:tc>
          <w:tcPr>
            <w:tcW w:w="6650" w:type="dxa"/>
            <w:tcBorders>
              <w:top w:val="nil"/>
              <w:left w:val="nil"/>
              <w:bottom w:val="nil"/>
              <w:right w:val="nil"/>
            </w:tcBorders>
            <w:hideMark/>
          </w:tcPr>
          <w:p w14:paraId="142F197A" w14:textId="6E7E7A45" w:rsidR="00607B78" w:rsidRPr="009C2953" w:rsidRDefault="00607B78" w:rsidP="00A068F8">
            <w:pPr>
              <w:pStyle w:val="Normal-pool"/>
              <w:spacing w:before="40" w:after="40"/>
              <w:rPr>
                <w:sz w:val="18"/>
                <w:szCs w:val="18"/>
              </w:rPr>
            </w:pPr>
            <w:r w:rsidRPr="009C2953">
              <w:rPr>
                <w:sz w:val="18"/>
              </w:rPr>
              <w:t>Examen final (objectif : huit semaines) - versions définitives</w:t>
            </w:r>
            <w:r w:rsidR="00D24DC1" w:rsidRPr="009C2953">
              <w:rPr>
                <w:sz w:val="18"/>
              </w:rPr>
              <w:t xml:space="preserve"> des </w:t>
            </w:r>
            <w:r w:rsidRPr="009C2953">
              <w:rPr>
                <w:sz w:val="18"/>
              </w:rPr>
              <w:t>projets de chapitre et</w:t>
            </w:r>
            <w:r w:rsidR="00E1113F" w:rsidRPr="009C2953">
              <w:rPr>
                <w:sz w:val="18"/>
              </w:rPr>
              <w:t> </w:t>
            </w:r>
            <w:r w:rsidRPr="009C2953">
              <w:rPr>
                <w:sz w:val="18"/>
              </w:rPr>
              <w:t>du</w:t>
            </w:r>
            <w:r w:rsidR="00E1113F" w:rsidRPr="009C2953">
              <w:rPr>
                <w:sz w:val="18"/>
              </w:rPr>
              <w:t> </w:t>
            </w:r>
            <w:r w:rsidRPr="009C2953">
              <w:rPr>
                <w:sz w:val="18"/>
              </w:rPr>
              <w:t>projet de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diffusées pour examen par</w:t>
            </w:r>
            <w:r w:rsidR="00F34644" w:rsidRPr="009C2953">
              <w:rPr>
                <w:sz w:val="18"/>
              </w:rPr>
              <w:t xml:space="preserve"> les </w:t>
            </w:r>
            <w:r w:rsidRPr="009C2953">
              <w:rPr>
                <w:sz w:val="18"/>
              </w:rPr>
              <w:t>gouvernements.</w:t>
            </w:r>
          </w:p>
        </w:tc>
      </w:tr>
      <w:tr w:rsidR="00607B78" w:rsidRPr="009C2953" w14:paraId="34E8B5E4" w14:textId="77777777" w:rsidTr="00A068F8">
        <w:trPr>
          <w:trHeight w:val="57"/>
          <w:jc w:val="right"/>
        </w:trPr>
        <w:tc>
          <w:tcPr>
            <w:tcW w:w="1660" w:type="dxa"/>
            <w:vMerge w:val="restart"/>
            <w:tcBorders>
              <w:top w:val="nil"/>
              <w:left w:val="nil"/>
              <w:bottom w:val="single" w:sz="12" w:space="0" w:color="auto"/>
              <w:right w:val="nil"/>
            </w:tcBorders>
            <w:hideMark/>
          </w:tcPr>
          <w:p w14:paraId="580686C6" w14:textId="77777777" w:rsidR="00607B78" w:rsidRPr="009C2953" w:rsidRDefault="00607B78" w:rsidP="00A068F8">
            <w:pPr>
              <w:pStyle w:val="Normal-pool"/>
              <w:spacing w:before="40" w:after="40"/>
              <w:rPr>
                <w:sz w:val="18"/>
                <w:szCs w:val="18"/>
              </w:rPr>
            </w:pPr>
            <w:r w:rsidRPr="009C2953">
              <w:rPr>
                <w:sz w:val="18"/>
              </w:rPr>
              <w:t>Quatrième trimestre</w:t>
            </w:r>
          </w:p>
        </w:tc>
        <w:tc>
          <w:tcPr>
            <w:tcW w:w="6650" w:type="dxa"/>
            <w:tcBorders>
              <w:top w:val="nil"/>
              <w:left w:val="nil"/>
              <w:bottom w:val="nil"/>
              <w:right w:val="nil"/>
            </w:tcBorders>
            <w:hideMark/>
          </w:tcPr>
          <w:p w14:paraId="0D6D4B26" w14:textId="0CD50C38" w:rsidR="00607B78" w:rsidRPr="009C2953" w:rsidRDefault="00607B78" w:rsidP="00A068F8">
            <w:pPr>
              <w:pStyle w:val="Normal-pool"/>
              <w:spacing w:before="40" w:after="40"/>
              <w:rPr>
                <w:sz w:val="18"/>
                <w:szCs w:val="18"/>
              </w:rPr>
            </w:pPr>
            <w:r w:rsidRPr="009C2953">
              <w:rPr>
                <w:sz w:val="18"/>
              </w:rPr>
              <w:t>Examen par</w:t>
            </w:r>
            <w:r w:rsidR="00F34644" w:rsidRPr="009C2953">
              <w:rPr>
                <w:sz w:val="18"/>
              </w:rPr>
              <w:t xml:space="preserve"> la </w:t>
            </w:r>
            <w:r w:rsidRPr="009C2953">
              <w:rPr>
                <w:sz w:val="18"/>
              </w:rPr>
              <w:t>Plénière, à</w:t>
            </w:r>
            <w:r w:rsidR="00F34644" w:rsidRPr="009C2953">
              <w:rPr>
                <w:sz w:val="18"/>
              </w:rPr>
              <w:t xml:space="preserve"> sa </w:t>
            </w:r>
            <w:r w:rsidRPr="009C2953">
              <w:rPr>
                <w:sz w:val="18"/>
              </w:rPr>
              <w:t>quatorzième session, du 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pour approbation et</w:t>
            </w:r>
            <w:r w:rsidR="00D24DC1" w:rsidRPr="009C2953">
              <w:rPr>
                <w:sz w:val="18"/>
              </w:rPr>
              <w:t xml:space="preserve"> des </w:t>
            </w:r>
            <w:r w:rsidRPr="009C2953">
              <w:rPr>
                <w:sz w:val="18"/>
              </w:rPr>
              <w:t>chapitres pour acceptation.</w:t>
            </w:r>
          </w:p>
        </w:tc>
      </w:tr>
      <w:tr w:rsidR="00607B78" w:rsidRPr="009C2953" w14:paraId="6D7650A7" w14:textId="77777777" w:rsidTr="00A068F8">
        <w:trPr>
          <w:trHeight w:val="57"/>
          <w:jc w:val="right"/>
        </w:trPr>
        <w:tc>
          <w:tcPr>
            <w:tcW w:w="1660" w:type="dxa"/>
            <w:vMerge/>
            <w:tcBorders>
              <w:top w:val="nil"/>
              <w:left w:val="nil"/>
              <w:bottom w:val="single" w:sz="12" w:space="0" w:color="auto"/>
              <w:right w:val="nil"/>
            </w:tcBorders>
            <w:vAlign w:val="center"/>
            <w:hideMark/>
          </w:tcPr>
          <w:p w14:paraId="5E96B16F" w14:textId="77777777" w:rsidR="00607B78" w:rsidRPr="009C2953" w:rsidRDefault="00607B78" w:rsidP="00A068F8">
            <w:pPr>
              <w:rPr>
                <w:sz w:val="18"/>
                <w:szCs w:val="18"/>
                <w:lang w:val="fr-FR"/>
              </w:rPr>
            </w:pPr>
          </w:p>
        </w:tc>
        <w:tc>
          <w:tcPr>
            <w:tcW w:w="6650" w:type="dxa"/>
            <w:tcBorders>
              <w:top w:val="nil"/>
              <w:left w:val="nil"/>
              <w:bottom w:val="single" w:sz="12" w:space="0" w:color="auto"/>
              <w:right w:val="nil"/>
            </w:tcBorders>
            <w:hideMark/>
          </w:tcPr>
          <w:p w14:paraId="5621E5B6" w14:textId="022AE6FB" w:rsidR="00607B78" w:rsidRPr="009C2953" w:rsidRDefault="00607B78" w:rsidP="00A068F8">
            <w:pPr>
              <w:pStyle w:val="Normal-pool"/>
              <w:spacing w:before="40" w:after="40"/>
              <w:rPr>
                <w:sz w:val="18"/>
                <w:szCs w:val="18"/>
              </w:rPr>
            </w:pPr>
            <w:r w:rsidRPr="009C2953">
              <w:rPr>
                <w:sz w:val="18"/>
              </w:rPr>
              <w:t>Activités de communication en lien avec l</w:t>
            </w:r>
            <w:r w:rsidR="00EA2966" w:rsidRPr="009C2953">
              <w:rPr>
                <w:sz w:val="18"/>
              </w:rPr>
              <w:t>’</w:t>
            </w:r>
            <w:r w:rsidRPr="009C2953">
              <w:rPr>
                <w:sz w:val="18"/>
              </w:rPr>
              <w:t>évaluation (y compris</w:t>
            </w:r>
            <w:r w:rsidR="00D24DC1" w:rsidRPr="009C2953">
              <w:rPr>
                <w:sz w:val="18"/>
              </w:rPr>
              <w:t xml:space="preserve"> des </w:t>
            </w:r>
            <w:r w:rsidRPr="009C2953">
              <w:rPr>
                <w:sz w:val="18"/>
              </w:rPr>
              <w:t>fiches d</w:t>
            </w:r>
            <w:r w:rsidR="00EA2966" w:rsidRPr="009C2953">
              <w:rPr>
                <w:sz w:val="18"/>
              </w:rPr>
              <w:t>’</w:t>
            </w:r>
            <w:r w:rsidRPr="009C2953">
              <w:rPr>
                <w:sz w:val="18"/>
              </w:rPr>
              <w:t>information)</w:t>
            </w:r>
          </w:p>
        </w:tc>
      </w:tr>
    </w:tbl>
    <w:p w14:paraId="6F011931" w14:textId="77777777" w:rsidR="00607B78" w:rsidRPr="009C2953" w:rsidRDefault="00607B78" w:rsidP="00607B78">
      <w:pPr>
        <w:pStyle w:val="Normal-pool"/>
      </w:pPr>
    </w:p>
    <w:p w14:paraId="183056D4"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117FB765" w14:textId="138AD27C" w:rsidR="00607B78" w:rsidRPr="009C2953" w:rsidRDefault="00607B78" w:rsidP="00607B78">
      <w:pPr>
        <w:pStyle w:val="CH1"/>
        <w:spacing w:before="120"/>
      </w:pPr>
      <w:r w:rsidRPr="009C2953">
        <w:lastRenderedPageBreak/>
        <w:tab/>
      </w:r>
      <w:r w:rsidRPr="009C2953">
        <w:tab/>
        <w:t>Annexe III à</w:t>
      </w:r>
      <w:r w:rsidR="00F34644" w:rsidRPr="009C2953">
        <w:t xml:space="preserve"> la </w:t>
      </w:r>
      <w:r w:rsidRPr="009C2953">
        <w:t>décision IPBES-10/1</w:t>
      </w:r>
    </w:p>
    <w:p w14:paraId="6BAB4FE4" w14:textId="6FEED25D" w:rsidR="00607B78" w:rsidRPr="009C2953" w:rsidRDefault="00607B78" w:rsidP="00607B78">
      <w:pPr>
        <w:pStyle w:val="CH1"/>
        <w:spacing w:before="200"/>
      </w:pPr>
      <w:r w:rsidRPr="009C2953">
        <w:tab/>
      </w:r>
      <w:r w:rsidRPr="009C2953">
        <w:tab/>
        <w:t>Plan de travail pour l</w:t>
      </w:r>
      <w:r w:rsidR="00EA2966" w:rsidRPr="009C2953">
        <w:t>’</w:t>
      </w:r>
      <w:r w:rsidRPr="009C2953">
        <w:t>objectif 2 : renforcement</w:t>
      </w:r>
      <w:r w:rsidR="00D24DC1" w:rsidRPr="009C2953">
        <w:t xml:space="preserve"> des </w:t>
      </w:r>
      <w:r w:rsidRPr="009C2953">
        <w:t>capacités, pour</w:t>
      </w:r>
      <w:r w:rsidR="00AD7438" w:rsidRPr="009C2953">
        <w:t> </w:t>
      </w:r>
      <w:r w:rsidR="00F34644" w:rsidRPr="009C2953">
        <w:t>la </w:t>
      </w:r>
      <w:r w:rsidRPr="009C2953">
        <w:t>période intersessions 2023–2024</w:t>
      </w:r>
    </w:p>
    <w:p w14:paraId="2624D27E" w14:textId="3031B6BC"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pPr>
      <w:r w:rsidRPr="009C2953">
        <w:t>Une équipe spéciale sur</w:t>
      </w:r>
      <w:r w:rsidR="00F34644" w:rsidRPr="009C2953">
        <w:t xml:space="preserve"> le </w:t>
      </w:r>
      <w:r w:rsidRPr="009C2953">
        <w:t>renforcement</w:t>
      </w:r>
      <w:r w:rsidR="00D24DC1" w:rsidRPr="009C2953">
        <w:t xml:space="preserve"> des </w:t>
      </w:r>
      <w:r w:rsidRPr="009C2953">
        <w:t>capacités supervisera et participera à</w:t>
      </w:r>
      <w:r w:rsidR="00F34644" w:rsidRPr="009C2953">
        <w:t xml:space="preserve"> la </w:t>
      </w:r>
      <w:r w:rsidRPr="009C2953">
        <w:t>mise en</w:t>
      </w:r>
      <w:r w:rsidR="00E1113F" w:rsidRPr="009C2953">
        <w:t> </w:t>
      </w:r>
      <w:r w:rsidRPr="009C2953">
        <w:t>œuvre du plan de travail suivant pour l</w:t>
      </w:r>
      <w:r w:rsidR="00EA2966" w:rsidRPr="009C2953">
        <w:t>’</w:t>
      </w:r>
      <w:r w:rsidRPr="009C2953">
        <w:t>objectif 2, avec</w:t>
      </w:r>
      <w:r w:rsidR="00F34644" w:rsidRPr="009C2953">
        <w:t xml:space="preserve"> le </w:t>
      </w:r>
      <w:r w:rsidRPr="009C2953">
        <w:t>soutien du secrétariat, qui comprend</w:t>
      </w:r>
      <w:r w:rsidR="00F34644" w:rsidRPr="009C2953">
        <w:t xml:space="preserve"> un </w:t>
      </w:r>
      <w:r w:rsidRPr="009C2953">
        <w:t>groupe d</w:t>
      </w:r>
      <w:r w:rsidR="00EA2966" w:rsidRPr="009C2953">
        <w:t>’</w:t>
      </w:r>
      <w:r w:rsidRPr="009C2953">
        <w:t>appui technique dédié.</w:t>
      </w:r>
    </w:p>
    <w:p w14:paraId="6DABFE91" w14:textId="24441D07"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pPr>
      <w:r w:rsidRPr="009C2953">
        <w:t>L</w:t>
      </w:r>
      <w:r w:rsidR="00EA2966" w:rsidRPr="009C2953">
        <w:t>’</w:t>
      </w:r>
      <w:r w:rsidRPr="009C2953">
        <w:t>équipe spéciale entreprendra</w:t>
      </w:r>
      <w:r w:rsidR="00D24DC1" w:rsidRPr="009C2953">
        <w:t xml:space="preserve"> des </w:t>
      </w:r>
      <w:r w:rsidRPr="009C2953">
        <w:t>activités pour garantir</w:t>
      </w:r>
      <w:r w:rsidR="00F34644" w:rsidRPr="009C2953">
        <w:t xml:space="preserve"> la </w:t>
      </w:r>
      <w:r w:rsidRPr="009C2953">
        <w:t>mise en œuvre effective du plan de</w:t>
      </w:r>
      <w:r w:rsidR="00E1113F" w:rsidRPr="009C2953">
        <w:t> </w:t>
      </w:r>
      <w:r w:rsidRPr="009C2953">
        <w:t>travail,</w:t>
      </w:r>
      <w:r w:rsidR="00F34644" w:rsidRPr="009C2953">
        <w:t xml:space="preserve"> y </w:t>
      </w:r>
      <w:r w:rsidRPr="009C2953">
        <w:t>compris</w:t>
      </w:r>
      <w:r w:rsidR="00F34644" w:rsidRPr="009C2953">
        <w:t xml:space="preserve"> la </w:t>
      </w:r>
      <w:r w:rsidRPr="009C2953">
        <w:t>poursuite de l</w:t>
      </w:r>
      <w:r w:rsidR="00EA2966" w:rsidRPr="009C2953">
        <w:t>’</w:t>
      </w:r>
      <w:r w:rsidRPr="009C2953">
        <w:t>élaboration et</w:t>
      </w:r>
      <w:r w:rsidR="00F34644" w:rsidRPr="009C2953">
        <w:t xml:space="preserve"> le </w:t>
      </w:r>
      <w:r w:rsidRPr="009C2953">
        <w:t>suivi d</w:t>
      </w:r>
      <w:r w:rsidR="00EA2966" w:rsidRPr="009C2953">
        <w:t>’</w:t>
      </w:r>
      <w:r w:rsidRPr="009C2953">
        <w:t>une série d</w:t>
      </w:r>
      <w:r w:rsidR="00EA2966" w:rsidRPr="009C2953">
        <w:t>’</w:t>
      </w:r>
      <w:r w:rsidRPr="009C2953">
        <w:t>indicateurs pertinents pour mesurer l</w:t>
      </w:r>
      <w:r w:rsidR="00EA2966" w:rsidRPr="009C2953">
        <w:t>’</w:t>
      </w:r>
      <w:r w:rsidRPr="009C2953">
        <w:t>efficacité. L</w:t>
      </w:r>
      <w:r w:rsidR="00EA2966" w:rsidRPr="009C2953">
        <w:t>’</w:t>
      </w:r>
      <w:r w:rsidRPr="009C2953">
        <w:t>ensemble d</w:t>
      </w:r>
      <w:r w:rsidR="00EA2966" w:rsidRPr="009C2953">
        <w:t>’</w:t>
      </w:r>
      <w:r w:rsidRPr="009C2953">
        <w:t>indicateurs mis au point sera présenté à</w:t>
      </w:r>
      <w:r w:rsidR="00F34644" w:rsidRPr="009C2953">
        <w:t xml:space="preserve"> la </w:t>
      </w:r>
      <w:r w:rsidRPr="009C2953">
        <w:t>Plénière, à</w:t>
      </w:r>
      <w:r w:rsidR="00F34644" w:rsidRPr="009C2953">
        <w:t xml:space="preserve"> sa </w:t>
      </w:r>
      <w:r w:rsidRPr="009C2953">
        <w:t>onzième session, dans</w:t>
      </w:r>
      <w:r w:rsidR="00F34644" w:rsidRPr="009C2953">
        <w:t xml:space="preserve"> le </w:t>
      </w:r>
      <w:r w:rsidRPr="009C2953">
        <w:t>cadre du projet de plan de travail pour</w:t>
      </w:r>
      <w:r w:rsidR="00F34644" w:rsidRPr="009C2953">
        <w:t xml:space="preserve"> la </w:t>
      </w:r>
      <w:r w:rsidRPr="009C2953">
        <w:t>période intersessions 2024</w:t>
      </w:r>
      <w:r w:rsidR="00FA7442">
        <w:t>–</w:t>
      </w:r>
      <w:r w:rsidRPr="009C2953">
        <w:t>2025.</w:t>
      </w:r>
    </w:p>
    <w:p w14:paraId="7A51F5DC" w14:textId="109F218C" w:rsidR="00607B78" w:rsidRPr="009C2953" w:rsidRDefault="00607B78" w:rsidP="00607B78">
      <w:pPr>
        <w:pStyle w:val="CH1"/>
      </w:pPr>
      <w:r w:rsidRPr="009C2953">
        <w:tab/>
        <w:t>I.</w:t>
      </w:r>
      <w:r w:rsidRPr="009C2953">
        <w:tab/>
        <w:t>Objectif 2 a) :</w:t>
      </w:r>
      <w:r w:rsidR="00F34644" w:rsidRPr="009C2953">
        <w:t xml:space="preserve"> un </w:t>
      </w:r>
      <w:r w:rsidRPr="009C2953">
        <w:t>apprentissage et</w:t>
      </w:r>
      <w:r w:rsidR="00F34644" w:rsidRPr="009C2953">
        <w:t xml:space="preserve"> un </w:t>
      </w:r>
      <w:r w:rsidRPr="009C2953">
        <w:t>engagement améliorés</w:t>
      </w:r>
    </w:p>
    <w:p w14:paraId="3551FC6C" w14:textId="51AD45FA"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destinées à mettre en œuvre</w:t>
      </w:r>
      <w:r w:rsidR="00F34644" w:rsidRPr="009C2953">
        <w:t xml:space="preserve"> le </w:t>
      </w:r>
      <w:r w:rsidRPr="009C2953">
        <w:t>programme de bourses de recherches comprendront :</w:t>
      </w:r>
    </w:p>
    <w:p w14:paraId="254D8CAF" w14:textId="61ABA74B"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Pour l</w:t>
      </w:r>
      <w:r w:rsidR="00EA2966" w:rsidRPr="009C2953">
        <w:t>’</w:t>
      </w:r>
      <w:r w:rsidRPr="009C2953">
        <w:t>évaluation</w:t>
      </w:r>
      <w:r w:rsidR="00D24DC1" w:rsidRPr="009C2953">
        <w:t xml:space="preserve"> des </w:t>
      </w:r>
      <w:r w:rsidRPr="009C2953">
        <w:t>entreprises et de</w:t>
      </w:r>
      <w:r w:rsidR="00F34644" w:rsidRPr="009C2953">
        <w:t xml:space="preserve"> la </w:t>
      </w:r>
      <w:r w:rsidRPr="009C2953">
        <w:t>biodiversité : l</w:t>
      </w:r>
      <w:r w:rsidR="00EA2966" w:rsidRPr="009C2953">
        <w:t>’</w:t>
      </w:r>
      <w:r w:rsidRPr="009C2953">
        <w:t>organisation d</w:t>
      </w:r>
      <w:r w:rsidR="00EA2966" w:rsidRPr="009C2953">
        <w:t>’</w:t>
      </w:r>
      <w:r w:rsidRPr="009C2953">
        <w:t>une journée d</w:t>
      </w:r>
      <w:r w:rsidR="00EA2966" w:rsidRPr="009C2953">
        <w:t>’</w:t>
      </w:r>
      <w:r w:rsidRPr="009C2953">
        <w:t>intégrati</w:t>
      </w:r>
      <w:r w:rsidR="009B5633" w:rsidRPr="009C2953">
        <w:t>o</w:t>
      </w:r>
      <w:r w:rsidRPr="009C2953">
        <w:t>n et</w:t>
      </w:r>
      <w:r w:rsidR="00F34644" w:rsidRPr="009C2953">
        <w:t xml:space="preserve"> la </w:t>
      </w:r>
      <w:r w:rsidRPr="009C2953">
        <w:t>participation</w:t>
      </w:r>
      <w:r w:rsidR="00D24DC1" w:rsidRPr="009C2953">
        <w:t xml:space="preserve"> des </w:t>
      </w:r>
      <w:r w:rsidRPr="009C2953">
        <w:t>boursier(</w:t>
      </w:r>
      <w:proofErr w:type="spellStart"/>
      <w:r w:rsidRPr="009C2953">
        <w:t>ière</w:t>
      </w:r>
      <w:proofErr w:type="spellEnd"/>
      <w:r w:rsidRPr="009C2953">
        <w:t>)s (12 jeunes chercheur(se)s, à sélectionner en 2023) à</w:t>
      </w:r>
      <w:r w:rsidR="00F34644" w:rsidRPr="009C2953">
        <w:t xml:space="preserve"> la </w:t>
      </w:r>
      <w:r w:rsidRPr="009C2953">
        <w:t>première réunion</w:t>
      </w:r>
      <w:r w:rsidR="00D24DC1" w:rsidRPr="009C2953">
        <w:t xml:space="preserve"> des </w:t>
      </w:r>
      <w:r w:rsidRPr="009C2953">
        <w:t>auteur(</w:t>
      </w:r>
      <w:proofErr w:type="spellStart"/>
      <w:r w:rsidRPr="009C2953">
        <w:t>rice</w:t>
      </w:r>
      <w:proofErr w:type="spellEnd"/>
      <w:r w:rsidRPr="009C2953">
        <w:t>)s de l</w:t>
      </w:r>
      <w:r w:rsidR="00EA2966" w:rsidRPr="009C2953">
        <w:t>’</w:t>
      </w:r>
      <w:r w:rsidRPr="009C2953">
        <w:t>évaluation (troisième trimestre 2023), ainsi qu</w:t>
      </w:r>
      <w:r w:rsidR="00EA2966" w:rsidRPr="009C2953">
        <w:t>’</w:t>
      </w:r>
      <w:r w:rsidRPr="009C2953">
        <w:t>à</w:t>
      </w:r>
      <w:r w:rsidR="00F34644" w:rsidRPr="009C2953">
        <w:t xml:space="preserve"> la </w:t>
      </w:r>
      <w:r w:rsidRPr="009C2953">
        <w:t>deuxième réunion</w:t>
      </w:r>
      <w:r w:rsidR="00D24DC1" w:rsidRPr="009C2953">
        <w:t xml:space="preserve"> des </w:t>
      </w:r>
      <w:r w:rsidRPr="009C2953">
        <w:t>auteur(</w:t>
      </w:r>
      <w:proofErr w:type="spellStart"/>
      <w:r w:rsidRPr="009C2953">
        <w:t>rice</w:t>
      </w:r>
      <w:proofErr w:type="spellEnd"/>
      <w:r w:rsidRPr="009C2953">
        <w:t>)s (quatrième trimestre 2024) ;</w:t>
      </w:r>
    </w:p>
    <w:p w14:paraId="2B1ADA0F" w14:textId="064EFF59"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La diffusion d</w:t>
      </w:r>
      <w:r w:rsidR="00EA2966" w:rsidRPr="009C2953">
        <w:t>’</w:t>
      </w:r>
      <w:r w:rsidRPr="009C2953">
        <w:t>un appel à candidatures de chercheur(se)s en début de carrière auprès</w:t>
      </w:r>
      <w:r w:rsidR="00D24DC1" w:rsidRPr="009C2953">
        <w:t xml:space="preserve"> des </w:t>
      </w:r>
      <w:r w:rsidRPr="009C2953">
        <w:t>gouvernements et</w:t>
      </w:r>
      <w:r w:rsidR="00D24DC1" w:rsidRPr="009C2953">
        <w:t xml:space="preserve"> des </w:t>
      </w:r>
      <w:r w:rsidRPr="009C2953">
        <w:t>organisations pour toute nouvelle évaluation et pour l</w:t>
      </w:r>
      <w:r w:rsidR="00EA2966" w:rsidRPr="009C2953">
        <w:t>’</w:t>
      </w:r>
      <w:r w:rsidRPr="009C2953">
        <w:t>équipe spéciale sur</w:t>
      </w:r>
      <w:r w:rsidR="00F34644" w:rsidRPr="009C2953">
        <w:t xml:space="preserve"> les </w:t>
      </w:r>
      <w:r w:rsidRPr="009C2953">
        <w:t>scénarios et</w:t>
      </w:r>
      <w:r w:rsidR="00F34644" w:rsidRPr="009C2953">
        <w:t xml:space="preserve"> les </w:t>
      </w:r>
      <w:r w:rsidRPr="009C2953">
        <w:t>modèles, et</w:t>
      </w:r>
      <w:r w:rsidR="00F34644" w:rsidRPr="009C2953">
        <w:t xml:space="preserve"> la </w:t>
      </w:r>
      <w:r w:rsidRPr="009C2953">
        <w:t>sélection d</w:t>
      </w:r>
      <w:r w:rsidR="00EA2966" w:rsidRPr="009C2953">
        <w:t>’</w:t>
      </w:r>
      <w:r w:rsidRPr="009C2953">
        <w:t>un maximum de 12 </w:t>
      </w:r>
      <w:proofErr w:type="gramStart"/>
      <w:r w:rsidRPr="009C2953">
        <w:t>boursier</w:t>
      </w:r>
      <w:proofErr w:type="gramEnd"/>
      <w:r w:rsidRPr="009C2953">
        <w:t>(ères)s par</w:t>
      </w:r>
      <w:r w:rsidR="00F34644" w:rsidRPr="009C2953">
        <w:t xml:space="preserve"> le </w:t>
      </w:r>
      <w:r w:rsidRPr="009C2953">
        <w:t>comité de gestion</w:t>
      </w:r>
      <w:r w:rsidR="000E6477" w:rsidRPr="009C2953">
        <w:t xml:space="preserve"> </w:t>
      </w:r>
      <w:r w:rsidRPr="009C2953">
        <w:t>de l</w:t>
      </w:r>
      <w:r w:rsidR="00EA2966" w:rsidRPr="009C2953">
        <w:t>’</w:t>
      </w:r>
      <w:r w:rsidRPr="009C2953">
        <w:t>évaluation et de deux boursier(ères)s par</w:t>
      </w:r>
      <w:r w:rsidR="00F34644" w:rsidRPr="009C2953">
        <w:t xml:space="preserve"> le </w:t>
      </w:r>
      <w:r w:rsidRPr="009C2953">
        <w:t>comité de gestion de l</w:t>
      </w:r>
      <w:r w:rsidR="00EA2966" w:rsidRPr="009C2953">
        <w:t>’</w:t>
      </w:r>
      <w:r w:rsidRPr="009C2953">
        <w:t>équipe spéciale sur</w:t>
      </w:r>
      <w:r w:rsidR="00F34644" w:rsidRPr="009C2953">
        <w:t xml:space="preserve"> les </w:t>
      </w:r>
      <w:r w:rsidRPr="009C2953">
        <w:t>scénarios et</w:t>
      </w:r>
      <w:r w:rsidR="00F34644" w:rsidRPr="009C2953">
        <w:t xml:space="preserve"> les </w:t>
      </w:r>
      <w:r w:rsidRPr="009C2953">
        <w:t>modèles (deuxième semestre 2023) ;</w:t>
      </w:r>
    </w:p>
    <w:p w14:paraId="402C4C0A" w14:textId="1D1FE852"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Pour toute nouvelle évaluation : l</w:t>
      </w:r>
      <w:r w:rsidR="00EA2966" w:rsidRPr="009C2953">
        <w:t>’</w:t>
      </w:r>
      <w:r w:rsidRPr="009C2953">
        <w:t>organisation d</w:t>
      </w:r>
      <w:r w:rsidR="00EA2966" w:rsidRPr="009C2953">
        <w:t>’</w:t>
      </w:r>
      <w:r w:rsidRPr="009C2953">
        <w:t>une journée d</w:t>
      </w:r>
      <w:r w:rsidR="00EA2966" w:rsidRPr="009C2953">
        <w:t>’</w:t>
      </w:r>
      <w:r w:rsidRPr="009C2953">
        <w:t>intégration et</w:t>
      </w:r>
      <w:r w:rsidR="00F34644" w:rsidRPr="009C2953">
        <w:t xml:space="preserve"> la </w:t>
      </w:r>
      <w:r w:rsidRPr="009C2953">
        <w:t>participation</w:t>
      </w:r>
      <w:r w:rsidR="00D24DC1" w:rsidRPr="009C2953">
        <w:t xml:space="preserve"> des </w:t>
      </w:r>
      <w:r w:rsidRPr="009C2953">
        <w:t>boursier(ères)s à</w:t>
      </w:r>
      <w:r w:rsidR="00F34644" w:rsidRPr="009C2953">
        <w:t xml:space="preserve"> la </w:t>
      </w:r>
      <w:r w:rsidRPr="009C2953">
        <w:t>première réunion</w:t>
      </w:r>
      <w:r w:rsidR="00D24DC1" w:rsidRPr="009C2953">
        <w:t xml:space="preserve"> des </w:t>
      </w:r>
      <w:r w:rsidRPr="009C2953">
        <w:t>auteur(</w:t>
      </w:r>
      <w:proofErr w:type="spellStart"/>
      <w:r w:rsidRPr="009C2953">
        <w:t>rice</w:t>
      </w:r>
      <w:proofErr w:type="spellEnd"/>
      <w:r w:rsidRPr="009C2953">
        <w:t>)s (quatrième trimestre 2024) ;</w:t>
      </w:r>
    </w:p>
    <w:p w14:paraId="7E6DE642" w14:textId="237C495C"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Pour l</w:t>
      </w:r>
      <w:r w:rsidR="00EA2966" w:rsidRPr="009C2953">
        <w:t>’</w:t>
      </w:r>
      <w:r w:rsidRPr="009C2953">
        <w:t>évaluation</w:t>
      </w:r>
      <w:r w:rsidR="00D24DC1" w:rsidRPr="009C2953">
        <w:t xml:space="preserve"> des </w:t>
      </w:r>
      <w:r w:rsidRPr="009C2953">
        <w:t>interdépendances :</w:t>
      </w:r>
      <w:r w:rsidR="00F34644" w:rsidRPr="009C2953">
        <w:t xml:space="preserve"> la </w:t>
      </w:r>
      <w:r w:rsidRPr="009C2953">
        <w:t>participation</w:t>
      </w:r>
      <w:r w:rsidR="00D24DC1" w:rsidRPr="009C2953">
        <w:t xml:space="preserve"> des </w:t>
      </w:r>
      <w:r w:rsidRPr="009C2953">
        <w:t>boursier(ères)s (13 jeunes chercheur(se</w:t>
      </w:r>
      <w:r w:rsidR="000E6477" w:rsidRPr="009C2953">
        <w:t>)</w:t>
      </w:r>
      <w:r w:rsidRPr="009C2953">
        <w:t>s, sélectionné(e)s en 2021) à</w:t>
      </w:r>
      <w:r w:rsidR="00F34644" w:rsidRPr="009C2953">
        <w:t xml:space="preserve"> la </w:t>
      </w:r>
      <w:r w:rsidRPr="009C2953">
        <w:t>troisième réunion</w:t>
      </w:r>
      <w:r w:rsidR="00D24DC1" w:rsidRPr="009C2953">
        <w:t xml:space="preserve"> des </w:t>
      </w:r>
      <w:r w:rsidRPr="009C2953">
        <w:t>auteur(</w:t>
      </w:r>
      <w:proofErr w:type="spellStart"/>
      <w:r w:rsidRPr="009C2953">
        <w:t>rice</w:t>
      </w:r>
      <w:proofErr w:type="spellEnd"/>
      <w:r w:rsidRPr="009C2953">
        <w:t>)s de l</w:t>
      </w:r>
      <w:r w:rsidR="00EA2966" w:rsidRPr="009C2953">
        <w:t>’</w:t>
      </w:r>
      <w:r w:rsidRPr="009C2953">
        <w:t>évaluation</w:t>
      </w:r>
      <w:r w:rsidR="00603B8D" w:rsidRPr="009C2953">
        <w:t xml:space="preserve"> </w:t>
      </w:r>
      <w:r w:rsidRPr="009C2953">
        <w:t>(premier trimestre 2024) ;</w:t>
      </w:r>
    </w:p>
    <w:p w14:paraId="59276EE1" w14:textId="0629F6D5"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Pour l</w:t>
      </w:r>
      <w:r w:rsidR="00EA2966" w:rsidRPr="009C2953">
        <w:t>’</w:t>
      </w:r>
      <w:r w:rsidRPr="009C2953">
        <w:t>évaluation du changement transformateur :</w:t>
      </w:r>
      <w:r w:rsidR="00F34644" w:rsidRPr="009C2953">
        <w:t xml:space="preserve"> la </w:t>
      </w:r>
      <w:r w:rsidRPr="009C2953">
        <w:t>participation</w:t>
      </w:r>
      <w:r w:rsidR="00D24DC1" w:rsidRPr="009C2953">
        <w:t xml:space="preserve"> des </w:t>
      </w:r>
      <w:r w:rsidRPr="009C2953">
        <w:t>boursier(ères)s (12 jeunes chercheur(ses), sélectionné(e)s en 2021) à</w:t>
      </w:r>
      <w:r w:rsidR="00F34644" w:rsidRPr="009C2953">
        <w:t xml:space="preserve"> la </w:t>
      </w:r>
      <w:r w:rsidRPr="009C2953">
        <w:t>troisième réunion</w:t>
      </w:r>
      <w:r w:rsidR="00D24DC1" w:rsidRPr="009C2953">
        <w:t xml:space="preserve"> des </w:t>
      </w:r>
      <w:r w:rsidRPr="009C2953">
        <w:t>auteur(</w:t>
      </w:r>
      <w:proofErr w:type="spellStart"/>
      <w:r w:rsidRPr="009C2953">
        <w:t>rice</w:t>
      </w:r>
      <w:proofErr w:type="spellEnd"/>
      <w:r w:rsidRPr="009C2953">
        <w:t>)s de</w:t>
      </w:r>
      <w:r w:rsidR="00603B8D" w:rsidRPr="009C2953">
        <w:t xml:space="preserve"> </w:t>
      </w:r>
      <w:r w:rsidRPr="009C2953">
        <w:t>l</w:t>
      </w:r>
      <w:r w:rsidR="00EA2966" w:rsidRPr="009C2953">
        <w:t>’</w:t>
      </w:r>
      <w:r w:rsidRPr="009C2953">
        <w:t>évaluation (premier trimestre de 2024) ;</w:t>
      </w:r>
    </w:p>
    <w:p w14:paraId="58D5A626" w14:textId="6A0A4C91"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L</w:t>
      </w:r>
      <w:r w:rsidR="00EA2966" w:rsidRPr="009C2953">
        <w:t>’</w:t>
      </w:r>
      <w:r w:rsidRPr="009C2953">
        <w:t>organisation d</w:t>
      </w:r>
      <w:r w:rsidR="00EA2966" w:rsidRPr="009C2953">
        <w:t>’</w:t>
      </w:r>
      <w:r w:rsidRPr="009C2953">
        <w:t>un atelier de formation annuel pour</w:t>
      </w:r>
      <w:r w:rsidR="00F34644" w:rsidRPr="009C2953">
        <w:t xml:space="preserve"> </w:t>
      </w:r>
      <w:proofErr w:type="gramStart"/>
      <w:r w:rsidR="00F34644" w:rsidRPr="009C2953">
        <w:t>les </w:t>
      </w:r>
      <w:r w:rsidRPr="009C2953">
        <w:t>boursier</w:t>
      </w:r>
      <w:proofErr w:type="gramEnd"/>
      <w:r w:rsidRPr="009C2953">
        <w:t>(ères)s participant</w:t>
      </w:r>
      <w:r w:rsidR="00F34644" w:rsidRPr="009C2953">
        <w:t xml:space="preserve"> aux </w:t>
      </w:r>
      <w:r w:rsidRPr="009C2953">
        <w:t>évaluations en cours et</w:t>
      </w:r>
      <w:r w:rsidR="00F34644" w:rsidRPr="009C2953">
        <w:t xml:space="preserve"> aux </w:t>
      </w:r>
      <w:r w:rsidRPr="009C2953">
        <w:t>travaux de l</w:t>
      </w:r>
      <w:r w:rsidR="00EA2966" w:rsidRPr="009C2953">
        <w:t>’</w:t>
      </w:r>
      <w:r w:rsidRPr="009C2953">
        <w:t>équipe spéciale sur</w:t>
      </w:r>
      <w:r w:rsidR="00F34644" w:rsidRPr="009C2953">
        <w:t xml:space="preserve"> les </w:t>
      </w:r>
      <w:r w:rsidRPr="009C2953">
        <w:t>scénarios et</w:t>
      </w:r>
      <w:r w:rsidR="00F34644" w:rsidRPr="009C2953">
        <w:t xml:space="preserve"> les </w:t>
      </w:r>
      <w:r w:rsidRPr="009C2953">
        <w:t>modèles. L</w:t>
      </w:r>
      <w:r w:rsidR="00EA2966" w:rsidRPr="009C2953">
        <w:t>’</w:t>
      </w:r>
      <w:r w:rsidRPr="009C2953">
        <w:t>atelier</w:t>
      </w:r>
      <w:r w:rsidR="00B16765" w:rsidRPr="009C2953">
        <w:t> </w:t>
      </w:r>
      <w:r w:rsidRPr="009C2953">
        <w:t>permettra</w:t>
      </w:r>
      <w:r w:rsidR="00F34644" w:rsidRPr="009C2953">
        <w:t xml:space="preserve"> aux </w:t>
      </w:r>
      <w:r w:rsidRPr="009C2953">
        <w:t>boursier(ères)s de renforcer</w:t>
      </w:r>
      <w:r w:rsidR="00107282" w:rsidRPr="009C2953">
        <w:t xml:space="preserve"> leurs </w:t>
      </w:r>
      <w:r w:rsidRPr="009C2953">
        <w:t>compétences dans</w:t>
      </w:r>
      <w:r w:rsidR="00F34644" w:rsidRPr="009C2953">
        <w:t xml:space="preserve"> les </w:t>
      </w:r>
      <w:r w:rsidRPr="009C2953">
        <w:t>sujets clés relatifs à</w:t>
      </w:r>
      <w:r w:rsidR="00B16765" w:rsidRPr="009C2953">
        <w:t> </w:t>
      </w:r>
      <w:r w:rsidR="00107282" w:rsidRPr="009C2953">
        <w:t>leurs </w:t>
      </w:r>
      <w:r w:rsidRPr="009C2953">
        <w:t>activités au sein de l</w:t>
      </w:r>
      <w:r w:rsidR="00EA2966" w:rsidRPr="009C2953">
        <w:t>’</w:t>
      </w:r>
      <w:r w:rsidRPr="009C2953">
        <w:t>IPBES et sera l</w:t>
      </w:r>
      <w:r w:rsidR="00EA2966" w:rsidRPr="009C2953">
        <w:t>’</w:t>
      </w:r>
      <w:r w:rsidRPr="009C2953">
        <w:t>occasion d</w:t>
      </w:r>
      <w:r w:rsidR="00EA2966" w:rsidRPr="009C2953">
        <w:t>’</w:t>
      </w:r>
      <w:r w:rsidRPr="009C2953">
        <w:t>échanger entre pair(e)s et d</w:t>
      </w:r>
      <w:r w:rsidR="00EA2966" w:rsidRPr="009C2953">
        <w:t>’</w:t>
      </w:r>
      <w:r w:rsidRPr="009C2953">
        <w:t>apprendre de manière collégiale, tant au sein</w:t>
      </w:r>
      <w:r w:rsidR="00D24DC1" w:rsidRPr="009C2953">
        <w:t xml:space="preserve"> des </w:t>
      </w:r>
      <w:r w:rsidRPr="009C2953">
        <w:t>différentes cohortes de jeunes chercheur(se)s qu</w:t>
      </w:r>
      <w:r w:rsidR="00EA2966" w:rsidRPr="009C2953">
        <w:t>’</w:t>
      </w:r>
      <w:r w:rsidRPr="009C2953">
        <w:t>entre-elles (deuxième semestre 2024) ;</w:t>
      </w:r>
    </w:p>
    <w:p w14:paraId="1753D5AD" w14:textId="589AB7A4" w:rsidR="00607B78" w:rsidRPr="009C2953" w:rsidRDefault="00607B78" w:rsidP="00F62429">
      <w:pPr>
        <w:pStyle w:val="NormalNonumber"/>
        <w:numPr>
          <w:ilvl w:val="7"/>
          <w:numId w:val="25"/>
        </w:numPr>
        <w:tabs>
          <w:tab w:val="clear" w:pos="1247"/>
          <w:tab w:val="clear" w:pos="1871"/>
          <w:tab w:val="clear" w:pos="2495"/>
          <w:tab w:val="clear" w:pos="3119"/>
          <w:tab w:val="clear" w:pos="3742"/>
          <w:tab w:val="clear" w:pos="4366"/>
          <w:tab w:val="left" w:pos="2552"/>
        </w:tabs>
        <w:spacing w:after="100"/>
        <w:ind w:left="1247" w:firstLine="624"/>
      </w:pPr>
      <w:r w:rsidRPr="009C2953">
        <w:t>La fourniture d</w:t>
      </w:r>
      <w:r w:rsidR="00EA2966" w:rsidRPr="009C2953">
        <w:t>’</w:t>
      </w:r>
      <w:r w:rsidRPr="009C2953">
        <w:t>un appui au réseau de boursier(ères)s et d</w:t>
      </w:r>
      <w:r w:rsidR="00EA2966" w:rsidRPr="009C2953">
        <w:t>’</w:t>
      </w:r>
      <w:r w:rsidRPr="009C2953">
        <w:t>ancien(ne)s boursier(ères)s de l</w:t>
      </w:r>
      <w:r w:rsidR="00EA2966" w:rsidRPr="009C2953">
        <w:t>’</w:t>
      </w:r>
      <w:r w:rsidRPr="009C2953">
        <w:t>IPBES, notamment en favorisant l</w:t>
      </w:r>
      <w:r w:rsidR="00EA2966" w:rsidRPr="009C2953">
        <w:t>’</w:t>
      </w:r>
      <w:r w:rsidRPr="009C2953">
        <w:t>implication</w:t>
      </w:r>
      <w:r w:rsidR="00D24DC1" w:rsidRPr="009C2953">
        <w:t xml:space="preserve"> des </w:t>
      </w:r>
      <w:r w:rsidRPr="009C2953">
        <w:t>boursier(ères)s et</w:t>
      </w:r>
      <w:r w:rsidR="00D24DC1" w:rsidRPr="009C2953">
        <w:t xml:space="preserve"> des </w:t>
      </w:r>
      <w:r w:rsidRPr="009C2953">
        <w:t>ancien(ne)s boursier(ères)s dans</w:t>
      </w:r>
      <w:r w:rsidR="00D24DC1" w:rsidRPr="009C2953">
        <w:t xml:space="preserve"> des </w:t>
      </w:r>
      <w:r w:rsidRPr="009C2953">
        <w:t>activités soutenant</w:t>
      </w:r>
      <w:r w:rsidR="00F34644" w:rsidRPr="009C2953">
        <w:t xml:space="preserve"> la </w:t>
      </w:r>
      <w:r w:rsidRPr="009C2953">
        <w:t>mise en œuvre de l</w:t>
      </w:r>
      <w:r w:rsidR="00EA2966" w:rsidRPr="009C2953">
        <w:t>’</w:t>
      </w:r>
      <w:r w:rsidRPr="009C2953">
        <w:t>objectif 2, en recensant et en développant davantage</w:t>
      </w:r>
      <w:r w:rsidR="00F34644" w:rsidRPr="009C2953">
        <w:t xml:space="preserve"> les </w:t>
      </w:r>
      <w:r w:rsidRPr="009C2953">
        <w:t>activités du réseau et en organisant</w:t>
      </w:r>
      <w:r w:rsidR="00F34644" w:rsidRPr="009C2953">
        <w:t xml:space="preserve"> une </w:t>
      </w:r>
      <w:r w:rsidRPr="009C2953">
        <w:t>réunion en ligne pour faciliter l</w:t>
      </w:r>
      <w:r w:rsidR="00EA2966" w:rsidRPr="009C2953">
        <w:t>’</w:t>
      </w:r>
      <w:r w:rsidRPr="009C2953">
        <w:t>échange de connaissances entre</w:t>
      </w:r>
      <w:r w:rsidR="00F34644" w:rsidRPr="009C2953">
        <w:t xml:space="preserve"> les </w:t>
      </w:r>
      <w:r w:rsidRPr="009C2953">
        <w:t>différentes cohortes du programme de bourses (quatrième</w:t>
      </w:r>
      <w:r w:rsidR="000D47E2" w:rsidRPr="009C2953">
        <w:t> </w:t>
      </w:r>
      <w:r w:rsidRPr="009C2953">
        <w:t>trimestre 2023)</w:t>
      </w:r>
      <w:r w:rsidR="00B16765" w:rsidRPr="009C2953">
        <w:t>.</w:t>
      </w:r>
    </w:p>
    <w:p w14:paraId="06390779" w14:textId="63C0AE51"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destinées à mettre en œuvre le programme de formation et de familiarisation</w:t>
      </w:r>
      <w:r w:rsidR="00D24DC1" w:rsidRPr="009C2953">
        <w:t xml:space="preserve"> des </w:t>
      </w:r>
      <w:r w:rsidRPr="009C2953">
        <w:t>expert(e)s de l</w:t>
      </w:r>
      <w:r w:rsidR="00EA2966" w:rsidRPr="009C2953">
        <w:t>’</w:t>
      </w:r>
      <w:r w:rsidRPr="009C2953">
        <w:t>IPBES et</w:t>
      </w:r>
      <w:r w:rsidR="00D24DC1" w:rsidRPr="009C2953">
        <w:t xml:space="preserve"> des </w:t>
      </w:r>
      <w:r w:rsidRPr="009C2953">
        <w:t>autres parties intéressées,</w:t>
      </w:r>
      <w:r w:rsidR="00F34644" w:rsidRPr="009C2953">
        <w:t xml:space="preserve"> y </w:t>
      </w:r>
      <w:r w:rsidRPr="009C2953">
        <w:t>compris</w:t>
      </w:r>
      <w:r w:rsidR="00F34644" w:rsidRPr="009C2953">
        <w:t xml:space="preserve"> les </w:t>
      </w:r>
      <w:r w:rsidRPr="009C2953">
        <w:t>jeunes et d</w:t>
      </w:r>
      <w:r w:rsidR="00EA2966" w:rsidRPr="009C2953">
        <w:t>’</w:t>
      </w:r>
      <w:r w:rsidRPr="009C2953">
        <w:t>autres spécialistes, prenant part à l</w:t>
      </w:r>
      <w:r w:rsidR="00EA2966" w:rsidRPr="009C2953">
        <w:t>’</w:t>
      </w:r>
      <w:r w:rsidRPr="009C2953">
        <w:t>interface science</w:t>
      </w:r>
      <w:r w:rsidR="009F7FAD" w:rsidRPr="009C2953">
        <w:t>-</w:t>
      </w:r>
      <w:r w:rsidRPr="009C2953">
        <w:t>politiques comprendront :</w:t>
      </w:r>
    </w:p>
    <w:p w14:paraId="54E05438" w14:textId="1205C589"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poursuite de l</w:t>
      </w:r>
      <w:r w:rsidR="00EA2966" w:rsidRPr="009C2953">
        <w:rPr>
          <w:color w:val="000000"/>
        </w:rPr>
        <w:t>’</w:t>
      </w:r>
      <w:r w:rsidRPr="009C2953">
        <w:rPr>
          <w:color w:val="000000"/>
        </w:rPr>
        <w:t>élaboration et</w:t>
      </w:r>
      <w:r w:rsidR="00F34644" w:rsidRPr="009C2953">
        <w:rPr>
          <w:color w:val="000000"/>
        </w:rPr>
        <w:t xml:space="preserve"> la </w:t>
      </w:r>
      <w:r w:rsidRPr="009C2953">
        <w:rPr>
          <w:color w:val="000000"/>
        </w:rPr>
        <w:t>promotion de</w:t>
      </w:r>
      <w:r w:rsidR="00F34644" w:rsidRPr="009C2953">
        <w:rPr>
          <w:color w:val="000000"/>
        </w:rPr>
        <w:t xml:space="preserve"> la </w:t>
      </w:r>
      <w:r w:rsidRPr="009C2953">
        <w:rPr>
          <w:color w:val="000000"/>
        </w:rPr>
        <w:t>série de webinaires de</w:t>
      </w:r>
      <w:r w:rsidR="00F34644" w:rsidRPr="009C2953">
        <w:rPr>
          <w:color w:val="000000"/>
        </w:rPr>
        <w:t xml:space="preserve"> la </w:t>
      </w:r>
      <w:r w:rsidRPr="009C2953">
        <w:rPr>
          <w:color w:val="000000"/>
        </w:rPr>
        <w:t>Plateforme,</w:t>
      </w:r>
      <w:r w:rsidR="00D24DC1" w:rsidRPr="009C2953">
        <w:rPr>
          <w:color w:val="000000"/>
        </w:rPr>
        <w:t xml:space="preserve"> des </w:t>
      </w:r>
      <w:r w:rsidRPr="009C2953">
        <w:rPr>
          <w:color w:val="000000"/>
        </w:rPr>
        <w:t>outils en ligne et</w:t>
      </w:r>
      <w:r w:rsidR="00D24DC1" w:rsidRPr="009C2953">
        <w:rPr>
          <w:color w:val="000000"/>
        </w:rPr>
        <w:t xml:space="preserve"> des </w:t>
      </w:r>
      <w:r w:rsidRPr="009C2953">
        <w:rPr>
          <w:color w:val="000000"/>
        </w:rPr>
        <w:t>vidéos consacrés au fonctionnement de l</w:t>
      </w:r>
      <w:r w:rsidR="00EA2966" w:rsidRPr="009C2953">
        <w:rPr>
          <w:color w:val="000000"/>
        </w:rPr>
        <w:t>’</w:t>
      </w:r>
      <w:r w:rsidRPr="009C2953">
        <w:rPr>
          <w:color w:val="000000"/>
        </w:rPr>
        <w:t>IPBES, en mettant l</w:t>
      </w:r>
      <w:r w:rsidR="00EA2966" w:rsidRPr="009C2953">
        <w:rPr>
          <w:color w:val="000000"/>
        </w:rPr>
        <w:t>’</w:t>
      </w:r>
      <w:r w:rsidRPr="009C2953">
        <w:rPr>
          <w:color w:val="000000"/>
        </w:rPr>
        <w:t>accent sur</w:t>
      </w:r>
      <w:r w:rsidR="00F34644" w:rsidRPr="009C2953">
        <w:rPr>
          <w:color w:val="000000"/>
        </w:rPr>
        <w:t xml:space="preserve"> les </w:t>
      </w:r>
      <w:r w:rsidRPr="009C2953">
        <w:rPr>
          <w:color w:val="000000"/>
        </w:rPr>
        <w:t>rapports d</w:t>
      </w:r>
      <w:r w:rsidR="00EA2966" w:rsidRPr="009C2953">
        <w:rPr>
          <w:color w:val="000000"/>
        </w:rPr>
        <w:t>’</w:t>
      </w:r>
      <w:r w:rsidRPr="009C2953">
        <w:rPr>
          <w:color w:val="000000"/>
        </w:rPr>
        <w:t>évaluation approuvés et d</w:t>
      </w:r>
      <w:r w:rsidR="00EA2966" w:rsidRPr="009C2953">
        <w:rPr>
          <w:color w:val="000000"/>
        </w:rPr>
        <w:t>’</w:t>
      </w:r>
      <w:r w:rsidRPr="009C2953">
        <w:rPr>
          <w:color w:val="000000"/>
        </w:rPr>
        <w:t>autres produits de</w:t>
      </w:r>
      <w:r w:rsidR="00F34644" w:rsidRPr="009C2953">
        <w:rPr>
          <w:color w:val="000000"/>
        </w:rPr>
        <w:t xml:space="preserve"> la </w:t>
      </w:r>
      <w:r w:rsidRPr="009C2953">
        <w:rPr>
          <w:color w:val="000000"/>
        </w:rPr>
        <w:t>Plateforme,</w:t>
      </w:r>
      <w:r w:rsidR="00F34644" w:rsidRPr="009C2953">
        <w:rPr>
          <w:color w:val="000000"/>
        </w:rPr>
        <w:t xml:space="preserve"> y </w:t>
      </w:r>
      <w:r w:rsidRPr="009C2953">
        <w:rPr>
          <w:color w:val="000000"/>
        </w:rPr>
        <w:t>compris l</w:t>
      </w:r>
      <w:r w:rsidR="00EA2966" w:rsidRPr="009C2953">
        <w:rPr>
          <w:color w:val="000000"/>
        </w:rPr>
        <w:t>’</w:t>
      </w:r>
      <w:r w:rsidRPr="009C2953">
        <w:rPr>
          <w:color w:val="000000"/>
        </w:rPr>
        <w:t>achèvement de</w:t>
      </w:r>
      <w:r w:rsidR="0099536F" w:rsidRPr="009C2953">
        <w:rPr>
          <w:color w:val="000000"/>
        </w:rPr>
        <w:t> </w:t>
      </w:r>
      <w:r w:rsidRPr="009C2953">
        <w:rPr>
          <w:color w:val="000000"/>
        </w:rPr>
        <w:t>l</w:t>
      </w:r>
      <w:r w:rsidR="00EA2966" w:rsidRPr="009C2953">
        <w:rPr>
          <w:color w:val="000000"/>
        </w:rPr>
        <w:t>’</w:t>
      </w:r>
      <w:r w:rsidRPr="009C2953">
        <w:rPr>
          <w:color w:val="000000"/>
        </w:rPr>
        <w:t>interface éducative pilote sur</w:t>
      </w:r>
      <w:r w:rsidR="00F34644" w:rsidRPr="009C2953">
        <w:rPr>
          <w:color w:val="000000"/>
        </w:rPr>
        <w:t xml:space="preserve"> les </w:t>
      </w:r>
      <w:r w:rsidRPr="009C2953">
        <w:rPr>
          <w:color w:val="000000"/>
        </w:rPr>
        <w:t>résultats de l</w:t>
      </w:r>
      <w:r w:rsidR="00EA2966" w:rsidRPr="009C2953">
        <w:rPr>
          <w:color w:val="000000"/>
        </w:rPr>
        <w:t>’</w:t>
      </w:r>
      <w:r w:rsidRPr="009C2953">
        <w:rPr>
          <w:color w:val="000000"/>
        </w:rPr>
        <w:t>évaluation</w:t>
      </w:r>
      <w:r w:rsidR="00D24DC1" w:rsidRPr="009C2953">
        <w:rPr>
          <w:color w:val="000000"/>
        </w:rPr>
        <w:t xml:space="preserve"> des </w:t>
      </w:r>
      <w:r w:rsidRPr="009C2953">
        <w:rPr>
          <w:color w:val="000000"/>
        </w:rPr>
        <w:t>espèces exotiques envahissantes ;</w:t>
      </w:r>
    </w:p>
    <w:p w14:paraId="3D0BC914" w14:textId="5918953D" w:rsidR="00607B78" w:rsidRPr="009C2953" w:rsidRDefault="00607B78" w:rsidP="0055667D">
      <w:pPr>
        <w:pStyle w:val="NormalNonumber"/>
        <w:keepNext/>
        <w:keepLines/>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lastRenderedPageBreak/>
        <w:t>La fourniture d</w:t>
      </w:r>
      <w:r w:rsidR="00EA2966" w:rsidRPr="009C2953">
        <w:rPr>
          <w:color w:val="000000"/>
        </w:rPr>
        <w:t>’</w:t>
      </w:r>
      <w:r w:rsidRPr="009C2953">
        <w:rPr>
          <w:color w:val="000000"/>
        </w:rPr>
        <w:t>un appui</w:t>
      </w:r>
      <w:r w:rsidR="00F34644" w:rsidRPr="009C2953">
        <w:rPr>
          <w:color w:val="000000"/>
        </w:rPr>
        <w:t xml:space="preserve"> aux </w:t>
      </w:r>
      <w:r w:rsidRPr="009C2953">
        <w:rPr>
          <w:color w:val="000000"/>
        </w:rPr>
        <w:t>activités de formation pertinentes adaptées</w:t>
      </w:r>
      <w:r w:rsidR="00F34644" w:rsidRPr="009C2953">
        <w:rPr>
          <w:color w:val="000000"/>
        </w:rPr>
        <w:t xml:space="preserve"> aux </w:t>
      </w:r>
      <w:r w:rsidRPr="009C2953">
        <w:rPr>
          <w:color w:val="000000"/>
        </w:rPr>
        <w:t>besoins d</w:t>
      </w:r>
      <w:r w:rsidR="005178E6" w:rsidRPr="009C2953">
        <w:rPr>
          <w:color w:val="000000"/>
        </w:rPr>
        <w:t>e</w:t>
      </w:r>
      <w:r w:rsidR="00A04413" w:rsidRPr="009C2953">
        <w:rPr>
          <w:color w:val="000000"/>
        </w:rPr>
        <w:t xml:space="preserve"> </w:t>
      </w:r>
      <w:r w:rsidR="00F34644" w:rsidRPr="009C2953">
        <w:rPr>
          <w:color w:val="000000"/>
        </w:rPr>
        <w:t>la </w:t>
      </w:r>
      <w:r w:rsidRPr="009C2953">
        <w:rPr>
          <w:color w:val="000000"/>
        </w:rPr>
        <w:t>Plateforme, facilitées par cette dernière et mises au point par d</w:t>
      </w:r>
      <w:r w:rsidR="00EA2966" w:rsidRPr="009C2953">
        <w:rPr>
          <w:color w:val="000000"/>
        </w:rPr>
        <w:t>’</w:t>
      </w:r>
      <w:r w:rsidRPr="009C2953">
        <w:rPr>
          <w:color w:val="000000"/>
        </w:rPr>
        <w:t>autres organisations et institutions (par exemple, supports papier ou électroniques, retour d</w:t>
      </w:r>
      <w:r w:rsidR="00EA2966" w:rsidRPr="009C2953">
        <w:rPr>
          <w:color w:val="000000"/>
        </w:rPr>
        <w:t>’</w:t>
      </w:r>
      <w:r w:rsidRPr="009C2953">
        <w:rPr>
          <w:color w:val="000000"/>
        </w:rPr>
        <w:t>information sur</w:t>
      </w:r>
      <w:r w:rsidR="00F34644" w:rsidRPr="009C2953">
        <w:rPr>
          <w:color w:val="000000"/>
        </w:rPr>
        <w:t xml:space="preserve"> les </w:t>
      </w:r>
      <w:r w:rsidRPr="009C2953">
        <w:rPr>
          <w:color w:val="000000"/>
        </w:rPr>
        <w:t>projets d</w:t>
      </w:r>
      <w:r w:rsidR="00EA2966" w:rsidRPr="009C2953">
        <w:rPr>
          <w:color w:val="000000"/>
        </w:rPr>
        <w:t>’</w:t>
      </w:r>
      <w:r w:rsidRPr="009C2953">
        <w:rPr>
          <w:color w:val="000000"/>
        </w:rPr>
        <w:t>ordre du jour ou</w:t>
      </w:r>
      <w:r w:rsidR="0099536F" w:rsidRPr="009C2953">
        <w:rPr>
          <w:color w:val="000000"/>
        </w:rPr>
        <w:t> </w:t>
      </w:r>
      <w:r w:rsidRPr="009C2953">
        <w:rPr>
          <w:color w:val="000000"/>
        </w:rPr>
        <w:t>coordonnées</w:t>
      </w:r>
      <w:r w:rsidR="00D24DC1" w:rsidRPr="009C2953">
        <w:rPr>
          <w:color w:val="000000"/>
        </w:rPr>
        <w:t xml:space="preserve"> des </w:t>
      </w:r>
      <w:r w:rsidRPr="009C2953">
        <w:rPr>
          <w:color w:val="000000"/>
        </w:rPr>
        <w:t>expert(e)s de</w:t>
      </w:r>
      <w:r w:rsidR="00F34644" w:rsidRPr="009C2953">
        <w:rPr>
          <w:color w:val="000000"/>
        </w:rPr>
        <w:t xml:space="preserve"> la </w:t>
      </w:r>
      <w:r w:rsidRPr="009C2953">
        <w:rPr>
          <w:color w:val="000000"/>
        </w:rPr>
        <w:t>Plateforme) ;</w:t>
      </w:r>
    </w:p>
    <w:p w14:paraId="082DCADA" w14:textId="61B16612"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w:t>
      </w:r>
      <w:r w:rsidR="00EA2966" w:rsidRPr="009C2953">
        <w:rPr>
          <w:color w:val="000000"/>
        </w:rPr>
        <w:t>’</w:t>
      </w:r>
      <w:r w:rsidRPr="009C2953">
        <w:rPr>
          <w:color w:val="000000"/>
        </w:rPr>
        <w:t>organisation d</w:t>
      </w:r>
      <w:r w:rsidR="00EA2966" w:rsidRPr="009C2953">
        <w:rPr>
          <w:color w:val="000000"/>
        </w:rPr>
        <w:t>’</w:t>
      </w:r>
      <w:r w:rsidRPr="009C2953">
        <w:rPr>
          <w:color w:val="000000"/>
        </w:rPr>
        <w:t>un atelier pour</w:t>
      </w:r>
      <w:r w:rsidR="00F34644" w:rsidRPr="009C2953">
        <w:rPr>
          <w:color w:val="000000"/>
        </w:rPr>
        <w:t xml:space="preserve"> les </w:t>
      </w:r>
      <w:r w:rsidRPr="009C2953">
        <w:rPr>
          <w:color w:val="000000"/>
        </w:rPr>
        <w:t>jeunes visant à renforcer</w:t>
      </w:r>
      <w:r w:rsidR="00F34644" w:rsidRPr="009C2953">
        <w:rPr>
          <w:color w:val="000000"/>
        </w:rPr>
        <w:t xml:space="preserve"> leur </w:t>
      </w:r>
      <w:r w:rsidRPr="009C2953">
        <w:rPr>
          <w:color w:val="000000"/>
        </w:rPr>
        <w:t>participation</w:t>
      </w:r>
      <w:r w:rsidR="00F34644" w:rsidRPr="009C2953">
        <w:rPr>
          <w:color w:val="000000"/>
        </w:rPr>
        <w:t xml:space="preserve"> aux </w:t>
      </w:r>
      <w:r w:rsidRPr="009C2953">
        <w:rPr>
          <w:color w:val="000000"/>
        </w:rPr>
        <w:t>travaux de l</w:t>
      </w:r>
      <w:r w:rsidR="00EA2966" w:rsidRPr="009C2953">
        <w:rPr>
          <w:color w:val="000000"/>
        </w:rPr>
        <w:t>’</w:t>
      </w:r>
      <w:r w:rsidRPr="009C2953">
        <w:rPr>
          <w:color w:val="000000"/>
        </w:rPr>
        <w:t>IPBES et à soutenir l</w:t>
      </w:r>
      <w:r w:rsidR="00EA2966" w:rsidRPr="009C2953">
        <w:rPr>
          <w:color w:val="000000"/>
        </w:rPr>
        <w:t>’</w:t>
      </w:r>
      <w:r w:rsidRPr="009C2953">
        <w:rPr>
          <w:color w:val="000000"/>
        </w:rPr>
        <w:t>adoption</w:t>
      </w:r>
      <w:r w:rsidR="00D24DC1" w:rsidRPr="009C2953">
        <w:rPr>
          <w:color w:val="000000"/>
        </w:rPr>
        <w:t xml:space="preserve"> des </w:t>
      </w:r>
      <w:r w:rsidRPr="009C2953">
        <w:rPr>
          <w:color w:val="000000"/>
        </w:rPr>
        <w:t>évaluations par</w:t>
      </w:r>
      <w:r w:rsidR="00F34644" w:rsidRPr="009C2953">
        <w:rPr>
          <w:color w:val="000000"/>
        </w:rPr>
        <w:t xml:space="preserve"> les </w:t>
      </w:r>
      <w:r w:rsidRPr="009C2953">
        <w:rPr>
          <w:color w:val="000000"/>
        </w:rPr>
        <w:t>jeunes, d</w:t>
      </w:r>
      <w:r w:rsidR="00EA2966" w:rsidRPr="009C2953">
        <w:rPr>
          <w:color w:val="000000"/>
        </w:rPr>
        <w:t>’</w:t>
      </w:r>
      <w:r w:rsidRPr="009C2953">
        <w:rPr>
          <w:color w:val="000000"/>
        </w:rPr>
        <w:t>autres personnes et</w:t>
      </w:r>
      <w:r w:rsidR="0099536F" w:rsidRPr="009C2953">
        <w:rPr>
          <w:color w:val="000000"/>
        </w:rPr>
        <w:t> </w:t>
      </w:r>
      <w:r w:rsidRPr="009C2953">
        <w:rPr>
          <w:color w:val="000000"/>
        </w:rPr>
        <w:t>organisations (deuxième trimestre 2024)</w:t>
      </w:r>
      <w:r w:rsidRPr="009C2953">
        <w:rPr>
          <w:color w:val="000000"/>
          <w:vertAlign w:val="superscript"/>
        </w:rPr>
        <w:footnoteReference w:id="27"/>
      </w:r>
      <w:r w:rsidRPr="009C2953">
        <w:rPr>
          <w:color w:val="000000"/>
        </w:rPr>
        <w:t>, sous réserve de</w:t>
      </w:r>
      <w:r w:rsidR="00F34644" w:rsidRPr="009C2953">
        <w:rPr>
          <w:color w:val="000000"/>
        </w:rPr>
        <w:t xml:space="preserve"> la </w:t>
      </w:r>
      <w:r w:rsidRPr="009C2953">
        <w:rPr>
          <w:color w:val="000000"/>
        </w:rPr>
        <w:t>disponibilité de ressources, et</w:t>
      </w:r>
      <w:r w:rsidR="00F34644" w:rsidRPr="009C2953">
        <w:rPr>
          <w:color w:val="000000"/>
        </w:rPr>
        <w:t xml:space="preserve"> la </w:t>
      </w:r>
      <w:r w:rsidRPr="009C2953">
        <w:rPr>
          <w:color w:val="000000"/>
        </w:rPr>
        <w:t>facilitation d</w:t>
      </w:r>
      <w:r w:rsidR="00EA2966" w:rsidRPr="009C2953">
        <w:rPr>
          <w:color w:val="000000"/>
        </w:rPr>
        <w:t>’</w:t>
      </w:r>
      <w:r w:rsidRPr="009C2953">
        <w:rPr>
          <w:color w:val="000000"/>
        </w:rPr>
        <w:t>activités supplémentaires de renforcement</w:t>
      </w:r>
      <w:r w:rsidR="00D24DC1" w:rsidRPr="009C2953">
        <w:rPr>
          <w:color w:val="000000"/>
        </w:rPr>
        <w:t xml:space="preserve"> des </w:t>
      </w:r>
      <w:r w:rsidRPr="009C2953">
        <w:rPr>
          <w:color w:val="000000"/>
        </w:rPr>
        <w:t>capacités pour</w:t>
      </w:r>
      <w:r w:rsidR="00F34644" w:rsidRPr="009C2953">
        <w:rPr>
          <w:color w:val="000000"/>
        </w:rPr>
        <w:t xml:space="preserve"> les </w:t>
      </w:r>
      <w:r w:rsidRPr="009C2953">
        <w:rPr>
          <w:color w:val="000000"/>
        </w:rPr>
        <w:t>jeunes par</w:t>
      </w:r>
      <w:r w:rsidR="00F34644" w:rsidRPr="009C2953">
        <w:rPr>
          <w:color w:val="000000"/>
        </w:rPr>
        <w:t xml:space="preserve"> les </w:t>
      </w:r>
      <w:r w:rsidRPr="009C2953">
        <w:rPr>
          <w:color w:val="000000"/>
        </w:rPr>
        <w:t>partenaires appuyant l</w:t>
      </w:r>
      <w:r w:rsidR="00EA2966" w:rsidRPr="009C2953">
        <w:rPr>
          <w:color w:val="000000"/>
        </w:rPr>
        <w:t>’</w:t>
      </w:r>
      <w:r w:rsidRPr="009C2953">
        <w:rPr>
          <w:color w:val="000000"/>
        </w:rPr>
        <w:t>initiative ;</w:t>
      </w:r>
    </w:p>
    <w:p w14:paraId="5FCBC4B7" w14:textId="3CC5ED41"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collaboration avec l</w:t>
      </w:r>
      <w:r w:rsidR="00EA2966" w:rsidRPr="009C2953">
        <w:rPr>
          <w:color w:val="000000"/>
        </w:rPr>
        <w:t>’</w:t>
      </w:r>
      <w:r w:rsidRPr="009C2953">
        <w:rPr>
          <w:color w:val="000000"/>
        </w:rPr>
        <w:t>équipe spéciale sur</w:t>
      </w:r>
      <w:r w:rsidR="00F34644" w:rsidRPr="009C2953">
        <w:rPr>
          <w:color w:val="000000"/>
        </w:rPr>
        <w:t xml:space="preserve"> les </w:t>
      </w:r>
      <w:r w:rsidRPr="009C2953">
        <w:rPr>
          <w:color w:val="000000"/>
        </w:rPr>
        <w:t>savoirs autochtones et locaux pour l</w:t>
      </w:r>
      <w:r w:rsidR="00EA2966" w:rsidRPr="009C2953">
        <w:rPr>
          <w:color w:val="000000"/>
        </w:rPr>
        <w:t>’</w:t>
      </w:r>
      <w:r w:rsidRPr="009C2953">
        <w:rPr>
          <w:color w:val="000000"/>
        </w:rPr>
        <w:t>organisation d</w:t>
      </w:r>
      <w:r w:rsidR="00EA2966" w:rsidRPr="009C2953">
        <w:rPr>
          <w:color w:val="000000"/>
        </w:rPr>
        <w:t>’</w:t>
      </w:r>
      <w:r w:rsidRPr="009C2953">
        <w:rPr>
          <w:color w:val="000000"/>
        </w:rPr>
        <w:t>ateliers et de webinaires dans</w:t>
      </w:r>
      <w:r w:rsidR="00F34644" w:rsidRPr="009C2953">
        <w:rPr>
          <w:color w:val="000000"/>
        </w:rPr>
        <w:t xml:space="preserve"> le </w:t>
      </w:r>
      <w:r w:rsidRPr="009C2953">
        <w:rPr>
          <w:color w:val="000000"/>
        </w:rPr>
        <w:t>cadre de</w:t>
      </w:r>
      <w:r w:rsidR="00F34644" w:rsidRPr="009C2953">
        <w:rPr>
          <w:color w:val="000000"/>
        </w:rPr>
        <w:t xml:space="preserve"> la </w:t>
      </w:r>
      <w:r w:rsidRPr="009C2953">
        <w:rPr>
          <w:color w:val="000000"/>
        </w:rPr>
        <w:t>mise en œuvre de l</w:t>
      </w:r>
      <w:r w:rsidR="00EA2966" w:rsidRPr="009C2953">
        <w:rPr>
          <w:color w:val="000000"/>
        </w:rPr>
        <w:t>’</w:t>
      </w:r>
      <w:r w:rsidRPr="009C2953">
        <w:rPr>
          <w:color w:val="000000"/>
        </w:rPr>
        <w:t>approche concernant</w:t>
      </w:r>
      <w:r w:rsidR="00F34644" w:rsidRPr="009C2953">
        <w:rPr>
          <w:color w:val="000000"/>
        </w:rPr>
        <w:t xml:space="preserve"> la </w:t>
      </w:r>
      <w:r w:rsidRPr="009C2953">
        <w:rPr>
          <w:color w:val="000000"/>
        </w:rPr>
        <w:t>reconnaissance et l</w:t>
      </w:r>
      <w:r w:rsidR="00EA2966" w:rsidRPr="009C2953">
        <w:rPr>
          <w:color w:val="000000"/>
        </w:rPr>
        <w:t>’</w:t>
      </w:r>
      <w:r w:rsidRPr="009C2953">
        <w:rPr>
          <w:color w:val="000000"/>
        </w:rPr>
        <w:t>utilisation</w:t>
      </w:r>
      <w:r w:rsidR="00D24DC1" w:rsidRPr="009C2953">
        <w:rPr>
          <w:color w:val="000000"/>
        </w:rPr>
        <w:t xml:space="preserve"> des </w:t>
      </w:r>
      <w:r w:rsidRPr="009C2953">
        <w:rPr>
          <w:color w:val="000000"/>
        </w:rPr>
        <w:t>savoirs autochtones et locaux dans</w:t>
      </w:r>
      <w:r w:rsidR="00F34644" w:rsidRPr="009C2953">
        <w:rPr>
          <w:color w:val="000000"/>
        </w:rPr>
        <w:t xml:space="preserve"> les </w:t>
      </w:r>
      <w:r w:rsidRPr="009C2953">
        <w:rPr>
          <w:color w:val="000000"/>
        </w:rPr>
        <w:t>travaux de l</w:t>
      </w:r>
      <w:r w:rsidR="00EA2966" w:rsidRPr="009C2953">
        <w:rPr>
          <w:color w:val="000000"/>
        </w:rPr>
        <w:t>’</w:t>
      </w:r>
      <w:r w:rsidRPr="009C2953">
        <w:rPr>
          <w:color w:val="000000"/>
        </w:rPr>
        <w:t>IPBES.</w:t>
      </w:r>
    </w:p>
    <w:p w14:paraId="2746912D" w14:textId="26E02826"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pPr>
      <w:r w:rsidRPr="009C2953">
        <w:t>Une réunion de dialogue en présentiel avec</w:t>
      </w:r>
      <w:r w:rsidR="00F34644" w:rsidRPr="009C2953">
        <w:t xml:space="preserve"> les </w:t>
      </w:r>
      <w:r w:rsidRPr="009C2953">
        <w:t>correspondant(e)s nationaux(ales) sera organisée pour renforcer davantage</w:t>
      </w:r>
      <w:r w:rsidR="00F34644" w:rsidRPr="009C2953">
        <w:t xml:space="preserve"> la </w:t>
      </w:r>
      <w:r w:rsidRPr="009C2953">
        <w:t>capacité</w:t>
      </w:r>
      <w:r w:rsidR="00D24DC1" w:rsidRPr="009C2953">
        <w:t xml:space="preserve"> des </w:t>
      </w:r>
      <w:r w:rsidRPr="009C2953">
        <w:t>gouvernements à participer à l</w:t>
      </w:r>
      <w:r w:rsidR="00EA2966" w:rsidRPr="009C2953">
        <w:t>’</w:t>
      </w:r>
      <w:r w:rsidRPr="009C2953">
        <w:t>élaboration</w:t>
      </w:r>
      <w:r w:rsidR="00D24DC1" w:rsidRPr="009C2953">
        <w:t xml:space="preserve"> des </w:t>
      </w:r>
      <w:r w:rsidRPr="009C2953">
        <w:t>évaluations de l</w:t>
      </w:r>
      <w:r w:rsidR="00EA2966" w:rsidRPr="009C2953">
        <w:t>’</w:t>
      </w:r>
      <w:r w:rsidRPr="009C2953">
        <w:t>IPBES en cours et d</w:t>
      </w:r>
      <w:r w:rsidR="00EA2966" w:rsidRPr="009C2953">
        <w:t>’</w:t>
      </w:r>
      <w:r w:rsidRPr="009C2953">
        <w:t>autres produits du programme de travail et pour utiliser</w:t>
      </w:r>
      <w:r w:rsidR="00F34644" w:rsidRPr="009C2953">
        <w:t xml:space="preserve"> les </w:t>
      </w:r>
      <w:r w:rsidRPr="009C2953">
        <w:t>évaluations achevées de</w:t>
      </w:r>
      <w:r w:rsidR="00F34644" w:rsidRPr="009C2953">
        <w:t xml:space="preserve"> la </w:t>
      </w:r>
      <w:r w:rsidRPr="009C2953">
        <w:t>Plateforme et d</w:t>
      </w:r>
      <w:r w:rsidR="00EA2966" w:rsidRPr="009C2953">
        <w:t>’</w:t>
      </w:r>
      <w:r w:rsidRPr="009C2953">
        <w:t>autres travaux de celle-ci en matière d</w:t>
      </w:r>
      <w:r w:rsidR="00EA2966" w:rsidRPr="009C2953">
        <w:t>’</w:t>
      </w:r>
      <w:r w:rsidRPr="009C2953">
        <w:t>élaboration de</w:t>
      </w:r>
      <w:r w:rsidR="0099536F" w:rsidRPr="009C2953">
        <w:t> </w:t>
      </w:r>
      <w:r w:rsidRPr="009C2953">
        <w:t>politiques et de prise de décisions (voir annexe VII), et pour signaler</w:t>
      </w:r>
      <w:r w:rsidR="00F34644" w:rsidRPr="009C2953">
        <w:t xml:space="preserve"> les </w:t>
      </w:r>
      <w:r w:rsidRPr="009C2953">
        <w:t>lacunes en matière de</w:t>
      </w:r>
      <w:r w:rsidR="005178E6" w:rsidRPr="009C2953">
        <w:t> </w:t>
      </w:r>
      <w:r w:rsidRPr="009C2953">
        <w:t>connaissances recensées dans</w:t>
      </w:r>
      <w:r w:rsidR="00F34644" w:rsidRPr="009C2953">
        <w:t xml:space="preserve"> le </w:t>
      </w:r>
      <w:r w:rsidRPr="009C2953">
        <w:t>cadre</w:t>
      </w:r>
      <w:r w:rsidR="00D24DC1" w:rsidRPr="009C2953">
        <w:t xml:space="preserve"> des </w:t>
      </w:r>
      <w:r w:rsidRPr="009C2953">
        <w:t>évaluations achevées de l</w:t>
      </w:r>
      <w:r w:rsidR="00EA2966" w:rsidRPr="009C2953">
        <w:t>’</w:t>
      </w:r>
      <w:r w:rsidRPr="009C2953">
        <w:t>IPBES en vue de fournir</w:t>
      </w:r>
      <w:r w:rsidR="00F34644" w:rsidRPr="009C2953">
        <w:t xml:space="preserve"> un </w:t>
      </w:r>
      <w:r w:rsidRPr="009C2953">
        <w:t>appui</w:t>
      </w:r>
      <w:r w:rsidR="005178E6" w:rsidRPr="009C2953">
        <w:t> </w:t>
      </w:r>
      <w:r w:rsidR="00F34644" w:rsidRPr="009C2953">
        <w:t>aux </w:t>
      </w:r>
      <w:r w:rsidRPr="009C2953">
        <w:t>gouvernements dans</w:t>
      </w:r>
      <w:r w:rsidR="00F34644" w:rsidRPr="009C2953">
        <w:t xml:space="preserve"> le </w:t>
      </w:r>
      <w:r w:rsidRPr="009C2953">
        <w:t>cadre de</w:t>
      </w:r>
      <w:r w:rsidR="00F34644" w:rsidRPr="009C2953">
        <w:t xml:space="preserve"> la </w:t>
      </w:r>
      <w:r w:rsidRPr="009C2953">
        <w:t>facilitation de</w:t>
      </w:r>
      <w:r w:rsidR="00F34644" w:rsidRPr="009C2953">
        <w:t xml:space="preserve"> la </w:t>
      </w:r>
      <w:r w:rsidRPr="009C2953">
        <w:t>production de nouvelles connaissances (voir annexe V ; quatrième trimestre 2023).</w:t>
      </w:r>
    </w:p>
    <w:p w14:paraId="593C2604" w14:textId="2399AA6C"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rPr>
          <w:color w:val="000000"/>
        </w:rPr>
      </w:pPr>
      <w:r w:rsidRPr="009C2953">
        <w:t>Des dialogues en ligne avec</w:t>
      </w:r>
      <w:r w:rsidR="00F34644" w:rsidRPr="009C2953">
        <w:t xml:space="preserve"> les </w:t>
      </w:r>
      <w:r w:rsidRPr="009C2953">
        <w:t>correspondant(e)s nationaux(ales) et</w:t>
      </w:r>
      <w:r w:rsidR="00F34644" w:rsidRPr="009C2953">
        <w:t xml:space="preserve"> les </w:t>
      </w:r>
      <w:r w:rsidRPr="009C2953">
        <w:t>parties prenantes,</w:t>
      </w:r>
      <w:r w:rsidR="00F34644" w:rsidRPr="009C2953">
        <w:t xml:space="preserve"> y </w:t>
      </w:r>
      <w:r w:rsidRPr="009C2953">
        <w:t>compris dans l</w:t>
      </w:r>
      <w:r w:rsidR="00EA2966" w:rsidRPr="009C2953">
        <w:t>’</w:t>
      </w:r>
      <w:r w:rsidRPr="009C2953">
        <w:t>objectif d</w:t>
      </w:r>
      <w:r w:rsidR="00EA2966" w:rsidRPr="009C2953">
        <w:t>’</w:t>
      </w:r>
      <w:r w:rsidRPr="009C2953">
        <w:t>accroître l</w:t>
      </w:r>
      <w:r w:rsidR="00EA2966" w:rsidRPr="009C2953">
        <w:t>’</w:t>
      </w:r>
      <w:r w:rsidRPr="009C2953">
        <w:t>utilité, pour l</w:t>
      </w:r>
      <w:r w:rsidR="00EA2966" w:rsidRPr="009C2953">
        <w:t>’</w:t>
      </w:r>
      <w:r w:rsidRPr="009C2953">
        <w:t>élaboration</w:t>
      </w:r>
      <w:r w:rsidR="00D24DC1" w:rsidRPr="009C2953">
        <w:t xml:space="preserve"> des </w:t>
      </w:r>
      <w:r w:rsidRPr="009C2953">
        <w:t>politiques,</w:t>
      </w:r>
      <w:r w:rsidR="00D24DC1" w:rsidRPr="009C2953">
        <w:t xml:space="preserve"> des </w:t>
      </w:r>
      <w:r w:rsidRPr="009C2953">
        <w:t>évaluations et</w:t>
      </w:r>
      <w:r w:rsidR="00D24DC1" w:rsidRPr="009C2953">
        <w:t xml:space="preserve"> des </w:t>
      </w:r>
      <w:r w:rsidRPr="009C2953">
        <w:t>contributions</w:t>
      </w:r>
      <w:r w:rsidR="00D24DC1" w:rsidRPr="009C2953">
        <w:t xml:space="preserve"> des </w:t>
      </w:r>
      <w:r w:rsidRPr="009C2953">
        <w:t>praticien(ne)s à celles-ci (voir annexe VII), seront organisés dans</w:t>
      </w:r>
      <w:r w:rsidR="00F34644" w:rsidRPr="009C2953">
        <w:t xml:space="preserve"> le </w:t>
      </w:r>
      <w:r w:rsidRPr="009C2953">
        <w:t>contexte de</w:t>
      </w:r>
      <w:r w:rsidR="0099536F" w:rsidRPr="009C2953">
        <w:t> </w:t>
      </w:r>
      <w:r w:rsidRPr="009C2953">
        <w:t>toute procédure de cadrage</w:t>
      </w:r>
      <w:r w:rsidR="005F70B5" w:rsidRPr="009C2953">
        <w:t xml:space="preserve"> (2024)</w:t>
      </w:r>
      <w:r w:rsidRPr="009C2953">
        <w:t>, du deuxième examen externe</w:t>
      </w:r>
      <w:r w:rsidR="00D24DC1" w:rsidRPr="009C2953">
        <w:t xml:space="preserve"> des </w:t>
      </w:r>
      <w:r w:rsidRPr="009C2953">
        <w:t>évaluations</w:t>
      </w:r>
      <w:r w:rsidR="00D24DC1" w:rsidRPr="009C2953">
        <w:t xml:space="preserve"> des </w:t>
      </w:r>
      <w:r w:rsidRPr="009C2953">
        <w:t>interdépendances et</w:t>
      </w:r>
      <w:r w:rsidR="0099536F" w:rsidRPr="009C2953">
        <w:t> </w:t>
      </w:r>
      <w:r w:rsidRPr="009C2953">
        <w:t>du changement transformateur (quatrième trimestre 2023 et premier</w:t>
      </w:r>
      <w:r w:rsidR="000D47E2" w:rsidRPr="009C2953">
        <w:t> </w:t>
      </w:r>
      <w:r w:rsidRPr="009C2953">
        <w:t>trimestre 2024) et de l</w:t>
      </w:r>
      <w:r w:rsidR="00EA2966" w:rsidRPr="009C2953">
        <w:t>’</w:t>
      </w:r>
      <w:r w:rsidRPr="009C2953">
        <w:t>examen externe de l</w:t>
      </w:r>
      <w:r w:rsidR="00EA2966" w:rsidRPr="009C2953">
        <w:t>’</w:t>
      </w:r>
      <w:r w:rsidRPr="009C2953">
        <w:t>évaluation</w:t>
      </w:r>
      <w:r w:rsidR="00D24DC1" w:rsidRPr="009C2953">
        <w:t xml:space="preserve"> des </w:t>
      </w:r>
      <w:r w:rsidRPr="009C2953">
        <w:t>entreprises et de</w:t>
      </w:r>
      <w:r w:rsidR="00F34644" w:rsidRPr="009C2953">
        <w:t xml:space="preserve"> la </w:t>
      </w:r>
      <w:r w:rsidRPr="009C2953">
        <w:t>biodiversité (troisième</w:t>
      </w:r>
      <w:r w:rsidR="000D47E2" w:rsidRPr="009C2953">
        <w:t> </w:t>
      </w:r>
      <w:r w:rsidRPr="009C2953">
        <w:t>trimestre 2024).</w:t>
      </w:r>
    </w:p>
    <w:p w14:paraId="738B49E8" w14:textId="4D48ACBB" w:rsidR="00607B78" w:rsidRPr="009C2953" w:rsidRDefault="00607B78" w:rsidP="00607B78">
      <w:pPr>
        <w:pStyle w:val="CH1"/>
      </w:pPr>
      <w:r w:rsidRPr="009C2953">
        <w:tab/>
        <w:t>II.</w:t>
      </w:r>
      <w:r w:rsidRPr="009C2953">
        <w:tab/>
        <w:t>Objectif 2 b) : accès facilité</w:t>
      </w:r>
      <w:r w:rsidR="00F34644" w:rsidRPr="009C2953">
        <w:t xml:space="preserve"> aux </w:t>
      </w:r>
      <w:r w:rsidRPr="009C2953">
        <w:t>compétences d</w:t>
      </w:r>
      <w:r w:rsidR="00EA2966" w:rsidRPr="009C2953">
        <w:t>’</w:t>
      </w:r>
      <w:r w:rsidRPr="009C2953">
        <w:t>expert</w:t>
      </w:r>
      <w:r w:rsidR="009F7FAD" w:rsidRPr="009C2953">
        <w:t>(e)</w:t>
      </w:r>
      <w:r w:rsidRPr="009C2953">
        <w:t>s et</w:t>
      </w:r>
      <w:r w:rsidR="00E348A9" w:rsidRPr="009C2953">
        <w:t> </w:t>
      </w:r>
      <w:r w:rsidRPr="009C2953">
        <w:t>à</w:t>
      </w:r>
      <w:r w:rsidR="0099536F" w:rsidRPr="009C2953">
        <w:t> </w:t>
      </w:r>
      <w:r w:rsidRPr="009C2953">
        <w:t>l</w:t>
      </w:r>
      <w:r w:rsidR="00EA2966" w:rsidRPr="009C2953">
        <w:t>’</w:t>
      </w:r>
      <w:r w:rsidRPr="009C2953">
        <w:t>information</w:t>
      </w:r>
    </w:p>
    <w:p w14:paraId="419F3D0C" w14:textId="4CEE98A1"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visant à apporter</w:t>
      </w:r>
      <w:r w:rsidR="00F34644" w:rsidRPr="009C2953">
        <w:t xml:space="preserve"> un </w:t>
      </w:r>
      <w:r w:rsidRPr="009C2953">
        <w:t>appui à l</w:t>
      </w:r>
      <w:r w:rsidR="00EA2966" w:rsidRPr="009C2953">
        <w:t>’</w:t>
      </w:r>
      <w:r w:rsidRPr="009C2953">
        <w:t>adoption</w:t>
      </w:r>
      <w:r w:rsidR="00D24DC1" w:rsidRPr="009C2953">
        <w:t xml:space="preserve"> des </w:t>
      </w:r>
      <w:r w:rsidRPr="009C2953">
        <w:t>résultats d</w:t>
      </w:r>
      <w:r w:rsidR="00EA2966" w:rsidRPr="009C2953">
        <w:t>’</w:t>
      </w:r>
      <w:r w:rsidRPr="009C2953">
        <w:t>évaluations approuvés et</w:t>
      </w:r>
      <w:r w:rsidR="0099536F" w:rsidRPr="009C2953">
        <w:t> </w:t>
      </w:r>
      <w:r w:rsidRPr="009C2953">
        <w:t>d</w:t>
      </w:r>
      <w:r w:rsidR="00EA2966" w:rsidRPr="009C2953">
        <w:t>’</w:t>
      </w:r>
      <w:r w:rsidRPr="009C2953">
        <w:t>autres produits et à encourager</w:t>
      </w:r>
      <w:r w:rsidR="00F34644" w:rsidRPr="009C2953">
        <w:t xml:space="preserve"> le </w:t>
      </w:r>
      <w:r w:rsidRPr="009C2953">
        <w:t>développement de communautés de pratique</w:t>
      </w:r>
      <w:r w:rsidR="00F34644" w:rsidRPr="009C2953">
        <w:t xml:space="preserve"> y </w:t>
      </w:r>
      <w:r w:rsidRPr="009C2953">
        <w:t>affér</w:t>
      </w:r>
      <w:r w:rsidR="006840C7" w:rsidRPr="009C2953">
        <w:t>e</w:t>
      </w:r>
      <w:r w:rsidRPr="009C2953">
        <w:t>nt comprendront :</w:t>
      </w:r>
    </w:p>
    <w:p w14:paraId="14F5C144" w14:textId="295935C3"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diffusion d</w:t>
      </w:r>
      <w:r w:rsidR="00EA2966" w:rsidRPr="009C2953">
        <w:rPr>
          <w:color w:val="000000"/>
        </w:rPr>
        <w:t>’</w:t>
      </w:r>
      <w:r w:rsidRPr="009C2953">
        <w:rPr>
          <w:color w:val="000000"/>
        </w:rPr>
        <w:t>appels à candidatures d</w:t>
      </w:r>
      <w:r w:rsidR="00EA2966" w:rsidRPr="009C2953">
        <w:rPr>
          <w:color w:val="000000"/>
        </w:rPr>
        <w:t>’</w:t>
      </w:r>
      <w:r w:rsidRPr="009C2953">
        <w:rPr>
          <w:color w:val="000000"/>
        </w:rPr>
        <w:t>expert(e)s pour toute étude de cadrage commençant après</w:t>
      </w:r>
      <w:r w:rsidR="00F34644" w:rsidRPr="009C2953">
        <w:rPr>
          <w:color w:val="000000"/>
        </w:rPr>
        <w:t xml:space="preserve"> la </w:t>
      </w:r>
      <w:r w:rsidRPr="009C2953">
        <w:rPr>
          <w:color w:val="000000"/>
        </w:rPr>
        <w:t>dixième session de</w:t>
      </w:r>
      <w:r w:rsidR="00F34644" w:rsidRPr="009C2953">
        <w:rPr>
          <w:color w:val="000000"/>
        </w:rPr>
        <w:t xml:space="preserve"> la </w:t>
      </w:r>
      <w:r w:rsidRPr="009C2953">
        <w:rPr>
          <w:color w:val="000000"/>
        </w:rPr>
        <w:t>Plénière, au moyen de réseaux pertinents afin d</w:t>
      </w:r>
      <w:r w:rsidR="00EA2966" w:rsidRPr="009C2953">
        <w:rPr>
          <w:color w:val="000000"/>
        </w:rPr>
        <w:t>’</w:t>
      </w:r>
      <w:r w:rsidRPr="009C2953">
        <w:rPr>
          <w:color w:val="000000"/>
        </w:rPr>
        <w:t>encourager</w:t>
      </w:r>
      <w:r w:rsidR="00F34644" w:rsidRPr="009C2953">
        <w:rPr>
          <w:color w:val="000000"/>
        </w:rPr>
        <w:t xml:space="preserve"> les </w:t>
      </w:r>
      <w:r w:rsidRPr="009C2953">
        <w:rPr>
          <w:color w:val="000000"/>
        </w:rPr>
        <w:t>candidatures d</w:t>
      </w:r>
      <w:r w:rsidR="00EA2966" w:rsidRPr="009C2953">
        <w:rPr>
          <w:color w:val="000000"/>
        </w:rPr>
        <w:t>’</w:t>
      </w:r>
      <w:r w:rsidRPr="009C2953">
        <w:rPr>
          <w:color w:val="000000"/>
        </w:rPr>
        <w:t>un éventail d</w:t>
      </w:r>
      <w:r w:rsidR="00EA2966" w:rsidRPr="009C2953">
        <w:rPr>
          <w:color w:val="000000"/>
        </w:rPr>
        <w:t>’</w:t>
      </w:r>
      <w:r w:rsidRPr="009C2953">
        <w:rPr>
          <w:color w:val="000000"/>
        </w:rPr>
        <w:t>expert(e)s aussi large que possible ; et</w:t>
      </w:r>
      <w:r w:rsidR="00F34644" w:rsidRPr="009C2953">
        <w:rPr>
          <w:color w:val="000000"/>
        </w:rPr>
        <w:t xml:space="preserve"> la </w:t>
      </w:r>
      <w:r w:rsidRPr="009C2953">
        <w:rPr>
          <w:color w:val="000000"/>
        </w:rPr>
        <w:t>fourniture d</w:t>
      </w:r>
      <w:r w:rsidR="00EA2966" w:rsidRPr="009C2953">
        <w:rPr>
          <w:color w:val="000000"/>
        </w:rPr>
        <w:t>’</w:t>
      </w:r>
      <w:r w:rsidRPr="009C2953">
        <w:rPr>
          <w:color w:val="000000"/>
        </w:rPr>
        <w:t>une assistance au Groupe d</w:t>
      </w:r>
      <w:r w:rsidR="00EA2966" w:rsidRPr="009C2953">
        <w:rPr>
          <w:color w:val="000000"/>
        </w:rPr>
        <w:t>’</w:t>
      </w:r>
      <w:r w:rsidRPr="009C2953">
        <w:rPr>
          <w:color w:val="000000"/>
        </w:rPr>
        <w:t>experts multidisciplinaire pour</w:t>
      </w:r>
      <w:r w:rsidR="00F34644" w:rsidRPr="009C2953">
        <w:rPr>
          <w:color w:val="000000"/>
        </w:rPr>
        <w:t xml:space="preserve"> la </w:t>
      </w:r>
      <w:r w:rsidRPr="009C2953">
        <w:rPr>
          <w:color w:val="000000"/>
        </w:rPr>
        <w:t>mise en œuvre du processus visant à combler</w:t>
      </w:r>
      <w:r w:rsidR="00F34644" w:rsidRPr="009C2953">
        <w:rPr>
          <w:color w:val="000000"/>
        </w:rPr>
        <w:t xml:space="preserve"> les </w:t>
      </w:r>
      <w:r w:rsidRPr="009C2953">
        <w:rPr>
          <w:color w:val="000000"/>
        </w:rPr>
        <w:t>lacunes en matière de connaissances spécialisées du Groupe d</w:t>
      </w:r>
      <w:r w:rsidR="00EA2966" w:rsidRPr="009C2953">
        <w:rPr>
          <w:color w:val="000000"/>
        </w:rPr>
        <w:t>’</w:t>
      </w:r>
      <w:r w:rsidRPr="009C2953">
        <w:rPr>
          <w:color w:val="000000"/>
        </w:rPr>
        <w:t>experts, si besoin est ;</w:t>
      </w:r>
    </w:p>
    <w:p w14:paraId="33040141" w14:textId="62CA1E84"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publication d</w:t>
      </w:r>
      <w:r w:rsidR="00EA2966" w:rsidRPr="009C2953">
        <w:rPr>
          <w:color w:val="000000"/>
        </w:rPr>
        <w:t>’</w:t>
      </w:r>
      <w:r w:rsidRPr="009C2953">
        <w:rPr>
          <w:color w:val="000000"/>
        </w:rPr>
        <w:t>un appel à contributions pour apporter</w:t>
      </w:r>
      <w:r w:rsidR="00F34644" w:rsidRPr="009C2953">
        <w:rPr>
          <w:color w:val="000000"/>
        </w:rPr>
        <w:t xml:space="preserve"> un </w:t>
      </w:r>
      <w:r w:rsidRPr="009C2953">
        <w:rPr>
          <w:color w:val="000000"/>
        </w:rPr>
        <w:t>appui à l</w:t>
      </w:r>
      <w:r w:rsidR="00EA2966" w:rsidRPr="009C2953">
        <w:rPr>
          <w:color w:val="000000"/>
        </w:rPr>
        <w:t>’</w:t>
      </w:r>
      <w:r w:rsidRPr="009C2953">
        <w:rPr>
          <w:color w:val="000000"/>
        </w:rPr>
        <w:t>adoption</w:t>
      </w:r>
      <w:r w:rsidR="00D24DC1" w:rsidRPr="009C2953">
        <w:rPr>
          <w:color w:val="000000"/>
        </w:rPr>
        <w:t xml:space="preserve"> des </w:t>
      </w:r>
      <w:r w:rsidRPr="009C2953">
        <w:rPr>
          <w:color w:val="000000"/>
        </w:rPr>
        <w:t>rapports d</w:t>
      </w:r>
      <w:r w:rsidR="00EA2966" w:rsidRPr="009C2953">
        <w:rPr>
          <w:color w:val="000000"/>
        </w:rPr>
        <w:t>’</w:t>
      </w:r>
      <w:r w:rsidRPr="009C2953">
        <w:rPr>
          <w:color w:val="000000"/>
        </w:rPr>
        <w:t>évaluation approuvés et d</w:t>
      </w:r>
      <w:r w:rsidR="00EA2966" w:rsidRPr="009C2953">
        <w:rPr>
          <w:color w:val="000000"/>
        </w:rPr>
        <w:t>’</w:t>
      </w:r>
      <w:r w:rsidRPr="009C2953">
        <w:rPr>
          <w:color w:val="000000"/>
        </w:rPr>
        <w:t>autres produits de</w:t>
      </w:r>
      <w:r w:rsidR="00F34644" w:rsidRPr="009C2953">
        <w:rPr>
          <w:color w:val="000000"/>
        </w:rPr>
        <w:t xml:space="preserve"> la </w:t>
      </w:r>
      <w:r w:rsidRPr="009C2953">
        <w:rPr>
          <w:color w:val="000000"/>
        </w:rPr>
        <w:t>Plateforme dans</w:t>
      </w:r>
      <w:r w:rsidR="00F34644" w:rsidRPr="009C2953">
        <w:rPr>
          <w:color w:val="000000"/>
        </w:rPr>
        <w:t xml:space="preserve"> la </w:t>
      </w:r>
      <w:r w:rsidRPr="009C2953">
        <w:rPr>
          <w:color w:val="000000"/>
        </w:rPr>
        <w:t>prise de décisions au</w:t>
      </w:r>
      <w:r w:rsidR="001F7960" w:rsidRPr="009C2953">
        <w:rPr>
          <w:color w:val="000000"/>
        </w:rPr>
        <w:t> </w:t>
      </w:r>
      <w:r w:rsidRPr="009C2953">
        <w:rPr>
          <w:color w:val="000000"/>
        </w:rPr>
        <w:t>niveau national et international (septembre 2023) ;</w:t>
      </w:r>
    </w:p>
    <w:p w14:paraId="3BB0F341" w14:textId="6877BE80"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fourniture d</w:t>
      </w:r>
      <w:r w:rsidR="00EA2966" w:rsidRPr="009C2953">
        <w:rPr>
          <w:color w:val="000000"/>
        </w:rPr>
        <w:t>’</w:t>
      </w:r>
      <w:r w:rsidRPr="009C2953">
        <w:rPr>
          <w:color w:val="000000"/>
        </w:rPr>
        <w:t>un appui</w:t>
      </w:r>
      <w:r w:rsidR="00F34644" w:rsidRPr="009C2953">
        <w:rPr>
          <w:color w:val="000000"/>
        </w:rPr>
        <w:t xml:space="preserve"> aux </w:t>
      </w:r>
      <w:r w:rsidRPr="009C2953">
        <w:rPr>
          <w:color w:val="000000"/>
        </w:rPr>
        <w:t>activités facilitant l</w:t>
      </w:r>
      <w:r w:rsidR="00EA2966" w:rsidRPr="009C2953">
        <w:rPr>
          <w:color w:val="000000"/>
        </w:rPr>
        <w:t>’</w:t>
      </w:r>
      <w:r w:rsidRPr="009C2953">
        <w:rPr>
          <w:color w:val="000000"/>
        </w:rPr>
        <w:t>adoption</w:t>
      </w:r>
      <w:r w:rsidR="00D24DC1" w:rsidRPr="009C2953">
        <w:rPr>
          <w:color w:val="000000"/>
        </w:rPr>
        <w:t xml:space="preserve"> des </w:t>
      </w:r>
      <w:r w:rsidRPr="009C2953">
        <w:rPr>
          <w:color w:val="000000"/>
        </w:rPr>
        <w:t>produits de</w:t>
      </w:r>
      <w:r w:rsidR="00F34644" w:rsidRPr="009C2953">
        <w:rPr>
          <w:color w:val="000000"/>
        </w:rPr>
        <w:t xml:space="preserve"> la </w:t>
      </w:r>
      <w:r w:rsidRPr="009C2953">
        <w:rPr>
          <w:color w:val="000000"/>
        </w:rPr>
        <w:t>Plateforme menées par d</w:t>
      </w:r>
      <w:r w:rsidR="00EA2966" w:rsidRPr="009C2953">
        <w:rPr>
          <w:color w:val="000000"/>
        </w:rPr>
        <w:t>’</w:t>
      </w:r>
      <w:r w:rsidRPr="009C2953">
        <w:rPr>
          <w:color w:val="000000"/>
        </w:rPr>
        <w:t>autres organisations (par exemple, supports papier ou électroniques, retour d</w:t>
      </w:r>
      <w:r w:rsidR="00EA2966" w:rsidRPr="009C2953">
        <w:rPr>
          <w:color w:val="000000"/>
        </w:rPr>
        <w:t>’</w:t>
      </w:r>
      <w:r w:rsidRPr="009C2953">
        <w:rPr>
          <w:color w:val="000000"/>
        </w:rPr>
        <w:t>information sur</w:t>
      </w:r>
      <w:r w:rsidR="00F34644" w:rsidRPr="009C2953">
        <w:rPr>
          <w:color w:val="000000"/>
        </w:rPr>
        <w:t xml:space="preserve"> les </w:t>
      </w:r>
      <w:r w:rsidRPr="009C2953">
        <w:rPr>
          <w:color w:val="000000"/>
        </w:rPr>
        <w:t>projets d</w:t>
      </w:r>
      <w:r w:rsidR="00EA2966" w:rsidRPr="009C2953">
        <w:rPr>
          <w:color w:val="000000"/>
        </w:rPr>
        <w:t>’</w:t>
      </w:r>
      <w:r w:rsidRPr="009C2953">
        <w:rPr>
          <w:color w:val="000000"/>
        </w:rPr>
        <w:t>ordre du jour ou coordonnées</w:t>
      </w:r>
      <w:r w:rsidR="00D24DC1" w:rsidRPr="009C2953">
        <w:rPr>
          <w:color w:val="000000"/>
        </w:rPr>
        <w:t xml:space="preserve"> des </w:t>
      </w:r>
      <w:r w:rsidRPr="009C2953">
        <w:rPr>
          <w:color w:val="000000"/>
        </w:rPr>
        <w:t>expert(e)s de</w:t>
      </w:r>
      <w:r w:rsidR="00F34644" w:rsidRPr="009C2953">
        <w:rPr>
          <w:color w:val="000000"/>
        </w:rPr>
        <w:t xml:space="preserve"> la </w:t>
      </w:r>
      <w:r w:rsidRPr="009C2953">
        <w:rPr>
          <w:color w:val="000000"/>
        </w:rPr>
        <w:t>Plateforme) ;</w:t>
      </w:r>
    </w:p>
    <w:p w14:paraId="0E70D9E3" w14:textId="045EE176" w:rsidR="00607B78" w:rsidRPr="009C2953" w:rsidRDefault="00607B78" w:rsidP="00F62429">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t>La poursuite de</w:t>
      </w:r>
      <w:r w:rsidR="00F34644" w:rsidRPr="009C2953">
        <w:rPr>
          <w:color w:val="000000"/>
        </w:rPr>
        <w:t xml:space="preserve"> la </w:t>
      </w:r>
      <w:r w:rsidRPr="009C2953">
        <w:rPr>
          <w:color w:val="000000"/>
        </w:rPr>
        <w:t>promotion du développement de communautés de pratique</w:t>
      </w:r>
      <w:r w:rsidRPr="009C2953">
        <w:rPr>
          <w:color w:val="000000"/>
          <w:vertAlign w:val="superscript"/>
        </w:rPr>
        <w:footnoteReference w:id="28"/>
      </w:r>
      <w:r w:rsidRPr="009C2953">
        <w:rPr>
          <w:color w:val="000000"/>
        </w:rPr>
        <w:t xml:space="preserve"> pour</w:t>
      </w:r>
      <w:r w:rsidR="001F7960" w:rsidRPr="009C2953">
        <w:rPr>
          <w:color w:val="000000"/>
        </w:rPr>
        <w:t> </w:t>
      </w:r>
      <w:r w:rsidRPr="009C2953">
        <w:rPr>
          <w:color w:val="000000"/>
        </w:rPr>
        <w:t>qu</w:t>
      </w:r>
      <w:r w:rsidR="00EA2966" w:rsidRPr="009C2953">
        <w:rPr>
          <w:color w:val="000000"/>
        </w:rPr>
        <w:t>’</w:t>
      </w:r>
      <w:r w:rsidRPr="009C2953">
        <w:rPr>
          <w:color w:val="000000"/>
        </w:rPr>
        <w:t>elles facilitent l</w:t>
      </w:r>
      <w:r w:rsidR="00EA2966" w:rsidRPr="009C2953">
        <w:rPr>
          <w:color w:val="000000"/>
        </w:rPr>
        <w:t>’</w:t>
      </w:r>
      <w:r w:rsidRPr="009C2953">
        <w:rPr>
          <w:color w:val="000000"/>
        </w:rPr>
        <w:t>accès</w:t>
      </w:r>
      <w:r w:rsidR="00F34644" w:rsidRPr="009C2953">
        <w:rPr>
          <w:color w:val="000000"/>
        </w:rPr>
        <w:t xml:space="preserve"> aux </w:t>
      </w:r>
      <w:r w:rsidRPr="009C2953">
        <w:rPr>
          <w:color w:val="000000"/>
        </w:rPr>
        <w:t>connaissances spécialisées et</w:t>
      </w:r>
      <w:r w:rsidR="00F34644" w:rsidRPr="009C2953">
        <w:rPr>
          <w:color w:val="000000"/>
        </w:rPr>
        <w:t xml:space="preserve"> aux </w:t>
      </w:r>
      <w:r w:rsidRPr="009C2953">
        <w:rPr>
          <w:color w:val="000000"/>
        </w:rPr>
        <w:t>informations intéressant</w:t>
      </w:r>
      <w:r w:rsidR="00F34644" w:rsidRPr="009C2953">
        <w:rPr>
          <w:color w:val="000000"/>
        </w:rPr>
        <w:t xml:space="preserve"> la </w:t>
      </w:r>
      <w:r w:rsidRPr="009C2953">
        <w:rPr>
          <w:color w:val="000000"/>
        </w:rPr>
        <w:t>Plateforme ;</w:t>
      </w:r>
    </w:p>
    <w:p w14:paraId="1A6381B4" w14:textId="7A5FAC8B" w:rsidR="00607B78" w:rsidRPr="009C2953" w:rsidRDefault="00607B78" w:rsidP="00010D96">
      <w:pPr>
        <w:pStyle w:val="NormalNonumber"/>
        <w:numPr>
          <w:ilvl w:val="7"/>
          <w:numId w:val="24"/>
        </w:numPr>
        <w:tabs>
          <w:tab w:val="clear" w:pos="1247"/>
          <w:tab w:val="clear" w:pos="1871"/>
          <w:tab w:val="clear" w:pos="2495"/>
          <w:tab w:val="clear" w:pos="3119"/>
          <w:tab w:val="clear" w:pos="3742"/>
          <w:tab w:val="clear" w:pos="4366"/>
          <w:tab w:val="left" w:pos="2410"/>
        </w:tabs>
        <w:spacing w:after="100"/>
        <w:ind w:left="1247" w:firstLine="624"/>
        <w:rPr>
          <w:color w:val="000000"/>
        </w:rPr>
      </w:pPr>
      <w:r w:rsidRPr="009C2953">
        <w:rPr>
          <w:color w:val="000000"/>
        </w:rPr>
        <w:lastRenderedPageBreak/>
        <w:t>La collaboration avec</w:t>
      </w:r>
      <w:r w:rsidR="00F34644" w:rsidRPr="009C2953">
        <w:rPr>
          <w:color w:val="000000"/>
        </w:rPr>
        <w:t xml:space="preserve"> les </w:t>
      </w:r>
      <w:r w:rsidRPr="009C2953">
        <w:rPr>
          <w:color w:val="000000"/>
        </w:rPr>
        <w:t>autres équipes spéciales dans</w:t>
      </w:r>
      <w:r w:rsidR="00F34644" w:rsidRPr="009C2953">
        <w:rPr>
          <w:color w:val="000000"/>
        </w:rPr>
        <w:t xml:space="preserve"> la </w:t>
      </w:r>
      <w:r w:rsidRPr="009C2953">
        <w:rPr>
          <w:color w:val="000000"/>
        </w:rPr>
        <w:t>facilitation d</w:t>
      </w:r>
      <w:r w:rsidR="00EA2966" w:rsidRPr="009C2953">
        <w:rPr>
          <w:color w:val="000000"/>
        </w:rPr>
        <w:t>’</w:t>
      </w:r>
      <w:r w:rsidRPr="009C2953">
        <w:rPr>
          <w:color w:val="000000"/>
        </w:rPr>
        <w:t>activités visant à</w:t>
      </w:r>
      <w:r w:rsidR="001F7960" w:rsidRPr="009C2953">
        <w:rPr>
          <w:color w:val="000000"/>
        </w:rPr>
        <w:t xml:space="preserve"> </w:t>
      </w:r>
      <w:r w:rsidRPr="009C2953">
        <w:rPr>
          <w:color w:val="000000"/>
        </w:rPr>
        <w:t>renforcer</w:t>
      </w:r>
      <w:r w:rsidR="00F34644" w:rsidRPr="009C2953">
        <w:rPr>
          <w:color w:val="000000"/>
        </w:rPr>
        <w:t xml:space="preserve"> les </w:t>
      </w:r>
      <w:r w:rsidRPr="009C2953">
        <w:rPr>
          <w:color w:val="000000"/>
        </w:rPr>
        <w:t>capacités s</w:t>
      </w:r>
      <w:r w:rsidR="00EA2966" w:rsidRPr="009C2953">
        <w:rPr>
          <w:color w:val="000000"/>
        </w:rPr>
        <w:t>’</w:t>
      </w:r>
      <w:r w:rsidRPr="009C2953">
        <w:rPr>
          <w:color w:val="000000"/>
        </w:rPr>
        <w:t>agissant</w:t>
      </w:r>
      <w:r w:rsidR="00D24DC1" w:rsidRPr="009C2953">
        <w:rPr>
          <w:color w:val="000000"/>
        </w:rPr>
        <w:t xml:space="preserve"> des </w:t>
      </w:r>
      <w:r w:rsidRPr="009C2953">
        <w:rPr>
          <w:color w:val="000000"/>
        </w:rPr>
        <w:t>approches et processus de</w:t>
      </w:r>
      <w:r w:rsidR="00F34644" w:rsidRPr="009C2953">
        <w:rPr>
          <w:color w:val="000000"/>
        </w:rPr>
        <w:t xml:space="preserve"> la </w:t>
      </w:r>
      <w:r w:rsidRPr="009C2953">
        <w:rPr>
          <w:color w:val="000000"/>
        </w:rPr>
        <w:t>Plateforme, notamment l</w:t>
      </w:r>
      <w:r w:rsidR="00EA2966" w:rsidRPr="009C2953">
        <w:rPr>
          <w:color w:val="000000"/>
        </w:rPr>
        <w:t>’</w:t>
      </w:r>
      <w:r w:rsidRPr="009C2953">
        <w:rPr>
          <w:color w:val="000000"/>
        </w:rPr>
        <w:t>approche concernant</w:t>
      </w:r>
      <w:r w:rsidR="00F34644" w:rsidRPr="009C2953">
        <w:rPr>
          <w:color w:val="000000"/>
        </w:rPr>
        <w:t xml:space="preserve"> la </w:t>
      </w:r>
      <w:r w:rsidRPr="009C2953">
        <w:rPr>
          <w:color w:val="000000"/>
        </w:rPr>
        <w:t>reconnaissance et l</w:t>
      </w:r>
      <w:r w:rsidR="00EA2966" w:rsidRPr="009C2953">
        <w:rPr>
          <w:color w:val="000000"/>
        </w:rPr>
        <w:t>’</w:t>
      </w:r>
      <w:r w:rsidRPr="009C2953">
        <w:rPr>
          <w:color w:val="000000"/>
        </w:rPr>
        <w:t>utilisation</w:t>
      </w:r>
      <w:r w:rsidR="00D24DC1" w:rsidRPr="009C2953">
        <w:rPr>
          <w:color w:val="000000"/>
        </w:rPr>
        <w:t xml:space="preserve"> des </w:t>
      </w:r>
      <w:r w:rsidRPr="009C2953">
        <w:rPr>
          <w:color w:val="000000"/>
        </w:rPr>
        <w:t>savoirs autochtones et locaux dans</w:t>
      </w:r>
      <w:r w:rsidR="00F34644" w:rsidRPr="009C2953">
        <w:rPr>
          <w:color w:val="000000"/>
        </w:rPr>
        <w:t xml:space="preserve"> les </w:t>
      </w:r>
      <w:r w:rsidRPr="009C2953">
        <w:rPr>
          <w:color w:val="000000"/>
        </w:rPr>
        <w:t>travaux de</w:t>
      </w:r>
      <w:r w:rsidR="00F34644" w:rsidRPr="009C2953">
        <w:rPr>
          <w:color w:val="000000"/>
        </w:rPr>
        <w:t xml:space="preserve"> la </w:t>
      </w:r>
      <w:r w:rsidRPr="009C2953">
        <w:rPr>
          <w:color w:val="000000"/>
        </w:rPr>
        <w:t>Plateforme.</w:t>
      </w:r>
    </w:p>
    <w:p w14:paraId="76739E9E" w14:textId="7A54B051" w:rsidR="00607B78" w:rsidRPr="009C2953" w:rsidRDefault="00607B78" w:rsidP="009168F2">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rPr>
          <w:color w:val="000000"/>
        </w:rPr>
      </w:pPr>
      <w:r w:rsidRPr="009C2953">
        <w:t>Une septième réunion du forum sur</w:t>
      </w:r>
      <w:r w:rsidR="00F34644" w:rsidRPr="009C2953">
        <w:t xml:space="preserve"> le </w:t>
      </w:r>
      <w:r w:rsidRPr="009C2953">
        <w:t>renforcement</w:t>
      </w:r>
      <w:r w:rsidR="00D24DC1" w:rsidRPr="009C2953">
        <w:t xml:space="preserve"> des </w:t>
      </w:r>
      <w:r w:rsidRPr="009C2953">
        <w:t>capacités sera convoquée pour favoriser</w:t>
      </w:r>
      <w:r w:rsidR="00F34644" w:rsidRPr="009C2953">
        <w:t xml:space="preserve"> le </w:t>
      </w:r>
      <w:r w:rsidRPr="009C2953">
        <w:t>dialogue ainsi que</w:t>
      </w:r>
      <w:r w:rsidR="00F34644" w:rsidRPr="009C2953">
        <w:t xml:space="preserve"> la </w:t>
      </w:r>
      <w:r w:rsidRPr="009C2953">
        <w:t>mise en place et</w:t>
      </w:r>
      <w:r w:rsidR="00F34644" w:rsidRPr="009C2953">
        <w:t xml:space="preserve"> le </w:t>
      </w:r>
      <w:r w:rsidRPr="009C2953">
        <w:t>renforcement d</w:t>
      </w:r>
      <w:r w:rsidR="00EA2966" w:rsidRPr="009C2953">
        <w:t>’</w:t>
      </w:r>
      <w:r w:rsidRPr="009C2953">
        <w:t>une collaboration avec d</w:t>
      </w:r>
      <w:r w:rsidR="00EA2966" w:rsidRPr="009C2953">
        <w:t>’</w:t>
      </w:r>
      <w:r w:rsidRPr="009C2953">
        <w:t>autres organisations et institutions</w:t>
      </w:r>
      <w:r w:rsidR="00F34644" w:rsidRPr="009C2953">
        <w:t xml:space="preserve"> aux </w:t>
      </w:r>
      <w:r w:rsidRPr="009C2953">
        <w:t>fins de</w:t>
      </w:r>
      <w:r w:rsidR="00F34644" w:rsidRPr="009C2953">
        <w:t xml:space="preserve"> la </w:t>
      </w:r>
      <w:r w:rsidRPr="009C2953">
        <w:t>mise en œuvre du plan glissant de renforcement</w:t>
      </w:r>
      <w:r w:rsidR="00D24DC1" w:rsidRPr="009C2953">
        <w:t xml:space="preserve"> des </w:t>
      </w:r>
      <w:r w:rsidRPr="009C2953">
        <w:t>capacités de</w:t>
      </w:r>
      <w:r w:rsidR="00F34644" w:rsidRPr="009C2953">
        <w:t xml:space="preserve"> la </w:t>
      </w:r>
      <w:r w:rsidRPr="009C2953">
        <w:t>Plateforme.</w:t>
      </w:r>
      <w:r w:rsidR="00F34644" w:rsidRPr="009C2953">
        <w:rPr>
          <w:color w:val="000000"/>
        </w:rPr>
        <w:t xml:space="preserve"> Le </w:t>
      </w:r>
      <w:r w:rsidRPr="009C2953">
        <w:t>sujet spécifique de</w:t>
      </w:r>
      <w:r w:rsidR="00F34644" w:rsidRPr="009C2953">
        <w:t xml:space="preserve"> la </w:t>
      </w:r>
      <w:r w:rsidRPr="009C2953">
        <w:t>réunion du forum sera défini par l</w:t>
      </w:r>
      <w:r w:rsidR="00EA2966" w:rsidRPr="009C2953">
        <w:t>’</w:t>
      </w:r>
      <w:r w:rsidRPr="009C2953">
        <w:t>équipe spéciale et approuvé par</w:t>
      </w:r>
      <w:r w:rsidR="00F34644" w:rsidRPr="009C2953">
        <w:t xml:space="preserve"> le </w:t>
      </w:r>
      <w:r w:rsidRPr="009C2953">
        <w:t>Bureau, en tenant compte</w:t>
      </w:r>
      <w:r w:rsidR="00D24DC1" w:rsidRPr="009C2953">
        <w:t xml:space="preserve"> des </w:t>
      </w:r>
      <w:r w:rsidRPr="009C2953">
        <w:t>priorités et</w:t>
      </w:r>
      <w:r w:rsidR="00D24DC1" w:rsidRPr="009C2953">
        <w:t xml:space="preserve"> des </w:t>
      </w:r>
      <w:r w:rsidRPr="009C2953">
        <w:t>besoins</w:t>
      </w:r>
      <w:r w:rsidR="00D24DC1" w:rsidRPr="009C2953">
        <w:t xml:space="preserve"> des </w:t>
      </w:r>
      <w:r w:rsidRPr="009C2953">
        <w:t>membres en matière de renforcement</w:t>
      </w:r>
      <w:r w:rsidR="00D24DC1" w:rsidRPr="009C2953">
        <w:t xml:space="preserve"> des </w:t>
      </w:r>
      <w:r w:rsidRPr="009C2953">
        <w:t>capacités (deuxième trimestre 2024).</w:t>
      </w:r>
    </w:p>
    <w:p w14:paraId="4C99177F" w14:textId="506DBB3A" w:rsidR="00607B78" w:rsidRPr="009C2953" w:rsidRDefault="00607B78" w:rsidP="00607B78">
      <w:pPr>
        <w:pStyle w:val="CH1"/>
      </w:pPr>
      <w:r w:rsidRPr="009C2953">
        <w:tab/>
        <w:t>III.</w:t>
      </w:r>
      <w:r w:rsidRPr="009C2953">
        <w:tab/>
        <w:t>Objectif 2 c) : capacités nationales et régionales renforcées</w:t>
      </w:r>
    </w:p>
    <w:p w14:paraId="662FA20A" w14:textId="2360364D" w:rsidR="00607B78" w:rsidRPr="009C2953" w:rsidRDefault="00607B78" w:rsidP="00607B78">
      <w:pPr>
        <w:pStyle w:val="NormalNonumber"/>
        <w:numPr>
          <w:ilvl w:val="6"/>
          <w:numId w:val="24"/>
        </w:numPr>
        <w:tabs>
          <w:tab w:val="clear" w:pos="1247"/>
          <w:tab w:val="clear" w:pos="1871"/>
          <w:tab w:val="clear" w:pos="2495"/>
          <w:tab w:val="clear" w:pos="3119"/>
          <w:tab w:val="clear" w:pos="3742"/>
          <w:tab w:val="clear" w:pos="4366"/>
          <w:tab w:val="left" w:pos="1843"/>
        </w:tabs>
        <w:ind w:left="1247" w:firstLine="0"/>
        <w:sectPr w:rsidR="00607B78" w:rsidRPr="009C2953" w:rsidSect="00603A5E">
          <w:footnotePr>
            <w:numRestart w:val="eachSect"/>
          </w:footnotePr>
          <w:pgSz w:w="11907" w:h="16839" w:code="9"/>
          <w:pgMar w:top="907" w:right="992" w:bottom="1418" w:left="1418" w:header="539" w:footer="975" w:gutter="0"/>
          <w:cols w:space="539"/>
          <w:docGrid w:linePitch="360"/>
        </w:sectPr>
      </w:pPr>
      <w:r w:rsidRPr="009C2953">
        <w:t>L</w:t>
      </w:r>
      <w:r w:rsidR="00EA2966" w:rsidRPr="009C2953">
        <w:t>’</w:t>
      </w:r>
      <w:r w:rsidRPr="009C2953">
        <w:t>équipe spéciale continuera d</w:t>
      </w:r>
      <w:r w:rsidR="00EA2966" w:rsidRPr="009C2953">
        <w:t>’</w:t>
      </w:r>
      <w:r w:rsidRPr="009C2953">
        <w:t>encourager</w:t>
      </w:r>
      <w:r w:rsidR="00F34644" w:rsidRPr="009C2953">
        <w:t xml:space="preserve"> la </w:t>
      </w:r>
      <w:r w:rsidRPr="009C2953">
        <w:t>mise en place de plateformes, de réseaux et d</w:t>
      </w:r>
      <w:r w:rsidR="00EA2966" w:rsidRPr="009C2953">
        <w:t>’</w:t>
      </w:r>
      <w:r w:rsidRPr="009C2953">
        <w:t>évaluations science-politiques pour</w:t>
      </w:r>
      <w:r w:rsidR="00F34644" w:rsidRPr="009C2953">
        <w:t xml:space="preserve"> la </w:t>
      </w:r>
      <w:r w:rsidRPr="009C2953">
        <w:t>biodiversité et</w:t>
      </w:r>
      <w:r w:rsidR="00F34644" w:rsidRPr="009C2953">
        <w:t xml:space="preserve"> les </w:t>
      </w:r>
      <w:r w:rsidRPr="009C2953">
        <w:t>services écosystémiques</w:t>
      </w:r>
      <w:r w:rsidR="00F34644" w:rsidRPr="009C2953">
        <w:t xml:space="preserve"> aux </w:t>
      </w:r>
      <w:r w:rsidRPr="009C2953">
        <w:t>niveaux national et sous-régional, de collaborer avec ces derniers et de</w:t>
      </w:r>
      <w:r w:rsidR="00F34644" w:rsidRPr="009C2953">
        <w:t xml:space="preserve"> les </w:t>
      </w:r>
      <w:r w:rsidRPr="009C2953">
        <w:t>renforcer.</w:t>
      </w:r>
      <w:r w:rsidR="00F34644" w:rsidRPr="009C2953">
        <w:rPr>
          <w:color w:val="000000"/>
        </w:rPr>
        <w:t xml:space="preserve"> Les </w:t>
      </w:r>
      <w:r w:rsidRPr="009C2953">
        <w:t>activités entreprises viseront essentiellement à faciliter l</w:t>
      </w:r>
      <w:r w:rsidR="00EA2966" w:rsidRPr="009C2953">
        <w:t>’</w:t>
      </w:r>
      <w:r w:rsidRPr="009C2953">
        <w:t>échange</w:t>
      </w:r>
      <w:r w:rsidR="00D24DC1" w:rsidRPr="009C2953">
        <w:t xml:space="preserve"> des </w:t>
      </w:r>
      <w:r w:rsidRPr="009C2953">
        <w:t>connaissances et</w:t>
      </w:r>
      <w:r w:rsidR="00D24DC1" w:rsidRPr="009C2953">
        <w:t xml:space="preserve"> des </w:t>
      </w:r>
      <w:r w:rsidRPr="009C2953">
        <w:t>bonnes pratiques entre</w:t>
      </w:r>
      <w:r w:rsidR="00F34644" w:rsidRPr="009C2953">
        <w:t xml:space="preserve"> les </w:t>
      </w:r>
      <w:r w:rsidRPr="009C2953">
        <w:t>plateformes science-politiques nationales et (sous-)régionales, celles et ceux qui souhaitent créer de</w:t>
      </w:r>
      <w:r w:rsidR="001F7960" w:rsidRPr="009C2953">
        <w:t> </w:t>
      </w:r>
      <w:r w:rsidRPr="009C2953">
        <w:t>nouvelles plateformes et</w:t>
      </w:r>
      <w:r w:rsidR="00F34644" w:rsidRPr="009C2953">
        <w:t xml:space="preserve"> les </w:t>
      </w:r>
      <w:r w:rsidRPr="009C2953">
        <w:t>organisations et institutions susceptibles de soutenir ces efforts.</w:t>
      </w:r>
      <w:r w:rsidRPr="009C2953">
        <w:rPr>
          <w:color w:val="000000"/>
        </w:rPr>
        <w:t xml:space="preserve"> Dans</w:t>
      </w:r>
      <w:r w:rsidR="008567F3" w:rsidRPr="009C2953">
        <w:rPr>
          <w:color w:val="000000"/>
        </w:rPr>
        <w:t> </w:t>
      </w:r>
      <w:r w:rsidR="00F34644" w:rsidRPr="009C2953">
        <w:rPr>
          <w:color w:val="000000"/>
        </w:rPr>
        <w:t>le </w:t>
      </w:r>
      <w:r w:rsidRPr="009C2953">
        <w:rPr>
          <w:color w:val="000000"/>
        </w:rPr>
        <w:t>cadre de ce travail,</w:t>
      </w:r>
      <w:r w:rsidR="00F34644" w:rsidRPr="009C2953">
        <w:rPr>
          <w:color w:val="000000"/>
        </w:rPr>
        <w:t xml:space="preserve"> un </w:t>
      </w:r>
      <w:r w:rsidRPr="009C2953">
        <w:rPr>
          <w:color w:val="000000"/>
        </w:rPr>
        <w:t>atelier de dialogue en ligne sera organisé (deuxième trimestre 2024).</w:t>
      </w:r>
    </w:p>
    <w:p w14:paraId="4C6854D1" w14:textId="1B188F27" w:rsidR="00607B78" w:rsidRPr="009C2953" w:rsidRDefault="00607B78" w:rsidP="00607B78">
      <w:pPr>
        <w:pStyle w:val="CH1"/>
      </w:pPr>
      <w:r w:rsidRPr="009C2953">
        <w:lastRenderedPageBreak/>
        <w:tab/>
      </w:r>
      <w:r w:rsidRPr="009C2953">
        <w:tab/>
        <w:t>Annexe IV à</w:t>
      </w:r>
      <w:r w:rsidR="00F34644" w:rsidRPr="009C2953">
        <w:t xml:space="preserve"> la </w:t>
      </w:r>
      <w:r w:rsidRPr="009C2953">
        <w:t>décision IPBES-10/1</w:t>
      </w:r>
    </w:p>
    <w:p w14:paraId="598AA114" w14:textId="2F530C8C" w:rsidR="00607B78" w:rsidRPr="009C2953" w:rsidRDefault="00607B78" w:rsidP="00607B78">
      <w:pPr>
        <w:pStyle w:val="CH1"/>
      </w:pPr>
      <w:r w:rsidRPr="009C2953">
        <w:tab/>
      </w:r>
      <w:r w:rsidRPr="009C2953">
        <w:tab/>
        <w:t>Plan de travail pour l</w:t>
      </w:r>
      <w:r w:rsidR="00EA2966" w:rsidRPr="009C2953">
        <w:t>’</w:t>
      </w:r>
      <w:r w:rsidRPr="009C2953">
        <w:t>objectif 3 a) : travaux avancés sur</w:t>
      </w:r>
      <w:r w:rsidR="00F34644" w:rsidRPr="009C2953">
        <w:t xml:space="preserve"> les </w:t>
      </w:r>
      <w:r w:rsidRPr="009C2953">
        <w:t>connaissances et</w:t>
      </w:r>
      <w:r w:rsidR="00F34644" w:rsidRPr="009C2953">
        <w:t xml:space="preserve"> les </w:t>
      </w:r>
      <w:r w:rsidRPr="009C2953">
        <w:t>données – gestion</w:t>
      </w:r>
      <w:r w:rsidR="00D24DC1" w:rsidRPr="009C2953">
        <w:t xml:space="preserve"> des </w:t>
      </w:r>
      <w:r w:rsidRPr="009C2953">
        <w:t>données et</w:t>
      </w:r>
      <w:r w:rsidR="00D24DC1" w:rsidRPr="009C2953">
        <w:t xml:space="preserve"> des </w:t>
      </w:r>
      <w:r w:rsidRPr="009C2953">
        <w:t>connaissances, pour</w:t>
      </w:r>
      <w:r w:rsidR="00F34644" w:rsidRPr="009C2953">
        <w:t xml:space="preserve"> la </w:t>
      </w:r>
      <w:r w:rsidRPr="009C2953">
        <w:t>période intersessions 2023</w:t>
      </w:r>
      <w:r w:rsidR="00FA7442">
        <w:t>–</w:t>
      </w:r>
      <w:r w:rsidRPr="009C2953">
        <w:t>2024</w:t>
      </w:r>
    </w:p>
    <w:p w14:paraId="36525D39" w14:textId="03F51A34" w:rsidR="00607B78" w:rsidRPr="009C2953" w:rsidRDefault="00607B78" w:rsidP="008B21DE">
      <w:pPr>
        <w:pStyle w:val="NormalNonumber"/>
        <w:numPr>
          <w:ilvl w:val="6"/>
          <w:numId w:val="26"/>
        </w:numPr>
        <w:tabs>
          <w:tab w:val="clear" w:pos="1247"/>
          <w:tab w:val="clear" w:pos="1871"/>
          <w:tab w:val="clear" w:pos="2495"/>
          <w:tab w:val="clear" w:pos="3119"/>
          <w:tab w:val="clear" w:pos="3742"/>
          <w:tab w:val="clear" w:pos="4366"/>
          <w:tab w:val="left" w:pos="1843"/>
        </w:tabs>
        <w:ind w:left="1247" w:firstLine="0"/>
      </w:pPr>
      <w:r w:rsidRPr="009C2953">
        <w:t>Une équipe spéciale sur</w:t>
      </w:r>
      <w:r w:rsidR="00F34644" w:rsidRPr="009C2953">
        <w:t xml:space="preserve"> les </w:t>
      </w:r>
      <w:r w:rsidRPr="009C2953">
        <w:t>connaissances et</w:t>
      </w:r>
      <w:r w:rsidR="00F34644" w:rsidRPr="009C2953">
        <w:t xml:space="preserve"> les </w:t>
      </w:r>
      <w:r w:rsidRPr="009C2953">
        <w:t>données supervisera et participera à</w:t>
      </w:r>
      <w:r w:rsidR="00F34644" w:rsidRPr="009C2953">
        <w:t xml:space="preserve"> la </w:t>
      </w:r>
      <w:r w:rsidRPr="009C2953">
        <w:t>mise en œuvre du plan de travail suivant pour</w:t>
      </w:r>
      <w:r w:rsidR="00F34644" w:rsidRPr="009C2953">
        <w:t xml:space="preserve"> la </w:t>
      </w:r>
      <w:r w:rsidRPr="009C2953">
        <w:t>composante de l</w:t>
      </w:r>
      <w:r w:rsidR="00EA2966" w:rsidRPr="009C2953">
        <w:t>’</w:t>
      </w:r>
      <w:r w:rsidRPr="009C2953">
        <w:t>objectif 3 a) relative à</w:t>
      </w:r>
      <w:r w:rsidR="00F34644" w:rsidRPr="009C2953">
        <w:t xml:space="preserve"> la </w:t>
      </w:r>
      <w:r w:rsidRPr="009C2953">
        <w:t>gestion</w:t>
      </w:r>
      <w:r w:rsidR="00D24DC1" w:rsidRPr="009C2953">
        <w:t xml:space="preserve"> des </w:t>
      </w:r>
      <w:r w:rsidRPr="009C2953">
        <w:t>données et</w:t>
      </w:r>
      <w:r w:rsidR="00D24DC1" w:rsidRPr="009C2953">
        <w:t xml:space="preserve"> des </w:t>
      </w:r>
      <w:r w:rsidRPr="009C2953">
        <w:t>connaissances, avec</w:t>
      </w:r>
      <w:r w:rsidR="00F34644" w:rsidRPr="009C2953">
        <w:t xml:space="preserve"> le </w:t>
      </w:r>
      <w:r w:rsidRPr="009C2953">
        <w:t>soutien du secrétariat, qui comprend</w:t>
      </w:r>
      <w:r w:rsidR="00F34644" w:rsidRPr="009C2953">
        <w:t xml:space="preserve"> un </w:t>
      </w:r>
      <w:r w:rsidRPr="009C2953">
        <w:t>groupe d</w:t>
      </w:r>
      <w:r w:rsidR="00EA2966" w:rsidRPr="009C2953">
        <w:t>’</w:t>
      </w:r>
      <w:r w:rsidRPr="009C2953">
        <w:t>appui technique dédié.</w:t>
      </w:r>
    </w:p>
    <w:p w14:paraId="10CF2F33" w14:textId="6F8B52D9" w:rsidR="00607B78" w:rsidRPr="009C2953" w:rsidRDefault="00607B78" w:rsidP="008B21DE">
      <w:pPr>
        <w:pStyle w:val="NormalNonumber"/>
        <w:numPr>
          <w:ilvl w:val="6"/>
          <w:numId w:val="26"/>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destinées à maintenir la politique de gestion</w:t>
      </w:r>
      <w:r w:rsidR="00D24DC1" w:rsidRPr="009C2953">
        <w:t xml:space="preserve"> des </w:t>
      </w:r>
      <w:r w:rsidRPr="009C2953">
        <w:t>données et</w:t>
      </w:r>
      <w:r w:rsidR="00D24DC1" w:rsidRPr="009C2953">
        <w:t xml:space="preserve"> des </w:t>
      </w:r>
      <w:r w:rsidRPr="009C2953">
        <w:t>connaissances et</w:t>
      </w:r>
      <w:r w:rsidR="00CD466D" w:rsidRPr="009C2953">
        <w:t> </w:t>
      </w:r>
      <w:r w:rsidRPr="009C2953">
        <w:t>à</w:t>
      </w:r>
      <w:r w:rsidR="00CD466D" w:rsidRPr="009C2953">
        <w:t> </w:t>
      </w:r>
      <w:r w:rsidRPr="009C2953">
        <w:t>poursuivre l</w:t>
      </w:r>
      <w:r w:rsidR="00EA2966" w:rsidRPr="009C2953">
        <w:t>’</w:t>
      </w:r>
      <w:r w:rsidRPr="009C2953">
        <w:t>élaboration de</w:t>
      </w:r>
      <w:r w:rsidR="00F34644" w:rsidRPr="009C2953">
        <w:t xml:space="preserve"> la </w:t>
      </w:r>
      <w:r w:rsidRPr="009C2953">
        <w:t>vision à long terme de</w:t>
      </w:r>
      <w:r w:rsidR="00F34644" w:rsidRPr="009C2953">
        <w:t xml:space="preserve"> la </w:t>
      </w:r>
      <w:r w:rsidRPr="009C2953">
        <w:t>gestion</w:t>
      </w:r>
      <w:r w:rsidR="00D24DC1" w:rsidRPr="009C2953">
        <w:t xml:space="preserve"> des </w:t>
      </w:r>
      <w:r w:rsidRPr="009C2953">
        <w:t>données et</w:t>
      </w:r>
      <w:r w:rsidR="00D24DC1" w:rsidRPr="009C2953">
        <w:t xml:space="preserve"> des </w:t>
      </w:r>
      <w:r w:rsidRPr="009C2953">
        <w:t>connaissances comprendront :</w:t>
      </w:r>
    </w:p>
    <w:p w14:paraId="775262AF" w14:textId="3141BA0D" w:rsidR="00607B78" w:rsidRPr="009C2953" w:rsidRDefault="00607B78" w:rsidP="008B21DE">
      <w:pPr>
        <w:pStyle w:val="NormalNonumber"/>
        <w:numPr>
          <w:ilvl w:val="7"/>
          <w:numId w:val="27"/>
        </w:numPr>
        <w:tabs>
          <w:tab w:val="clear" w:pos="1247"/>
          <w:tab w:val="clear" w:pos="1871"/>
          <w:tab w:val="clear" w:pos="2495"/>
          <w:tab w:val="clear" w:pos="3119"/>
          <w:tab w:val="clear" w:pos="3742"/>
          <w:tab w:val="clear" w:pos="4366"/>
          <w:tab w:val="left" w:pos="2410"/>
        </w:tabs>
        <w:ind w:left="1247" w:firstLine="624"/>
      </w:pPr>
      <w:r w:rsidRPr="009C2953">
        <w:t>L</w:t>
      </w:r>
      <w:r w:rsidR="00EA2966" w:rsidRPr="009C2953">
        <w:t>’</w:t>
      </w:r>
      <w:r w:rsidRPr="009C2953">
        <w:t>examen et</w:t>
      </w:r>
      <w:r w:rsidR="00F34644" w:rsidRPr="009C2953">
        <w:t xml:space="preserve"> la </w:t>
      </w:r>
      <w:r w:rsidRPr="009C2953">
        <w:t>révision de</w:t>
      </w:r>
      <w:r w:rsidR="00F34644" w:rsidRPr="009C2953">
        <w:t xml:space="preserve"> la </w:t>
      </w:r>
      <w:r w:rsidRPr="009C2953">
        <w:t>politique de gestion</w:t>
      </w:r>
      <w:r w:rsidR="00D24DC1" w:rsidRPr="009C2953">
        <w:t xml:space="preserve"> des </w:t>
      </w:r>
      <w:r w:rsidRPr="009C2953">
        <w:t>données et</w:t>
      </w:r>
      <w:r w:rsidR="00D24DC1" w:rsidRPr="009C2953">
        <w:t xml:space="preserve"> des </w:t>
      </w:r>
      <w:r w:rsidRPr="009C2953">
        <w:t>connaissances de</w:t>
      </w:r>
      <w:r w:rsidR="00CD466D" w:rsidRPr="009C2953">
        <w:t> </w:t>
      </w:r>
      <w:r w:rsidRPr="009C2953">
        <w:t>l</w:t>
      </w:r>
      <w:r w:rsidR="00EA2966" w:rsidRPr="009C2953">
        <w:t>’</w:t>
      </w:r>
      <w:r w:rsidRPr="009C2953">
        <w:t>IPBES, si nécessaire, en tenant pleinement compte</w:t>
      </w:r>
      <w:r w:rsidR="00D24DC1" w:rsidRPr="009C2953">
        <w:t xml:space="preserve"> des </w:t>
      </w:r>
      <w:r w:rsidRPr="009C2953">
        <w:t>principes et lignes directrices, en vigueur comme en cours d</w:t>
      </w:r>
      <w:r w:rsidR="00EA2966" w:rsidRPr="009C2953">
        <w:t>’</w:t>
      </w:r>
      <w:r w:rsidRPr="009C2953">
        <w:t>évolution, concernant l</w:t>
      </w:r>
      <w:r w:rsidR="00EA2966" w:rsidRPr="009C2953">
        <w:t>’</w:t>
      </w:r>
      <w:r w:rsidRPr="009C2953">
        <w:t>applicabilité et l</w:t>
      </w:r>
      <w:r w:rsidR="00EA2966" w:rsidRPr="009C2953">
        <w:t>’</w:t>
      </w:r>
      <w:r w:rsidRPr="009C2953">
        <w:t>utilisation éthique et responsable</w:t>
      </w:r>
      <w:r w:rsidR="00D24DC1" w:rsidRPr="009C2953">
        <w:t xml:space="preserve"> des </w:t>
      </w:r>
      <w:r w:rsidRPr="009C2953">
        <w:t>technologies de données avancées ;</w:t>
      </w:r>
    </w:p>
    <w:p w14:paraId="2EA0C564" w14:textId="1A7B2EB4" w:rsidR="00607B78" w:rsidRPr="009C2953" w:rsidRDefault="00607B78" w:rsidP="008B21DE">
      <w:pPr>
        <w:pStyle w:val="NormalNonumber"/>
        <w:numPr>
          <w:ilvl w:val="7"/>
          <w:numId w:val="27"/>
        </w:numPr>
        <w:tabs>
          <w:tab w:val="clear" w:pos="1247"/>
          <w:tab w:val="clear" w:pos="1871"/>
          <w:tab w:val="clear" w:pos="2495"/>
          <w:tab w:val="clear" w:pos="3119"/>
          <w:tab w:val="clear" w:pos="3742"/>
          <w:tab w:val="clear" w:pos="4366"/>
          <w:tab w:val="left" w:pos="2410"/>
        </w:tabs>
        <w:ind w:left="1247" w:firstLine="624"/>
      </w:pPr>
      <w:r w:rsidRPr="009C2953">
        <w:t>L</w:t>
      </w:r>
      <w:r w:rsidR="00EA2966" w:rsidRPr="009C2953">
        <w:t>’</w:t>
      </w:r>
      <w:r w:rsidRPr="009C2953">
        <w:t>examen et</w:t>
      </w:r>
      <w:r w:rsidR="00F34644" w:rsidRPr="009C2953">
        <w:t xml:space="preserve"> la </w:t>
      </w:r>
      <w:r w:rsidRPr="009C2953">
        <w:t>révision de</w:t>
      </w:r>
      <w:r w:rsidR="00F34644" w:rsidRPr="009C2953">
        <w:t xml:space="preserve"> la </w:t>
      </w:r>
      <w:r w:rsidRPr="009C2953">
        <w:t>vision à long terme de</w:t>
      </w:r>
      <w:r w:rsidR="00F34644" w:rsidRPr="009C2953">
        <w:t xml:space="preserve"> la </w:t>
      </w:r>
      <w:r w:rsidRPr="009C2953">
        <w:t>gestion</w:t>
      </w:r>
      <w:r w:rsidR="00D24DC1" w:rsidRPr="009C2953">
        <w:t xml:space="preserve"> des </w:t>
      </w:r>
      <w:r w:rsidRPr="009C2953">
        <w:t>données et</w:t>
      </w:r>
      <w:r w:rsidR="00D24DC1" w:rsidRPr="009C2953">
        <w:t xml:space="preserve"> des </w:t>
      </w:r>
      <w:r w:rsidRPr="009C2953">
        <w:t>connaissances, si nécessaire ;</w:t>
      </w:r>
    </w:p>
    <w:p w14:paraId="68C163DE" w14:textId="2A40D856" w:rsidR="00607B78" w:rsidRPr="009C2953" w:rsidRDefault="00607B78" w:rsidP="008B21DE">
      <w:pPr>
        <w:pStyle w:val="NormalNonumber"/>
        <w:numPr>
          <w:ilvl w:val="7"/>
          <w:numId w:val="27"/>
        </w:numPr>
        <w:tabs>
          <w:tab w:val="clear" w:pos="1247"/>
          <w:tab w:val="clear" w:pos="1871"/>
          <w:tab w:val="clear" w:pos="2495"/>
          <w:tab w:val="clear" w:pos="3119"/>
          <w:tab w:val="clear" w:pos="3742"/>
          <w:tab w:val="clear" w:pos="4366"/>
          <w:tab w:val="left" w:pos="2410"/>
        </w:tabs>
        <w:ind w:left="1247" w:firstLine="624"/>
      </w:pPr>
      <w:r w:rsidRPr="009C2953">
        <w:t>La poursuite de l</w:t>
      </w:r>
      <w:r w:rsidR="00EA2966" w:rsidRPr="009C2953">
        <w:t>’</w:t>
      </w:r>
      <w:r w:rsidRPr="009C2953">
        <w:t>élaboration du projet de plan de travail pour</w:t>
      </w:r>
      <w:r w:rsidR="00F34644" w:rsidRPr="009C2953">
        <w:t xml:space="preserve"> la </w:t>
      </w:r>
      <w:r w:rsidRPr="009C2953">
        <w:t>période intersessions</w:t>
      </w:r>
      <w:r w:rsidR="00CD466D" w:rsidRPr="009C2953">
        <w:t> </w:t>
      </w:r>
      <w:r w:rsidRPr="009C2953">
        <w:t>2024</w:t>
      </w:r>
      <w:r w:rsidR="00FA7442">
        <w:t>–</w:t>
      </w:r>
      <w:r w:rsidRPr="009C2953">
        <w:t>2025 conformément à</w:t>
      </w:r>
      <w:r w:rsidR="00F34644" w:rsidRPr="009C2953">
        <w:t xml:space="preserve"> la </w:t>
      </w:r>
      <w:r w:rsidRPr="009C2953">
        <w:t>vision à long terme révisée de la gestion</w:t>
      </w:r>
      <w:r w:rsidR="00D24DC1" w:rsidRPr="009C2953">
        <w:t xml:space="preserve"> des </w:t>
      </w:r>
      <w:r w:rsidRPr="009C2953">
        <w:t>données et</w:t>
      </w:r>
      <w:r w:rsidR="00287783" w:rsidRPr="009C2953">
        <w:t> </w:t>
      </w:r>
      <w:r w:rsidR="00D24DC1" w:rsidRPr="009C2953">
        <w:t>des </w:t>
      </w:r>
      <w:r w:rsidRPr="009C2953">
        <w:t>connaissances, en ce qui concerne ses objectifs jusqu</w:t>
      </w:r>
      <w:r w:rsidR="00EA2966" w:rsidRPr="009C2953">
        <w:t>’</w:t>
      </w:r>
      <w:r w:rsidRPr="009C2953">
        <w:t>en 2025.</w:t>
      </w:r>
    </w:p>
    <w:p w14:paraId="5E2133FB" w14:textId="18FB9629" w:rsidR="00607B78" w:rsidRPr="009C2953" w:rsidRDefault="00607B78" w:rsidP="008B21DE">
      <w:pPr>
        <w:pStyle w:val="NormalNonumber"/>
        <w:numPr>
          <w:ilvl w:val="6"/>
          <w:numId w:val="26"/>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visant à fournir</w:t>
      </w:r>
      <w:r w:rsidR="00F34644" w:rsidRPr="009C2953">
        <w:t xml:space="preserve"> un </w:t>
      </w:r>
      <w:r w:rsidRPr="009C2953">
        <w:t>appui</w:t>
      </w:r>
      <w:r w:rsidR="00F34644" w:rsidRPr="009C2953">
        <w:t xml:space="preserve"> aux </w:t>
      </w:r>
      <w:r w:rsidRPr="009C2953">
        <w:t>auteur(</w:t>
      </w:r>
      <w:proofErr w:type="spellStart"/>
      <w:r w:rsidRPr="009C2953">
        <w:t>rice</w:t>
      </w:r>
      <w:proofErr w:type="spellEnd"/>
      <w:r w:rsidRPr="009C2953">
        <w:t>)s</w:t>
      </w:r>
      <w:r w:rsidR="00D24DC1" w:rsidRPr="009C2953">
        <w:t xml:space="preserve"> des </w:t>
      </w:r>
      <w:r w:rsidRPr="009C2953">
        <w:t>évaluations en ce qui concerne</w:t>
      </w:r>
      <w:r w:rsidR="00F34644" w:rsidRPr="009C2953">
        <w:t xml:space="preserve"> les </w:t>
      </w:r>
      <w:r w:rsidRPr="009C2953">
        <w:t>composantes relatives à</w:t>
      </w:r>
      <w:r w:rsidR="00F34644" w:rsidRPr="009C2953">
        <w:t xml:space="preserve"> la </w:t>
      </w:r>
      <w:r w:rsidRPr="009C2953">
        <w:t>politique de gestion</w:t>
      </w:r>
      <w:r w:rsidR="00D24DC1" w:rsidRPr="009C2953">
        <w:t xml:space="preserve"> des </w:t>
      </w:r>
      <w:r w:rsidRPr="009C2953">
        <w:t>données et</w:t>
      </w:r>
      <w:r w:rsidR="00D24DC1" w:rsidRPr="009C2953">
        <w:t xml:space="preserve"> des </w:t>
      </w:r>
      <w:r w:rsidRPr="009C2953">
        <w:t>connaissances et à</w:t>
      </w:r>
      <w:r w:rsidR="00F34644" w:rsidRPr="009C2953">
        <w:t xml:space="preserve"> la </w:t>
      </w:r>
      <w:r w:rsidRPr="009C2953">
        <w:t>gestion, au</w:t>
      </w:r>
      <w:r w:rsidR="00CD466D" w:rsidRPr="009C2953">
        <w:t> </w:t>
      </w:r>
      <w:r w:rsidRPr="009C2953">
        <w:t>traitement et à</w:t>
      </w:r>
      <w:r w:rsidR="00F34644" w:rsidRPr="009C2953">
        <w:t xml:space="preserve"> la </w:t>
      </w:r>
      <w:r w:rsidRPr="009C2953">
        <w:t>livraison</w:t>
      </w:r>
      <w:r w:rsidR="00D24DC1" w:rsidRPr="009C2953">
        <w:t xml:space="preserve"> des </w:t>
      </w:r>
      <w:r w:rsidRPr="009C2953">
        <w:t>produits de l</w:t>
      </w:r>
      <w:r w:rsidR="00EA2966" w:rsidRPr="009C2953">
        <w:t>’</w:t>
      </w:r>
      <w:r w:rsidRPr="009C2953">
        <w:t>IPBES comprendront :</w:t>
      </w:r>
    </w:p>
    <w:p w14:paraId="3AD41972" w14:textId="278176BF"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pPr>
      <w:r w:rsidRPr="009C2953">
        <w:t>Après l</w:t>
      </w:r>
      <w:r w:rsidR="00EA2966" w:rsidRPr="009C2953">
        <w:t>’</w:t>
      </w:r>
      <w:r w:rsidRPr="009C2953">
        <w:t>achèvement de l</w:t>
      </w:r>
      <w:r w:rsidR="00EA2966" w:rsidRPr="009C2953">
        <w:t>’</w:t>
      </w:r>
      <w:r w:rsidRPr="009C2953">
        <w:t>évaluation</w:t>
      </w:r>
      <w:r w:rsidR="00D24DC1" w:rsidRPr="009C2953">
        <w:t xml:space="preserve"> des </w:t>
      </w:r>
      <w:r w:rsidRPr="009C2953">
        <w:t>espèces exotiques envahissantes,</w:t>
      </w:r>
      <w:r w:rsidR="00F34644" w:rsidRPr="009C2953">
        <w:t xml:space="preserve"> la </w:t>
      </w:r>
      <w:r w:rsidRPr="009C2953">
        <w:t>fourniture d</w:t>
      </w:r>
      <w:r w:rsidR="00EA2966" w:rsidRPr="009C2953">
        <w:t>’</w:t>
      </w:r>
      <w:r w:rsidRPr="009C2953">
        <w:t>un appui</w:t>
      </w:r>
      <w:r w:rsidR="00F34644" w:rsidRPr="009C2953">
        <w:t xml:space="preserve"> aux </w:t>
      </w:r>
      <w:r w:rsidRPr="009C2953">
        <w:t>aspects relatifs à l</w:t>
      </w:r>
      <w:r w:rsidR="00EA2966" w:rsidRPr="009C2953">
        <w:t>’</w:t>
      </w:r>
      <w:r w:rsidRPr="009C2953">
        <w:t>achèvement, à</w:t>
      </w:r>
      <w:r w:rsidR="00F34644" w:rsidRPr="009C2953">
        <w:t xml:space="preserve"> la </w:t>
      </w:r>
      <w:r w:rsidRPr="009C2953">
        <w:t>documentation et à l</w:t>
      </w:r>
      <w:r w:rsidR="00EA2966" w:rsidRPr="009C2953">
        <w:t>’</w:t>
      </w:r>
      <w:r w:rsidRPr="009C2953">
        <w:t>archivage du travail effectué au cours de l</w:t>
      </w:r>
      <w:r w:rsidR="00EA2966" w:rsidRPr="009C2953">
        <w:t>’</w:t>
      </w:r>
      <w:r w:rsidRPr="009C2953">
        <w:t>élaboration de l</w:t>
      </w:r>
      <w:r w:rsidR="00EA2966" w:rsidRPr="009C2953">
        <w:t>’</w:t>
      </w:r>
      <w:r w:rsidRPr="009C2953">
        <w:t>évaluation ;</w:t>
      </w:r>
    </w:p>
    <w:p w14:paraId="75E10E84" w14:textId="1929B67B"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pPr>
      <w:r w:rsidRPr="009C2953">
        <w:t>La fourniture d</w:t>
      </w:r>
      <w:r w:rsidR="00EA2966" w:rsidRPr="009C2953">
        <w:t>’</w:t>
      </w:r>
      <w:r w:rsidRPr="009C2953">
        <w:t>un appui pour</w:t>
      </w:r>
      <w:r w:rsidR="00F34644" w:rsidRPr="009C2953">
        <w:t xml:space="preserve"> les </w:t>
      </w:r>
      <w:r w:rsidRPr="009C2953">
        <w:t>évaluations</w:t>
      </w:r>
      <w:r w:rsidR="00D24DC1" w:rsidRPr="009C2953">
        <w:t xml:space="preserve"> des </w:t>
      </w:r>
      <w:r w:rsidRPr="009C2953">
        <w:t>interdépendances, du changement transformateur et</w:t>
      </w:r>
      <w:r w:rsidR="00D24DC1" w:rsidRPr="009C2953">
        <w:t xml:space="preserve"> des </w:t>
      </w:r>
      <w:r w:rsidRPr="009C2953">
        <w:t>entreprises et de</w:t>
      </w:r>
      <w:r w:rsidR="00F34644" w:rsidRPr="009C2953">
        <w:t xml:space="preserve"> la </w:t>
      </w:r>
      <w:r w:rsidRPr="009C2953">
        <w:t>biodiversité et pour toute nouvelle évaluation au moyen de</w:t>
      </w:r>
      <w:r w:rsidR="00CD466D" w:rsidRPr="009C2953">
        <w:t> </w:t>
      </w:r>
      <w:r w:rsidRPr="009C2953">
        <w:t>lignes directrices, de tutoriels et de matériel sur</w:t>
      </w:r>
      <w:r w:rsidR="00F34644" w:rsidRPr="009C2953">
        <w:t xml:space="preserve"> la </w:t>
      </w:r>
      <w:r w:rsidRPr="009C2953">
        <w:t>mise en œuvre de</w:t>
      </w:r>
      <w:r w:rsidR="00F34644" w:rsidRPr="009C2953">
        <w:t xml:space="preserve"> la </w:t>
      </w:r>
      <w:r w:rsidRPr="009C2953">
        <w:t>politique de gestion</w:t>
      </w:r>
      <w:r w:rsidR="00D24DC1" w:rsidRPr="009C2953">
        <w:t xml:space="preserve"> des </w:t>
      </w:r>
      <w:r w:rsidRPr="009C2953">
        <w:t>données et</w:t>
      </w:r>
      <w:r w:rsidR="00D24DC1" w:rsidRPr="009C2953">
        <w:t xml:space="preserve"> des </w:t>
      </w:r>
      <w:r w:rsidRPr="009C2953">
        <w:t>connaissances, ainsi que sur</w:t>
      </w:r>
      <w:r w:rsidR="00F34644" w:rsidRPr="009C2953">
        <w:t xml:space="preserve"> les </w:t>
      </w:r>
      <w:r w:rsidRPr="009C2953">
        <w:t>aspects liés à</w:t>
      </w:r>
      <w:r w:rsidR="00F34644" w:rsidRPr="009C2953">
        <w:t xml:space="preserve"> la </w:t>
      </w:r>
      <w:r w:rsidRPr="009C2953">
        <w:t>documentation</w:t>
      </w:r>
      <w:r w:rsidR="00D24DC1" w:rsidRPr="009C2953">
        <w:t xml:space="preserve"> des </w:t>
      </w:r>
      <w:r w:rsidRPr="009C2953">
        <w:t>lacunes en</w:t>
      </w:r>
      <w:r w:rsidR="00CD466D" w:rsidRPr="009C2953">
        <w:t> </w:t>
      </w:r>
      <w:r w:rsidRPr="009C2953">
        <w:t>matière de connaissances,</w:t>
      </w:r>
      <w:r w:rsidR="00F34644" w:rsidRPr="009C2953">
        <w:t xml:space="preserve"> aux </w:t>
      </w:r>
      <w:r w:rsidRPr="009C2953">
        <w:t>technologies de données avancées et à l</w:t>
      </w:r>
      <w:r w:rsidR="00EA2966" w:rsidRPr="009C2953">
        <w:t>’</w:t>
      </w:r>
      <w:r w:rsidRPr="009C2953">
        <w:t>archivage</w:t>
      </w:r>
      <w:r w:rsidR="00D24DC1" w:rsidRPr="009C2953">
        <w:t xml:space="preserve"> des </w:t>
      </w:r>
      <w:r w:rsidRPr="009C2953">
        <w:t>travaux réalisés au cours de l</w:t>
      </w:r>
      <w:r w:rsidR="00EA2966" w:rsidRPr="009C2953">
        <w:t>’</w:t>
      </w:r>
      <w:r w:rsidRPr="009C2953">
        <w:t>élaboration</w:t>
      </w:r>
      <w:r w:rsidR="00D24DC1" w:rsidRPr="009C2953">
        <w:t xml:space="preserve"> des </w:t>
      </w:r>
      <w:r w:rsidRPr="009C2953">
        <w:t xml:space="preserve">évaluations ; </w:t>
      </w:r>
    </w:p>
    <w:p w14:paraId="55F6D191" w14:textId="6CB7291D"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rPr>
          <w:color w:val="000000"/>
        </w:rPr>
      </w:pPr>
      <w:r w:rsidRPr="009C2953">
        <w:t>La fourniture d</w:t>
      </w:r>
      <w:r w:rsidR="00EA2966" w:rsidRPr="009C2953">
        <w:t>’</w:t>
      </w:r>
      <w:r w:rsidRPr="009C2953">
        <w:t>un appui au cadrage de toute nouvelle évaluation, sur</w:t>
      </w:r>
      <w:r w:rsidR="00F34644" w:rsidRPr="009C2953">
        <w:t xml:space="preserve"> les </w:t>
      </w:r>
      <w:r w:rsidRPr="009C2953">
        <w:t>composantes relatives à</w:t>
      </w:r>
      <w:r w:rsidR="00F34644" w:rsidRPr="009C2953">
        <w:t xml:space="preserve"> la </w:t>
      </w:r>
      <w:r w:rsidRPr="009C2953">
        <w:t>gestion</w:t>
      </w:r>
      <w:r w:rsidR="00D24DC1" w:rsidRPr="009C2953">
        <w:t xml:space="preserve"> des </w:t>
      </w:r>
      <w:r w:rsidRPr="009C2953">
        <w:t>données et</w:t>
      </w:r>
      <w:r w:rsidR="00D24DC1" w:rsidRPr="009C2953">
        <w:t xml:space="preserve"> des </w:t>
      </w:r>
      <w:r w:rsidRPr="009C2953">
        <w:t>connaissances.</w:t>
      </w:r>
    </w:p>
    <w:p w14:paraId="78D28C00" w14:textId="351FB4F4" w:rsidR="00607B78" w:rsidRPr="009C2953" w:rsidRDefault="00607B78" w:rsidP="008B21DE">
      <w:pPr>
        <w:pStyle w:val="NormalNonumber"/>
        <w:numPr>
          <w:ilvl w:val="6"/>
          <w:numId w:val="26"/>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relatives à</w:t>
      </w:r>
      <w:r w:rsidR="00F34644" w:rsidRPr="009C2953">
        <w:t xml:space="preserve"> la </w:t>
      </w:r>
      <w:r w:rsidRPr="009C2953">
        <w:t>concertation, selon qu</w:t>
      </w:r>
      <w:r w:rsidR="00EA2966" w:rsidRPr="009C2953">
        <w:t>’</w:t>
      </w:r>
      <w:r w:rsidRPr="009C2953">
        <w:t>il conviendra, avec d</w:t>
      </w:r>
      <w:r w:rsidR="00EA2966" w:rsidRPr="009C2953">
        <w:t>’</w:t>
      </w:r>
      <w:r w:rsidRPr="009C2953">
        <w:t>autres entités, initiatives</w:t>
      </w:r>
      <w:r w:rsidR="00CD466D" w:rsidRPr="009C2953">
        <w:t> </w:t>
      </w:r>
      <w:r w:rsidRPr="009C2953">
        <w:t>et fournisseurs de services sur</w:t>
      </w:r>
      <w:r w:rsidR="00F34644" w:rsidRPr="009C2953">
        <w:t xml:space="preserve"> les </w:t>
      </w:r>
      <w:r w:rsidRPr="009C2953">
        <w:t>données et</w:t>
      </w:r>
      <w:r w:rsidR="00F34644" w:rsidRPr="009C2953">
        <w:t xml:space="preserve"> les </w:t>
      </w:r>
      <w:r w:rsidRPr="009C2953">
        <w:t>connaissances pertinentes pour l</w:t>
      </w:r>
      <w:r w:rsidR="00EA2966" w:rsidRPr="009C2953">
        <w:t>’</w:t>
      </w:r>
      <w:r w:rsidRPr="009C2953">
        <w:t>IPBES</w:t>
      </w:r>
      <w:r w:rsidR="00287783" w:rsidRPr="009C2953">
        <w:t> </w:t>
      </w:r>
      <w:r w:rsidRPr="009C2953">
        <w:t>comprendront :</w:t>
      </w:r>
    </w:p>
    <w:p w14:paraId="4051E485" w14:textId="2C006F6C"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pPr>
      <w:r w:rsidRPr="009C2953">
        <w:t>La fourniture d</w:t>
      </w:r>
      <w:r w:rsidR="00EA2966" w:rsidRPr="009C2953">
        <w:t>’</w:t>
      </w:r>
      <w:r w:rsidRPr="009C2953">
        <w:t>un appui</w:t>
      </w:r>
      <w:r w:rsidR="00F34644" w:rsidRPr="009C2953">
        <w:t xml:space="preserve"> aux </w:t>
      </w:r>
      <w:r w:rsidRPr="009C2953">
        <w:t>expert(e)s de l</w:t>
      </w:r>
      <w:r w:rsidR="00EA2966" w:rsidRPr="009C2953">
        <w:t>’</w:t>
      </w:r>
      <w:r w:rsidRPr="009C2953">
        <w:t>IPBES en ce qui concerne l</w:t>
      </w:r>
      <w:r w:rsidR="00EA2966" w:rsidRPr="009C2953">
        <w:t>’</w:t>
      </w:r>
      <w:r w:rsidRPr="009C2953">
        <w:t>accès à</w:t>
      </w:r>
      <w:r w:rsidR="00287783" w:rsidRPr="009C2953">
        <w:t> </w:t>
      </w:r>
      <w:r w:rsidR="00F34644" w:rsidRPr="009C2953">
        <w:t>un </w:t>
      </w:r>
      <w:r w:rsidRPr="009C2953">
        <w:t>large éventail de données et de connaissances externes, l</w:t>
      </w:r>
      <w:r w:rsidR="00EA2966" w:rsidRPr="009C2953">
        <w:t>’</w:t>
      </w:r>
      <w:r w:rsidRPr="009C2953">
        <w:t>exploitation de ces données, et</w:t>
      </w:r>
      <w:r w:rsidR="00287783" w:rsidRPr="009C2953">
        <w:t> </w:t>
      </w:r>
      <w:r w:rsidRPr="009C2953">
        <w:t>si</w:t>
      </w:r>
      <w:r w:rsidR="00287783" w:rsidRPr="009C2953">
        <w:t> </w:t>
      </w:r>
      <w:r w:rsidRPr="009C2953">
        <w:t>nécessaire,</w:t>
      </w:r>
      <w:r w:rsidR="00F34644" w:rsidRPr="009C2953">
        <w:t xml:space="preserve"> leur </w:t>
      </w:r>
      <w:r w:rsidRPr="009C2953">
        <w:t>traitement ;</w:t>
      </w:r>
    </w:p>
    <w:p w14:paraId="20B89A5C" w14:textId="64D991CA"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pPr>
      <w:r w:rsidRPr="009C2953">
        <w:t>La fourniture d</w:t>
      </w:r>
      <w:r w:rsidR="00EA2966" w:rsidRPr="009C2953">
        <w:t>’</w:t>
      </w:r>
      <w:r w:rsidRPr="009C2953">
        <w:t>un appui</w:t>
      </w:r>
      <w:r w:rsidR="00F34644" w:rsidRPr="009C2953">
        <w:t xml:space="preserve"> aux </w:t>
      </w:r>
      <w:r w:rsidRPr="009C2953">
        <w:t>expert(e)s de l</w:t>
      </w:r>
      <w:r w:rsidR="00EA2966" w:rsidRPr="009C2953">
        <w:t>’</w:t>
      </w:r>
      <w:r w:rsidRPr="009C2953">
        <w:t>IPBES en ce qui concerne l</w:t>
      </w:r>
      <w:r w:rsidR="00EA2966" w:rsidRPr="009C2953">
        <w:t>’</w:t>
      </w:r>
      <w:r w:rsidRPr="009C2953">
        <w:t>application</w:t>
      </w:r>
      <w:r w:rsidR="00D24DC1" w:rsidRPr="009C2953">
        <w:t xml:space="preserve"> des </w:t>
      </w:r>
      <w:r w:rsidRPr="009C2953">
        <w:t>technologies de données avancées et</w:t>
      </w:r>
      <w:r w:rsidR="00D24DC1" w:rsidRPr="009C2953">
        <w:t xml:space="preserve"> des </w:t>
      </w:r>
      <w:r w:rsidRPr="009C2953">
        <w:t>services offerts par d</w:t>
      </w:r>
      <w:r w:rsidR="00EA2966" w:rsidRPr="009C2953">
        <w:t>’</w:t>
      </w:r>
      <w:r w:rsidRPr="009C2953">
        <w:t>autres entités ;</w:t>
      </w:r>
    </w:p>
    <w:p w14:paraId="65067F4E" w14:textId="4A36E279" w:rsidR="00607B78" w:rsidRPr="009C2953" w:rsidRDefault="00607B78" w:rsidP="008B21DE">
      <w:pPr>
        <w:pStyle w:val="NormalNonumber"/>
        <w:numPr>
          <w:ilvl w:val="7"/>
          <w:numId w:val="26"/>
        </w:numPr>
        <w:tabs>
          <w:tab w:val="clear" w:pos="1247"/>
          <w:tab w:val="clear" w:pos="1871"/>
          <w:tab w:val="clear" w:pos="2495"/>
          <w:tab w:val="clear" w:pos="3119"/>
          <w:tab w:val="clear" w:pos="3742"/>
          <w:tab w:val="clear" w:pos="4366"/>
          <w:tab w:val="left" w:pos="2410"/>
        </w:tabs>
        <w:ind w:left="1247" w:firstLine="624"/>
      </w:pPr>
      <w:r w:rsidRPr="009C2953">
        <w:t>Le partage d</w:t>
      </w:r>
      <w:r w:rsidR="00EA2966" w:rsidRPr="009C2953">
        <w:t>’</w:t>
      </w:r>
      <w:r w:rsidRPr="009C2953">
        <w:t>informations pertinentes sur</w:t>
      </w:r>
      <w:r w:rsidR="00F34644" w:rsidRPr="009C2953">
        <w:t xml:space="preserve"> les </w:t>
      </w:r>
      <w:r w:rsidRPr="009C2953">
        <w:t>connaissances et</w:t>
      </w:r>
      <w:r w:rsidR="00F34644" w:rsidRPr="009C2953">
        <w:t xml:space="preserve"> les </w:t>
      </w:r>
      <w:r w:rsidRPr="009C2953">
        <w:t>données avec</w:t>
      </w:r>
      <w:r w:rsidR="00287783" w:rsidRPr="009C2953">
        <w:t> </w:t>
      </w:r>
      <w:r w:rsidR="00D24DC1" w:rsidRPr="009C2953">
        <w:t>des </w:t>
      </w:r>
      <w:r w:rsidRPr="009C2953">
        <w:t>initiatives de renforcement</w:t>
      </w:r>
      <w:r w:rsidR="00D24DC1" w:rsidRPr="009C2953">
        <w:t xml:space="preserve"> des </w:t>
      </w:r>
      <w:r w:rsidRPr="009C2953">
        <w:t>capacités dans</w:t>
      </w:r>
      <w:r w:rsidR="00F34644" w:rsidRPr="009C2953">
        <w:t xml:space="preserve"> le </w:t>
      </w:r>
      <w:r w:rsidRPr="009C2953">
        <w:t>cadre d</w:t>
      </w:r>
      <w:r w:rsidR="00EA2966" w:rsidRPr="009C2953">
        <w:t>’</w:t>
      </w:r>
      <w:r w:rsidRPr="009C2953">
        <w:t>accords multilatéraux liés à</w:t>
      </w:r>
      <w:r w:rsidR="00287783" w:rsidRPr="009C2953">
        <w:t> </w:t>
      </w:r>
      <w:r w:rsidR="00F34644" w:rsidRPr="009C2953">
        <w:t>la </w:t>
      </w:r>
      <w:r w:rsidRPr="009C2953">
        <w:t>biodiversité et avec d</w:t>
      </w:r>
      <w:r w:rsidR="00EA2966" w:rsidRPr="009C2953">
        <w:t>’</w:t>
      </w:r>
      <w:r w:rsidRPr="009C2953">
        <w:t>autres centres de recherche, selon qu</w:t>
      </w:r>
      <w:r w:rsidR="00EA2966" w:rsidRPr="009C2953">
        <w:t>’</w:t>
      </w:r>
      <w:r w:rsidRPr="009C2953">
        <w:t>il conviendra.</w:t>
      </w:r>
    </w:p>
    <w:p w14:paraId="454EC2E7" w14:textId="2C942ACA" w:rsidR="00607B78" w:rsidRPr="009C2953" w:rsidRDefault="00607B78" w:rsidP="008B21DE">
      <w:pPr>
        <w:pStyle w:val="NormalNonumber"/>
        <w:numPr>
          <w:ilvl w:val="6"/>
          <w:numId w:val="26"/>
        </w:numPr>
        <w:tabs>
          <w:tab w:val="clear" w:pos="1247"/>
          <w:tab w:val="clear" w:pos="1871"/>
          <w:tab w:val="clear" w:pos="2495"/>
          <w:tab w:val="clear" w:pos="3119"/>
          <w:tab w:val="clear" w:pos="3742"/>
          <w:tab w:val="clear" w:pos="4366"/>
          <w:tab w:val="left" w:pos="1843"/>
        </w:tabs>
        <w:ind w:left="1247" w:firstLine="0"/>
      </w:pPr>
      <w:r w:rsidRPr="009C2953">
        <w:t>Les activités visant à garantir</w:t>
      </w:r>
      <w:r w:rsidR="00F34644" w:rsidRPr="009C2953">
        <w:t xml:space="preserve"> la </w:t>
      </w:r>
      <w:r w:rsidRPr="009C2953">
        <w:t>mise en œuvre effective du plan de travail comprennent</w:t>
      </w:r>
      <w:r w:rsidR="00F34644" w:rsidRPr="009C2953">
        <w:t xml:space="preserve"> la </w:t>
      </w:r>
      <w:r w:rsidRPr="009C2953">
        <w:t>poursuite de l</w:t>
      </w:r>
      <w:r w:rsidR="00EA2966" w:rsidRPr="009C2953">
        <w:t>’</w:t>
      </w:r>
      <w:r w:rsidRPr="009C2953">
        <w:t>élaboration et</w:t>
      </w:r>
      <w:r w:rsidR="00F34644" w:rsidRPr="009C2953">
        <w:t xml:space="preserve"> le </w:t>
      </w:r>
      <w:r w:rsidRPr="009C2953">
        <w:t>suivi d</w:t>
      </w:r>
      <w:r w:rsidR="00EA2966" w:rsidRPr="009C2953">
        <w:t>’</w:t>
      </w:r>
      <w:r w:rsidRPr="009C2953">
        <w:t>une série d</w:t>
      </w:r>
      <w:r w:rsidR="00EA2966" w:rsidRPr="009C2953">
        <w:t>’</w:t>
      </w:r>
      <w:r w:rsidRPr="009C2953">
        <w:t>indicateurs pertinents pour mesurer l</w:t>
      </w:r>
      <w:r w:rsidR="00EA2966" w:rsidRPr="009C2953">
        <w:t>’</w:t>
      </w:r>
      <w:r w:rsidRPr="009C2953">
        <w:t>efficacité. L</w:t>
      </w:r>
      <w:r w:rsidR="00EA2966" w:rsidRPr="009C2953">
        <w:t>’</w:t>
      </w:r>
      <w:r w:rsidRPr="009C2953">
        <w:t>ensemble d</w:t>
      </w:r>
      <w:r w:rsidR="00EA2966" w:rsidRPr="009C2953">
        <w:t>’</w:t>
      </w:r>
      <w:r w:rsidRPr="009C2953">
        <w:t>indicateurs mis au point sera présenté à</w:t>
      </w:r>
      <w:r w:rsidR="00F34644" w:rsidRPr="009C2953">
        <w:t xml:space="preserve"> la </w:t>
      </w:r>
      <w:r w:rsidRPr="009C2953">
        <w:t>Plénière, à</w:t>
      </w:r>
      <w:r w:rsidR="00F34644" w:rsidRPr="009C2953">
        <w:t xml:space="preserve"> sa </w:t>
      </w:r>
      <w:r w:rsidRPr="009C2953">
        <w:t>onzième session, dans</w:t>
      </w:r>
      <w:r w:rsidR="00F34644" w:rsidRPr="009C2953">
        <w:t xml:space="preserve"> le </w:t>
      </w:r>
      <w:r w:rsidRPr="009C2953">
        <w:t>cadre du projet de plan de travail pour</w:t>
      </w:r>
      <w:r w:rsidR="00F34644" w:rsidRPr="009C2953">
        <w:t xml:space="preserve"> la </w:t>
      </w:r>
      <w:r w:rsidRPr="009C2953">
        <w:t>période intersessions 2024</w:t>
      </w:r>
      <w:r w:rsidR="00FA7442">
        <w:t>–</w:t>
      </w:r>
      <w:r w:rsidRPr="009C2953">
        <w:t>2025.</w:t>
      </w:r>
    </w:p>
    <w:p w14:paraId="79980383"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57CBB27F" w14:textId="539722D9" w:rsidR="00607B78" w:rsidRPr="009C2953" w:rsidRDefault="00607B78" w:rsidP="00607B78">
      <w:pPr>
        <w:pStyle w:val="CH1"/>
      </w:pPr>
      <w:r w:rsidRPr="009C2953">
        <w:lastRenderedPageBreak/>
        <w:tab/>
      </w:r>
      <w:r w:rsidRPr="009C2953">
        <w:tab/>
        <w:t>Annexe V à</w:t>
      </w:r>
      <w:r w:rsidR="00F34644" w:rsidRPr="009C2953">
        <w:t xml:space="preserve"> la </w:t>
      </w:r>
      <w:r w:rsidRPr="009C2953">
        <w:t>décision IPBES-10/1</w:t>
      </w:r>
    </w:p>
    <w:p w14:paraId="3C8BA05B" w14:textId="63218D4C" w:rsidR="00607B78" w:rsidRPr="009C2953" w:rsidRDefault="00607B78" w:rsidP="00607B78">
      <w:pPr>
        <w:pStyle w:val="CH1"/>
      </w:pPr>
      <w:r w:rsidRPr="009C2953">
        <w:tab/>
      </w:r>
      <w:r w:rsidRPr="009C2953">
        <w:tab/>
        <w:t>Plan de travail pour l</w:t>
      </w:r>
      <w:r w:rsidR="00EA2966" w:rsidRPr="009C2953">
        <w:t>’</w:t>
      </w:r>
      <w:r w:rsidRPr="009C2953">
        <w:t>objectif 3 a) : travaux avancés sur</w:t>
      </w:r>
      <w:r w:rsidR="00F34644" w:rsidRPr="009C2953">
        <w:t xml:space="preserve"> les </w:t>
      </w:r>
      <w:r w:rsidRPr="009C2953">
        <w:t>connaissances et</w:t>
      </w:r>
      <w:r w:rsidR="00F34644" w:rsidRPr="009C2953">
        <w:t xml:space="preserve"> les </w:t>
      </w:r>
      <w:r w:rsidRPr="009C2953">
        <w:t>données – facilitation de</w:t>
      </w:r>
      <w:r w:rsidR="00F34644" w:rsidRPr="009C2953">
        <w:t xml:space="preserve"> la </w:t>
      </w:r>
      <w:r w:rsidRPr="009C2953">
        <w:t>production de</w:t>
      </w:r>
      <w:r w:rsidR="00CD466D" w:rsidRPr="009C2953">
        <w:t> </w:t>
      </w:r>
      <w:r w:rsidRPr="009C2953">
        <w:t>connaissances, pour</w:t>
      </w:r>
      <w:r w:rsidR="00F34644" w:rsidRPr="009C2953">
        <w:t xml:space="preserve"> la </w:t>
      </w:r>
      <w:r w:rsidRPr="009C2953">
        <w:t>période intersessions 2023</w:t>
      </w:r>
      <w:r w:rsidR="00FA7442">
        <w:t>–</w:t>
      </w:r>
      <w:r w:rsidRPr="009C2953">
        <w:t>2024</w:t>
      </w:r>
    </w:p>
    <w:p w14:paraId="5393A451" w14:textId="4E5C110D"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pPr>
      <w:r w:rsidRPr="009C2953">
        <w:t>Le Groupe d</w:t>
      </w:r>
      <w:r w:rsidR="00EA2966" w:rsidRPr="009C2953">
        <w:t>’</w:t>
      </w:r>
      <w:r w:rsidRPr="009C2953">
        <w:t>experts multidisciplinaire et</w:t>
      </w:r>
      <w:r w:rsidR="00F34644" w:rsidRPr="009C2953">
        <w:t xml:space="preserve"> le </w:t>
      </w:r>
      <w:r w:rsidRPr="009C2953">
        <w:t>Bureau superviseront et participeront, dans</w:t>
      </w:r>
      <w:r w:rsidR="00F34644" w:rsidRPr="009C2953">
        <w:t xml:space="preserve"> le </w:t>
      </w:r>
      <w:r w:rsidRPr="009C2953">
        <w:t>cadre de</w:t>
      </w:r>
      <w:r w:rsidR="00107282" w:rsidRPr="009C2953">
        <w:t xml:space="preserve"> leurs </w:t>
      </w:r>
      <w:r w:rsidRPr="009C2953">
        <w:t>mandats respectifs, à</w:t>
      </w:r>
      <w:r w:rsidR="00F34644" w:rsidRPr="009C2953">
        <w:t xml:space="preserve"> la </w:t>
      </w:r>
      <w:r w:rsidRPr="009C2953">
        <w:t>mise en œuvre du plan de travail suivant pour</w:t>
      </w:r>
      <w:r w:rsidR="00F34644" w:rsidRPr="009C2953">
        <w:t xml:space="preserve"> la </w:t>
      </w:r>
      <w:r w:rsidRPr="009C2953">
        <w:t>composante de l</w:t>
      </w:r>
      <w:r w:rsidR="00EA2966" w:rsidRPr="009C2953">
        <w:t>’</w:t>
      </w:r>
      <w:r w:rsidRPr="009C2953">
        <w:t>objectif 3 a) relative à</w:t>
      </w:r>
      <w:r w:rsidR="00F34644" w:rsidRPr="009C2953">
        <w:t xml:space="preserve"> la </w:t>
      </w:r>
      <w:r w:rsidRPr="009C2953">
        <w:t>facilitation de</w:t>
      </w:r>
      <w:r w:rsidR="00F34644" w:rsidRPr="009C2953">
        <w:t xml:space="preserve"> la </w:t>
      </w:r>
      <w:r w:rsidRPr="009C2953">
        <w:t>production de connaissances, avec</w:t>
      </w:r>
      <w:r w:rsidR="00F34644" w:rsidRPr="009C2953">
        <w:t xml:space="preserve"> le </w:t>
      </w:r>
      <w:r w:rsidRPr="009C2953">
        <w:t>soutien du secrétariat, qui comprend</w:t>
      </w:r>
      <w:r w:rsidR="00F34644" w:rsidRPr="009C2953">
        <w:t xml:space="preserve"> un </w:t>
      </w:r>
      <w:r w:rsidRPr="009C2953">
        <w:t>groupe d</w:t>
      </w:r>
      <w:r w:rsidR="00EA2966" w:rsidRPr="009C2953">
        <w:t>’</w:t>
      </w:r>
      <w:r w:rsidRPr="009C2953">
        <w:t>appui technique dédié.</w:t>
      </w:r>
    </w:p>
    <w:p w14:paraId="6213886C" w14:textId="2A0B780A"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 d</w:t>
      </w:r>
      <w:r w:rsidR="00EA2966" w:rsidRPr="009C2953">
        <w:t>’</w:t>
      </w:r>
      <w:r w:rsidRPr="009C2953">
        <w:t>examen et de poursuite de</w:t>
      </w:r>
      <w:r w:rsidR="00F34644" w:rsidRPr="009C2953">
        <w:t xml:space="preserve"> la </w:t>
      </w:r>
      <w:r w:rsidRPr="009C2953">
        <w:t>mise au point, sur</w:t>
      </w:r>
      <w:r w:rsidR="00F34644" w:rsidRPr="009C2953">
        <w:t xml:space="preserve"> la </w:t>
      </w:r>
      <w:r w:rsidRPr="009C2953">
        <w:t>base</w:t>
      </w:r>
      <w:r w:rsidR="00D24DC1" w:rsidRPr="009C2953">
        <w:t xml:space="preserve"> des </w:t>
      </w:r>
      <w:r w:rsidRPr="009C2953">
        <w:t>enseignements tirés</w:t>
      </w:r>
      <w:r w:rsidR="00D24DC1" w:rsidRPr="009C2953">
        <w:t xml:space="preserve"> des </w:t>
      </w:r>
      <w:r w:rsidRPr="009C2953">
        <w:t>évaluations en cours, du processus visant à favoriser</w:t>
      </w:r>
      <w:r w:rsidR="00F34644" w:rsidRPr="009C2953">
        <w:t xml:space="preserve"> la </w:t>
      </w:r>
      <w:r w:rsidRPr="009C2953">
        <w:t>production de nouvelles connaissances, d</w:t>
      </w:r>
      <w:r w:rsidR="00EA2966" w:rsidRPr="009C2953">
        <w:t>’</w:t>
      </w:r>
      <w:r w:rsidRPr="009C2953">
        <w:t>orientations évolutives destinées à aider</w:t>
      </w:r>
      <w:r w:rsidR="00F34644" w:rsidRPr="009C2953">
        <w:t xml:space="preserve"> les </w:t>
      </w:r>
      <w:r w:rsidRPr="009C2953">
        <w:t>auteur(</w:t>
      </w:r>
      <w:proofErr w:type="spellStart"/>
      <w:r w:rsidRPr="009C2953">
        <w:t>rice</w:t>
      </w:r>
      <w:proofErr w:type="spellEnd"/>
      <w:r w:rsidRPr="009C2953">
        <w:t>)s</w:t>
      </w:r>
      <w:r w:rsidR="00D24DC1" w:rsidRPr="009C2953">
        <w:t xml:space="preserve"> des </w:t>
      </w:r>
      <w:r w:rsidRPr="009C2953">
        <w:t>évaluations à recenser</w:t>
      </w:r>
      <w:r w:rsidR="00F34644" w:rsidRPr="009C2953">
        <w:t xml:space="preserve"> les </w:t>
      </w:r>
      <w:r w:rsidRPr="009C2953">
        <w:t>lacunes en</w:t>
      </w:r>
      <w:r w:rsidR="007B6983" w:rsidRPr="009C2953">
        <w:t> </w:t>
      </w:r>
      <w:r w:rsidRPr="009C2953">
        <w:t>matière de connaissances et du modèle d</w:t>
      </w:r>
      <w:r w:rsidR="00EA2966" w:rsidRPr="009C2953">
        <w:t>’</w:t>
      </w:r>
      <w:r w:rsidRPr="009C2953">
        <w:t>inventaire</w:t>
      </w:r>
      <w:r w:rsidR="00D24DC1" w:rsidRPr="009C2953">
        <w:t xml:space="preserve"> des </w:t>
      </w:r>
      <w:r w:rsidRPr="009C2953">
        <w:t>lacunes en matière de connaissances comprendront</w:t>
      </w:r>
      <w:r w:rsidR="00F34644" w:rsidRPr="009C2953">
        <w:t xml:space="preserve"> la </w:t>
      </w:r>
      <w:r w:rsidRPr="009C2953">
        <w:t>mise au point d</w:t>
      </w:r>
      <w:r w:rsidR="00EA2966" w:rsidRPr="009C2953">
        <w:t>’</w:t>
      </w:r>
      <w:r w:rsidRPr="009C2953">
        <w:t>une proposition visant à améliorer</w:t>
      </w:r>
      <w:r w:rsidR="00F34644" w:rsidRPr="009C2953">
        <w:t xml:space="preserve"> le </w:t>
      </w:r>
      <w:r w:rsidRPr="009C2953">
        <w:t>signalement précoce et efficace</w:t>
      </w:r>
      <w:r w:rsidR="00D24DC1" w:rsidRPr="009C2953">
        <w:t xml:space="preserve"> des </w:t>
      </w:r>
      <w:r w:rsidRPr="009C2953">
        <w:t>lacunes en matière de connaissances liées</w:t>
      </w:r>
      <w:r w:rsidR="00F34644" w:rsidRPr="009C2953">
        <w:t xml:space="preserve"> aux </w:t>
      </w:r>
      <w:r w:rsidRPr="009C2953">
        <w:t>évaluations de l</w:t>
      </w:r>
      <w:r w:rsidR="00EA2966" w:rsidRPr="009C2953">
        <w:t>’</w:t>
      </w:r>
      <w:r w:rsidRPr="009C2953">
        <w:t>IPBES à venir et en cours, en</w:t>
      </w:r>
      <w:r w:rsidR="003D2344" w:rsidRPr="009C2953">
        <w:t> </w:t>
      </w:r>
      <w:r w:rsidRPr="009C2953">
        <w:t>collaboration avec l</w:t>
      </w:r>
      <w:r w:rsidR="00EA2966" w:rsidRPr="009C2953">
        <w:t>’</w:t>
      </w:r>
      <w:r w:rsidRPr="009C2953">
        <w:t>équipe spéciale sur</w:t>
      </w:r>
      <w:r w:rsidR="00F34644" w:rsidRPr="009C2953">
        <w:t xml:space="preserve"> les </w:t>
      </w:r>
      <w:r w:rsidRPr="009C2953">
        <w:t>scénarios et</w:t>
      </w:r>
      <w:r w:rsidR="00F34644" w:rsidRPr="009C2953">
        <w:t xml:space="preserve"> les </w:t>
      </w:r>
      <w:r w:rsidRPr="009C2953">
        <w:t>modèles et l</w:t>
      </w:r>
      <w:r w:rsidR="00EA2966" w:rsidRPr="009C2953">
        <w:t>’</w:t>
      </w:r>
      <w:r w:rsidRPr="009C2953">
        <w:t>équipe spéciale sur</w:t>
      </w:r>
      <w:r w:rsidR="00F34644" w:rsidRPr="009C2953">
        <w:t xml:space="preserve"> les </w:t>
      </w:r>
      <w:r w:rsidRPr="009C2953">
        <w:t>savoirs autochtones et locaux.</w:t>
      </w:r>
    </w:p>
    <w:p w14:paraId="22657EA3" w14:textId="1C816A1E"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pPr>
      <w:r w:rsidRPr="009C2953">
        <w:rPr>
          <w:color w:val="000000"/>
        </w:rPr>
        <w:t>Les activités visant à aider</w:t>
      </w:r>
      <w:r w:rsidR="00F34644" w:rsidRPr="009C2953">
        <w:rPr>
          <w:color w:val="000000"/>
        </w:rPr>
        <w:t xml:space="preserve"> les </w:t>
      </w:r>
      <w:r w:rsidRPr="009C2953">
        <w:rPr>
          <w:color w:val="000000"/>
        </w:rPr>
        <w:t>auteur(</w:t>
      </w:r>
      <w:proofErr w:type="spellStart"/>
      <w:r w:rsidRPr="009C2953">
        <w:rPr>
          <w:color w:val="000000"/>
        </w:rPr>
        <w:t>rice</w:t>
      </w:r>
      <w:proofErr w:type="spellEnd"/>
      <w:r w:rsidRPr="009C2953">
        <w:rPr>
          <w:color w:val="000000"/>
        </w:rPr>
        <w:t>)s</w:t>
      </w:r>
      <w:r w:rsidR="00D24DC1" w:rsidRPr="009C2953">
        <w:rPr>
          <w:color w:val="000000"/>
        </w:rPr>
        <w:t xml:space="preserve"> des </w:t>
      </w:r>
      <w:r w:rsidRPr="009C2953">
        <w:rPr>
          <w:color w:val="000000"/>
        </w:rPr>
        <w:t>évaluations à recenser</w:t>
      </w:r>
      <w:r w:rsidR="00F34644" w:rsidRPr="009C2953">
        <w:rPr>
          <w:color w:val="000000"/>
        </w:rPr>
        <w:t xml:space="preserve"> les </w:t>
      </w:r>
      <w:r w:rsidRPr="009C2953">
        <w:rPr>
          <w:color w:val="000000"/>
        </w:rPr>
        <w:t>lacunes en matière de</w:t>
      </w:r>
      <w:r w:rsidR="007B6983" w:rsidRPr="009C2953">
        <w:rPr>
          <w:color w:val="000000"/>
        </w:rPr>
        <w:t> </w:t>
      </w:r>
      <w:r w:rsidRPr="009C2953">
        <w:t>connaissances, notamment à dresser</w:t>
      </w:r>
      <w:r w:rsidR="00F34644" w:rsidRPr="009C2953">
        <w:t xml:space="preserve"> une </w:t>
      </w:r>
      <w:r w:rsidRPr="009C2953">
        <w:t>liste</w:t>
      </w:r>
      <w:r w:rsidR="00D24DC1" w:rsidRPr="009C2953">
        <w:t xml:space="preserve"> des </w:t>
      </w:r>
      <w:r w:rsidRPr="009C2953">
        <w:t>lacunes en matière de connaissances dans</w:t>
      </w:r>
      <w:r w:rsidR="00F34644" w:rsidRPr="009C2953">
        <w:t xml:space="preserve"> le </w:t>
      </w:r>
      <w:r w:rsidRPr="009C2953">
        <w:t>cadre</w:t>
      </w:r>
      <w:r w:rsidR="00D24DC1" w:rsidRPr="009C2953">
        <w:t xml:space="preserve"> des </w:t>
      </w:r>
      <w:r w:rsidRPr="009C2953">
        <w:t>évaluations, en utilisant</w:t>
      </w:r>
      <w:r w:rsidR="00F34644" w:rsidRPr="009C2953">
        <w:t xml:space="preserve"> les </w:t>
      </w:r>
      <w:r w:rsidRPr="009C2953">
        <w:t>lignes directrices et</w:t>
      </w:r>
      <w:r w:rsidR="00F34644" w:rsidRPr="009C2953">
        <w:t xml:space="preserve"> le </w:t>
      </w:r>
      <w:r w:rsidRPr="009C2953">
        <w:t>modèle, comprendront</w:t>
      </w:r>
      <w:r w:rsidR="00F34644" w:rsidRPr="009C2953">
        <w:t xml:space="preserve"> la </w:t>
      </w:r>
      <w:r w:rsidRPr="009C2953">
        <w:t>supervision de l</w:t>
      </w:r>
      <w:r w:rsidR="00EA2966" w:rsidRPr="009C2953">
        <w:t>’</w:t>
      </w:r>
      <w:r w:rsidRPr="009C2953">
        <w:t>appui technique fourni</w:t>
      </w:r>
      <w:r w:rsidR="00F34644" w:rsidRPr="009C2953">
        <w:t xml:space="preserve"> aux </w:t>
      </w:r>
      <w:r w:rsidRPr="009C2953">
        <w:t>expert(e)s chargé(e)s de l</w:t>
      </w:r>
      <w:r w:rsidR="00EA2966" w:rsidRPr="009C2953">
        <w:t>’</w:t>
      </w:r>
      <w:r w:rsidRPr="009C2953">
        <w:t>évaluation dans</w:t>
      </w:r>
      <w:r w:rsidR="00F34644" w:rsidRPr="009C2953">
        <w:t xml:space="preserve"> le </w:t>
      </w:r>
      <w:r w:rsidRPr="009C2953">
        <w:t>processus de mise en évidence, de</w:t>
      </w:r>
      <w:r w:rsidR="008567F3" w:rsidRPr="009C2953">
        <w:t> </w:t>
      </w:r>
      <w:r w:rsidRPr="009C2953">
        <w:t>présentation et d</w:t>
      </w:r>
      <w:r w:rsidR="00EA2966" w:rsidRPr="009C2953">
        <w:t>’</w:t>
      </w:r>
      <w:r w:rsidRPr="009C2953">
        <w:t>inventaire</w:t>
      </w:r>
      <w:r w:rsidR="00D24DC1" w:rsidRPr="009C2953">
        <w:t xml:space="preserve"> des </w:t>
      </w:r>
      <w:r w:rsidRPr="009C2953">
        <w:t>lacunes en matière de connaissances.</w:t>
      </w:r>
    </w:p>
    <w:p w14:paraId="2AB8002B" w14:textId="05282490"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rPr>
          <w:color w:val="000000"/>
        </w:rPr>
      </w:pPr>
      <w:r w:rsidRPr="009C2953">
        <w:t>Les activités</w:t>
      </w:r>
      <w:r w:rsidRPr="009C2953">
        <w:rPr>
          <w:color w:val="000000"/>
        </w:rPr>
        <w:t xml:space="preserve"> visant à promouvoir l</w:t>
      </w:r>
      <w:r w:rsidR="00EA2966" w:rsidRPr="009C2953">
        <w:rPr>
          <w:color w:val="000000"/>
        </w:rPr>
        <w:t>’</w:t>
      </w:r>
      <w:r w:rsidRPr="009C2953">
        <w:rPr>
          <w:color w:val="000000"/>
        </w:rPr>
        <w:t>adoption par</w:t>
      </w:r>
      <w:r w:rsidR="00F34644" w:rsidRPr="009C2953">
        <w:rPr>
          <w:color w:val="000000"/>
        </w:rPr>
        <w:t xml:space="preserve"> les </w:t>
      </w:r>
      <w:r w:rsidRPr="009C2953">
        <w:rPr>
          <w:color w:val="000000"/>
        </w:rPr>
        <w:t>organisations et initiatives externes pertinentes de mesures visant à combler</w:t>
      </w:r>
      <w:r w:rsidR="00F34644" w:rsidRPr="009C2953">
        <w:rPr>
          <w:color w:val="000000"/>
        </w:rPr>
        <w:t xml:space="preserve"> les </w:t>
      </w:r>
      <w:r w:rsidRPr="009C2953">
        <w:rPr>
          <w:color w:val="000000"/>
        </w:rPr>
        <w:t>lacunes recensées en matière de connaissances comprendront :</w:t>
      </w:r>
    </w:p>
    <w:p w14:paraId="6FEB3A00" w14:textId="4EEEDBC7" w:rsidR="00607B78" w:rsidRPr="009C2953" w:rsidRDefault="00607B78" w:rsidP="008731A8">
      <w:pPr>
        <w:pStyle w:val="NormalNonumber"/>
        <w:numPr>
          <w:ilvl w:val="7"/>
          <w:numId w:val="28"/>
        </w:numPr>
        <w:tabs>
          <w:tab w:val="clear" w:pos="1247"/>
          <w:tab w:val="clear" w:pos="1871"/>
          <w:tab w:val="clear" w:pos="2495"/>
          <w:tab w:val="clear" w:pos="3119"/>
          <w:tab w:val="clear" w:pos="3742"/>
          <w:tab w:val="clear" w:pos="4366"/>
          <w:tab w:val="left" w:pos="2410"/>
        </w:tabs>
        <w:ind w:left="1247" w:firstLine="624"/>
        <w:rPr>
          <w:color w:val="000000"/>
        </w:rPr>
      </w:pPr>
      <w:r w:rsidRPr="009C2953">
        <w:rPr>
          <w:color w:val="000000"/>
        </w:rPr>
        <w:t>La supervision du développement d</w:t>
      </w:r>
      <w:r w:rsidR="00EA2966" w:rsidRPr="009C2953">
        <w:rPr>
          <w:color w:val="000000"/>
        </w:rPr>
        <w:t>’</w:t>
      </w:r>
      <w:r w:rsidRPr="009C2953">
        <w:rPr>
          <w:color w:val="000000"/>
        </w:rPr>
        <w:t>un espace sur</w:t>
      </w:r>
      <w:r w:rsidR="00F34644" w:rsidRPr="009C2953">
        <w:rPr>
          <w:color w:val="000000"/>
        </w:rPr>
        <w:t xml:space="preserve"> le </w:t>
      </w:r>
      <w:r w:rsidRPr="009C2953">
        <w:rPr>
          <w:color w:val="000000"/>
        </w:rPr>
        <w:t>site Web de l</w:t>
      </w:r>
      <w:r w:rsidR="00EA2966" w:rsidRPr="009C2953">
        <w:rPr>
          <w:color w:val="000000"/>
        </w:rPr>
        <w:t>’</w:t>
      </w:r>
      <w:r w:rsidRPr="009C2953">
        <w:rPr>
          <w:color w:val="000000"/>
        </w:rPr>
        <w:t>IPBES où</w:t>
      </w:r>
      <w:r w:rsidR="00F34644" w:rsidRPr="009C2953">
        <w:rPr>
          <w:color w:val="000000"/>
        </w:rPr>
        <w:t xml:space="preserve"> les </w:t>
      </w:r>
      <w:r w:rsidRPr="009C2953">
        <w:rPr>
          <w:color w:val="000000"/>
        </w:rPr>
        <w:t>lacunes de connaissances recensées dans</w:t>
      </w:r>
      <w:r w:rsidR="00F34644" w:rsidRPr="009C2953">
        <w:rPr>
          <w:color w:val="000000"/>
        </w:rPr>
        <w:t xml:space="preserve"> les </w:t>
      </w:r>
      <w:r w:rsidRPr="009C2953">
        <w:rPr>
          <w:color w:val="000000"/>
        </w:rPr>
        <w:t>évaluations de l</w:t>
      </w:r>
      <w:r w:rsidR="00EA2966" w:rsidRPr="009C2953">
        <w:rPr>
          <w:color w:val="000000"/>
        </w:rPr>
        <w:t>’</w:t>
      </w:r>
      <w:r w:rsidRPr="009C2953">
        <w:rPr>
          <w:color w:val="000000"/>
        </w:rPr>
        <w:t>IPBES achevées peuvent être facilement consultées, filtrées et recherchées ;</w:t>
      </w:r>
    </w:p>
    <w:p w14:paraId="2E1CFDAC" w14:textId="2FD25F46" w:rsidR="00607B78" w:rsidRPr="009C2953" w:rsidRDefault="00607B78" w:rsidP="008731A8">
      <w:pPr>
        <w:pStyle w:val="NormalNonumber"/>
        <w:numPr>
          <w:ilvl w:val="7"/>
          <w:numId w:val="28"/>
        </w:numPr>
        <w:tabs>
          <w:tab w:val="clear" w:pos="1247"/>
          <w:tab w:val="clear" w:pos="1871"/>
          <w:tab w:val="clear" w:pos="2495"/>
          <w:tab w:val="clear" w:pos="3119"/>
          <w:tab w:val="clear" w:pos="3742"/>
          <w:tab w:val="clear" w:pos="4366"/>
          <w:tab w:val="left" w:pos="2410"/>
        </w:tabs>
        <w:ind w:left="1247" w:firstLine="624"/>
        <w:rPr>
          <w:color w:val="000000"/>
        </w:rPr>
      </w:pPr>
      <w:r w:rsidRPr="009C2953">
        <w:rPr>
          <w:color w:val="000000"/>
        </w:rPr>
        <w:t>La supervision de l</w:t>
      </w:r>
      <w:r w:rsidR="00EA2966" w:rsidRPr="009C2953">
        <w:rPr>
          <w:color w:val="000000"/>
        </w:rPr>
        <w:t>’</w:t>
      </w:r>
      <w:r w:rsidRPr="009C2953">
        <w:rPr>
          <w:color w:val="000000"/>
        </w:rPr>
        <w:t>émission d</w:t>
      </w:r>
      <w:r w:rsidR="00EA2966" w:rsidRPr="009C2953">
        <w:rPr>
          <w:color w:val="000000"/>
        </w:rPr>
        <w:t>’</w:t>
      </w:r>
      <w:r w:rsidRPr="009C2953">
        <w:rPr>
          <w:color w:val="000000"/>
        </w:rPr>
        <w:t>une notification par</w:t>
      </w:r>
      <w:r w:rsidR="00F34644" w:rsidRPr="009C2953">
        <w:rPr>
          <w:color w:val="000000"/>
        </w:rPr>
        <w:t xml:space="preserve"> le </w:t>
      </w:r>
      <w:r w:rsidRPr="009C2953">
        <w:rPr>
          <w:color w:val="000000"/>
        </w:rPr>
        <w:t>secrétariat signalant aux membres de l</w:t>
      </w:r>
      <w:r w:rsidR="00EA2966" w:rsidRPr="009C2953">
        <w:rPr>
          <w:color w:val="000000"/>
        </w:rPr>
        <w:t>’</w:t>
      </w:r>
      <w:r w:rsidRPr="009C2953">
        <w:rPr>
          <w:color w:val="000000"/>
        </w:rPr>
        <w:t>IPBES et</w:t>
      </w:r>
      <w:r w:rsidR="00F34644" w:rsidRPr="009C2953">
        <w:rPr>
          <w:color w:val="000000"/>
        </w:rPr>
        <w:t xml:space="preserve"> aux </w:t>
      </w:r>
      <w:r w:rsidRPr="009C2953">
        <w:rPr>
          <w:color w:val="000000"/>
        </w:rPr>
        <w:t>parties prenantes</w:t>
      </w:r>
      <w:r w:rsidR="00F34644" w:rsidRPr="009C2953">
        <w:rPr>
          <w:color w:val="000000"/>
        </w:rPr>
        <w:t xml:space="preserve"> les </w:t>
      </w:r>
      <w:r w:rsidRPr="009C2953">
        <w:rPr>
          <w:color w:val="000000"/>
        </w:rPr>
        <w:t>lacunes en matière de connaissances recensées dans l</w:t>
      </w:r>
      <w:r w:rsidR="00EA2966" w:rsidRPr="009C2953">
        <w:rPr>
          <w:color w:val="000000"/>
        </w:rPr>
        <w:t>’</w:t>
      </w:r>
      <w:r w:rsidRPr="009C2953">
        <w:rPr>
          <w:color w:val="000000"/>
        </w:rPr>
        <w:t>évaluation</w:t>
      </w:r>
      <w:r w:rsidR="00D24DC1" w:rsidRPr="009C2953">
        <w:rPr>
          <w:color w:val="000000"/>
        </w:rPr>
        <w:t xml:space="preserve"> des </w:t>
      </w:r>
      <w:r w:rsidRPr="009C2953">
        <w:rPr>
          <w:color w:val="000000"/>
        </w:rPr>
        <w:t>espèces exotiques envahissantes ;</w:t>
      </w:r>
    </w:p>
    <w:p w14:paraId="293C8A13" w14:textId="1428ABC3" w:rsidR="00607B78" w:rsidRPr="009C2953" w:rsidRDefault="00607B78" w:rsidP="008731A8">
      <w:pPr>
        <w:pStyle w:val="NormalNonumber"/>
        <w:numPr>
          <w:ilvl w:val="7"/>
          <w:numId w:val="28"/>
        </w:numPr>
        <w:tabs>
          <w:tab w:val="clear" w:pos="1247"/>
          <w:tab w:val="clear" w:pos="1871"/>
          <w:tab w:val="clear" w:pos="2495"/>
          <w:tab w:val="clear" w:pos="3119"/>
          <w:tab w:val="clear" w:pos="3742"/>
          <w:tab w:val="clear" w:pos="4366"/>
          <w:tab w:val="left" w:pos="2410"/>
        </w:tabs>
        <w:ind w:left="1247" w:firstLine="624"/>
        <w:rPr>
          <w:color w:val="000000"/>
        </w:rPr>
      </w:pPr>
      <w:r w:rsidRPr="009C2953">
        <w:rPr>
          <w:color w:val="000000"/>
        </w:rPr>
        <w:t>La contribution</w:t>
      </w:r>
      <w:r w:rsidR="00F34644" w:rsidRPr="009C2953">
        <w:rPr>
          <w:color w:val="000000"/>
        </w:rPr>
        <w:t xml:space="preserve"> aux </w:t>
      </w:r>
      <w:r w:rsidRPr="009C2953">
        <w:rPr>
          <w:color w:val="000000"/>
        </w:rPr>
        <w:t>réunions de dialogue avec</w:t>
      </w:r>
      <w:r w:rsidR="00F34644" w:rsidRPr="009C2953">
        <w:rPr>
          <w:color w:val="000000"/>
        </w:rPr>
        <w:t xml:space="preserve"> </w:t>
      </w:r>
      <w:proofErr w:type="gramStart"/>
      <w:r w:rsidR="00F34644" w:rsidRPr="009C2953">
        <w:rPr>
          <w:color w:val="000000"/>
        </w:rPr>
        <w:t>les </w:t>
      </w:r>
      <w:r w:rsidRPr="009C2953">
        <w:rPr>
          <w:color w:val="000000"/>
        </w:rPr>
        <w:t>correspondant</w:t>
      </w:r>
      <w:proofErr w:type="gramEnd"/>
      <w:r w:rsidRPr="009C2953">
        <w:rPr>
          <w:color w:val="000000"/>
        </w:rPr>
        <w:t>(e)s nationaux(ales) afin de signaler les lacunes en matière de connaissances recensées dans</w:t>
      </w:r>
      <w:r w:rsidR="00F34644" w:rsidRPr="009C2953">
        <w:rPr>
          <w:color w:val="000000"/>
        </w:rPr>
        <w:t xml:space="preserve"> les </w:t>
      </w:r>
      <w:r w:rsidRPr="009C2953">
        <w:rPr>
          <w:color w:val="000000"/>
        </w:rPr>
        <w:t>évaluations de l</w:t>
      </w:r>
      <w:r w:rsidR="00EA2966" w:rsidRPr="009C2953">
        <w:rPr>
          <w:color w:val="000000"/>
        </w:rPr>
        <w:t>’</w:t>
      </w:r>
      <w:r w:rsidRPr="009C2953">
        <w:rPr>
          <w:color w:val="000000"/>
        </w:rPr>
        <w:t>IPBES achevées, en vue d</w:t>
      </w:r>
      <w:r w:rsidR="00EA2966" w:rsidRPr="009C2953">
        <w:rPr>
          <w:color w:val="000000"/>
        </w:rPr>
        <w:t>’</w:t>
      </w:r>
      <w:r w:rsidRPr="009C2953">
        <w:rPr>
          <w:color w:val="000000"/>
        </w:rPr>
        <w:t>aider</w:t>
      </w:r>
      <w:r w:rsidR="00F34644" w:rsidRPr="009C2953">
        <w:rPr>
          <w:color w:val="000000"/>
        </w:rPr>
        <w:t xml:space="preserve"> les </w:t>
      </w:r>
      <w:r w:rsidRPr="009C2953">
        <w:rPr>
          <w:color w:val="000000"/>
        </w:rPr>
        <w:t>gouvernements à faciliter</w:t>
      </w:r>
      <w:r w:rsidR="00F34644" w:rsidRPr="009C2953">
        <w:rPr>
          <w:color w:val="000000"/>
        </w:rPr>
        <w:t xml:space="preserve"> la </w:t>
      </w:r>
      <w:r w:rsidRPr="009C2953">
        <w:rPr>
          <w:color w:val="000000"/>
        </w:rPr>
        <w:t>production de nouvelles connaissances (voir</w:t>
      </w:r>
      <w:r w:rsidR="007B6983" w:rsidRPr="009C2953">
        <w:rPr>
          <w:color w:val="000000"/>
        </w:rPr>
        <w:t> </w:t>
      </w:r>
      <w:r w:rsidRPr="009C2953">
        <w:rPr>
          <w:color w:val="000000"/>
        </w:rPr>
        <w:t>annexes III et VII) ;</w:t>
      </w:r>
    </w:p>
    <w:p w14:paraId="1289C589" w14:textId="229A07D0" w:rsidR="00607B78" w:rsidRPr="009C2953" w:rsidRDefault="00607B78" w:rsidP="008731A8">
      <w:pPr>
        <w:pStyle w:val="NormalNonumber"/>
        <w:numPr>
          <w:ilvl w:val="7"/>
          <w:numId w:val="28"/>
        </w:numPr>
        <w:tabs>
          <w:tab w:val="clear" w:pos="1247"/>
          <w:tab w:val="clear" w:pos="1871"/>
          <w:tab w:val="clear" w:pos="2495"/>
          <w:tab w:val="clear" w:pos="3119"/>
          <w:tab w:val="clear" w:pos="3742"/>
          <w:tab w:val="clear" w:pos="4366"/>
          <w:tab w:val="left" w:pos="2436"/>
        </w:tabs>
        <w:ind w:left="1247" w:firstLine="624"/>
        <w:rPr>
          <w:color w:val="000000"/>
        </w:rPr>
      </w:pPr>
      <w:r w:rsidRPr="009C2953">
        <w:rPr>
          <w:color w:val="000000"/>
        </w:rPr>
        <w:t>La contribution</w:t>
      </w:r>
      <w:r w:rsidR="00F34644" w:rsidRPr="009C2953">
        <w:rPr>
          <w:color w:val="000000"/>
        </w:rPr>
        <w:t xml:space="preserve"> aux </w:t>
      </w:r>
      <w:r w:rsidRPr="009C2953">
        <w:rPr>
          <w:color w:val="000000"/>
        </w:rPr>
        <w:t>ateliers (en ligne) organisés par</w:t>
      </w:r>
      <w:r w:rsidR="00F34644" w:rsidRPr="009C2953">
        <w:rPr>
          <w:color w:val="000000"/>
        </w:rPr>
        <w:t xml:space="preserve"> les </w:t>
      </w:r>
      <w:r w:rsidRPr="009C2953">
        <w:rPr>
          <w:color w:val="000000"/>
        </w:rPr>
        <w:t>réseaux régionaux de responsables de</w:t>
      </w:r>
      <w:r w:rsidR="00F34644" w:rsidRPr="009C2953">
        <w:rPr>
          <w:color w:val="000000"/>
        </w:rPr>
        <w:t xml:space="preserve"> la </w:t>
      </w:r>
      <w:r w:rsidRPr="009C2953">
        <w:rPr>
          <w:color w:val="000000"/>
        </w:rPr>
        <w:t>programmation</w:t>
      </w:r>
      <w:r w:rsidR="00D24DC1" w:rsidRPr="009C2953">
        <w:rPr>
          <w:color w:val="000000"/>
        </w:rPr>
        <w:t xml:space="preserve"> des </w:t>
      </w:r>
      <w:r w:rsidRPr="009C2953">
        <w:rPr>
          <w:color w:val="000000"/>
        </w:rPr>
        <w:t>activités de recherche et</w:t>
      </w:r>
      <w:r w:rsidR="00F34644" w:rsidRPr="009C2953">
        <w:rPr>
          <w:color w:val="000000"/>
        </w:rPr>
        <w:t xml:space="preserve"> les </w:t>
      </w:r>
      <w:r w:rsidRPr="009C2953">
        <w:rPr>
          <w:color w:val="000000"/>
        </w:rPr>
        <w:t>bailleurs de fonds dans ce domaine ou par</w:t>
      </w:r>
      <w:r w:rsidR="00F34644" w:rsidRPr="009C2953">
        <w:rPr>
          <w:color w:val="000000"/>
        </w:rPr>
        <w:t xml:space="preserve"> la </w:t>
      </w:r>
      <w:r w:rsidRPr="009C2953">
        <w:rPr>
          <w:color w:val="000000"/>
        </w:rPr>
        <w:t>communauté de recherche sur</w:t>
      </w:r>
      <w:r w:rsidR="00F34644" w:rsidRPr="009C2953">
        <w:rPr>
          <w:color w:val="000000"/>
        </w:rPr>
        <w:t xml:space="preserve"> la </w:t>
      </w:r>
      <w:r w:rsidRPr="009C2953">
        <w:rPr>
          <w:color w:val="000000"/>
        </w:rPr>
        <w:t>biodiversité et</w:t>
      </w:r>
      <w:r w:rsidR="00F34644" w:rsidRPr="009C2953">
        <w:rPr>
          <w:color w:val="000000"/>
        </w:rPr>
        <w:t xml:space="preserve"> les </w:t>
      </w:r>
      <w:r w:rsidRPr="009C2953">
        <w:rPr>
          <w:color w:val="000000"/>
        </w:rPr>
        <w:t>services écosystémiques afin de signaler à</w:t>
      </w:r>
      <w:r w:rsidR="005828A6" w:rsidRPr="009C2953">
        <w:rPr>
          <w:color w:val="000000"/>
        </w:rPr>
        <w:t xml:space="preserve"> </w:t>
      </w:r>
      <w:r w:rsidRPr="009C2953">
        <w:rPr>
          <w:color w:val="000000"/>
        </w:rPr>
        <w:t>ces réseaux et à</w:t>
      </w:r>
      <w:r w:rsidR="00107282" w:rsidRPr="009C2953">
        <w:rPr>
          <w:color w:val="000000"/>
        </w:rPr>
        <w:t xml:space="preserve"> leurs </w:t>
      </w:r>
      <w:r w:rsidRPr="009C2953">
        <w:rPr>
          <w:color w:val="000000"/>
        </w:rPr>
        <w:t>membres</w:t>
      </w:r>
      <w:r w:rsidR="00F34644" w:rsidRPr="009C2953">
        <w:rPr>
          <w:color w:val="000000"/>
        </w:rPr>
        <w:t xml:space="preserve"> les </w:t>
      </w:r>
      <w:r w:rsidRPr="009C2953">
        <w:rPr>
          <w:color w:val="000000"/>
        </w:rPr>
        <w:t>lacunes en matière de connaissances recensées dans</w:t>
      </w:r>
      <w:r w:rsidR="00F34644" w:rsidRPr="009C2953">
        <w:rPr>
          <w:color w:val="000000"/>
        </w:rPr>
        <w:t xml:space="preserve"> les </w:t>
      </w:r>
      <w:r w:rsidRPr="009C2953">
        <w:rPr>
          <w:color w:val="000000"/>
        </w:rPr>
        <w:t>évaluations achevées de l</w:t>
      </w:r>
      <w:r w:rsidR="00EA2966" w:rsidRPr="009C2953">
        <w:rPr>
          <w:color w:val="000000"/>
        </w:rPr>
        <w:t>’</w:t>
      </w:r>
      <w:r w:rsidRPr="009C2953">
        <w:rPr>
          <w:color w:val="000000"/>
        </w:rPr>
        <w:t>IPBES.</w:t>
      </w:r>
    </w:p>
    <w:p w14:paraId="4A6BC8F3" w14:textId="39E088A7" w:rsidR="00607B78" w:rsidRPr="009C2953" w:rsidRDefault="00607B78" w:rsidP="008731A8">
      <w:pPr>
        <w:pStyle w:val="NormalNonumber"/>
        <w:numPr>
          <w:ilvl w:val="7"/>
          <w:numId w:val="28"/>
        </w:numPr>
        <w:tabs>
          <w:tab w:val="clear" w:pos="1247"/>
          <w:tab w:val="clear" w:pos="1871"/>
          <w:tab w:val="clear" w:pos="2495"/>
          <w:tab w:val="clear" w:pos="3119"/>
          <w:tab w:val="clear" w:pos="3742"/>
          <w:tab w:val="clear" w:pos="4366"/>
          <w:tab w:val="left" w:pos="2436"/>
        </w:tabs>
        <w:ind w:left="1247" w:firstLine="624"/>
        <w:rPr>
          <w:color w:val="000000"/>
        </w:rPr>
      </w:pPr>
      <w:r w:rsidRPr="009C2953">
        <w:t>L</w:t>
      </w:r>
      <w:r w:rsidR="00EA2966" w:rsidRPr="009C2953">
        <w:t>’</w:t>
      </w:r>
      <w:r w:rsidRPr="009C2953">
        <w:t>élaboration d</w:t>
      </w:r>
      <w:r w:rsidR="00EA2966" w:rsidRPr="009C2953">
        <w:t>’</w:t>
      </w:r>
      <w:r w:rsidRPr="009C2953">
        <w:t>une stratégie de sensibilisation et d</w:t>
      </w:r>
      <w:r w:rsidR="00EA2966" w:rsidRPr="009C2953">
        <w:t>’</w:t>
      </w:r>
      <w:r w:rsidRPr="009C2953">
        <w:t>un plan de mobilisation afin</w:t>
      </w:r>
      <w:r w:rsidR="007B6983" w:rsidRPr="009C2953">
        <w:t> </w:t>
      </w:r>
      <w:r w:rsidRPr="009C2953">
        <w:t>de</w:t>
      </w:r>
      <w:r w:rsidR="007B6983" w:rsidRPr="009C2953">
        <w:t> </w:t>
      </w:r>
      <w:r w:rsidRPr="009C2953">
        <w:t>signaler</w:t>
      </w:r>
      <w:r w:rsidR="00F34644" w:rsidRPr="009C2953">
        <w:t xml:space="preserve"> les </w:t>
      </w:r>
      <w:r w:rsidRPr="009C2953">
        <w:t>lacunes en matière de connaissances</w:t>
      </w:r>
      <w:r w:rsidR="00F34644" w:rsidRPr="009C2953">
        <w:t xml:space="preserve"> aux </w:t>
      </w:r>
      <w:r w:rsidRPr="009C2953">
        <w:t>organismes de programmation et</w:t>
      </w:r>
      <w:r w:rsidR="007B6983" w:rsidRPr="009C2953">
        <w:t> </w:t>
      </w:r>
      <w:r w:rsidRPr="009C2953">
        <w:t>de</w:t>
      </w:r>
      <w:r w:rsidR="007B6983" w:rsidRPr="009C2953">
        <w:t> </w:t>
      </w:r>
      <w:r w:rsidRPr="009C2953">
        <w:t>financement de</w:t>
      </w:r>
      <w:r w:rsidR="00F34644" w:rsidRPr="009C2953">
        <w:t xml:space="preserve"> la </w:t>
      </w:r>
      <w:r w:rsidRPr="009C2953">
        <w:t>recherche.</w:t>
      </w:r>
    </w:p>
    <w:p w14:paraId="2408E440" w14:textId="43C18150"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pPr>
      <w:r w:rsidRPr="009C2953">
        <w:t>L</w:t>
      </w:r>
      <w:r w:rsidR="00EA2966" w:rsidRPr="009C2953">
        <w:t>’</w:t>
      </w:r>
      <w:r w:rsidRPr="009C2953">
        <w:t>incidence</w:t>
      </w:r>
      <w:r w:rsidR="00D24DC1" w:rsidRPr="009C2953">
        <w:t xml:space="preserve"> des </w:t>
      </w:r>
      <w:r w:rsidRPr="009C2953">
        <w:t>efforts concernant</w:t>
      </w:r>
      <w:r w:rsidR="00F34644" w:rsidRPr="009C2953">
        <w:t xml:space="preserve"> les </w:t>
      </w:r>
      <w:r w:rsidRPr="009C2953">
        <w:t>moyens de favoriser</w:t>
      </w:r>
      <w:r w:rsidR="00F34644" w:rsidRPr="009C2953">
        <w:t xml:space="preserve"> la </w:t>
      </w:r>
      <w:r w:rsidRPr="009C2953">
        <w:t>production de nouvelles connaissances pour combler efficacement</w:t>
      </w:r>
      <w:r w:rsidR="00F34644" w:rsidRPr="009C2953">
        <w:t xml:space="preserve"> les </w:t>
      </w:r>
      <w:r w:rsidRPr="009C2953">
        <w:t>lacunes recensées sera surveillée et évaluée.</w:t>
      </w:r>
    </w:p>
    <w:p w14:paraId="04293A27" w14:textId="7AEA5669" w:rsidR="00607B78" w:rsidRPr="009C2953" w:rsidRDefault="00607B78" w:rsidP="008731A8">
      <w:pPr>
        <w:pStyle w:val="NormalNonumber"/>
        <w:numPr>
          <w:ilvl w:val="6"/>
          <w:numId w:val="28"/>
        </w:numPr>
        <w:tabs>
          <w:tab w:val="clear" w:pos="1247"/>
          <w:tab w:val="clear" w:pos="1871"/>
          <w:tab w:val="clear" w:pos="2495"/>
          <w:tab w:val="clear" w:pos="3119"/>
          <w:tab w:val="clear" w:pos="3742"/>
          <w:tab w:val="clear" w:pos="4366"/>
          <w:tab w:val="left" w:pos="1843"/>
        </w:tabs>
        <w:ind w:left="1247" w:firstLine="0"/>
      </w:pPr>
      <w:r w:rsidRPr="009C2953">
        <w:t>Les activités visant à garantir</w:t>
      </w:r>
      <w:r w:rsidR="00F34644" w:rsidRPr="009C2953">
        <w:t xml:space="preserve"> la </w:t>
      </w:r>
      <w:r w:rsidRPr="009C2953">
        <w:t>mise en œuvre effective du plan de travail comprennent l</w:t>
      </w:r>
      <w:r w:rsidR="00EA2966" w:rsidRPr="009C2953">
        <w:t>’</w:t>
      </w:r>
      <w:r w:rsidRPr="009C2953">
        <w:t>élaboration et</w:t>
      </w:r>
      <w:r w:rsidR="00F34644" w:rsidRPr="009C2953">
        <w:t xml:space="preserve"> le </w:t>
      </w:r>
      <w:r w:rsidRPr="009C2953">
        <w:t>suivi d</w:t>
      </w:r>
      <w:r w:rsidR="00EA2966" w:rsidRPr="009C2953">
        <w:t>’</w:t>
      </w:r>
      <w:r w:rsidRPr="009C2953">
        <w:t>une série d</w:t>
      </w:r>
      <w:r w:rsidR="00EA2966" w:rsidRPr="009C2953">
        <w:t>’</w:t>
      </w:r>
      <w:r w:rsidRPr="009C2953">
        <w:t>indicateurs pertinents pour mesurer l</w:t>
      </w:r>
      <w:r w:rsidR="00EA2966" w:rsidRPr="009C2953">
        <w:t>’</w:t>
      </w:r>
      <w:r w:rsidRPr="009C2953">
        <w:t>efficacité. L</w:t>
      </w:r>
      <w:r w:rsidR="00EA2966" w:rsidRPr="009C2953">
        <w:t>’</w:t>
      </w:r>
      <w:r w:rsidRPr="009C2953">
        <w:t>ensemble d</w:t>
      </w:r>
      <w:r w:rsidR="00EA2966" w:rsidRPr="009C2953">
        <w:t>’</w:t>
      </w:r>
      <w:r w:rsidRPr="009C2953">
        <w:t>indicateurs mis au point sera présenté à</w:t>
      </w:r>
      <w:r w:rsidR="00F34644" w:rsidRPr="009C2953">
        <w:t xml:space="preserve"> la </w:t>
      </w:r>
      <w:r w:rsidRPr="009C2953">
        <w:t>Plénière, à</w:t>
      </w:r>
      <w:r w:rsidR="00F34644" w:rsidRPr="009C2953">
        <w:t xml:space="preserve"> sa </w:t>
      </w:r>
      <w:r w:rsidRPr="009C2953">
        <w:t>onzième session, dans</w:t>
      </w:r>
      <w:r w:rsidR="00F34644" w:rsidRPr="009C2953">
        <w:t xml:space="preserve"> le </w:t>
      </w:r>
      <w:r w:rsidRPr="009C2953">
        <w:t>cadre du projet de</w:t>
      </w:r>
      <w:r w:rsidR="007B6983" w:rsidRPr="009C2953">
        <w:t> </w:t>
      </w:r>
      <w:r w:rsidRPr="009C2953">
        <w:t>plan de travail pour</w:t>
      </w:r>
      <w:r w:rsidR="00F34644" w:rsidRPr="009C2953">
        <w:t xml:space="preserve"> la </w:t>
      </w:r>
      <w:r w:rsidRPr="009C2953">
        <w:t>période intersessions 2024</w:t>
      </w:r>
      <w:r w:rsidR="00FA7442">
        <w:t>–</w:t>
      </w:r>
      <w:r w:rsidRPr="009C2953">
        <w:t>2025.</w:t>
      </w:r>
    </w:p>
    <w:p w14:paraId="4D64CF72" w14:textId="0DC6023F" w:rsidR="00607B78" w:rsidRPr="009C2953" w:rsidRDefault="00607B78" w:rsidP="0055667D">
      <w:pPr>
        <w:pStyle w:val="NormalNonumber"/>
        <w:keepNext/>
        <w:keepLines/>
        <w:numPr>
          <w:ilvl w:val="6"/>
          <w:numId w:val="28"/>
        </w:numPr>
        <w:tabs>
          <w:tab w:val="clear" w:pos="1247"/>
          <w:tab w:val="clear" w:pos="1871"/>
          <w:tab w:val="clear" w:pos="2495"/>
          <w:tab w:val="clear" w:pos="3119"/>
          <w:tab w:val="clear" w:pos="3742"/>
          <w:tab w:val="clear" w:pos="4366"/>
          <w:tab w:val="left" w:pos="1843"/>
        </w:tabs>
        <w:ind w:left="1247" w:firstLine="0"/>
        <w:rPr>
          <w:color w:val="000000"/>
        </w:rPr>
        <w:sectPr w:rsidR="00607B78" w:rsidRPr="009C2953" w:rsidSect="00603A5E">
          <w:footnotePr>
            <w:numRestart w:val="eachSect"/>
          </w:footnotePr>
          <w:pgSz w:w="11907" w:h="16839" w:code="9"/>
          <w:pgMar w:top="907" w:right="992" w:bottom="1418" w:left="1418" w:header="539" w:footer="975" w:gutter="0"/>
          <w:cols w:space="539"/>
          <w:docGrid w:linePitch="360"/>
        </w:sectPr>
      </w:pPr>
      <w:r w:rsidRPr="009C2953">
        <w:lastRenderedPageBreak/>
        <w:t>Un appel à contributions sur</w:t>
      </w:r>
      <w:r w:rsidR="00F34644" w:rsidRPr="009C2953">
        <w:t xml:space="preserve"> les </w:t>
      </w:r>
      <w:r w:rsidRPr="009C2953">
        <w:t>moyens de renforcer l</w:t>
      </w:r>
      <w:r w:rsidR="00EA2966" w:rsidRPr="009C2953">
        <w:t>’</w:t>
      </w:r>
      <w:r w:rsidRPr="009C2953">
        <w:t>ambition</w:t>
      </w:r>
      <w:r w:rsidR="00D24DC1" w:rsidRPr="009C2953">
        <w:t xml:space="preserve"> des </w:t>
      </w:r>
      <w:r w:rsidRPr="009C2953">
        <w:t>travaux de l</w:t>
      </w:r>
      <w:r w:rsidR="00EA2966" w:rsidRPr="009C2953">
        <w:t>’</w:t>
      </w:r>
      <w:r w:rsidRPr="009C2953">
        <w:t>IPBES sur</w:t>
      </w:r>
      <w:r w:rsidR="00F34644" w:rsidRPr="009C2953">
        <w:t xml:space="preserve"> la </w:t>
      </w:r>
      <w:r w:rsidRPr="009C2953">
        <w:t>facilitation</w:t>
      </w:r>
      <w:r w:rsidRPr="009C2953">
        <w:rPr>
          <w:color w:val="000000"/>
        </w:rPr>
        <w:t xml:space="preserve"> de</w:t>
      </w:r>
      <w:r w:rsidR="00F34644" w:rsidRPr="009C2953">
        <w:rPr>
          <w:color w:val="000000"/>
        </w:rPr>
        <w:t xml:space="preserve"> la </w:t>
      </w:r>
      <w:r w:rsidRPr="009C2953">
        <w:rPr>
          <w:color w:val="000000"/>
        </w:rPr>
        <w:t>production de connaissances sera diffusé après</w:t>
      </w:r>
      <w:r w:rsidR="00F34644" w:rsidRPr="009C2953">
        <w:rPr>
          <w:color w:val="000000"/>
        </w:rPr>
        <w:t xml:space="preserve"> la </w:t>
      </w:r>
      <w:r w:rsidRPr="009C2953">
        <w:rPr>
          <w:color w:val="000000"/>
        </w:rPr>
        <w:t>dixième session de</w:t>
      </w:r>
      <w:r w:rsidR="00F34644" w:rsidRPr="009C2953">
        <w:rPr>
          <w:color w:val="000000"/>
        </w:rPr>
        <w:t xml:space="preserve"> la </w:t>
      </w:r>
      <w:r w:rsidRPr="009C2953">
        <w:rPr>
          <w:color w:val="000000"/>
        </w:rPr>
        <w:t>Plénière.</w:t>
      </w:r>
      <w:r w:rsidR="00A16C66" w:rsidRPr="009C2953">
        <w:rPr>
          <w:color w:val="000000"/>
        </w:rPr>
        <w:t xml:space="preserve"> </w:t>
      </w:r>
      <w:r w:rsidR="00F34644" w:rsidRPr="009C2953">
        <w:rPr>
          <w:color w:val="000000"/>
        </w:rPr>
        <w:t>Les </w:t>
      </w:r>
      <w:r w:rsidRPr="009C2953">
        <w:rPr>
          <w:color w:val="000000"/>
        </w:rPr>
        <w:t>communications seront prises en compte dans l</w:t>
      </w:r>
      <w:r w:rsidR="00EA2966" w:rsidRPr="009C2953">
        <w:rPr>
          <w:color w:val="000000"/>
        </w:rPr>
        <w:t>’</w:t>
      </w:r>
      <w:r w:rsidRPr="009C2953">
        <w:rPr>
          <w:color w:val="000000"/>
        </w:rPr>
        <w:t>élaboration</w:t>
      </w:r>
      <w:r w:rsidR="00D24DC1" w:rsidRPr="009C2953">
        <w:rPr>
          <w:color w:val="000000"/>
        </w:rPr>
        <w:t xml:space="preserve"> des </w:t>
      </w:r>
      <w:r w:rsidRPr="009C2953">
        <w:rPr>
          <w:color w:val="000000"/>
        </w:rPr>
        <w:t>projets de plans de travail pour</w:t>
      </w:r>
      <w:r w:rsidR="00F34644" w:rsidRPr="009C2953">
        <w:rPr>
          <w:color w:val="000000"/>
        </w:rPr>
        <w:t xml:space="preserve"> les </w:t>
      </w:r>
      <w:r w:rsidRPr="009C2953">
        <w:rPr>
          <w:color w:val="000000"/>
        </w:rPr>
        <w:t>périodes intersessions 2024</w:t>
      </w:r>
      <w:r w:rsidR="00D15130" w:rsidRPr="009C2953">
        <w:rPr>
          <w:sz w:val="18"/>
          <w:szCs w:val="18"/>
        </w:rPr>
        <w:t>–</w:t>
      </w:r>
      <w:r w:rsidRPr="009C2953">
        <w:rPr>
          <w:color w:val="000000"/>
        </w:rPr>
        <w:t>2025 et 2025</w:t>
      </w:r>
      <w:r w:rsidR="00D15130" w:rsidRPr="009C2953">
        <w:rPr>
          <w:sz w:val="18"/>
          <w:szCs w:val="18"/>
        </w:rPr>
        <w:t>–</w:t>
      </w:r>
      <w:r w:rsidRPr="009C2953">
        <w:rPr>
          <w:color w:val="000000"/>
        </w:rPr>
        <w:t>2026, pour</w:t>
      </w:r>
      <w:r w:rsidR="00F34644" w:rsidRPr="009C2953">
        <w:rPr>
          <w:color w:val="000000"/>
        </w:rPr>
        <w:t xml:space="preserve"> la </w:t>
      </w:r>
      <w:r w:rsidRPr="009C2953">
        <w:rPr>
          <w:color w:val="000000"/>
        </w:rPr>
        <w:t>mise en œuvre de</w:t>
      </w:r>
      <w:r w:rsidR="00F34644" w:rsidRPr="009C2953">
        <w:rPr>
          <w:color w:val="000000"/>
        </w:rPr>
        <w:t xml:space="preserve"> la </w:t>
      </w:r>
      <w:r w:rsidRPr="009C2953">
        <w:rPr>
          <w:color w:val="000000"/>
        </w:rPr>
        <w:t>composante de l</w:t>
      </w:r>
      <w:r w:rsidR="00EA2966" w:rsidRPr="009C2953">
        <w:rPr>
          <w:color w:val="000000"/>
        </w:rPr>
        <w:t>’</w:t>
      </w:r>
      <w:r w:rsidRPr="009C2953">
        <w:rPr>
          <w:color w:val="000000"/>
        </w:rPr>
        <w:t>objectif 3 a) relative à</w:t>
      </w:r>
      <w:r w:rsidR="00F34644" w:rsidRPr="009C2953">
        <w:rPr>
          <w:color w:val="000000"/>
        </w:rPr>
        <w:t xml:space="preserve"> la </w:t>
      </w:r>
      <w:r w:rsidRPr="009C2953">
        <w:rPr>
          <w:color w:val="000000"/>
        </w:rPr>
        <w:t>facilitation de</w:t>
      </w:r>
      <w:r w:rsidR="00F34644" w:rsidRPr="009C2953">
        <w:rPr>
          <w:color w:val="000000"/>
        </w:rPr>
        <w:t xml:space="preserve"> la </w:t>
      </w:r>
      <w:r w:rsidRPr="009C2953">
        <w:rPr>
          <w:color w:val="000000"/>
        </w:rPr>
        <w:t>production de connaissances, que</w:t>
      </w:r>
      <w:r w:rsidR="00F34644" w:rsidRPr="009C2953">
        <w:rPr>
          <w:color w:val="000000"/>
        </w:rPr>
        <w:t xml:space="preserve"> la </w:t>
      </w:r>
      <w:r w:rsidRPr="009C2953">
        <w:rPr>
          <w:color w:val="000000"/>
        </w:rPr>
        <w:t>Plénière examinera à</w:t>
      </w:r>
      <w:r w:rsidR="005828A6" w:rsidRPr="009C2953">
        <w:rPr>
          <w:color w:val="000000"/>
        </w:rPr>
        <w:t> </w:t>
      </w:r>
      <w:r w:rsidR="00F34644" w:rsidRPr="009C2953">
        <w:rPr>
          <w:color w:val="000000"/>
        </w:rPr>
        <w:t>sa </w:t>
      </w:r>
      <w:r w:rsidRPr="009C2953">
        <w:rPr>
          <w:color w:val="000000"/>
        </w:rPr>
        <w:t>onzième session.</w:t>
      </w:r>
    </w:p>
    <w:p w14:paraId="2F77239A" w14:textId="2739EDC0" w:rsidR="00607B78" w:rsidRPr="009C2953" w:rsidRDefault="00607B78" w:rsidP="00607B78">
      <w:pPr>
        <w:pStyle w:val="CH1"/>
      </w:pPr>
      <w:r w:rsidRPr="009C2953">
        <w:lastRenderedPageBreak/>
        <w:tab/>
      </w:r>
      <w:r w:rsidRPr="009C2953">
        <w:tab/>
        <w:t>Annexe VI à</w:t>
      </w:r>
      <w:r w:rsidR="00F34644" w:rsidRPr="009C2953">
        <w:t xml:space="preserve"> la </w:t>
      </w:r>
      <w:r w:rsidRPr="009C2953">
        <w:t>décision IPBES-10/1</w:t>
      </w:r>
    </w:p>
    <w:p w14:paraId="089DA6F6" w14:textId="775A2601" w:rsidR="00607B78" w:rsidRPr="009C2953" w:rsidRDefault="00607B78" w:rsidP="00607B78">
      <w:pPr>
        <w:pStyle w:val="CH1"/>
      </w:pPr>
      <w:r w:rsidRPr="009C2953">
        <w:tab/>
      </w:r>
      <w:r w:rsidRPr="009C2953">
        <w:tab/>
        <w:t>Plan de travail pour l</w:t>
      </w:r>
      <w:r w:rsidR="00EA2966" w:rsidRPr="009C2953">
        <w:t>’</w:t>
      </w:r>
      <w:r w:rsidRPr="009C2953">
        <w:t>objectif 3 b) : reconnaissance et utilisation améliorées</w:t>
      </w:r>
      <w:r w:rsidR="00D24DC1" w:rsidRPr="009C2953">
        <w:t xml:space="preserve"> des </w:t>
      </w:r>
      <w:r w:rsidRPr="009C2953">
        <w:t>systèmes de savoirs autochtones et locaux pour</w:t>
      </w:r>
      <w:r w:rsidR="00F34644" w:rsidRPr="009C2953">
        <w:t xml:space="preserve"> la </w:t>
      </w:r>
      <w:r w:rsidRPr="009C2953">
        <w:t>période intersessions 2023–2024</w:t>
      </w:r>
    </w:p>
    <w:p w14:paraId="231AE0F1" w14:textId="1C3C730C" w:rsidR="00607B78" w:rsidRPr="009C2953" w:rsidRDefault="00907F11" w:rsidP="00907F11">
      <w:pPr>
        <w:pStyle w:val="NormalNonumber"/>
      </w:pPr>
      <w:r w:rsidRPr="009C2953">
        <w:t>1.</w:t>
      </w:r>
      <w:r w:rsidRPr="009C2953">
        <w:tab/>
      </w:r>
      <w:r w:rsidR="00607B78" w:rsidRPr="009C2953">
        <w:t>Une équipe spéciale sur</w:t>
      </w:r>
      <w:r w:rsidR="00F34644" w:rsidRPr="009C2953">
        <w:t xml:space="preserve"> les </w:t>
      </w:r>
      <w:r w:rsidR="00607B78" w:rsidRPr="009C2953">
        <w:t>savoirs autochtones et locaux mettra en œuvre</w:t>
      </w:r>
      <w:r w:rsidR="00F34644" w:rsidRPr="009C2953">
        <w:t xml:space="preserve"> le </w:t>
      </w:r>
      <w:r w:rsidR="00607B78" w:rsidRPr="009C2953">
        <w:t>plan de travail suivant pour l</w:t>
      </w:r>
      <w:r w:rsidR="00EA2966" w:rsidRPr="009C2953">
        <w:t>’</w:t>
      </w:r>
      <w:r w:rsidR="00607B78" w:rsidRPr="009C2953">
        <w:t>objectif 3 b), avec</w:t>
      </w:r>
      <w:r w:rsidR="00F34644" w:rsidRPr="009C2953">
        <w:t xml:space="preserve"> le </w:t>
      </w:r>
      <w:r w:rsidR="00607B78" w:rsidRPr="009C2953">
        <w:t>soutien du secrétariat, qui comprend</w:t>
      </w:r>
      <w:r w:rsidR="00F34644" w:rsidRPr="009C2953">
        <w:t xml:space="preserve"> un </w:t>
      </w:r>
      <w:r w:rsidR="00607B78" w:rsidRPr="009C2953">
        <w:t>groupe d</w:t>
      </w:r>
      <w:r w:rsidR="00EA2966" w:rsidRPr="009C2953">
        <w:t>’</w:t>
      </w:r>
      <w:r w:rsidR="00607B78" w:rsidRPr="009C2953">
        <w:t>appui technique</w:t>
      </w:r>
      <w:r w:rsidR="000D47E2" w:rsidRPr="009C2953">
        <w:t> </w:t>
      </w:r>
      <w:r w:rsidR="00607B78" w:rsidRPr="009C2953">
        <w:t>dédié.</w:t>
      </w:r>
    </w:p>
    <w:p w14:paraId="59345285" w14:textId="2FFFC486" w:rsidR="00607B78" w:rsidRPr="009C2953" w:rsidRDefault="00907F11" w:rsidP="00907F11">
      <w:pPr>
        <w:pStyle w:val="NormalNonumber"/>
      </w:pPr>
      <w:r w:rsidRPr="009C2953">
        <w:t>2.</w:t>
      </w:r>
      <w:r w:rsidRPr="009C2953">
        <w:tab/>
      </w:r>
      <w:r w:rsidR="00607B78" w:rsidRPr="009C2953">
        <w:t>Les activités relatives à</w:t>
      </w:r>
      <w:r w:rsidR="00F34644" w:rsidRPr="009C2953">
        <w:t xml:space="preserve"> la </w:t>
      </w:r>
      <w:r w:rsidR="00607B78" w:rsidRPr="009C2953">
        <w:t>mise en œuvre de l</w:t>
      </w:r>
      <w:r w:rsidR="00EA2966" w:rsidRPr="009C2953">
        <w:t>’</w:t>
      </w:r>
      <w:r w:rsidR="00607B78" w:rsidRPr="009C2953">
        <w:t>approche concernant</w:t>
      </w:r>
      <w:r w:rsidR="00F34644" w:rsidRPr="009C2953">
        <w:t xml:space="preserve"> la </w:t>
      </w:r>
      <w:r w:rsidR="00607B78" w:rsidRPr="009C2953">
        <w:t>reconnaissance et</w:t>
      </w:r>
      <w:r w:rsidR="006F1D2C" w:rsidRPr="009C2953">
        <w:t> </w:t>
      </w:r>
      <w:r w:rsidR="00607B78" w:rsidRPr="009C2953">
        <w:t>l</w:t>
      </w:r>
      <w:r w:rsidR="00EA2966" w:rsidRPr="009C2953">
        <w:t>’</w:t>
      </w:r>
      <w:r w:rsidR="00607B78" w:rsidRPr="009C2953">
        <w:t>utilisation</w:t>
      </w:r>
      <w:r w:rsidR="00D24DC1" w:rsidRPr="009C2953">
        <w:t xml:space="preserve"> des </w:t>
      </w:r>
      <w:r w:rsidR="00607B78" w:rsidRPr="009C2953">
        <w:t>savoirs autochtones et locaux dans l</w:t>
      </w:r>
      <w:r w:rsidR="00EA2966" w:rsidRPr="009C2953">
        <w:t>’</w:t>
      </w:r>
      <w:r w:rsidR="00607B78" w:rsidRPr="009C2953">
        <w:t>IPBES comprendront :</w:t>
      </w:r>
    </w:p>
    <w:p w14:paraId="474E9168" w14:textId="011B931A" w:rsidR="00607B78" w:rsidRPr="009C2953" w:rsidRDefault="00907F11" w:rsidP="00907F11">
      <w:pPr>
        <w:pStyle w:val="NormalNonumber"/>
      </w:pPr>
      <w:r w:rsidRPr="009C2953">
        <w:tab/>
        <w:t>a)</w:t>
      </w:r>
      <w:r w:rsidRPr="009C2953">
        <w:tab/>
      </w:r>
      <w:r w:rsidR="00607B78" w:rsidRPr="009C2953">
        <w:t>L</w:t>
      </w:r>
      <w:r w:rsidR="00EA2966" w:rsidRPr="009C2953">
        <w:t>’</w:t>
      </w:r>
      <w:r w:rsidR="00607B78" w:rsidRPr="009C2953">
        <w:t>élaboration d</w:t>
      </w:r>
      <w:r w:rsidR="00EA2966" w:rsidRPr="009C2953">
        <w:t>’</w:t>
      </w:r>
      <w:r w:rsidR="00607B78" w:rsidRPr="009C2953">
        <w:t>un plan de travail par l</w:t>
      </w:r>
      <w:r w:rsidR="00EA2966" w:rsidRPr="009C2953">
        <w:t>’</w:t>
      </w:r>
      <w:r w:rsidR="00607B78" w:rsidRPr="009C2953">
        <w:t>équipe spéciale sur</w:t>
      </w:r>
      <w:r w:rsidR="00F34644" w:rsidRPr="009C2953">
        <w:t xml:space="preserve"> les </w:t>
      </w:r>
      <w:r w:rsidR="00607B78" w:rsidRPr="009C2953">
        <w:t>savoirs autochtones et</w:t>
      </w:r>
      <w:r w:rsidR="006F1D2C" w:rsidRPr="009C2953">
        <w:t> </w:t>
      </w:r>
      <w:r w:rsidR="00607B78" w:rsidRPr="009C2953">
        <w:t>locaux, à</w:t>
      </w:r>
      <w:r w:rsidR="00F34644" w:rsidRPr="009C2953">
        <w:t xml:space="preserve"> la </w:t>
      </w:r>
      <w:r w:rsidR="00607B78" w:rsidRPr="009C2953">
        <w:t>lumière du rapport de l</w:t>
      </w:r>
      <w:r w:rsidR="00EA2966" w:rsidRPr="009C2953">
        <w:t>’</w:t>
      </w:r>
      <w:r w:rsidR="00607B78" w:rsidRPr="009C2953">
        <w:t>examen de l</w:t>
      </w:r>
      <w:r w:rsidR="00EA2966" w:rsidRPr="009C2953">
        <w:t>’</w:t>
      </w:r>
      <w:r w:rsidR="00607B78" w:rsidRPr="009C2953">
        <w:t>inclusion</w:t>
      </w:r>
      <w:r w:rsidR="00D24DC1" w:rsidRPr="009C2953">
        <w:t xml:space="preserve"> des </w:t>
      </w:r>
      <w:r w:rsidR="00607B78" w:rsidRPr="009C2953">
        <w:t>savoirs autochtones et locaux dans</w:t>
      </w:r>
      <w:r w:rsidR="006F1D2C" w:rsidRPr="009C2953">
        <w:t> </w:t>
      </w:r>
      <w:r w:rsidR="00F34644" w:rsidRPr="009C2953">
        <w:t>les </w:t>
      </w:r>
      <w:r w:rsidR="00607B78" w:rsidRPr="009C2953">
        <w:t>fonctions et produits de l</w:t>
      </w:r>
      <w:r w:rsidR="00EA2966" w:rsidRPr="009C2953">
        <w:t>’</w:t>
      </w:r>
      <w:r w:rsidR="00607B78" w:rsidRPr="009C2953">
        <w:t>IPBES</w:t>
      </w:r>
      <w:r w:rsidR="00607B78" w:rsidRPr="009C2953">
        <w:rPr>
          <w:vertAlign w:val="superscript"/>
        </w:rPr>
        <w:footnoteReference w:id="29"/>
      </w:r>
      <w:r w:rsidR="00607B78" w:rsidRPr="009C2953">
        <w:t>.</w:t>
      </w:r>
      <w:r w:rsidR="00F34644" w:rsidRPr="009C2953">
        <w:t xml:space="preserve"> Le </w:t>
      </w:r>
      <w:r w:rsidR="00607B78" w:rsidRPr="009C2953">
        <w:t>plan de travail sera diffusé pour examen externe par</w:t>
      </w:r>
      <w:r w:rsidR="00F34644" w:rsidRPr="009C2953">
        <w:t xml:space="preserve"> les </w:t>
      </w:r>
      <w:r w:rsidR="00607B78" w:rsidRPr="009C2953">
        <w:t>gouvernements et</w:t>
      </w:r>
      <w:r w:rsidR="00F34644" w:rsidRPr="009C2953">
        <w:t xml:space="preserve"> les </w:t>
      </w:r>
      <w:r w:rsidR="00607B78" w:rsidRPr="009C2953">
        <w:t>parties prenantes,</w:t>
      </w:r>
      <w:r w:rsidR="00F34644" w:rsidRPr="009C2953">
        <w:t xml:space="preserve"> y </w:t>
      </w:r>
      <w:r w:rsidR="00607B78" w:rsidRPr="009C2953">
        <w:t>compris</w:t>
      </w:r>
      <w:r w:rsidR="00F34644" w:rsidRPr="009C2953">
        <w:t xml:space="preserve"> les </w:t>
      </w:r>
      <w:r w:rsidR="00607B78" w:rsidRPr="009C2953">
        <w:t>peuples autochtones et</w:t>
      </w:r>
      <w:r w:rsidR="00F34644" w:rsidRPr="009C2953">
        <w:t xml:space="preserve"> les </w:t>
      </w:r>
      <w:r w:rsidR="00607B78" w:rsidRPr="009C2953">
        <w:t>communautés locales,</w:t>
      </w:r>
      <w:r w:rsidR="00F34644" w:rsidRPr="009C2953">
        <w:t xml:space="preserve"> le </w:t>
      </w:r>
      <w:r w:rsidR="00607B78" w:rsidRPr="009C2953">
        <w:t>Forum international</w:t>
      </w:r>
      <w:r w:rsidR="00D24DC1" w:rsidRPr="009C2953">
        <w:t xml:space="preserve"> des </w:t>
      </w:r>
      <w:r w:rsidR="00607B78" w:rsidRPr="009C2953">
        <w:t>peuples autochtones sur</w:t>
      </w:r>
      <w:r w:rsidR="00F34644" w:rsidRPr="009C2953">
        <w:t xml:space="preserve"> la </w:t>
      </w:r>
      <w:r w:rsidR="00607B78" w:rsidRPr="009C2953">
        <w:t>biodiversité et</w:t>
      </w:r>
      <w:r w:rsidR="00F34644" w:rsidRPr="009C2953">
        <w:t xml:space="preserve"> les </w:t>
      </w:r>
      <w:r w:rsidR="00607B78" w:rsidRPr="009C2953">
        <w:t>services écosystémiques et d</w:t>
      </w:r>
      <w:r w:rsidR="00EA2966" w:rsidRPr="009C2953">
        <w:t>’</w:t>
      </w:r>
      <w:r w:rsidR="00607B78" w:rsidRPr="009C2953">
        <w:t>autres acteurs concernés (y compris</w:t>
      </w:r>
      <w:r w:rsidR="00F34644" w:rsidRPr="009C2953">
        <w:t xml:space="preserve"> les </w:t>
      </w:r>
      <w:r w:rsidR="00607B78" w:rsidRPr="009C2953">
        <w:t>détentrices et détenteurs de connaissances et de droits) et sera présenté pour approbation à</w:t>
      </w:r>
      <w:r w:rsidR="00F34644" w:rsidRPr="009C2953">
        <w:t xml:space="preserve"> la </w:t>
      </w:r>
      <w:r w:rsidR="00607B78" w:rsidRPr="009C2953">
        <w:t>Plénière à</w:t>
      </w:r>
      <w:r w:rsidR="00F34644" w:rsidRPr="009C2953">
        <w:t xml:space="preserve"> sa </w:t>
      </w:r>
      <w:r w:rsidR="00607B78" w:rsidRPr="009C2953">
        <w:t>onzième session ;</w:t>
      </w:r>
    </w:p>
    <w:p w14:paraId="2C2D1B7F" w14:textId="4D6AD89D" w:rsidR="00607B78" w:rsidRPr="009C2953" w:rsidRDefault="00907F11" w:rsidP="00907F11">
      <w:pPr>
        <w:pStyle w:val="NormalNonumber"/>
        <w:rPr>
          <w:color w:val="000000"/>
        </w:rPr>
      </w:pPr>
      <w:r w:rsidRPr="009C2953">
        <w:tab/>
        <w:t>b)</w:t>
      </w:r>
      <w:r w:rsidRPr="009C2953">
        <w:tab/>
      </w:r>
      <w:r w:rsidR="00607B78" w:rsidRPr="009C2953">
        <w:t>L</w:t>
      </w:r>
      <w:r w:rsidR="00EA2966" w:rsidRPr="009C2953">
        <w:t>’</w:t>
      </w:r>
      <w:r w:rsidR="00607B78" w:rsidRPr="009C2953">
        <w:t>appui</w:t>
      </w:r>
      <w:r w:rsidR="00F34644" w:rsidRPr="009C2953">
        <w:t xml:space="preserve"> aux </w:t>
      </w:r>
      <w:r w:rsidR="00607B78" w:rsidRPr="009C2953">
        <w:t>groupes de liaison sur</w:t>
      </w:r>
      <w:r w:rsidR="00F34644" w:rsidRPr="009C2953">
        <w:t xml:space="preserve"> les </w:t>
      </w:r>
      <w:r w:rsidR="00607B78" w:rsidRPr="009C2953">
        <w:t>savoirs autochtones et locaux</w:t>
      </w:r>
      <w:r w:rsidR="00607B78" w:rsidRPr="009C2953">
        <w:rPr>
          <w:color w:val="000000"/>
          <w:vertAlign w:val="superscript"/>
        </w:rPr>
        <w:footnoteReference w:id="30"/>
      </w:r>
      <w:r w:rsidR="00607B78" w:rsidRPr="009C2953">
        <w:t xml:space="preserve"> pour</w:t>
      </w:r>
      <w:r w:rsidR="00F34644" w:rsidRPr="009C2953">
        <w:t xml:space="preserve"> les </w:t>
      </w:r>
      <w:r w:rsidR="00607B78" w:rsidRPr="009C2953">
        <w:t>évaluations :</w:t>
      </w:r>
    </w:p>
    <w:p w14:paraId="5984B35F" w14:textId="5E8E1D47" w:rsidR="00607B78" w:rsidRPr="009C2953" w:rsidRDefault="00907F11" w:rsidP="00E672F8">
      <w:pPr>
        <w:pStyle w:val="NormalNonumber"/>
        <w:ind w:left="2996" w:hanging="1589"/>
      </w:pPr>
      <w:r w:rsidRPr="009C2953">
        <w:tab/>
      </w:r>
      <w:r w:rsidRPr="009C2953">
        <w:tab/>
        <w:t>i)</w:t>
      </w:r>
      <w:r w:rsidRPr="009C2953">
        <w:tab/>
      </w:r>
      <w:r w:rsidR="00607B78" w:rsidRPr="009C2953">
        <w:t>Le renforcement</w:t>
      </w:r>
      <w:r w:rsidR="00D24DC1" w:rsidRPr="009C2953">
        <w:t xml:space="preserve"> des </w:t>
      </w:r>
      <w:r w:rsidR="00607B78" w:rsidRPr="009C2953">
        <w:t>capacités et</w:t>
      </w:r>
      <w:r w:rsidR="00F34644" w:rsidRPr="009C2953">
        <w:t xml:space="preserve"> la </w:t>
      </w:r>
      <w:r w:rsidR="00607B78" w:rsidRPr="009C2953">
        <w:t>formation, dans</w:t>
      </w:r>
      <w:r w:rsidR="00F34644" w:rsidRPr="009C2953">
        <w:t xml:space="preserve"> le </w:t>
      </w:r>
      <w:r w:rsidR="00607B78" w:rsidRPr="009C2953">
        <w:t>domaine de</w:t>
      </w:r>
      <w:r w:rsidR="00F34644" w:rsidRPr="009C2953">
        <w:t xml:space="preserve"> la </w:t>
      </w:r>
      <w:r w:rsidR="00607B78" w:rsidRPr="009C2953">
        <w:t>reconnaissance et de l</w:t>
      </w:r>
      <w:r w:rsidR="00EA2966" w:rsidRPr="009C2953">
        <w:t>’</w:t>
      </w:r>
      <w:r w:rsidR="00607B78" w:rsidRPr="009C2953">
        <w:t>utilisation</w:t>
      </w:r>
      <w:r w:rsidR="00D24DC1" w:rsidRPr="009C2953">
        <w:t xml:space="preserve"> des </w:t>
      </w:r>
      <w:r w:rsidR="00607B78" w:rsidRPr="009C2953">
        <w:t>savoirs autochtones et locaux,</w:t>
      </w:r>
      <w:r w:rsidR="00D24DC1" w:rsidRPr="009C2953">
        <w:t xml:space="preserve"> des </w:t>
      </w:r>
      <w:r w:rsidR="00607B78" w:rsidRPr="009C2953">
        <w:t>groupes de liaison sur</w:t>
      </w:r>
      <w:r w:rsidR="00F34644" w:rsidRPr="009C2953">
        <w:t xml:space="preserve"> les </w:t>
      </w:r>
      <w:r w:rsidR="00607B78" w:rsidRPr="009C2953">
        <w:t>savoirs autochtones et locaux participant</w:t>
      </w:r>
      <w:r w:rsidR="00F34644" w:rsidRPr="009C2953">
        <w:t xml:space="preserve"> aux </w:t>
      </w:r>
      <w:r w:rsidR="00607B78" w:rsidRPr="009C2953">
        <w:t>évaluations</w:t>
      </w:r>
      <w:r w:rsidR="00D24DC1" w:rsidRPr="009C2953">
        <w:t xml:space="preserve"> des </w:t>
      </w:r>
      <w:r w:rsidR="00607B78" w:rsidRPr="009C2953">
        <w:t>interdépendances, du changement transformateur et</w:t>
      </w:r>
      <w:r w:rsidR="00D24DC1" w:rsidRPr="009C2953">
        <w:t xml:space="preserve"> des </w:t>
      </w:r>
      <w:r w:rsidR="00607B78" w:rsidRPr="009C2953">
        <w:t>entreprises et de</w:t>
      </w:r>
      <w:r w:rsidR="00F34644" w:rsidRPr="009C2953">
        <w:t xml:space="preserve"> la </w:t>
      </w:r>
      <w:r w:rsidR="00607B78" w:rsidRPr="009C2953">
        <w:t>biodiversité, en collaboration avec l</w:t>
      </w:r>
      <w:r w:rsidR="00EA2966" w:rsidRPr="009C2953">
        <w:t>’</w:t>
      </w:r>
      <w:r w:rsidR="00607B78" w:rsidRPr="009C2953">
        <w:t>équipe spéciale sur</w:t>
      </w:r>
      <w:r w:rsidR="006F1D2C" w:rsidRPr="009C2953">
        <w:t> </w:t>
      </w:r>
      <w:r w:rsidR="00F34644" w:rsidRPr="009C2953">
        <w:t>le </w:t>
      </w:r>
      <w:r w:rsidR="00607B78" w:rsidRPr="009C2953">
        <w:t>renforcement</w:t>
      </w:r>
      <w:r w:rsidR="00D24DC1" w:rsidRPr="009C2953">
        <w:t xml:space="preserve"> des </w:t>
      </w:r>
      <w:r w:rsidR="00607B78" w:rsidRPr="009C2953">
        <w:t>capacités, selon qu</w:t>
      </w:r>
      <w:r w:rsidR="00EA2966" w:rsidRPr="009C2953">
        <w:t>’</w:t>
      </w:r>
      <w:r w:rsidR="00607B78" w:rsidRPr="009C2953">
        <w:t>il conviendra ;</w:t>
      </w:r>
    </w:p>
    <w:p w14:paraId="52E2345A" w14:textId="78C89281" w:rsidR="00607B78" w:rsidRPr="009C2953" w:rsidRDefault="00907F11" w:rsidP="00E672F8">
      <w:pPr>
        <w:pStyle w:val="NormalNonumber"/>
        <w:ind w:left="2996" w:hanging="1589"/>
      </w:pPr>
      <w:r w:rsidRPr="009C2953">
        <w:tab/>
      </w:r>
      <w:r w:rsidRPr="009C2953">
        <w:tab/>
        <w:t>ii)</w:t>
      </w:r>
      <w:r w:rsidRPr="009C2953">
        <w:tab/>
      </w:r>
      <w:r w:rsidR="00607B78" w:rsidRPr="009C2953">
        <w:t>La poursuite au soutien apporté</w:t>
      </w:r>
      <w:r w:rsidR="00F34644" w:rsidRPr="009C2953">
        <w:t xml:space="preserve"> aux </w:t>
      </w:r>
      <w:r w:rsidR="00607B78" w:rsidRPr="009C2953">
        <w:t>groupes de liaison sur</w:t>
      </w:r>
      <w:r w:rsidR="00F34644" w:rsidRPr="009C2953">
        <w:t xml:space="preserve"> les </w:t>
      </w:r>
      <w:r w:rsidR="00607B78" w:rsidRPr="009C2953">
        <w:t>savoirs autochtones et locaux quant à l</w:t>
      </w:r>
      <w:r w:rsidR="00EA2966" w:rsidRPr="009C2953">
        <w:t>’</w:t>
      </w:r>
      <w:r w:rsidR="00607B78" w:rsidRPr="009C2953">
        <w:t>utilisation de multiples types de preuves sur</w:t>
      </w:r>
      <w:r w:rsidR="00F34644" w:rsidRPr="009C2953">
        <w:t xml:space="preserve"> les </w:t>
      </w:r>
      <w:r w:rsidR="00607B78" w:rsidRPr="009C2953">
        <w:t>savoirs autochtones et</w:t>
      </w:r>
      <w:r w:rsidRPr="009C2953">
        <w:t> </w:t>
      </w:r>
      <w:r w:rsidR="00607B78" w:rsidRPr="009C2953">
        <w:t xml:space="preserve">locaux </w:t>
      </w:r>
      <w:r w:rsidR="00FC117D" w:rsidRPr="009C2953">
        <w:t>et à l’identification des lacunes constatées dans la mobilisation des savoirs existants et à la recherche de solutions pour la</w:t>
      </w:r>
      <w:r w:rsidR="000D47E2" w:rsidRPr="009C2953">
        <w:t> </w:t>
      </w:r>
      <w:r w:rsidR="00FC117D" w:rsidRPr="009C2953">
        <w:t xml:space="preserve">généralisation de cette mobilisation ;  </w:t>
      </w:r>
    </w:p>
    <w:p w14:paraId="4AFF4FAA" w14:textId="015377E9" w:rsidR="00607B78" w:rsidRPr="009C2953" w:rsidRDefault="00907F11" w:rsidP="00E672F8">
      <w:pPr>
        <w:pStyle w:val="NormalNonumber"/>
        <w:ind w:left="2996" w:hanging="1589"/>
      </w:pPr>
      <w:r w:rsidRPr="009C2953">
        <w:tab/>
      </w:r>
      <w:r w:rsidRPr="009C2953">
        <w:tab/>
        <w:t>iii)</w:t>
      </w:r>
      <w:r w:rsidRPr="009C2953">
        <w:tab/>
      </w:r>
      <w:r w:rsidR="00737AAB" w:rsidRPr="009C2953">
        <w:t>La</w:t>
      </w:r>
      <w:r w:rsidR="00607B78" w:rsidRPr="009C2953">
        <w:t xml:space="preserve"> fourniture d</w:t>
      </w:r>
      <w:r w:rsidR="00EA2966" w:rsidRPr="009C2953">
        <w:t>’</w:t>
      </w:r>
      <w:r w:rsidR="00607B78" w:rsidRPr="009C2953">
        <w:t>un appui</w:t>
      </w:r>
      <w:r w:rsidR="00F34644" w:rsidRPr="009C2953">
        <w:t xml:space="preserve"> aux </w:t>
      </w:r>
      <w:r w:rsidR="00607B78" w:rsidRPr="009C2953">
        <w:t>groupes d</w:t>
      </w:r>
      <w:r w:rsidR="00EA2966" w:rsidRPr="009C2953">
        <w:t>’</w:t>
      </w:r>
      <w:r w:rsidR="00607B78" w:rsidRPr="009C2953">
        <w:t>expert(e)s chargé(e)s du cadrage de toute nouvelle évaluation ;</w:t>
      </w:r>
    </w:p>
    <w:p w14:paraId="3FA006F9" w14:textId="6619BAC1" w:rsidR="00607B78" w:rsidRPr="009C2953" w:rsidRDefault="00D130D5" w:rsidP="00D130D5">
      <w:pPr>
        <w:pStyle w:val="NormalNonumber"/>
        <w:rPr>
          <w:color w:val="000000"/>
        </w:rPr>
      </w:pPr>
      <w:r w:rsidRPr="009C2953">
        <w:tab/>
        <w:t>c)</w:t>
      </w:r>
      <w:r w:rsidRPr="009C2953">
        <w:tab/>
      </w:r>
      <w:r w:rsidR="00607B78" w:rsidRPr="009C2953">
        <w:t>Des ateliers de dialogue avec</w:t>
      </w:r>
      <w:r w:rsidR="00D24DC1" w:rsidRPr="009C2953">
        <w:t xml:space="preserve"> des </w:t>
      </w:r>
      <w:r w:rsidR="00607B78" w:rsidRPr="009C2953">
        <w:t>membres</w:t>
      </w:r>
      <w:r w:rsidR="00D24DC1" w:rsidRPr="009C2953">
        <w:t xml:space="preserve"> des </w:t>
      </w:r>
      <w:r w:rsidR="00607B78" w:rsidRPr="009C2953">
        <w:t>peuples autochtones et</w:t>
      </w:r>
      <w:r w:rsidR="00D24DC1" w:rsidRPr="009C2953">
        <w:t xml:space="preserve"> des </w:t>
      </w:r>
      <w:r w:rsidR="00607B78" w:rsidRPr="009C2953">
        <w:t>communautés locales et</w:t>
      </w:r>
      <w:r w:rsidR="00D24DC1" w:rsidRPr="009C2953">
        <w:t xml:space="preserve"> des </w:t>
      </w:r>
      <w:r w:rsidR="00607B78" w:rsidRPr="009C2953">
        <w:t>expert(e)s en savoirs autochtones et locaux :</w:t>
      </w:r>
    </w:p>
    <w:p w14:paraId="79384C9B" w14:textId="065DB64E" w:rsidR="00607B78" w:rsidRPr="009C2953" w:rsidRDefault="00D130D5" w:rsidP="00E672F8">
      <w:pPr>
        <w:pStyle w:val="NormalNonumber"/>
        <w:ind w:left="3024" w:hanging="1589"/>
      </w:pPr>
      <w:r w:rsidRPr="009C2953">
        <w:tab/>
      </w:r>
      <w:r w:rsidRPr="009C2953">
        <w:tab/>
        <w:t>i)</w:t>
      </w:r>
      <w:r w:rsidRPr="009C2953">
        <w:tab/>
      </w:r>
      <w:r w:rsidR="00607B78" w:rsidRPr="009C2953">
        <w:t>Des ateliers de dialogue en présentiel, hybrides ou en ligne pour</w:t>
      </w:r>
      <w:r w:rsidR="00F34644" w:rsidRPr="009C2953">
        <w:t xml:space="preserve"> le </w:t>
      </w:r>
      <w:r w:rsidR="00607B78" w:rsidRPr="009C2953">
        <w:t>deuxième examen externe</w:t>
      </w:r>
      <w:r w:rsidR="00D24DC1" w:rsidRPr="009C2953">
        <w:t xml:space="preserve"> des </w:t>
      </w:r>
      <w:r w:rsidR="00607B78" w:rsidRPr="009C2953">
        <w:t>évaluations</w:t>
      </w:r>
      <w:r w:rsidR="00D24DC1" w:rsidRPr="009C2953">
        <w:t xml:space="preserve"> des </w:t>
      </w:r>
      <w:r w:rsidR="00607B78" w:rsidRPr="009C2953">
        <w:t>interdépendances et du changement transformateur (quatrième trimestre 2023) ;</w:t>
      </w:r>
      <w:r w:rsidR="0018665C" w:rsidRPr="009C2953">
        <w:t xml:space="preserve"> </w:t>
      </w:r>
    </w:p>
    <w:p w14:paraId="7FDFC174" w14:textId="560FA499" w:rsidR="00607B78" w:rsidRPr="009C2953" w:rsidRDefault="00D130D5" w:rsidP="00E672F8">
      <w:pPr>
        <w:pStyle w:val="NormalNonumber"/>
        <w:ind w:left="3024" w:hanging="1589"/>
      </w:pPr>
      <w:r w:rsidRPr="009C2953">
        <w:tab/>
      </w:r>
      <w:r w:rsidRPr="009C2953">
        <w:tab/>
        <w:t>ii)</w:t>
      </w:r>
      <w:r w:rsidRPr="009C2953">
        <w:tab/>
      </w:r>
      <w:r w:rsidR="00B53051" w:rsidRPr="009C2953">
        <w:t>U</w:t>
      </w:r>
      <w:r w:rsidR="00607B78" w:rsidRPr="009C2953">
        <w:t>n atelier de dialogue en présentiel, hybride ou en ligne visant à formuler</w:t>
      </w:r>
      <w:r w:rsidR="00D24DC1" w:rsidRPr="009C2953">
        <w:t xml:space="preserve"> des </w:t>
      </w:r>
      <w:r w:rsidR="00607B78" w:rsidRPr="009C2953">
        <w:t>questions clés sur</w:t>
      </w:r>
      <w:r w:rsidR="00F34644" w:rsidRPr="009C2953">
        <w:t xml:space="preserve"> les </w:t>
      </w:r>
      <w:r w:rsidR="00607B78" w:rsidRPr="009C2953">
        <w:t>savoirs autochtones et locaux pour l</w:t>
      </w:r>
      <w:r w:rsidR="00EA2966" w:rsidRPr="009C2953">
        <w:t>’</w:t>
      </w:r>
      <w:r w:rsidR="00607B78" w:rsidRPr="009C2953">
        <w:t>évaluation</w:t>
      </w:r>
      <w:r w:rsidR="00D24DC1" w:rsidRPr="009C2953">
        <w:t xml:space="preserve"> des </w:t>
      </w:r>
      <w:r w:rsidR="00607B78" w:rsidRPr="009C2953">
        <w:t>entreprises et de</w:t>
      </w:r>
      <w:r w:rsidR="00F34644" w:rsidRPr="009C2953">
        <w:t xml:space="preserve"> la </w:t>
      </w:r>
      <w:r w:rsidR="00607B78" w:rsidRPr="009C2953">
        <w:t>biodiversité (troisième trimestre 2023) ;</w:t>
      </w:r>
    </w:p>
    <w:p w14:paraId="460D75C1" w14:textId="38B0ABF6" w:rsidR="00607B78" w:rsidRPr="009C2953" w:rsidRDefault="00D130D5" w:rsidP="00E672F8">
      <w:pPr>
        <w:pStyle w:val="NormalNonumber"/>
        <w:ind w:left="3024" w:hanging="1589"/>
      </w:pPr>
      <w:r w:rsidRPr="009C2953">
        <w:tab/>
      </w:r>
      <w:r w:rsidRPr="009C2953">
        <w:tab/>
        <w:t>iii)</w:t>
      </w:r>
      <w:r w:rsidRPr="009C2953">
        <w:tab/>
      </w:r>
      <w:r w:rsidR="00B53051" w:rsidRPr="009C2953">
        <w:t>U</w:t>
      </w:r>
      <w:r w:rsidR="00607B78" w:rsidRPr="009C2953">
        <w:t>n atelier de dialogue en ligne pour</w:t>
      </w:r>
      <w:r w:rsidR="00F34644" w:rsidRPr="009C2953">
        <w:t xml:space="preserve"> le </w:t>
      </w:r>
      <w:r w:rsidR="00607B78" w:rsidRPr="009C2953">
        <w:t>cadrage de toute nouvelle évaluation (deuxième trimestre 2024) ;</w:t>
      </w:r>
    </w:p>
    <w:p w14:paraId="0D6B3546" w14:textId="529E5CA3" w:rsidR="00607B78" w:rsidRPr="009C2953" w:rsidRDefault="00D130D5" w:rsidP="00E672F8">
      <w:pPr>
        <w:pStyle w:val="NormalNonumber"/>
        <w:ind w:left="3024" w:hanging="1589"/>
      </w:pPr>
      <w:r w:rsidRPr="009C2953">
        <w:tab/>
      </w:r>
      <w:r w:rsidRPr="009C2953">
        <w:tab/>
        <w:t>iv)</w:t>
      </w:r>
      <w:r w:rsidRPr="009C2953">
        <w:tab/>
      </w:r>
      <w:r w:rsidR="00B53051" w:rsidRPr="009C2953">
        <w:t>Des</w:t>
      </w:r>
      <w:r w:rsidR="00607B78" w:rsidRPr="009C2953">
        <w:t xml:space="preserve"> ateliers de dialogue en présentiel, hybrides ou en ligne pour l</w:t>
      </w:r>
      <w:r w:rsidR="00EA2966" w:rsidRPr="009C2953">
        <w:t>’</w:t>
      </w:r>
      <w:r w:rsidR="00607B78" w:rsidRPr="009C2953">
        <w:t>examen externe de l</w:t>
      </w:r>
      <w:r w:rsidR="00EA2966" w:rsidRPr="009C2953">
        <w:t>’</w:t>
      </w:r>
      <w:r w:rsidR="00607B78" w:rsidRPr="009C2953">
        <w:t>évaluation</w:t>
      </w:r>
      <w:r w:rsidR="00D24DC1" w:rsidRPr="009C2953">
        <w:t xml:space="preserve"> des </w:t>
      </w:r>
      <w:r w:rsidR="00607B78" w:rsidRPr="009C2953">
        <w:t>entreprises et de</w:t>
      </w:r>
      <w:r w:rsidR="00F34644" w:rsidRPr="009C2953">
        <w:t xml:space="preserve"> la </w:t>
      </w:r>
      <w:r w:rsidR="00607B78" w:rsidRPr="009C2953">
        <w:t>biodiversité (troisième trimestre 2024) ;</w:t>
      </w:r>
    </w:p>
    <w:p w14:paraId="64E76ED5" w14:textId="3AE71BF6" w:rsidR="00607B78" w:rsidRPr="009C2953" w:rsidRDefault="00D130D5" w:rsidP="00D130D5">
      <w:pPr>
        <w:pStyle w:val="NormalNonumber"/>
      </w:pPr>
      <w:r w:rsidRPr="009C2953">
        <w:tab/>
        <w:t>d)</w:t>
      </w:r>
      <w:r w:rsidRPr="009C2953">
        <w:tab/>
      </w:r>
      <w:r w:rsidR="00607B78" w:rsidRPr="009C2953">
        <w:t>La procédure de cadrage :</w:t>
      </w:r>
    </w:p>
    <w:p w14:paraId="1D93C842" w14:textId="5D0957CF" w:rsidR="00607B78" w:rsidRPr="009C2953" w:rsidRDefault="00D130D5" w:rsidP="00E672F8">
      <w:pPr>
        <w:pStyle w:val="NormalNonumber"/>
        <w:ind w:left="3038" w:hanging="1589"/>
      </w:pPr>
      <w:r w:rsidRPr="009C2953">
        <w:tab/>
      </w:r>
      <w:r w:rsidRPr="009C2953">
        <w:tab/>
        <w:t>i)</w:t>
      </w:r>
      <w:r w:rsidRPr="009C2953">
        <w:tab/>
      </w:r>
      <w:r w:rsidR="00607B78" w:rsidRPr="009C2953">
        <w:t>La collaboration avec</w:t>
      </w:r>
      <w:r w:rsidR="00F34644" w:rsidRPr="009C2953">
        <w:t xml:space="preserve"> le </w:t>
      </w:r>
      <w:r w:rsidR="00607B78" w:rsidRPr="009C2953">
        <w:t>Groupe d</w:t>
      </w:r>
      <w:r w:rsidR="00EA2966" w:rsidRPr="009C2953">
        <w:t>’</w:t>
      </w:r>
      <w:r w:rsidR="00607B78" w:rsidRPr="009C2953">
        <w:t>experts multidisciplinaire afin d</w:t>
      </w:r>
      <w:r w:rsidR="00EA2966" w:rsidRPr="009C2953">
        <w:t>’</w:t>
      </w:r>
      <w:r w:rsidR="00607B78" w:rsidRPr="009C2953">
        <w:t>élaborer</w:t>
      </w:r>
      <w:r w:rsidR="00D24DC1" w:rsidRPr="009C2953">
        <w:t xml:space="preserve"> des </w:t>
      </w:r>
      <w:r w:rsidR="00607B78" w:rsidRPr="009C2953">
        <w:t>approches conceptuelles et méthodologiques</w:t>
      </w:r>
      <w:r w:rsidR="00D24DC1" w:rsidRPr="009C2953">
        <w:t xml:space="preserve"> des </w:t>
      </w:r>
      <w:r w:rsidR="00607B78" w:rsidRPr="009C2953">
        <w:t>savoirs autochtones et</w:t>
      </w:r>
      <w:r w:rsidR="00FA01ED" w:rsidRPr="009C2953">
        <w:t> </w:t>
      </w:r>
      <w:r w:rsidR="00607B78" w:rsidRPr="009C2953">
        <w:t>locaux destinées à orienter</w:t>
      </w:r>
      <w:r w:rsidR="00F34644" w:rsidRPr="009C2953">
        <w:t xml:space="preserve"> la </w:t>
      </w:r>
      <w:r w:rsidR="00607B78" w:rsidRPr="009C2953">
        <w:t>manière d</w:t>
      </w:r>
      <w:r w:rsidR="00EA2966" w:rsidRPr="009C2953">
        <w:t>’</w:t>
      </w:r>
      <w:r w:rsidR="00607B78" w:rsidRPr="009C2953">
        <w:t>utiliser</w:t>
      </w:r>
      <w:r w:rsidR="00F34644" w:rsidRPr="009C2953">
        <w:t xml:space="preserve"> les </w:t>
      </w:r>
      <w:r w:rsidR="00607B78" w:rsidRPr="009C2953">
        <w:t xml:space="preserve">systèmes de savoirs </w:t>
      </w:r>
      <w:r w:rsidR="00607B78" w:rsidRPr="009C2953">
        <w:lastRenderedPageBreak/>
        <w:t>autochtones et locaux, qui seront annexées au rapport de cadrage de toute nouvelle évaluation de l</w:t>
      </w:r>
      <w:r w:rsidR="00EA2966" w:rsidRPr="009C2953">
        <w:t>’</w:t>
      </w:r>
      <w:r w:rsidR="00607B78" w:rsidRPr="009C2953">
        <w:t>IPBES, et</w:t>
      </w:r>
      <w:r w:rsidR="00F34644" w:rsidRPr="009C2953">
        <w:t xml:space="preserve"> la </w:t>
      </w:r>
      <w:r w:rsidR="00607B78" w:rsidRPr="009C2953">
        <w:t>fourniture d</w:t>
      </w:r>
      <w:r w:rsidR="00EA2966" w:rsidRPr="009C2953">
        <w:t>’</w:t>
      </w:r>
      <w:r w:rsidR="00607B78" w:rsidRPr="009C2953">
        <w:t>un soutien à l</w:t>
      </w:r>
      <w:r w:rsidR="00EA2966" w:rsidRPr="009C2953">
        <w:t>’</w:t>
      </w:r>
      <w:r w:rsidR="00607B78" w:rsidRPr="009C2953">
        <w:t>intégration de</w:t>
      </w:r>
      <w:r w:rsidR="00FA01ED" w:rsidRPr="009C2953">
        <w:t> </w:t>
      </w:r>
      <w:r w:rsidR="00607B78" w:rsidRPr="009C2953">
        <w:t>ces systèmes.</w:t>
      </w:r>
      <w:r w:rsidR="00F34644" w:rsidRPr="009C2953">
        <w:t xml:space="preserve"> La </w:t>
      </w:r>
      <w:r w:rsidR="00607B78" w:rsidRPr="009C2953">
        <w:t>collaboration reposera sur</w:t>
      </w:r>
      <w:r w:rsidR="00F34644" w:rsidRPr="009C2953">
        <w:t xml:space="preserve"> le </w:t>
      </w:r>
      <w:r w:rsidR="00607B78" w:rsidRPr="009C2953">
        <w:t>principe du consentement préalable, libre et éclairé et tiendra compte de</w:t>
      </w:r>
      <w:r w:rsidR="00F34644" w:rsidRPr="009C2953">
        <w:t xml:space="preserve"> la </w:t>
      </w:r>
      <w:r w:rsidR="00607B78" w:rsidRPr="009C2953">
        <w:t>nécessité d</w:t>
      </w:r>
      <w:r w:rsidR="00EA2966" w:rsidRPr="009C2953">
        <w:t>’</w:t>
      </w:r>
      <w:r w:rsidR="00607B78" w:rsidRPr="009C2953">
        <w:t>inclure</w:t>
      </w:r>
      <w:r w:rsidR="00F34644" w:rsidRPr="009C2953">
        <w:t xml:space="preserve"> les </w:t>
      </w:r>
      <w:r w:rsidR="00607B78" w:rsidRPr="009C2953">
        <w:t>détenteur(</w:t>
      </w:r>
      <w:proofErr w:type="spellStart"/>
      <w:r w:rsidR="00607B78" w:rsidRPr="009C2953">
        <w:t>rice</w:t>
      </w:r>
      <w:proofErr w:type="spellEnd"/>
      <w:r w:rsidR="00607B78" w:rsidRPr="009C2953">
        <w:t>)s de connaissances en tant que personnes situées dans</w:t>
      </w:r>
      <w:r w:rsidR="00F34644" w:rsidRPr="009C2953">
        <w:t xml:space="preserve"> les </w:t>
      </w:r>
      <w:r w:rsidR="00607B78" w:rsidRPr="009C2953">
        <w:t>systèmes de connaissances collectives</w:t>
      </w:r>
      <w:r w:rsidR="00D24DC1" w:rsidRPr="009C2953">
        <w:t xml:space="preserve"> des </w:t>
      </w:r>
      <w:r w:rsidR="00607B78" w:rsidRPr="009C2953">
        <w:t>peuples autochtones et</w:t>
      </w:r>
      <w:r w:rsidR="00D24DC1" w:rsidRPr="009C2953">
        <w:t xml:space="preserve"> des </w:t>
      </w:r>
      <w:r w:rsidR="00607B78" w:rsidRPr="009C2953">
        <w:t>communautés locales et de</w:t>
      </w:r>
      <w:r w:rsidR="00F34644" w:rsidRPr="009C2953">
        <w:t xml:space="preserve"> leur </w:t>
      </w:r>
      <w:r w:rsidR="00607B78" w:rsidRPr="009C2953">
        <w:t>permettre de tirer profit de</w:t>
      </w:r>
      <w:r w:rsidR="00F34644" w:rsidRPr="009C2953">
        <w:t xml:space="preserve"> leur </w:t>
      </w:r>
      <w:r w:rsidR="00607B78" w:rsidRPr="009C2953">
        <w:t>participation ;</w:t>
      </w:r>
    </w:p>
    <w:p w14:paraId="49764E83" w14:textId="589CF850" w:rsidR="00607B78" w:rsidRPr="009C2953" w:rsidRDefault="00D130D5" w:rsidP="00D130D5">
      <w:pPr>
        <w:pStyle w:val="NormalNonumber"/>
      </w:pPr>
      <w:r w:rsidRPr="009C2953">
        <w:tab/>
        <w:t>e)</w:t>
      </w:r>
      <w:r w:rsidRPr="009C2953">
        <w:tab/>
      </w:r>
      <w:r w:rsidR="00607B78" w:rsidRPr="009C2953">
        <w:t>Un examen par</w:t>
      </w:r>
      <w:r w:rsidR="00D24DC1" w:rsidRPr="009C2953">
        <w:t xml:space="preserve"> des </w:t>
      </w:r>
      <w:r w:rsidR="00607B78" w:rsidRPr="009C2953">
        <w:t>pairs</w:t>
      </w:r>
      <w:r w:rsidR="00D24DC1" w:rsidRPr="009C2953">
        <w:t xml:space="preserve"> des </w:t>
      </w:r>
      <w:r w:rsidR="00607B78" w:rsidRPr="009C2953">
        <w:t>rapports d</w:t>
      </w:r>
      <w:r w:rsidR="00EA2966" w:rsidRPr="009C2953">
        <w:t>’</w:t>
      </w:r>
      <w:r w:rsidR="00607B78" w:rsidRPr="009C2953">
        <w:t>évaluation :</w:t>
      </w:r>
    </w:p>
    <w:p w14:paraId="5AAEDCD1" w14:textId="4CD9B0B1" w:rsidR="00607B78" w:rsidRPr="009C2953" w:rsidRDefault="00D130D5" w:rsidP="00E672F8">
      <w:pPr>
        <w:pStyle w:val="NormalNonumber"/>
        <w:ind w:left="3038" w:hanging="1589"/>
      </w:pPr>
      <w:r w:rsidRPr="009C2953">
        <w:tab/>
      </w:r>
      <w:r w:rsidRPr="009C2953">
        <w:tab/>
        <w:t>i)</w:t>
      </w:r>
      <w:r w:rsidRPr="009C2953">
        <w:tab/>
      </w:r>
      <w:r w:rsidR="00607B78" w:rsidRPr="009C2953">
        <w:t>Un examen par</w:t>
      </w:r>
      <w:r w:rsidR="00D24DC1" w:rsidRPr="009C2953">
        <w:t xml:space="preserve"> des </w:t>
      </w:r>
      <w:r w:rsidR="00607B78" w:rsidRPr="009C2953">
        <w:t>pairs, au sein de l</w:t>
      </w:r>
      <w:r w:rsidR="00EA2966" w:rsidRPr="009C2953">
        <w:t>’</w:t>
      </w:r>
      <w:r w:rsidR="00607B78" w:rsidRPr="009C2953">
        <w:t>équipe spéciale, de</w:t>
      </w:r>
      <w:r w:rsidR="00F34644" w:rsidRPr="009C2953">
        <w:t xml:space="preserve"> la </w:t>
      </w:r>
      <w:r w:rsidR="00607B78" w:rsidRPr="009C2953">
        <w:t>première version du projet de résumé à l</w:t>
      </w:r>
      <w:r w:rsidR="00EA2966" w:rsidRPr="009C2953">
        <w:t>’</w:t>
      </w:r>
      <w:r w:rsidR="00607B78" w:rsidRPr="009C2953">
        <w:t>intention</w:t>
      </w:r>
      <w:r w:rsidR="00D24DC1" w:rsidRPr="009C2953">
        <w:t xml:space="preserve"> des </w:t>
      </w:r>
      <w:r w:rsidR="00607B78" w:rsidRPr="009C2953">
        <w:t>décideurs et de</w:t>
      </w:r>
      <w:r w:rsidR="00F34644" w:rsidRPr="009C2953">
        <w:t xml:space="preserve"> la </w:t>
      </w:r>
      <w:r w:rsidR="00607B78" w:rsidRPr="009C2953">
        <w:t>deuxième version du projet des chapitres</w:t>
      </w:r>
      <w:r w:rsidR="00D24DC1" w:rsidRPr="009C2953">
        <w:t xml:space="preserve"> des </w:t>
      </w:r>
      <w:r w:rsidR="00607B78" w:rsidRPr="009C2953">
        <w:t>évaluations</w:t>
      </w:r>
      <w:r w:rsidR="00D24DC1" w:rsidRPr="009C2953">
        <w:t xml:space="preserve"> des </w:t>
      </w:r>
      <w:r w:rsidR="00607B78" w:rsidRPr="009C2953">
        <w:t>interdépendances et du changement transformateur, ainsi que de</w:t>
      </w:r>
      <w:r w:rsidR="00F34644" w:rsidRPr="009C2953">
        <w:t xml:space="preserve"> la </w:t>
      </w:r>
      <w:r w:rsidR="00607B78" w:rsidRPr="009C2953">
        <w:t>première version du projet des chapitres de</w:t>
      </w:r>
      <w:r w:rsidR="00FA01ED" w:rsidRPr="009C2953">
        <w:t> </w:t>
      </w:r>
      <w:r w:rsidR="00607B78" w:rsidRPr="009C2953">
        <w:t>l</w:t>
      </w:r>
      <w:r w:rsidR="00EA2966" w:rsidRPr="009C2953">
        <w:t>’</w:t>
      </w:r>
      <w:r w:rsidR="00607B78" w:rsidRPr="009C2953">
        <w:t>évaluation</w:t>
      </w:r>
      <w:r w:rsidR="00D24DC1" w:rsidRPr="009C2953">
        <w:t xml:space="preserve"> des </w:t>
      </w:r>
      <w:r w:rsidR="00607B78" w:rsidRPr="009C2953">
        <w:t>entreprises et de</w:t>
      </w:r>
      <w:r w:rsidR="00F34644" w:rsidRPr="009C2953">
        <w:t xml:space="preserve"> la </w:t>
      </w:r>
      <w:r w:rsidR="00607B78" w:rsidRPr="009C2953">
        <w:t>biodiversité ;</w:t>
      </w:r>
    </w:p>
    <w:p w14:paraId="015A26FB" w14:textId="68E6158C" w:rsidR="00607B78" w:rsidRPr="009C2953" w:rsidRDefault="00D130D5" w:rsidP="00E672F8">
      <w:pPr>
        <w:pStyle w:val="NormalNonumber"/>
        <w:ind w:left="3038" w:hanging="1589"/>
      </w:pPr>
      <w:r w:rsidRPr="009C2953">
        <w:tab/>
      </w:r>
      <w:r w:rsidRPr="009C2953">
        <w:tab/>
        <w:t>ii)</w:t>
      </w:r>
      <w:r w:rsidRPr="009C2953">
        <w:tab/>
      </w:r>
      <w:r w:rsidR="00505369" w:rsidRPr="009C2953">
        <w:t>L</w:t>
      </w:r>
      <w:r w:rsidR="00607B78" w:rsidRPr="009C2953">
        <w:t>a diffusion d</w:t>
      </w:r>
      <w:r w:rsidR="00EA2966" w:rsidRPr="009C2953">
        <w:t>’</w:t>
      </w:r>
      <w:r w:rsidR="00607B78" w:rsidRPr="009C2953">
        <w:t>invitations à examiner</w:t>
      </w:r>
      <w:r w:rsidR="00F34644" w:rsidRPr="009C2953">
        <w:t xml:space="preserve"> les </w:t>
      </w:r>
      <w:r w:rsidR="00607B78" w:rsidRPr="009C2953">
        <w:t>projets d</w:t>
      </w:r>
      <w:r w:rsidR="00EA2966" w:rsidRPr="009C2953">
        <w:t>’</w:t>
      </w:r>
      <w:r w:rsidR="00607B78" w:rsidRPr="009C2953">
        <w:t>évaluation par l</w:t>
      </w:r>
      <w:r w:rsidR="00EA2966" w:rsidRPr="009C2953">
        <w:t>’</w:t>
      </w:r>
      <w:r w:rsidR="00607B78" w:rsidRPr="009C2953">
        <w:t>intermédiaire de réseaux appropriés, en partie dans</w:t>
      </w:r>
      <w:r w:rsidR="00F34644" w:rsidRPr="009C2953">
        <w:t xml:space="preserve"> le </w:t>
      </w:r>
      <w:r w:rsidR="00607B78" w:rsidRPr="009C2953">
        <w:t>but de mobiliser d</w:t>
      </w:r>
      <w:r w:rsidR="00EA2966" w:rsidRPr="009C2953">
        <w:t>’</w:t>
      </w:r>
      <w:r w:rsidR="00607B78" w:rsidRPr="009C2953">
        <w:t>autres connaissances autochtones et locales pertinentes afin de combler d</w:t>
      </w:r>
      <w:r w:rsidR="00EA2966" w:rsidRPr="009C2953">
        <w:t>’</w:t>
      </w:r>
      <w:r w:rsidR="00607B78" w:rsidRPr="009C2953">
        <w:t>éventuelles lacunes en matière de mobilisation</w:t>
      </w:r>
      <w:r w:rsidR="00D24DC1" w:rsidRPr="009C2953">
        <w:t xml:space="preserve"> des </w:t>
      </w:r>
      <w:r w:rsidR="00607B78" w:rsidRPr="009C2953">
        <w:t>connaissances ;</w:t>
      </w:r>
    </w:p>
    <w:p w14:paraId="7A96119E" w14:textId="0D5FB8DE" w:rsidR="00607B78" w:rsidRPr="009C2953" w:rsidRDefault="00D130D5" w:rsidP="00E672F8">
      <w:pPr>
        <w:pStyle w:val="NormalNonumber"/>
        <w:ind w:left="3038" w:hanging="1589"/>
      </w:pPr>
      <w:r w:rsidRPr="009C2953">
        <w:tab/>
      </w:r>
      <w:r w:rsidRPr="009C2953">
        <w:tab/>
        <w:t>iii)</w:t>
      </w:r>
      <w:r w:rsidRPr="009C2953">
        <w:tab/>
      </w:r>
      <w:r w:rsidR="00505369" w:rsidRPr="009C2953">
        <w:t>En</w:t>
      </w:r>
      <w:r w:rsidR="00607B78" w:rsidRPr="009C2953">
        <w:t xml:space="preserve"> collaboration avec 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w:t>
      </w:r>
      <w:r w:rsidR="00F34644" w:rsidRPr="009C2953">
        <w:t xml:space="preserve"> la </w:t>
      </w:r>
      <w:r w:rsidR="00607B78" w:rsidRPr="009C2953">
        <w:t>fourniture d</w:t>
      </w:r>
      <w:r w:rsidR="00EA2966" w:rsidRPr="009C2953">
        <w:t>’</w:t>
      </w:r>
      <w:r w:rsidR="00607B78" w:rsidRPr="009C2953">
        <w:t>un appui sur</w:t>
      </w:r>
      <w:r w:rsidR="00F34644" w:rsidRPr="009C2953">
        <w:t xml:space="preserve"> le </w:t>
      </w:r>
      <w:r w:rsidR="00607B78" w:rsidRPr="009C2953">
        <w:t>contenu lié</w:t>
      </w:r>
      <w:r w:rsidR="00F34644" w:rsidRPr="009C2953">
        <w:t xml:space="preserve"> aux </w:t>
      </w:r>
      <w:r w:rsidR="00607B78" w:rsidRPr="009C2953">
        <w:t>savoirs autochtones et locaux dans</w:t>
      </w:r>
      <w:r w:rsidR="00F34644" w:rsidRPr="009C2953">
        <w:t xml:space="preserve"> le </w:t>
      </w:r>
      <w:r w:rsidR="00607B78" w:rsidRPr="009C2953">
        <w:t>cadre</w:t>
      </w:r>
      <w:r w:rsidR="00D24DC1" w:rsidRPr="009C2953">
        <w:t xml:space="preserve"> des </w:t>
      </w:r>
      <w:r w:rsidR="00607B78" w:rsidRPr="009C2953">
        <w:t>ateliers de dialogue organisés à l</w:t>
      </w:r>
      <w:r w:rsidR="00EA2966" w:rsidRPr="009C2953">
        <w:t>’</w:t>
      </w:r>
      <w:r w:rsidR="00607B78" w:rsidRPr="009C2953">
        <w:t>intention</w:t>
      </w:r>
      <w:r w:rsidR="00D24DC1" w:rsidRPr="009C2953">
        <w:t xml:space="preserve"> des </w:t>
      </w:r>
      <w:r w:rsidR="00607B78" w:rsidRPr="009C2953">
        <w:t>correspondant(e)s nationaux(ales) et</w:t>
      </w:r>
      <w:r w:rsidR="00D24DC1" w:rsidRPr="009C2953">
        <w:t xml:space="preserve"> des </w:t>
      </w:r>
      <w:r w:rsidR="00607B78" w:rsidRPr="009C2953">
        <w:t>parties prenantes à l</w:t>
      </w:r>
      <w:r w:rsidR="00EA2966" w:rsidRPr="009C2953">
        <w:t>’</w:t>
      </w:r>
      <w:r w:rsidR="00607B78" w:rsidRPr="009C2953">
        <w:t>occasion</w:t>
      </w:r>
      <w:r w:rsidR="00D24DC1" w:rsidRPr="009C2953">
        <w:t xml:space="preserve"> des </w:t>
      </w:r>
      <w:r w:rsidR="00607B78" w:rsidRPr="009C2953">
        <w:t>examens externes concernés (voir annexe III) ;</w:t>
      </w:r>
    </w:p>
    <w:p w14:paraId="6A2EE191" w14:textId="152824E6" w:rsidR="00607B78" w:rsidRPr="009C2953" w:rsidRDefault="006000C8" w:rsidP="006000C8">
      <w:pPr>
        <w:pStyle w:val="NormalNonumber"/>
      </w:pPr>
      <w:r w:rsidRPr="009C2953">
        <w:tab/>
        <w:t>f)</w:t>
      </w:r>
      <w:r w:rsidRPr="009C2953">
        <w:tab/>
      </w:r>
      <w:r w:rsidR="00607B78" w:rsidRPr="009C2953">
        <w:t xml:space="preserve">Les activités post-évaluations : </w:t>
      </w:r>
    </w:p>
    <w:p w14:paraId="23907722" w14:textId="3F04B7D8" w:rsidR="00607B78" w:rsidRPr="009C2953" w:rsidRDefault="006000C8" w:rsidP="00E672F8">
      <w:pPr>
        <w:pStyle w:val="NormalNonumber"/>
        <w:ind w:left="3052" w:hanging="1589"/>
      </w:pPr>
      <w:r w:rsidRPr="009C2953">
        <w:tab/>
      </w:r>
      <w:r w:rsidRPr="009C2953">
        <w:tab/>
        <w:t>i)</w:t>
      </w:r>
      <w:r w:rsidRPr="009C2953">
        <w:tab/>
      </w:r>
      <w:r w:rsidR="00607B78" w:rsidRPr="009C2953">
        <w:t>La compilation et</w:t>
      </w:r>
      <w:r w:rsidR="00F34644" w:rsidRPr="009C2953">
        <w:t xml:space="preserve"> la </w:t>
      </w:r>
      <w:r w:rsidR="00607B78" w:rsidRPr="009C2953">
        <w:t>diffusion, dans</w:t>
      </w:r>
      <w:r w:rsidR="00F34644" w:rsidRPr="009C2953">
        <w:t xml:space="preserve"> les </w:t>
      </w:r>
      <w:r w:rsidR="00607B78" w:rsidRPr="009C2953">
        <w:t>six langues officielles</w:t>
      </w:r>
      <w:r w:rsidR="00D24DC1" w:rsidRPr="009C2953">
        <w:t xml:space="preserve"> des </w:t>
      </w:r>
      <w:r w:rsidR="00607B78" w:rsidRPr="009C2953">
        <w:t>Nations</w:t>
      </w:r>
      <w:r w:rsidR="00363DF8" w:rsidRPr="009C2953">
        <w:t> </w:t>
      </w:r>
      <w:r w:rsidR="00607B78" w:rsidRPr="009C2953">
        <w:t>Unies, de documents intéressant</w:t>
      </w:r>
      <w:r w:rsidR="00F34644" w:rsidRPr="009C2953">
        <w:t xml:space="preserve"> les </w:t>
      </w:r>
      <w:r w:rsidR="00607B78" w:rsidRPr="009C2953">
        <w:t>peuples autochtones et</w:t>
      </w:r>
      <w:r w:rsidR="00F34644" w:rsidRPr="009C2953">
        <w:t xml:space="preserve"> les </w:t>
      </w:r>
      <w:r w:rsidR="00607B78" w:rsidRPr="009C2953">
        <w:t>communautés locales, tirés</w:t>
      </w:r>
      <w:r w:rsidRPr="009C2953">
        <w:t> </w:t>
      </w:r>
      <w:r w:rsidR="00607B78" w:rsidRPr="009C2953">
        <w:t>du rapport d</w:t>
      </w:r>
      <w:r w:rsidR="00EA2966" w:rsidRPr="009C2953">
        <w:t>’</w:t>
      </w:r>
      <w:r w:rsidR="00607B78" w:rsidRPr="009C2953">
        <w:t>évaluation sur</w:t>
      </w:r>
      <w:r w:rsidR="00F34644" w:rsidRPr="009C2953">
        <w:t xml:space="preserve"> les </w:t>
      </w:r>
      <w:r w:rsidR="00607B78" w:rsidRPr="009C2953">
        <w:t>espèces exotiques envahissantes,</w:t>
      </w:r>
      <w:r w:rsidR="00F34644" w:rsidRPr="009C2953">
        <w:t xml:space="preserve"> y </w:t>
      </w:r>
      <w:r w:rsidR="00607B78" w:rsidRPr="009C2953">
        <w:t>compris, en collaboration avec</w:t>
      </w:r>
      <w:r w:rsidRPr="009C2953">
        <w:t> </w:t>
      </w:r>
      <w:r w:rsidR="00607B78" w:rsidRPr="009C2953">
        <w:t>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 auprès</w:t>
      </w:r>
      <w:r w:rsidR="00D24DC1" w:rsidRPr="009C2953">
        <w:t xml:space="preserve"> des </w:t>
      </w:r>
      <w:r w:rsidR="00607B78" w:rsidRPr="009C2953">
        <w:t>plateformes pour</w:t>
      </w:r>
      <w:r w:rsidR="00F34644" w:rsidRPr="009C2953">
        <w:t xml:space="preserve"> la </w:t>
      </w:r>
      <w:r w:rsidR="00607B78" w:rsidRPr="009C2953">
        <w:t>biodiversité et</w:t>
      </w:r>
      <w:r w:rsidRPr="009C2953">
        <w:t> </w:t>
      </w:r>
      <w:r w:rsidR="00F34644" w:rsidRPr="009C2953">
        <w:t>les </w:t>
      </w:r>
      <w:r w:rsidR="00607B78" w:rsidRPr="009C2953">
        <w:t>services écosystémiques</w:t>
      </w:r>
      <w:r w:rsidR="00F34644" w:rsidRPr="009C2953">
        <w:t xml:space="preserve"> aux </w:t>
      </w:r>
      <w:r w:rsidR="00607B78" w:rsidRPr="009C2953">
        <w:t>niveaux national et régional et auprès</w:t>
      </w:r>
      <w:r w:rsidR="00D24DC1" w:rsidRPr="009C2953">
        <w:t xml:space="preserve"> des </w:t>
      </w:r>
      <w:r w:rsidR="00607B78" w:rsidRPr="009C2953">
        <w:t>peuples autochtones et communautés locales ;</w:t>
      </w:r>
    </w:p>
    <w:p w14:paraId="783705B3" w14:textId="7831E1B7" w:rsidR="00607B78" w:rsidRPr="009C2953" w:rsidRDefault="0044659A" w:rsidP="00E672F8">
      <w:pPr>
        <w:pStyle w:val="NormalNonumber"/>
        <w:ind w:left="3052" w:hanging="1589"/>
      </w:pPr>
      <w:r w:rsidRPr="009C2953">
        <w:tab/>
      </w:r>
      <w:r w:rsidRPr="009C2953">
        <w:tab/>
        <w:t>ii)</w:t>
      </w:r>
      <w:r w:rsidRPr="009C2953">
        <w:tab/>
      </w:r>
      <w:r w:rsidR="00607B78" w:rsidRPr="009C2953">
        <w:t>Avec</w:t>
      </w:r>
      <w:r w:rsidR="00F34644" w:rsidRPr="009C2953">
        <w:t xml:space="preserve"> le </w:t>
      </w:r>
      <w:r w:rsidR="00607B78" w:rsidRPr="009C2953">
        <w:t>concours de 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w:t>
      </w:r>
      <w:r w:rsidR="00F34644" w:rsidRPr="009C2953">
        <w:t xml:space="preserve"> la </w:t>
      </w:r>
      <w:r w:rsidR="00607B78" w:rsidRPr="009C2953">
        <w:t>fourniture d</w:t>
      </w:r>
      <w:r w:rsidR="00EA2966" w:rsidRPr="009C2953">
        <w:t>’</w:t>
      </w:r>
      <w:r w:rsidR="00607B78" w:rsidRPr="009C2953">
        <w:t>un appui pour l</w:t>
      </w:r>
      <w:r w:rsidR="00EA2966" w:rsidRPr="009C2953">
        <w:t>’</w:t>
      </w:r>
      <w:r w:rsidR="00607B78" w:rsidRPr="009C2953">
        <w:t>élaboration de documents tirés</w:t>
      </w:r>
      <w:r w:rsidR="00D24DC1" w:rsidRPr="009C2953">
        <w:t xml:space="preserve"> des </w:t>
      </w:r>
      <w:r w:rsidR="00607B78" w:rsidRPr="009C2953">
        <w:t>évaluations achevées par d</w:t>
      </w:r>
      <w:r w:rsidR="00EA2966" w:rsidRPr="009C2953">
        <w:t>’</w:t>
      </w:r>
      <w:r w:rsidR="00607B78" w:rsidRPr="009C2953">
        <w:t>autres organisations et institutions, et pour</w:t>
      </w:r>
      <w:r w:rsidR="00F34644" w:rsidRPr="009C2953">
        <w:t xml:space="preserve"> la </w:t>
      </w:r>
      <w:r w:rsidR="00607B78" w:rsidRPr="009C2953">
        <w:t>réalisation d</w:t>
      </w:r>
      <w:r w:rsidR="00EA2966" w:rsidRPr="009C2953">
        <w:t>’</w:t>
      </w:r>
      <w:r w:rsidR="00607B78" w:rsidRPr="009C2953">
        <w:t>activités connexes d</w:t>
      </w:r>
      <w:r w:rsidR="00EA2966" w:rsidRPr="009C2953">
        <w:t>’</w:t>
      </w:r>
      <w:r w:rsidR="00607B78" w:rsidRPr="009C2953">
        <w:t>assimilation et de vulgarisation par d</w:t>
      </w:r>
      <w:r w:rsidR="00EA2966" w:rsidRPr="009C2953">
        <w:t>’</w:t>
      </w:r>
      <w:r w:rsidR="00607B78" w:rsidRPr="009C2953">
        <w:t>autres organisations et institutions ;</w:t>
      </w:r>
    </w:p>
    <w:p w14:paraId="71E2A6A0" w14:textId="62E49BEF" w:rsidR="00607B78" w:rsidRPr="009C2953" w:rsidRDefault="0044659A" w:rsidP="00E672F8">
      <w:pPr>
        <w:pStyle w:val="NormalNonumber"/>
        <w:ind w:left="3052" w:hanging="1589"/>
        <w:rPr>
          <w:color w:val="000000"/>
        </w:rPr>
      </w:pPr>
      <w:r w:rsidRPr="009C2953">
        <w:rPr>
          <w:color w:val="000000"/>
        </w:rPr>
        <w:tab/>
      </w:r>
      <w:r w:rsidRPr="009C2953">
        <w:rPr>
          <w:color w:val="000000"/>
        </w:rPr>
        <w:tab/>
        <w:t>iii)</w:t>
      </w:r>
      <w:r w:rsidRPr="009C2953">
        <w:rPr>
          <w:color w:val="000000"/>
        </w:rPr>
        <w:tab/>
      </w:r>
      <w:r w:rsidR="00995DDC" w:rsidRPr="009C2953">
        <w:rPr>
          <w:color w:val="000000"/>
        </w:rPr>
        <w:t xml:space="preserve">La </w:t>
      </w:r>
      <w:r w:rsidR="00607B78" w:rsidRPr="009C2953">
        <w:t>fourniture d</w:t>
      </w:r>
      <w:r w:rsidR="00EA2966" w:rsidRPr="009C2953">
        <w:t>’</w:t>
      </w:r>
      <w:r w:rsidR="00607B78" w:rsidRPr="009C2953">
        <w:t>un soutien au Groupe d</w:t>
      </w:r>
      <w:r w:rsidR="00EA2966" w:rsidRPr="009C2953">
        <w:t>’</w:t>
      </w:r>
      <w:r w:rsidR="00607B78" w:rsidRPr="009C2953">
        <w:t>experts multidisciplinaire et au Bureau en</w:t>
      </w:r>
      <w:r w:rsidR="00395B33" w:rsidRPr="009C2953">
        <w:t> </w:t>
      </w:r>
      <w:r w:rsidR="00607B78" w:rsidRPr="009C2953">
        <w:t>ce qui concerne</w:t>
      </w:r>
      <w:r w:rsidR="00F34644" w:rsidRPr="009C2953">
        <w:t xml:space="preserve"> le </w:t>
      </w:r>
      <w:r w:rsidR="00607B78" w:rsidRPr="009C2953">
        <w:t>signalement</w:t>
      </w:r>
      <w:r w:rsidR="00D24DC1" w:rsidRPr="009C2953">
        <w:t xml:space="preserve"> des </w:t>
      </w:r>
      <w:r w:rsidR="00607B78" w:rsidRPr="009C2953">
        <w:t>insuffisances en matière de mobilisation</w:t>
      </w:r>
      <w:r w:rsidR="00D24DC1" w:rsidRPr="009C2953">
        <w:t xml:space="preserve"> des </w:t>
      </w:r>
      <w:r w:rsidR="00607B78" w:rsidRPr="009C2953">
        <w:t>savoirs autochtones et locaux identifiées dans</w:t>
      </w:r>
      <w:r w:rsidR="00F34644" w:rsidRPr="009C2953">
        <w:t xml:space="preserve"> les </w:t>
      </w:r>
      <w:r w:rsidR="00607B78" w:rsidRPr="009C2953">
        <w:t>évaluations de</w:t>
      </w:r>
      <w:r w:rsidR="00395B33" w:rsidRPr="009C2953">
        <w:t> </w:t>
      </w:r>
      <w:r w:rsidR="00607B78" w:rsidRPr="009C2953">
        <w:t>l</w:t>
      </w:r>
      <w:r w:rsidR="00EA2966" w:rsidRPr="009C2953">
        <w:t>’</w:t>
      </w:r>
      <w:r w:rsidR="00607B78" w:rsidRPr="009C2953">
        <w:t>IPBES</w:t>
      </w:r>
      <w:r w:rsidR="00395B33" w:rsidRPr="009C2953">
        <w:t> </w:t>
      </w:r>
      <w:r w:rsidR="00607B78" w:rsidRPr="009C2953">
        <w:t>(voir annexe V), en vue de mobiliser et de promouvoir</w:t>
      </w:r>
      <w:r w:rsidR="00F34644" w:rsidRPr="009C2953">
        <w:t xml:space="preserve"> les </w:t>
      </w:r>
      <w:r w:rsidR="00607B78" w:rsidRPr="009C2953">
        <w:t>savoirs</w:t>
      </w:r>
      <w:r w:rsidR="00395B33" w:rsidRPr="009C2953">
        <w:t> </w:t>
      </w:r>
      <w:r w:rsidR="00607B78" w:rsidRPr="009C2953">
        <w:t>autochtones et locaux ;</w:t>
      </w:r>
    </w:p>
    <w:p w14:paraId="1F1F390B" w14:textId="21BFE3D9" w:rsidR="00607B78" w:rsidRPr="009C2953" w:rsidRDefault="0044659A" w:rsidP="0044659A">
      <w:pPr>
        <w:pStyle w:val="NormalNonumber"/>
      </w:pPr>
      <w:r w:rsidRPr="009C2953">
        <w:tab/>
        <w:t>g)</w:t>
      </w:r>
      <w:r w:rsidRPr="009C2953">
        <w:tab/>
      </w:r>
      <w:r w:rsidR="001B78AD" w:rsidRPr="009C2953">
        <w:t>La fourniture d</w:t>
      </w:r>
      <w:r w:rsidR="00EA2966" w:rsidRPr="009C2953">
        <w:t>’</w:t>
      </w:r>
      <w:r w:rsidR="001B78AD" w:rsidRPr="009C2953">
        <w:t>un appui</w:t>
      </w:r>
      <w:r w:rsidR="00F34644" w:rsidRPr="009C2953">
        <w:t xml:space="preserve"> aux </w:t>
      </w:r>
      <w:r w:rsidR="001B78AD" w:rsidRPr="009C2953">
        <w:t>travaux</w:t>
      </w:r>
      <w:r w:rsidR="00D24DC1" w:rsidRPr="009C2953">
        <w:t xml:space="preserve"> des </w:t>
      </w:r>
      <w:r w:rsidR="001B78AD" w:rsidRPr="009C2953">
        <w:t>autres équipes spéciales s</w:t>
      </w:r>
      <w:r w:rsidR="00EA2966" w:rsidRPr="009C2953">
        <w:t>’</w:t>
      </w:r>
      <w:r w:rsidR="001B78AD" w:rsidRPr="009C2953">
        <w:t>agissant</w:t>
      </w:r>
      <w:r w:rsidR="00D24DC1" w:rsidRPr="009C2953">
        <w:t xml:space="preserve"> des </w:t>
      </w:r>
      <w:r w:rsidR="001B78AD" w:rsidRPr="009C2953">
        <w:t>aspects liés</w:t>
      </w:r>
      <w:r w:rsidR="00F34644" w:rsidRPr="009C2953">
        <w:t xml:space="preserve"> aux </w:t>
      </w:r>
      <w:r w:rsidR="00607B78" w:rsidRPr="009C2953">
        <w:t>savoirs autochtones et locaux ;</w:t>
      </w:r>
    </w:p>
    <w:p w14:paraId="0BDC2AA6" w14:textId="1AD6E25C" w:rsidR="00607B78" w:rsidRPr="009C2953" w:rsidRDefault="0044659A" w:rsidP="0044659A">
      <w:pPr>
        <w:pStyle w:val="NormalNonumber"/>
      </w:pPr>
      <w:r w:rsidRPr="009C2953">
        <w:tab/>
        <w:t>h)</w:t>
      </w:r>
      <w:r w:rsidRPr="009C2953">
        <w:tab/>
      </w:r>
      <w:r w:rsidR="00607B78" w:rsidRPr="009C2953">
        <w:t>La poursuite de</w:t>
      </w:r>
      <w:r w:rsidR="00F34644" w:rsidRPr="009C2953">
        <w:t xml:space="preserve"> la </w:t>
      </w:r>
      <w:r w:rsidR="00607B78" w:rsidRPr="009C2953">
        <w:t>mise au point</w:t>
      </w:r>
      <w:r w:rsidR="00D24DC1" w:rsidRPr="009C2953">
        <w:t xml:space="preserve"> des </w:t>
      </w:r>
      <w:r w:rsidR="00607B78" w:rsidRPr="009C2953">
        <w:t>orientations méthodologiques sur</w:t>
      </w:r>
      <w:r w:rsidR="00F34644" w:rsidRPr="009C2953">
        <w:t xml:space="preserve"> la </w:t>
      </w:r>
      <w:r w:rsidR="00607B78" w:rsidRPr="009C2953">
        <w:t>mise en œuvre de l</w:t>
      </w:r>
      <w:r w:rsidR="00EA2966" w:rsidRPr="009C2953">
        <w:t>’</w:t>
      </w:r>
      <w:r w:rsidR="00607B78" w:rsidRPr="009C2953">
        <w:t>approche concernant</w:t>
      </w:r>
      <w:r w:rsidR="00F34644" w:rsidRPr="009C2953">
        <w:t xml:space="preserve"> la </w:t>
      </w:r>
      <w:r w:rsidR="00607B78" w:rsidRPr="009C2953">
        <w:t>reconnaissance et l</w:t>
      </w:r>
      <w:r w:rsidR="00EA2966" w:rsidRPr="009C2953">
        <w:t>’</w:t>
      </w:r>
      <w:r w:rsidR="00607B78" w:rsidRPr="009C2953">
        <w:t>utilisation</w:t>
      </w:r>
      <w:r w:rsidR="00D24DC1" w:rsidRPr="009C2953">
        <w:t xml:space="preserve"> des </w:t>
      </w:r>
      <w:r w:rsidR="00607B78" w:rsidRPr="009C2953">
        <w:t>savoirs autochtones et locaux dans</w:t>
      </w:r>
      <w:r w:rsidR="00F34644" w:rsidRPr="009C2953">
        <w:t xml:space="preserve"> les </w:t>
      </w:r>
      <w:r w:rsidR="00607B78" w:rsidRPr="009C2953">
        <w:t>travaux de</w:t>
      </w:r>
      <w:r w:rsidR="00F34644" w:rsidRPr="009C2953">
        <w:t xml:space="preserve"> la </w:t>
      </w:r>
      <w:r w:rsidR="00607B78" w:rsidRPr="009C2953">
        <w:t>Plateforme, à partir de l</w:t>
      </w:r>
      <w:r w:rsidR="00EA2966" w:rsidRPr="009C2953">
        <w:t>’</w:t>
      </w:r>
      <w:r w:rsidR="00607B78" w:rsidRPr="009C2953">
        <w:t>expérience acquise dans</w:t>
      </w:r>
      <w:r w:rsidR="00F34644" w:rsidRPr="009C2953">
        <w:t xml:space="preserve"> le </w:t>
      </w:r>
      <w:r w:rsidR="00607B78" w:rsidRPr="009C2953">
        <w:t>cadre</w:t>
      </w:r>
      <w:r w:rsidR="00D24DC1" w:rsidRPr="009C2953">
        <w:t xml:space="preserve"> des </w:t>
      </w:r>
      <w:r w:rsidR="00607B78" w:rsidRPr="009C2953">
        <w:t>évaluations achevées ou en cours et</w:t>
      </w:r>
      <w:r w:rsidR="00D24DC1" w:rsidRPr="009C2953">
        <w:t xml:space="preserve"> des </w:t>
      </w:r>
      <w:r w:rsidR="00607B78" w:rsidRPr="009C2953">
        <w:t>activités décrites dans</w:t>
      </w:r>
      <w:r w:rsidR="00F34644" w:rsidRPr="009C2953">
        <w:t xml:space="preserve"> le </w:t>
      </w:r>
      <w:r w:rsidR="00607B78" w:rsidRPr="009C2953">
        <w:t>plan de travail, en mettant l</w:t>
      </w:r>
      <w:r w:rsidR="00EA2966" w:rsidRPr="009C2953">
        <w:t>’</w:t>
      </w:r>
      <w:r w:rsidR="00607B78" w:rsidRPr="009C2953">
        <w:t>accent sur</w:t>
      </w:r>
      <w:r w:rsidR="00F34644" w:rsidRPr="009C2953">
        <w:t xml:space="preserve"> le </w:t>
      </w:r>
      <w:r w:rsidR="00607B78" w:rsidRPr="009C2953">
        <w:t>renforcement du</w:t>
      </w:r>
      <w:r w:rsidR="00395B33" w:rsidRPr="009C2953">
        <w:t> </w:t>
      </w:r>
      <w:r w:rsidR="00607B78" w:rsidRPr="009C2953">
        <w:t>dialogue au sein de</w:t>
      </w:r>
      <w:r w:rsidR="00F34644" w:rsidRPr="009C2953">
        <w:t xml:space="preserve"> la </w:t>
      </w:r>
      <w:r w:rsidR="00607B78" w:rsidRPr="009C2953">
        <w:t>Plateforme entre</w:t>
      </w:r>
      <w:r w:rsidR="00F34644" w:rsidRPr="009C2953">
        <w:t xml:space="preserve"> les </w:t>
      </w:r>
      <w:r w:rsidR="00607B78" w:rsidRPr="009C2953">
        <w:t>systèmes de savoirs autochtones et</w:t>
      </w:r>
      <w:r w:rsidRPr="009C2953">
        <w:t> </w:t>
      </w:r>
      <w:r w:rsidR="00607B78" w:rsidRPr="009C2953">
        <w:t>locaux et</w:t>
      </w:r>
      <w:r w:rsidR="00F34644" w:rsidRPr="009C2953">
        <w:t xml:space="preserve"> la </w:t>
      </w:r>
      <w:r w:rsidR="00607B78" w:rsidRPr="009C2953">
        <w:t>science ;</w:t>
      </w:r>
    </w:p>
    <w:p w14:paraId="185CD901" w14:textId="54DD791F" w:rsidR="00607B78" w:rsidRPr="009C2953" w:rsidRDefault="00E672F8" w:rsidP="00E672F8">
      <w:pPr>
        <w:pStyle w:val="NormalNonumber"/>
        <w:tabs>
          <w:tab w:val="clear" w:pos="2495"/>
          <w:tab w:val="left" w:pos="2520"/>
        </w:tabs>
        <w:ind w:left="3066" w:hanging="1250"/>
      </w:pPr>
      <w:r w:rsidRPr="009C2953">
        <w:tab/>
      </w:r>
      <w:r w:rsidRPr="009C2953">
        <w:tab/>
      </w:r>
      <w:r w:rsidR="0044659A" w:rsidRPr="009C2953">
        <w:t>i)</w:t>
      </w:r>
      <w:r w:rsidR="0044659A" w:rsidRPr="009C2953">
        <w:tab/>
      </w:r>
      <w:r w:rsidR="00607B78" w:rsidRPr="009C2953">
        <w:t>L</w:t>
      </w:r>
      <w:r w:rsidR="00EA2966" w:rsidRPr="009C2953">
        <w:t>’</w:t>
      </w:r>
      <w:r w:rsidR="00607B78" w:rsidRPr="009C2953">
        <w:t>élargissement de l</w:t>
      </w:r>
      <w:r w:rsidR="00EA2966" w:rsidRPr="009C2953">
        <w:t>’</w:t>
      </w:r>
      <w:r w:rsidR="00607B78" w:rsidRPr="009C2953">
        <w:t>examen</w:t>
      </w:r>
      <w:r w:rsidR="00D24DC1" w:rsidRPr="009C2953">
        <w:t xml:space="preserve"> des </w:t>
      </w:r>
      <w:r w:rsidR="00607B78" w:rsidRPr="009C2953">
        <w:t>savoirs autochtones et locaux dans l</w:t>
      </w:r>
      <w:r w:rsidR="00EA2966" w:rsidRPr="009C2953">
        <w:t>’</w:t>
      </w:r>
      <w:r w:rsidR="00607B78" w:rsidRPr="009C2953">
        <w:t>IPBES</w:t>
      </w:r>
      <w:r w:rsidR="00607B78" w:rsidRPr="00FA7442">
        <w:rPr>
          <w:vertAlign w:val="superscript"/>
        </w:rPr>
        <w:footnoteReference w:id="31"/>
      </w:r>
      <w:r w:rsidR="00607B78" w:rsidRPr="009C2953">
        <w:t xml:space="preserve"> afin d</w:t>
      </w:r>
      <w:r w:rsidR="00EA2966" w:rsidRPr="009C2953">
        <w:t>’</w:t>
      </w:r>
      <w:r w:rsidR="00607B78" w:rsidRPr="009C2953">
        <w:t>inclure</w:t>
      </w:r>
      <w:r w:rsidR="00D24DC1" w:rsidRPr="009C2953">
        <w:t xml:space="preserve"> des </w:t>
      </w:r>
      <w:r w:rsidR="00607B78" w:rsidRPr="009C2953">
        <w:t>informations sur l</w:t>
      </w:r>
      <w:r w:rsidR="00EA2966" w:rsidRPr="009C2953">
        <w:t>’</w:t>
      </w:r>
      <w:r w:rsidR="00607B78" w:rsidRPr="009C2953">
        <w:t>évaluation</w:t>
      </w:r>
      <w:r w:rsidR="00D24DC1" w:rsidRPr="009C2953">
        <w:t xml:space="preserve"> des </w:t>
      </w:r>
      <w:r w:rsidR="00607B78" w:rsidRPr="009C2953">
        <w:t>espèces exotiques envahissantes.</w:t>
      </w:r>
    </w:p>
    <w:p w14:paraId="3CFDC5C5" w14:textId="7DE4005A" w:rsidR="00607B78" w:rsidRPr="009C2953" w:rsidRDefault="0044659A" w:rsidP="004143B3">
      <w:pPr>
        <w:pStyle w:val="NormalNonumber"/>
        <w:keepNext/>
        <w:keepLines/>
        <w:rPr>
          <w:color w:val="000000"/>
        </w:rPr>
      </w:pPr>
      <w:r w:rsidRPr="009C2953">
        <w:lastRenderedPageBreak/>
        <w:t>3.</w:t>
      </w:r>
      <w:r w:rsidRPr="009C2953">
        <w:tab/>
      </w:r>
      <w:r w:rsidR="00607B78" w:rsidRPr="009C2953">
        <w:t>Les activités visant à renforcer</w:t>
      </w:r>
      <w:r w:rsidR="00F34644" w:rsidRPr="009C2953">
        <w:t xml:space="preserve"> la </w:t>
      </w:r>
      <w:r w:rsidR="00607B78" w:rsidRPr="009C2953">
        <w:t>mise en œuvre du mécanisme participatif comprendront :</w:t>
      </w:r>
    </w:p>
    <w:p w14:paraId="6E98D833" w14:textId="259CC0AD" w:rsidR="00607B78" w:rsidRPr="009C2953" w:rsidRDefault="0044659A" w:rsidP="004143B3">
      <w:pPr>
        <w:pStyle w:val="NormalNonumber"/>
        <w:keepNext/>
        <w:keepLines/>
      </w:pPr>
      <w:r w:rsidRPr="009C2953">
        <w:tab/>
        <w:t>a)</w:t>
      </w:r>
      <w:r w:rsidRPr="009C2953">
        <w:tab/>
      </w:r>
      <w:r w:rsidR="00607B78" w:rsidRPr="009C2953">
        <w:t>La collaboration entre</w:t>
      </w:r>
      <w:r w:rsidR="00F34644" w:rsidRPr="009C2953">
        <w:t xml:space="preserve"> le </w:t>
      </w:r>
      <w:r w:rsidR="00607B78" w:rsidRPr="009C2953">
        <w:t>Groupe d</w:t>
      </w:r>
      <w:r w:rsidR="00EA2966" w:rsidRPr="009C2953">
        <w:t>’</w:t>
      </w:r>
      <w:r w:rsidR="00607B78" w:rsidRPr="009C2953">
        <w:t>experts multidisciplinaire et l</w:t>
      </w:r>
      <w:r w:rsidR="00EA2966" w:rsidRPr="009C2953">
        <w:t>’</w:t>
      </w:r>
      <w:r w:rsidR="00607B78" w:rsidRPr="009C2953">
        <w:t>équipe spéciale sur</w:t>
      </w:r>
      <w:r w:rsidRPr="009C2953">
        <w:t> </w:t>
      </w:r>
      <w:r w:rsidR="00F34644" w:rsidRPr="009C2953">
        <w:t>les </w:t>
      </w:r>
      <w:r w:rsidR="00607B78" w:rsidRPr="009C2953">
        <w:t>savoirs autochtones et locaux, dans</w:t>
      </w:r>
      <w:r w:rsidR="00F34644" w:rsidRPr="009C2953">
        <w:t xml:space="preserve"> le </w:t>
      </w:r>
      <w:r w:rsidR="00607B78" w:rsidRPr="009C2953">
        <w:t>cadre de</w:t>
      </w:r>
      <w:r w:rsidR="00F34644" w:rsidRPr="009C2953">
        <w:t xml:space="preserve"> la </w:t>
      </w:r>
      <w:r w:rsidR="00607B78" w:rsidRPr="009C2953">
        <w:t>mise en œuvre du mécanisme participatif, notamment en passant en revue</w:t>
      </w:r>
      <w:r w:rsidR="00F34644" w:rsidRPr="009C2953">
        <w:t xml:space="preserve"> les </w:t>
      </w:r>
      <w:r w:rsidR="00607B78" w:rsidRPr="009C2953">
        <w:t>résultats de l</w:t>
      </w:r>
      <w:r w:rsidR="00EA2966" w:rsidRPr="009C2953">
        <w:t>’</w:t>
      </w:r>
      <w:r w:rsidR="00607B78" w:rsidRPr="009C2953">
        <w:t>examen de</w:t>
      </w:r>
      <w:r w:rsidR="00F34644" w:rsidRPr="009C2953">
        <w:t xml:space="preserve"> la </w:t>
      </w:r>
      <w:r w:rsidR="00607B78" w:rsidRPr="009C2953">
        <w:t>mise en œuvre de l</w:t>
      </w:r>
      <w:r w:rsidR="00EA2966" w:rsidRPr="009C2953">
        <w:t>’</w:t>
      </w:r>
      <w:r w:rsidR="00607B78" w:rsidRPr="009C2953">
        <w:t>approche concernant</w:t>
      </w:r>
      <w:r w:rsidR="00F34644" w:rsidRPr="009C2953">
        <w:t xml:space="preserve"> la </w:t>
      </w:r>
      <w:r w:rsidR="00607B78" w:rsidRPr="009C2953">
        <w:t>reconnaissance et l</w:t>
      </w:r>
      <w:r w:rsidR="00EA2966" w:rsidRPr="009C2953">
        <w:t>’</w:t>
      </w:r>
      <w:r w:rsidR="00607B78" w:rsidRPr="009C2953">
        <w:t>utilisation</w:t>
      </w:r>
      <w:r w:rsidR="00D24DC1" w:rsidRPr="009C2953">
        <w:t xml:space="preserve"> des </w:t>
      </w:r>
      <w:r w:rsidR="00607B78" w:rsidRPr="009C2953">
        <w:t>savoirs autochtones et locaux dans</w:t>
      </w:r>
      <w:r w:rsidR="00F34644" w:rsidRPr="009C2953">
        <w:t xml:space="preserve"> les </w:t>
      </w:r>
      <w:r w:rsidR="00607B78" w:rsidRPr="009C2953">
        <w:t>travaux de</w:t>
      </w:r>
      <w:r w:rsidRPr="009C2953">
        <w:t> </w:t>
      </w:r>
      <w:r w:rsidR="00F34644" w:rsidRPr="009C2953">
        <w:t>la </w:t>
      </w:r>
      <w:r w:rsidR="00607B78" w:rsidRPr="009C2953">
        <w:t>Plateforme, qui a été réalisé au cours de</w:t>
      </w:r>
      <w:r w:rsidR="00F34644" w:rsidRPr="009C2953">
        <w:t xml:space="preserve"> la </w:t>
      </w:r>
      <w:r w:rsidR="00607B78" w:rsidRPr="009C2953">
        <w:t>période intersessions précédente ;</w:t>
      </w:r>
    </w:p>
    <w:p w14:paraId="78AB2139" w14:textId="64258CA1" w:rsidR="00607B78" w:rsidRPr="009C2953" w:rsidRDefault="0044659A" w:rsidP="0044659A">
      <w:pPr>
        <w:pStyle w:val="NormalNonumber"/>
      </w:pPr>
      <w:r w:rsidRPr="009C2953">
        <w:tab/>
        <w:t>b)</w:t>
      </w:r>
      <w:r w:rsidRPr="009C2953">
        <w:tab/>
      </w:r>
      <w:r w:rsidR="00607B78" w:rsidRPr="009C2953">
        <w:t>Les échanges avec</w:t>
      </w:r>
      <w:r w:rsidR="00F34644" w:rsidRPr="009C2953">
        <w:t xml:space="preserve"> les </w:t>
      </w:r>
      <w:r w:rsidR="00607B78" w:rsidRPr="009C2953">
        <w:t>peuples autochtones et</w:t>
      </w:r>
      <w:r w:rsidR="00F34644" w:rsidRPr="009C2953">
        <w:t xml:space="preserve"> les </w:t>
      </w:r>
      <w:r w:rsidR="00607B78" w:rsidRPr="009C2953">
        <w:t>communautés locales et</w:t>
      </w:r>
      <w:r w:rsidR="00F34644" w:rsidRPr="009C2953">
        <w:t xml:space="preserve"> le </w:t>
      </w:r>
      <w:r w:rsidR="00607B78" w:rsidRPr="009C2953">
        <w:t>renforcement de</w:t>
      </w:r>
      <w:r w:rsidR="00107282" w:rsidRPr="009C2953">
        <w:t xml:space="preserve"> leurs </w:t>
      </w:r>
      <w:r w:rsidR="00607B78" w:rsidRPr="009C2953">
        <w:t>capacités au moyen de webinaires et de manifestations parallèles lors de</w:t>
      </w:r>
      <w:r w:rsidR="00395B33" w:rsidRPr="009C2953">
        <w:t> </w:t>
      </w:r>
      <w:r w:rsidR="00607B78" w:rsidRPr="009C2953">
        <w:t>réunions pertinentes, aussi bien en ligne qu</w:t>
      </w:r>
      <w:r w:rsidR="00EA2966" w:rsidRPr="009C2953">
        <w:t>’</w:t>
      </w:r>
      <w:r w:rsidR="00607B78" w:rsidRPr="009C2953">
        <w:t>en présentiel,</w:t>
      </w:r>
      <w:r w:rsidR="00F34644" w:rsidRPr="009C2953">
        <w:t xml:space="preserve"> y </w:t>
      </w:r>
      <w:r w:rsidR="00607B78" w:rsidRPr="009C2953">
        <w:t>compris</w:t>
      </w:r>
      <w:r w:rsidR="00F34644" w:rsidRPr="009C2953">
        <w:t xml:space="preserve"> la </w:t>
      </w:r>
      <w:r w:rsidR="00607B78" w:rsidRPr="009C2953">
        <w:t>fourniture d</w:t>
      </w:r>
      <w:r w:rsidR="00EA2966" w:rsidRPr="009C2953">
        <w:t>’</w:t>
      </w:r>
      <w:r w:rsidR="00607B78" w:rsidRPr="009C2953">
        <w:t>informations sur</w:t>
      </w:r>
      <w:r w:rsidRPr="009C2953">
        <w:t> </w:t>
      </w:r>
      <w:r w:rsidR="00F34644" w:rsidRPr="009C2953">
        <w:t>la </w:t>
      </w:r>
      <w:r w:rsidR="00607B78" w:rsidRPr="009C2953">
        <w:t>manière de participer</w:t>
      </w:r>
      <w:r w:rsidR="00F34644" w:rsidRPr="009C2953">
        <w:t xml:space="preserve"> aux </w:t>
      </w:r>
      <w:r w:rsidR="00607B78" w:rsidRPr="009C2953">
        <w:t>activités de</w:t>
      </w:r>
      <w:r w:rsidR="00F34644" w:rsidRPr="009C2953">
        <w:t xml:space="preserve"> la </w:t>
      </w:r>
      <w:r w:rsidR="00607B78" w:rsidRPr="009C2953">
        <w:t>Plateforme, afin d</w:t>
      </w:r>
      <w:r w:rsidR="00EA2966" w:rsidRPr="009C2953">
        <w:t>’</w:t>
      </w:r>
      <w:r w:rsidR="00607B78" w:rsidRPr="009C2953">
        <w:t>éclairer</w:t>
      </w:r>
      <w:r w:rsidR="00F34644" w:rsidRPr="009C2953">
        <w:t xml:space="preserve"> les </w:t>
      </w:r>
      <w:r w:rsidR="00607B78" w:rsidRPr="009C2953">
        <w:t>peuples autochtones et</w:t>
      </w:r>
      <w:r w:rsidR="00F34644" w:rsidRPr="009C2953">
        <w:t xml:space="preserve"> les </w:t>
      </w:r>
      <w:r w:rsidR="00607B78" w:rsidRPr="009C2953">
        <w:t>communautés locales sur</w:t>
      </w:r>
      <w:r w:rsidR="00F34644" w:rsidRPr="009C2953">
        <w:t xml:space="preserve"> les </w:t>
      </w:r>
      <w:r w:rsidR="00607B78" w:rsidRPr="009C2953">
        <w:t>travaux de l</w:t>
      </w:r>
      <w:r w:rsidR="00EA2966" w:rsidRPr="009C2953">
        <w:t>’</w:t>
      </w:r>
      <w:r w:rsidR="00607B78" w:rsidRPr="009C2953">
        <w:t>IPBES, d</w:t>
      </w:r>
      <w:r w:rsidR="00EA2966" w:rsidRPr="009C2953">
        <w:t>’</w:t>
      </w:r>
      <w:r w:rsidR="00607B78" w:rsidRPr="009C2953">
        <w:t>améliorer</w:t>
      </w:r>
      <w:r w:rsidR="00F34644" w:rsidRPr="009C2953">
        <w:t xml:space="preserve"> les </w:t>
      </w:r>
      <w:r w:rsidR="00607B78" w:rsidRPr="009C2953">
        <w:t>avantages qu</w:t>
      </w:r>
      <w:r w:rsidR="00EA2966" w:rsidRPr="009C2953">
        <w:t>’</w:t>
      </w:r>
      <w:r w:rsidR="00607B78" w:rsidRPr="009C2953">
        <w:t>ils retirent de ces</w:t>
      </w:r>
      <w:r w:rsidR="00395B33" w:rsidRPr="009C2953">
        <w:t> </w:t>
      </w:r>
      <w:r w:rsidR="00607B78" w:rsidRPr="009C2953">
        <w:t>travaux, et de stimuler</w:t>
      </w:r>
      <w:r w:rsidR="00F34644" w:rsidRPr="009C2953">
        <w:t xml:space="preserve"> les </w:t>
      </w:r>
      <w:r w:rsidR="00607B78" w:rsidRPr="009C2953">
        <w:t>débats sur</w:t>
      </w:r>
      <w:r w:rsidR="00F34644" w:rsidRPr="009C2953">
        <w:t xml:space="preserve"> les </w:t>
      </w:r>
      <w:r w:rsidR="00607B78" w:rsidRPr="009C2953">
        <w:t>savoirs autochtones et locaux et</w:t>
      </w:r>
      <w:r w:rsidR="00F34644" w:rsidRPr="009C2953">
        <w:t xml:space="preserve"> les </w:t>
      </w:r>
      <w:r w:rsidR="00607B78" w:rsidRPr="009C2953">
        <w:t>contributions de ces</w:t>
      </w:r>
      <w:r w:rsidR="00395B33" w:rsidRPr="009C2953">
        <w:t> </w:t>
      </w:r>
      <w:r w:rsidR="00607B78" w:rsidRPr="009C2953">
        <w:t>savoirs ;</w:t>
      </w:r>
    </w:p>
    <w:p w14:paraId="58267BEB" w14:textId="29F7DE7D" w:rsidR="00607B78" w:rsidRPr="009C2953" w:rsidRDefault="00861721" w:rsidP="00861721">
      <w:pPr>
        <w:pStyle w:val="NormalNonumber"/>
      </w:pPr>
      <w:r w:rsidRPr="009C2953">
        <w:tab/>
        <w:t>c)</w:t>
      </w:r>
      <w:r w:rsidRPr="009C2953">
        <w:tab/>
      </w:r>
      <w:r w:rsidR="00607B78" w:rsidRPr="009C2953">
        <w:t>La poursuite de</w:t>
      </w:r>
      <w:r w:rsidR="00F34644" w:rsidRPr="009C2953">
        <w:t xml:space="preserve"> la </w:t>
      </w:r>
      <w:r w:rsidR="00607B78" w:rsidRPr="009C2953">
        <w:t>création de</w:t>
      </w:r>
      <w:r w:rsidR="00F34644" w:rsidRPr="009C2953">
        <w:t xml:space="preserve"> la </w:t>
      </w:r>
      <w:r w:rsidR="00607B78" w:rsidRPr="009C2953">
        <w:t>section sur</w:t>
      </w:r>
      <w:r w:rsidR="00F34644" w:rsidRPr="009C2953">
        <w:t xml:space="preserve"> les </w:t>
      </w:r>
      <w:r w:rsidR="00607B78" w:rsidRPr="009C2953">
        <w:t>savoirs autochtones et locaux du</w:t>
      </w:r>
      <w:r w:rsidR="00395B33" w:rsidRPr="009C2953">
        <w:t xml:space="preserve"> </w:t>
      </w:r>
      <w:r w:rsidR="00607B78" w:rsidRPr="009C2953">
        <w:t>site</w:t>
      </w:r>
      <w:r w:rsidR="00395B33" w:rsidRPr="009C2953">
        <w:t> </w:t>
      </w:r>
      <w:r w:rsidR="00607B78" w:rsidRPr="009C2953">
        <w:t>Web de</w:t>
      </w:r>
      <w:r w:rsidR="00F34644" w:rsidRPr="009C2953">
        <w:t xml:space="preserve"> la </w:t>
      </w:r>
      <w:r w:rsidR="00607B78" w:rsidRPr="009C2953">
        <w:t>Plateforme, afin d</w:t>
      </w:r>
      <w:r w:rsidR="00EA2966" w:rsidRPr="009C2953">
        <w:t>’</w:t>
      </w:r>
      <w:r w:rsidR="00607B78" w:rsidRPr="009C2953">
        <w:t>améliorer</w:t>
      </w:r>
      <w:r w:rsidR="00F34644" w:rsidRPr="009C2953">
        <w:t xml:space="preserve"> la </w:t>
      </w:r>
      <w:r w:rsidR="00607B78" w:rsidRPr="009C2953">
        <w:t>facilité d</w:t>
      </w:r>
      <w:r w:rsidR="00EA2966" w:rsidRPr="009C2953">
        <w:t>’</w:t>
      </w:r>
      <w:r w:rsidR="00607B78" w:rsidRPr="009C2953">
        <w:t>utilisation et l</w:t>
      </w:r>
      <w:r w:rsidR="00EA2966" w:rsidRPr="009C2953">
        <w:t>’</w:t>
      </w:r>
      <w:r w:rsidR="00607B78" w:rsidRPr="009C2953">
        <w:t>affichage</w:t>
      </w:r>
      <w:r w:rsidR="00D24DC1" w:rsidRPr="009C2953">
        <w:t xml:space="preserve"> des </w:t>
      </w:r>
      <w:r w:rsidR="00607B78" w:rsidRPr="009C2953">
        <w:t>informations ;</w:t>
      </w:r>
    </w:p>
    <w:p w14:paraId="576CDC15" w14:textId="4771DC7F" w:rsidR="00607B78" w:rsidRPr="009C2953" w:rsidRDefault="00861721" w:rsidP="00861721">
      <w:pPr>
        <w:pStyle w:val="NormalNonumber"/>
      </w:pPr>
      <w:r w:rsidRPr="009C2953">
        <w:tab/>
        <w:t>d)</w:t>
      </w:r>
      <w:r w:rsidRPr="009C2953">
        <w:tab/>
      </w:r>
      <w:r w:rsidR="00607B78" w:rsidRPr="009C2953">
        <w:t>La poursuite de l</w:t>
      </w:r>
      <w:r w:rsidR="00EA2966" w:rsidRPr="009C2953">
        <w:t>’</w:t>
      </w:r>
      <w:r w:rsidR="00607B78" w:rsidRPr="009C2953">
        <w:t>élaboration de</w:t>
      </w:r>
      <w:r w:rsidR="00F34644" w:rsidRPr="009C2953">
        <w:t xml:space="preserve"> la </w:t>
      </w:r>
      <w:r w:rsidR="00607B78" w:rsidRPr="009C2953">
        <w:t>stratégie de communication et de mobilisation pour</w:t>
      </w:r>
      <w:r w:rsidR="00F34644" w:rsidRPr="009C2953">
        <w:t xml:space="preserve"> les </w:t>
      </w:r>
      <w:r w:rsidR="00607B78" w:rsidRPr="009C2953">
        <w:t>partenaires stratégiques et</w:t>
      </w:r>
      <w:r w:rsidR="00F34644" w:rsidRPr="009C2953">
        <w:t xml:space="preserve"> les </w:t>
      </w:r>
      <w:r w:rsidR="00607B78" w:rsidRPr="009C2953">
        <w:t>partenaires appuyant l</w:t>
      </w:r>
      <w:r w:rsidR="00EA2966" w:rsidRPr="009C2953">
        <w:t>’</w:t>
      </w:r>
      <w:r w:rsidR="00607B78" w:rsidRPr="009C2953">
        <w:t>initiative (par exemple</w:t>
      </w:r>
      <w:r w:rsidR="00F34644" w:rsidRPr="009C2953">
        <w:t xml:space="preserve"> le </w:t>
      </w:r>
      <w:r w:rsidR="00607B78" w:rsidRPr="009C2953">
        <w:t>Forum international</w:t>
      </w:r>
      <w:r w:rsidR="00D24DC1" w:rsidRPr="009C2953">
        <w:t xml:space="preserve"> des </w:t>
      </w:r>
      <w:r w:rsidR="00607B78" w:rsidRPr="009C2953">
        <w:t>peuples autochtones sur</w:t>
      </w:r>
      <w:r w:rsidR="00F34644" w:rsidRPr="009C2953">
        <w:t xml:space="preserve"> la </w:t>
      </w:r>
      <w:r w:rsidR="00607B78" w:rsidRPr="009C2953">
        <w:t>biodiversité et</w:t>
      </w:r>
      <w:r w:rsidR="00F34644" w:rsidRPr="009C2953">
        <w:t xml:space="preserve"> les </w:t>
      </w:r>
      <w:r w:rsidR="00607B78" w:rsidRPr="009C2953">
        <w:t>services écosystémiques) ;</w:t>
      </w:r>
    </w:p>
    <w:p w14:paraId="0643F92F" w14:textId="7B3B75CB" w:rsidR="00607B78" w:rsidRPr="009C2953" w:rsidRDefault="00861721" w:rsidP="00861721">
      <w:pPr>
        <w:pStyle w:val="NormalNonumber"/>
      </w:pPr>
      <w:r w:rsidRPr="009C2953">
        <w:tab/>
        <w:t>e)</w:t>
      </w:r>
      <w:r w:rsidRPr="009C2953">
        <w:tab/>
      </w:r>
      <w:r w:rsidR="00607B78" w:rsidRPr="009C2953">
        <w:t>Le suivi de</w:t>
      </w:r>
      <w:r w:rsidR="00F34644" w:rsidRPr="009C2953">
        <w:t xml:space="preserve"> la </w:t>
      </w:r>
      <w:r w:rsidR="00607B78" w:rsidRPr="009C2953">
        <w:t>participation</w:t>
      </w:r>
      <w:r w:rsidR="00D24DC1" w:rsidRPr="009C2953">
        <w:t xml:space="preserve"> des </w:t>
      </w:r>
      <w:r w:rsidR="00607B78" w:rsidRPr="009C2953">
        <w:t>peuples autochtones et</w:t>
      </w:r>
      <w:r w:rsidR="00D24DC1" w:rsidRPr="009C2953">
        <w:t xml:space="preserve"> des </w:t>
      </w:r>
      <w:r w:rsidR="00607B78" w:rsidRPr="009C2953">
        <w:t>communautés locales et</w:t>
      </w:r>
      <w:r w:rsidR="00D24DC1" w:rsidRPr="009C2953">
        <w:t xml:space="preserve"> des </w:t>
      </w:r>
      <w:r w:rsidR="00607B78" w:rsidRPr="009C2953">
        <w:t>expert(e)s en savoirs autochtones et locaux</w:t>
      </w:r>
      <w:r w:rsidR="00F34644" w:rsidRPr="009C2953">
        <w:t xml:space="preserve"> aux </w:t>
      </w:r>
      <w:r w:rsidR="00607B78" w:rsidRPr="009C2953">
        <w:t>processus de l</w:t>
      </w:r>
      <w:r w:rsidR="00EA2966" w:rsidRPr="009C2953">
        <w:t>’</w:t>
      </w:r>
      <w:r w:rsidR="00607B78" w:rsidRPr="009C2953">
        <w:t>IPBES ;</w:t>
      </w:r>
    </w:p>
    <w:p w14:paraId="78BB3499" w14:textId="33F22622" w:rsidR="00607B78" w:rsidRPr="009C2953" w:rsidRDefault="00861721" w:rsidP="00861721">
      <w:pPr>
        <w:pStyle w:val="NormalNonumber"/>
      </w:pPr>
      <w:r w:rsidRPr="009C2953">
        <w:tab/>
        <w:t>f)</w:t>
      </w:r>
      <w:r w:rsidRPr="009C2953">
        <w:tab/>
      </w:r>
      <w:r w:rsidR="00607B78" w:rsidRPr="009C2953">
        <w:t>La collaboration avec</w:t>
      </w:r>
      <w:r w:rsidR="00F34644" w:rsidRPr="009C2953">
        <w:t xml:space="preserve"> les </w:t>
      </w:r>
      <w:r w:rsidR="00607B78" w:rsidRPr="009C2953">
        <w:t>réseaux pertinents liés à l</w:t>
      </w:r>
      <w:r w:rsidR="00EA2966" w:rsidRPr="009C2953">
        <w:t>’</w:t>
      </w:r>
      <w:r w:rsidR="00607B78" w:rsidRPr="009C2953">
        <w:t>IPBES,</w:t>
      </w:r>
      <w:r w:rsidR="00F34644" w:rsidRPr="009C2953">
        <w:t xml:space="preserve"> y </w:t>
      </w:r>
      <w:r w:rsidR="00607B78" w:rsidRPr="009C2953">
        <w:t>compris</w:t>
      </w:r>
      <w:r w:rsidR="00F34644" w:rsidRPr="009C2953">
        <w:t xml:space="preserve"> le </w:t>
      </w:r>
      <w:r w:rsidR="00607B78" w:rsidRPr="009C2953">
        <w:t>Réseau sur</w:t>
      </w:r>
      <w:r w:rsidRPr="009C2953">
        <w:t> </w:t>
      </w:r>
      <w:r w:rsidR="00F34644" w:rsidRPr="009C2953">
        <w:t>la </w:t>
      </w:r>
      <w:r w:rsidR="00607B78" w:rsidRPr="009C2953">
        <w:t>biodiversité et</w:t>
      </w:r>
      <w:r w:rsidR="00F34644" w:rsidRPr="009C2953">
        <w:t xml:space="preserve"> les </w:t>
      </w:r>
      <w:r w:rsidR="00607B78" w:rsidRPr="009C2953">
        <w:t>services écosystémiques (BES-net), afin de renforcer l</w:t>
      </w:r>
      <w:r w:rsidR="00EA2966" w:rsidRPr="009C2953">
        <w:t>’</w:t>
      </w:r>
      <w:r w:rsidR="00607B78" w:rsidRPr="009C2953">
        <w:t>approche relative à</w:t>
      </w:r>
      <w:r w:rsidRPr="009C2953">
        <w:t> </w:t>
      </w:r>
      <w:r w:rsidR="00607B78" w:rsidRPr="009C2953">
        <w:t>l</w:t>
      </w:r>
      <w:r w:rsidR="00EA2966" w:rsidRPr="009C2953">
        <w:t>’</w:t>
      </w:r>
      <w:r w:rsidR="00607B78" w:rsidRPr="009C2953">
        <w:t>utilisation</w:t>
      </w:r>
      <w:r w:rsidR="00D24DC1" w:rsidRPr="009C2953">
        <w:t xml:space="preserve"> des </w:t>
      </w:r>
      <w:r w:rsidR="00607B78" w:rsidRPr="009C2953">
        <w:t>systèmes de savoirs autochtones et locaux.</w:t>
      </w:r>
    </w:p>
    <w:p w14:paraId="40DDB816" w14:textId="7B522440" w:rsidR="00607B78" w:rsidRPr="009C2953" w:rsidRDefault="002D64A4" w:rsidP="002D64A4">
      <w:pPr>
        <w:pStyle w:val="NormalNonumber"/>
      </w:pPr>
      <w:r w:rsidRPr="009C2953">
        <w:t>4.</w:t>
      </w:r>
      <w:r w:rsidRPr="009C2953">
        <w:tab/>
      </w:r>
      <w:r w:rsidR="00607B78" w:rsidRPr="009C2953">
        <w:t>Les activités visant à garantir</w:t>
      </w:r>
      <w:r w:rsidR="00F34644" w:rsidRPr="009C2953">
        <w:t xml:space="preserve"> la </w:t>
      </w:r>
      <w:r w:rsidR="00607B78" w:rsidRPr="009C2953">
        <w:t>mise en œuvre effective du plan de travail comprennent l</w:t>
      </w:r>
      <w:r w:rsidR="00EA2966" w:rsidRPr="009C2953">
        <w:t>’</w:t>
      </w:r>
      <w:r w:rsidR="00607B78" w:rsidRPr="009C2953">
        <w:t>élaboration et</w:t>
      </w:r>
      <w:r w:rsidR="00F34644" w:rsidRPr="009C2953">
        <w:t xml:space="preserve"> le </w:t>
      </w:r>
      <w:r w:rsidR="00607B78" w:rsidRPr="009C2953">
        <w:t>suivi d</w:t>
      </w:r>
      <w:r w:rsidR="00EA2966" w:rsidRPr="009C2953">
        <w:t>’</w:t>
      </w:r>
      <w:r w:rsidR="00607B78" w:rsidRPr="009C2953">
        <w:t>une série d</w:t>
      </w:r>
      <w:r w:rsidR="00EA2966" w:rsidRPr="009C2953">
        <w:t>’</w:t>
      </w:r>
      <w:r w:rsidR="00607B78" w:rsidRPr="009C2953">
        <w:t>indicateurs pertinents pour mesurer l</w:t>
      </w:r>
      <w:r w:rsidR="00EA2966" w:rsidRPr="009C2953">
        <w:t>’</w:t>
      </w:r>
      <w:r w:rsidR="00607B78" w:rsidRPr="009C2953">
        <w:t>efficacité. L</w:t>
      </w:r>
      <w:r w:rsidR="00EA2966" w:rsidRPr="009C2953">
        <w:t>’</w:t>
      </w:r>
      <w:r w:rsidR="00607B78" w:rsidRPr="009C2953">
        <w:t>ensemble d</w:t>
      </w:r>
      <w:r w:rsidR="00EA2966" w:rsidRPr="009C2953">
        <w:t>’</w:t>
      </w:r>
      <w:r w:rsidR="00607B78" w:rsidRPr="009C2953">
        <w:t>indicateurs mis au point sera présenté à</w:t>
      </w:r>
      <w:r w:rsidR="00F34644" w:rsidRPr="009C2953">
        <w:t xml:space="preserve"> la </w:t>
      </w:r>
      <w:r w:rsidR="00607B78" w:rsidRPr="009C2953">
        <w:t>Plénière, à</w:t>
      </w:r>
      <w:r w:rsidR="00F34644" w:rsidRPr="009C2953">
        <w:t xml:space="preserve"> sa </w:t>
      </w:r>
      <w:r w:rsidR="00607B78" w:rsidRPr="009C2953">
        <w:t>onzième session, dans</w:t>
      </w:r>
      <w:r w:rsidR="00F34644" w:rsidRPr="009C2953">
        <w:t xml:space="preserve"> le </w:t>
      </w:r>
      <w:r w:rsidR="00607B78" w:rsidRPr="009C2953">
        <w:t>cadre du projet de</w:t>
      </w:r>
      <w:r w:rsidR="00395B33" w:rsidRPr="009C2953">
        <w:t> </w:t>
      </w:r>
      <w:r w:rsidR="00607B78" w:rsidRPr="009C2953">
        <w:t>plan de travail pour</w:t>
      </w:r>
      <w:r w:rsidR="00F34644" w:rsidRPr="009C2953">
        <w:t xml:space="preserve"> la </w:t>
      </w:r>
      <w:r w:rsidR="00607B78" w:rsidRPr="009C2953">
        <w:t>période intersessions 2024</w:t>
      </w:r>
      <w:r w:rsidR="00FA7442">
        <w:t>–</w:t>
      </w:r>
      <w:r w:rsidR="00607B78" w:rsidRPr="009C2953">
        <w:t>2025.</w:t>
      </w:r>
    </w:p>
    <w:p w14:paraId="14EBEA0E"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397EC832" w14:textId="0BD9E7F6" w:rsidR="00607B78" w:rsidRPr="009C2953" w:rsidRDefault="00607B78" w:rsidP="00607B78">
      <w:pPr>
        <w:pStyle w:val="CH1"/>
      </w:pPr>
      <w:r w:rsidRPr="009C2953">
        <w:lastRenderedPageBreak/>
        <w:tab/>
      </w:r>
      <w:r w:rsidRPr="009C2953">
        <w:tab/>
        <w:t>Annexe VII à</w:t>
      </w:r>
      <w:r w:rsidR="00F34644" w:rsidRPr="009C2953">
        <w:t xml:space="preserve"> la </w:t>
      </w:r>
      <w:r w:rsidRPr="009C2953">
        <w:t>décision IPBES-10/1</w:t>
      </w:r>
    </w:p>
    <w:p w14:paraId="4FD2E6FA" w14:textId="0A9D6F17" w:rsidR="00607B78" w:rsidRPr="009C2953" w:rsidRDefault="00607B78" w:rsidP="00607B78">
      <w:pPr>
        <w:pStyle w:val="CH1"/>
      </w:pPr>
      <w:r w:rsidRPr="009C2953">
        <w:tab/>
      </w:r>
      <w:r w:rsidRPr="009C2953">
        <w:tab/>
        <w:t>Plan de travail pour l</w:t>
      </w:r>
      <w:r w:rsidR="00EA2966" w:rsidRPr="009C2953">
        <w:t>’</w:t>
      </w:r>
      <w:r w:rsidRPr="009C2953">
        <w:t>objectif 4 a) : travaux avancés sur</w:t>
      </w:r>
      <w:r w:rsidR="00710FB6" w:rsidRPr="009C2953">
        <w:t xml:space="preserve"> </w:t>
      </w:r>
      <w:r w:rsidR="00F34644" w:rsidRPr="009C2953">
        <w:t>les </w:t>
      </w:r>
      <w:r w:rsidRPr="009C2953">
        <w:t>moyens d</w:t>
      </w:r>
      <w:r w:rsidR="00EA2966" w:rsidRPr="009C2953">
        <w:t>’</w:t>
      </w:r>
      <w:r w:rsidRPr="009C2953">
        <w:t>action,</w:t>
      </w:r>
      <w:r w:rsidR="00F34644" w:rsidRPr="009C2953">
        <w:t xml:space="preserve"> les </w:t>
      </w:r>
      <w:r w:rsidRPr="009C2953">
        <w:t>outils d</w:t>
      </w:r>
      <w:r w:rsidR="00EA2966" w:rsidRPr="009C2953">
        <w:t>’</w:t>
      </w:r>
      <w:r w:rsidRPr="009C2953">
        <w:t>appui à l</w:t>
      </w:r>
      <w:r w:rsidR="00EA2966" w:rsidRPr="009C2953">
        <w:t>’</w:t>
      </w:r>
      <w:r w:rsidRPr="009C2953">
        <w:t>élaboration</w:t>
      </w:r>
      <w:r w:rsidR="00D24DC1" w:rsidRPr="009C2953">
        <w:t xml:space="preserve"> des </w:t>
      </w:r>
      <w:r w:rsidRPr="009C2953">
        <w:t>politiques et</w:t>
      </w:r>
      <w:r w:rsidR="00F34644" w:rsidRPr="009C2953">
        <w:t xml:space="preserve"> les </w:t>
      </w:r>
      <w:r w:rsidRPr="009C2953">
        <w:t>méthodes, pour</w:t>
      </w:r>
      <w:r w:rsidR="00F34644" w:rsidRPr="009C2953">
        <w:t xml:space="preserve"> la </w:t>
      </w:r>
      <w:r w:rsidRPr="009C2953">
        <w:t xml:space="preserve">période </w:t>
      </w:r>
      <w:r w:rsidR="00FA7442">
        <w:br/>
      </w:r>
      <w:r w:rsidRPr="009C2953">
        <w:t>intersessions</w:t>
      </w:r>
      <w:r w:rsidR="00644082" w:rsidRPr="009C2953">
        <w:t> </w:t>
      </w:r>
      <w:r w:rsidRPr="009C2953">
        <w:t>2023</w:t>
      </w:r>
      <w:r w:rsidR="00FA7442">
        <w:t>–</w:t>
      </w:r>
      <w:r w:rsidRPr="009C2953">
        <w:t>2024</w:t>
      </w:r>
    </w:p>
    <w:p w14:paraId="68F3E33A" w14:textId="2DE45FB9" w:rsidR="00607B78" w:rsidRPr="009C2953" w:rsidRDefault="00F064B3" w:rsidP="00F064B3">
      <w:pPr>
        <w:pStyle w:val="NormalNonumber"/>
        <w:rPr>
          <w:color w:val="000000"/>
        </w:rPr>
      </w:pPr>
      <w:r w:rsidRPr="009C2953">
        <w:t>1.</w:t>
      </w:r>
      <w:r w:rsidRPr="009C2953">
        <w:tab/>
      </w:r>
      <w:r w:rsidR="00607B78" w:rsidRPr="009C2953">
        <w:t>Le Groupe d</w:t>
      </w:r>
      <w:r w:rsidR="00EA2966" w:rsidRPr="009C2953">
        <w:t>’</w:t>
      </w:r>
      <w:r w:rsidR="00607B78" w:rsidRPr="009C2953">
        <w:t>experts multidisciplinaire et</w:t>
      </w:r>
      <w:r w:rsidR="00F34644" w:rsidRPr="009C2953">
        <w:t xml:space="preserve"> le </w:t>
      </w:r>
      <w:r w:rsidR="00607B78" w:rsidRPr="009C2953">
        <w:t>Bureau superviseront et participeront, dans</w:t>
      </w:r>
      <w:r w:rsidR="00F34644" w:rsidRPr="009C2953">
        <w:t xml:space="preserve"> le </w:t>
      </w:r>
      <w:r w:rsidR="00607B78" w:rsidRPr="009C2953">
        <w:t>cadre</w:t>
      </w:r>
      <w:r w:rsidR="00710FB6" w:rsidRPr="009C2953">
        <w:t> </w:t>
      </w:r>
      <w:r w:rsidR="00607B78" w:rsidRPr="009C2953">
        <w:t>de</w:t>
      </w:r>
      <w:r w:rsidR="00107282" w:rsidRPr="009C2953">
        <w:t xml:space="preserve"> leurs </w:t>
      </w:r>
      <w:r w:rsidR="00607B78" w:rsidRPr="009C2953">
        <w:t>mandats respectifs et jusqu</w:t>
      </w:r>
      <w:r w:rsidR="00EA2966" w:rsidRPr="009C2953">
        <w:t>’</w:t>
      </w:r>
      <w:r w:rsidR="00607B78" w:rsidRPr="009C2953">
        <w:t>à</w:t>
      </w:r>
      <w:r w:rsidR="00F34644" w:rsidRPr="009C2953">
        <w:t xml:space="preserve"> la </w:t>
      </w:r>
      <w:r w:rsidR="00607B78" w:rsidRPr="009C2953">
        <w:t>onzième session de</w:t>
      </w:r>
      <w:r w:rsidR="00F34644" w:rsidRPr="009C2953">
        <w:t xml:space="preserve"> la </w:t>
      </w:r>
      <w:r w:rsidR="00607B78" w:rsidRPr="009C2953">
        <w:t>Plénière, à</w:t>
      </w:r>
      <w:r w:rsidR="00F34644" w:rsidRPr="009C2953">
        <w:t xml:space="preserve"> la </w:t>
      </w:r>
      <w:r w:rsidR="00607B78" w:rsidRPr="009C2953">
        <w:t>mise en œuvre du</w:t>
      </w:r>
      <w:r w:rsidR="00710FB6" w:rsidRPr="009C2953">
        <w:t> </w:t>
      </w:r>
      <w:r w:rsidR="00607B78" w:rsidRPr="009C2953">
        <w:t>plan de</w:t>
      </w:r>
      <w:r w:rsidR="00580C84" w:rsidRPr="009C2953">
        <w:t> </w:t>
      </w:r>
      <w:r w:rsidR="00607B78" w:rsidRPr="009C2953">
        <w:t>travail suivant, avec l</w:t>
      </w:r>
      <w:r w:rsidR="00EA2966" w:rsidRPr="009C2953">
        <w:t>’</w:t>
      </w:r>
      <w:r w:rsidR="00607B78" w:rsidRPr="009C2953">
        <w:t>appui du secrétariat,</w:t>
      </w:r>
      <w:r w:rsidR="00F34644" w:rsidRPr="009C2953">
        <w:t xml:space="preserve"> y </w:t>
      </w:r>
      <w:r w:rsidR="00607B78" w:rsidRPr="009C2953">
        <w:t>compris</w:t>
      </w:r>
      <w:r w:rsidR="00F34644" w:rsidRPr="009C2953">
        <w:t xml:space="preserve"> un </w:t>
      </w:r>
      <w:r w:rsidR="00607B78" w:rsidRPr="009C2953">
        <w:t>groupe d</w:t>
      </w:r>
      <w:r w:rsidR="00EA2966" w:rsidRPr="009C2953">
        <w:t>’</w:t>
      </w:r>
      <w:r w:rsidR="00607B78" w:rsidRPr="009C2953">
        <w:t>appui technique dédié, en</w:t>
      </w:r>
      <w:r w:rsidR="00580C84" w:rsidRPr="009C2953">
        <w:t> </w:t>
      </w:r>
      <w:r w:rsidR="00607B78" w:rsidRPr="009C2953">
        <w:t>collaboration avec</w:t>
      </w:r>
      <w:r w:rsidR="00F34644" w:rsidRPr="009C2953">
        <w:t xml:space="preserve"> les </w:t>
      </w:r>
      <w:r w:rsidR="00D6326F" w:rsidRPr="009C2953">
        <w:t xml:space="preserve">autres </w:t>
      </w:r>
      <w:r w:rsidR="00607B78" w:rsidRPr="009C2953">
        <w:t>groupes d</w:t>
      </w:r>
      <w:r w:rsidR="00EA2966" w:rsidRPr="009C2953">
        <w:t>’</w:t>
      </w:r>
      <w:r w:rsidR="00607B78" w:rsidRPr="009C2953">
        <w:t>appui technique</w:t>
      </w:r>
      <w:r w:rsidR="00D24DC1" w:rsidRPr="009C2953">
        <w:t xml:space="preserve"> des </w:t>
      </w:r>
      <w:r w:rsidR="00607B78" w:rsidRPr="009C2953">
        <w:t xml:space="preserve">équipes spéciales. </w:t>
      </w:r>
    </w:p>
    <w:p w14:paraId="6F61232D" w14:textId="3FE2A958" w:rsidR="00607B78" w:rsidRPr="009C2953" w:rsidRDefault="00F064B3" w:rsidP="00F064B3">
      <w:pPr>
        <w:pStyle w:val="NormalNonumber"/>
      </w:pPr>
      <w:r w:rsidRPr="009C2953">
        <w:t>2.</w:t>
      </w:r>
      <w:r w:rsidRPr="009C2953">
        <w:tab/>
      </w:r>
      <w:r w:rsidR="00607B78" w:rsidRPr="009C2953">
        <w:t>Les activités visant à faciliter</w:t>
      </w:r>
      <w:r w:rsidR="00F34644" w:rsidRPr="009C2953">
        <w:t xml:space="preserve"> le </w:t>
      </w:r>
      <w:r w:rsidR="00607B78" w:rsidRPr="009C2953">
        <w:t>dialogue sur</w:t>
      </w:r>
      <w:r w:rsidR="00F34644" w:rsidRPr="009C2953">
        <w:t xml:space="preserve"> le </w:t>
      </w:r>
      <w:r w:rsidR="00607B78" w:rsidRPr="009C2953">
        <w:t>rôle futur de</w:t>
      </w:r>
      <w:r w:rsidR="00F34644" w:rsidRPr="009C2953">
        <w:t xml:space="preserve"> la </w:t>
      </w:r>
      <w:r w:rsidR="00607B78" w:rsidRPr="009C2953">
        <w:t>fonction 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et ses objectifs connexes dans</w:t>
      </w:r>
      <w:r w:rsidR="00F34644" w:rsidRPr="009C2953">
        <w:t xml:space="preserve"> le </w:t>
      </w:r>
      <w:r w:rsidR="00607B78" w:rsidRPr="009C2953">
        <w:t>programme de travail au cours de</w:t>
      </w:r>
      <w:r w:rsidR="00F34644" w:rsidRPr="009C2953">
        <w:t xml:space="preserve"> la </w:t>
      </w:r>
      <w:r w:rsidR="00607B78" w:rsidRPr="009C2953">
        <w:t>période intersessions 2023</w:t>
      </w:r>
      <w:r w:rsidR="00FA7442">
        <w:t>–</w:t>
      </w:r>
      <w:r w:rsidR="00607B78" w:rsidRPr="009C2953">
        <w:t>2024 comprendront :</w:t>
      </w:r>
    </w:p>
    <w:p w14:paraId="7C8F5FE4" w14:textId="3DF56E9E" w:rsidR="00607B78" w:rsidRPr="009C2953" w:rsidRDefault="00F064B3" w:rsidP="00F064B3">
      <w:pPr>
        <w:pStyle w:val="NormalNonumber"/>
      </w:pPr>
      <w:r w:rsidRPr="009C2953">
        <w:tab/>
        <w:t>a)</w:t>
      </w:r>
      <w:r w:rsidRPr="009C2953">
        <w:tab/>
      </w:r>
      <w:r w:rsidR="00607B78" w:rsidRPr="009C2953">
        <w:t>La diffusion en temps voulu par</w:t>
      </w:r>
      <w:r w:rsidR="00F34644" w:rsidRPr="009C2953">
        <w:t xml:space="preserve"> le </w:t>
      </w:r>
      <w:r w:rsidR="00607B78" w:rsidRPr="009C2953">
        <w:t>secrétariat, auprès</w:t>
      </w:r>
      <w:r w:rsidR="00D24DC1" w:rsidRPr="009C2953">
        <w:t xml:space="preserve"> des </w:t>
      </w:r>
      <w:r w:rsidR="00607B78" w:rsidRPr="009C2953">
        <w:t>membres de l</w:t>
      </w:r>
      <w:r w:rsidR="00EA2966" w:rsidRPr="009C2953">
        <w:t>’</w:t>
      </w:r>
      <w:r w:rsidR="00607B78" w:rsidRPr="009C2953">
        <w:t>IPBES,</w:t>
      </w:r>
      <w:r w:rsidR="00D24DC1" w:rsidRPr="009C2953">
        <w:t xml:space="preserve"> des </w:t>
      </w:r>
      <w:r w:rsidR="00607B78" w:rsidRPr="009C2953">
        <w:t>expert(e)s et</w:t>
      </w:r>
      <w:r w:rsidR="00D24DC1" w:rsidRPr="009C2953">
        <w:t xml:space="preserve"> des </w:t>
      </w:r>
      <w:r w:rsidR="00607B78" w:rsidRPr="009C2953">
        <w:t>parties prenantes concernées, d</w:t>
      </w:r>
      <w:r w:rsidR="00EA2966" w:rsidRPr="009C2953">
        <w:t>’</w:t>
      </w:r>
      <w:r w:rsidR="00607B78" w:rsidRPr="009C2953">
        <w:t>un appel à contributions sur</w:t>
      </w:r>
      <w:r w:rsidR="00F34644" w:rsidRPr="009C2953">
        <w:t xml:space="preserve"> le </w:t>
      </w:r>
      <w:r w:rsidR="00607B78" w:rsidRPr="009C2953">
        <w:t>rôle futur de</w:t>
      </w:r>
      <w:r w:rsidR="00F34644" w:rsidRPr="009C2953">
        <w:t xml:space="preserve"> la </w:t>
      </w:r>
      <w:r w:rsidR="00607B78" w:rsidRPr="009C2953">
        <w:t>fonction 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w:t>
      </w:r>
      <w:r w:rsidR="00F34644" w:rsidRPr="009C2953">
        <w:t xml:space="preserve"> les </w:t>
      </w:r>
      <w:r w:rsidR="00607B78" w:rsidRPr="009C2953">
        <w:t>dispositions institutionnelles,</w:t>
      </w:r>
      <w:r w:rsidR="00F34644" w:rsidRPr="009C2953">
        <w:t xml:space="preserve"> les </w:t>
      </w:r>
      <w:r w:rsidR="00607B78" w:rsidRPr="009C2953">
        <w:t>projets de mandats et</w:t>
      </w:r>
      <w:r w:rsidR="00F34644" w:rsidRPr="009C2953">
        <w:t xml:space="preserve"> les </w:t>
      </w:r>
      <w:r w:rsidR="00607B78" w:rsidRPr="009C2953">
        <w:t>moyens de renforcer</w:t>
      </w:r>
      <w:r w:rsidR="00F34644" w:rsidRPr="009C2953">
        <w:t xml:space="preserve"> la </w:t>
      </w:r>
      <w:r w:rsidR="00607B78" w:rsidRPr="009C2953">
        <w:t>réalisation de l</w:t>
      </w:r>
      <w:r w:rsidR="00EA2966" w:rsidRPr="009C2953">
        <w:t>’</w:t>
      </w:r>
      <w:r w:rsidR="00607B78" w:rsidRPr="009C2953">
        <w:t>objectif 4 a) (quatrième trimestre de 2023) ;</w:t>
      </w:r>
    </w:p>
    <w:p w14:paraId="235EB96C" w14:textId="4A3AC244" w:rsidR="00607B78" w:rsidRPr="009C2953" w:rsidRDefault="00F064B3" w:rsidP="00F064B3">
      <w:pPr>
        <w:pStyle w:val="NormalNonumber"/>
      </w:pPr>
      <w:r w:rsidRPr="009C2953">
        <w:tab/>
        <w:t>b)</w:t>
      </w:r>
      <w:r w:rsidRPr="009C2953">
        <w:tab/>
      </w:r>
      <w:r w:rsidR="00EC7BC6" w:rsidRPr="009C2953">
        <w:t>La</w:t>
      </w:r>
      <w:r w:rsidR="00607B78" w:rsidRPr="009C2953">
        <w:t xml:space="preserve"> facilitation</w:t>
      </w:r>
      <w:r w:rsidR="00D24DC1" w:rsidRPr="009C2953">
        <w:t xml:space="preserve"> des </w:t>
      </w:r>
      <w:r w:rsidR="00607B78" w:rsidRPr="009C2953">
        <w:t>échanges en ligne avec</w:t>
      </w:r>
      <w:r w:rsidR="00F34644" w:rsidRPr="009C2953">
        <w:t xml:space="preserve"> </w:t>
      </w:r>
      <w:proofErr w:type="gramStart"/>
      <w:r w:rsidR="00F34644" w:rsidRPr="009C2953">
        <w:t>les </w:t>
      </w:r>
      <w:r w:rsidR="00607B78" w:rsidRPr="009C2953">
        <w:t>correspondant</w:t>
      </w:r>
      <w:proofErr w:type="gramEnd"/>
      <w:r w:rsidR="00607B78" w:rsidRPr="009C2953">
        <w:t>(e)s nationaux(ales),</w:t>
      </w:r>
      <w:r w:rsidR="00F34644" w:rsidRPr="009C2953">
        <w:t xml:space="preserve"> les </w:t>
      </w:r>
      <w:r w:rsidR="00607B78" w:rsidRPr="009C2953">
        <w:t>expert(e)s et</w:t>
      </w:r>
      <w:r w:rsidR="00F34644" w:rsidRPr="009C2953">
        <w:t xml:space="preserve"> les </w:t>
      </w:r>
      <w:r w:rsidR="00607B78" w:rsidRPr="009C2953">
        <w:t>autres parties prenantes concernées, et</w:t>
      </w:r>
      <w:r w:rsidR="00F34644" w:rsidRPr="009C2953">
        <w:t xml:space="preserve"> le </w:t>
      </w:r>
      <w:r w:rsidR="00607B78" w:rsidRPr="009C2953">
        <w:t>lancement de dialogues</w:t>
      </w:r>
      <w:r w:rsidR="00F34644" w:rsidRPr="009C2953">
        <w:t xml:space="preserve"> aux </w:t>
      </w:r>
      <w:r w:rsidR="00607B78" w:rsidRPr="009C2953">
        <w:t>réunions en</w:t>
      </w:r>
      <w:r w:rsidR="00580C84" w:rsidRPr="009C2953">
        <w:t> </w:t>
      </w:r>
      <w:r w:rsidR="00607B78" w:rsidRPr="009C2953">
        <w:t>présentiel pertinentes,</w:t>
      </w:r>
      <w:r w:rsidR="00F34644" w:rsidRPr="009C2953">
        <w:t xml:space="preserve"> y </w:t>
      </w:r>
      <w:r w:rsidR="00607B78" w:rsidRPr="009C2953">
        <w:t>compris</w:t>
      </w:r>
      <w:r w:rsidR="00D24DC1" w:rsidRPr="009C2953">
        <w:t xml:space="preserve"> des </w:t>
      </w:r>
      <w:r w:rsidR="00607B78" w:rsidRPr="009C2953">
        <w:t>sessions consacrées</w:t>
      </w:r>
      <w:r w:rsidR="00F34644" w:rsidRPr="009C2953">
        <w:t xml:space="preserve"> aux </w:t>
      </w:r>
      <w:r w:rsidR="00607B78" w:rsidRPr="009C2953">
        <w:t>futures dispositions institutionnelles et</w:t>
      </w:r>
      <w:r w:rsidRPr="009C2953">
        <w:t> </w:t>
      </w:r>
      <w:r w:rsidR="00F34644" w:rsidRPr="009C2953">
        <w:t>aux </w:t>
      </w:r>
      <w:r w:rsidR="00607B78" w:rsidRPr="009C2953">
        <w:t>projets de mandats (par exemple, dans</w:t>
      </w:r>
      <w:r w:rsidR="00F34644" w:rsidRPr="009C2953">
        <w:t xml:space="preserve"> le </w:t>
      </w:r>
      <w:r w:rsidR="00607B78" w:rsidRPr="009C2953">
        <w:t>cadre de</w:t>
      </w:r>
      <w:r w:rsidR="00F34644" w:rsidRPr="009C2953">
        <w:t xml:space="preserve"> la </w:t>
      </w:r>
      <w:r w:rsidR="00607B78" w:rsidRPr="009C2953">
        <w:t>réunion de dialogue en présentiel avec</w:t>
      </w:r>
      <w:r w:rsidR="00F34644" w:rsidRPr="009C2953">
        <w:t xml:space="preserve"> les </w:t>
      </w:r>
      <w:r w:rsidR="00607B78" w:rsidRPr="009C2953">
        <w:t>correspondant(e)s nationaux(ales) (voir l</w:t>
      </w:r>
      <w:r w:rsidR="00EA2966" w:rsidRPr="009C2953">
        <w:t>’</w:t>
      </w:r>
      <w:r w:rsidR="00607B78" w:rsidRPr="009C2953">
        <w:t>annexe III)) ;</w:t>
      </w:r>
    </w:p>
    <w:p w14:paraId="03FC2700" w14:textId="1626BBA5" w:rsidR="00607B78" w:rsidRPr="009C2953" w:rsidRDefault="00F064B3" w:rsidP="00F064B3">
      <w:pPr>
        <w:pStyle w:val="NormalNonumber"/>
      </w:pPr>
      <w:r w:rsidRPr="009C2953">
        <w:tab/>
        <w:t>c)</w:t>
      </w:r>
      <w:r w:rsidRPr="009C2953">
        <w:tab/>
      </w:r>
      <w:r w:rsidR="00607B78" w:rsidRPr="009C2953">
        <w:t>La rédaction d</w:t>
      </w:r>
      <w:r w:rsidR="00EA2966" w:rsidRPr="009C2953">
        <w:t>’</w:t>
      </w:r>
      <w:r w:rsidR="00607B78" w:rsidRPr="009C2953">
        <w:t>une note de cadrage sur</w:t>
      </w:r>
      <w:r w:rsidR="00F34644" w:rsidRPr="009C2953">
        <w:t xml:space="preserve"> le </w:t>
      </w:r>
      <w:r w:rsidR="00607B78" w:rsidRPr="009C2953">
        <w:t>rôle futur de</w:t>
      </w:r>
      <w:r w:rsidR="00F34644" w:rsidRPr="009C2953">
        <w:t xml:space="preserve"> la </w:t>
      </w:r>
      <w:r w:rsidR="00607B78" w:rsidRPr="009C2953">
        <w:t>fonction d</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et sur</w:t>
      </w:r>
      <w:r w:rsidR="00F34644" w:rsidRPr="009C2953">
        <w:t xml:space="preserve"> les </w:t>
      </w:r>
      <w:r w:rsidR="00607B78" w:rsidRPr="009C2953">
        <w:t>moyens de renforcer</w:t>
      </w:r>
      <w:r w:rsidR="00F34644" w:rsidRPr="009C2953">
        <w:t xml:space="preserve"> la </w:t>
      </w:r>
      <w:r w:rsidR="00607B78" w:rsidRPr="009C2953">
        <w:t>réalisation de l</w:t>
      </w:r>
      <w:r w:rsidR="00EA2966" w:rsidRPr="009C2953">
        <w:t>’</w:t>
      </w:r>
      <w:r w:rsidR="00607B78" w:rsidRPr="009C2953">
        <w:t>objectif 4 a), à</w:t>
      </w:r>
      <w:r w:rsidR="00F34644" w:rsidRPr="009C2953">
        <w:t xml:space="preserve"> la </w:t>
      </w:r>
      <w:r w:rsidR="00607B78" w:rsidRPr="009C2953">
        <w:t>lumière</w:t>
      </w:r>
      <w:r w:rsidR="00D24DC1" w:rsidRPr="009C2953">
        <w:t xml:space="preserve"> des </w:t>
      </w:r>
      <w:r w:rsidR="00607B78" w:rsidRPr="009C2953">
        <w:t>contributions reçues, pour examen externe par</w:t>
      </w:r>
      <w:r w:rsidR="00F34644" w:rsidRPr="009C2953">
        <w:t xml:space="preserve"> les </w:t>
      </w:r>
      <w:r w:rsidR="00607B78" w:rsidRPr="009C2953">
        <w:t>membres de l</w:t>
      </w:r>
      <w:r w:rsidR="00EA2966" w:rsidRPr="009C2953">
        <w:t>’</w:t>
      </w:r>
      <w:r w:rsidR="00607B78" w:rsidRPr="009C2953">
        <w:t>IPBES,</w:t>
      </w:r>
      <w:r w:rsidR="00F34644" w:rsidRPr="009C2953">
        <w:t xml:space="preserve"> les </w:t>
      </w:r>
      <w:r w:rsidR="00607B78" w:rsidRPr="009C2953">
        <w:t>expert(e)s et</w:t>
      </w:r>
      <w:r w:rsidR="00F34644" w:rsidRPr="009C2953">
        <w:t xml:space="preserve"> les </w:t>
      </w:r>
      <w:r w:rsidR="00607B78" w:rsidRPr="009C2953">
        <w:t>parties prenantes concernées ;</w:t>
      </w:r>
    </w:p>
    <w:p w14:paraId="7B70D867" w14:textId="081CE973" w:rsidR="00607B78" w:rsidRPr="009C2953" w:rsidRDefault="00F064B3" w:rsidP="00F064B3">
      <w:pPr>
        <w:pStyle w:val="NormalNonumber"/>
      </w:pPr>
      <w:r w:rsidRPr="009C2953">
        <w:tab/>
        <w:t>d)</w:t>
      </w:r>
      <w:r w:rsidRPr="009C2953">
        <w:tab/>
      </w:r>
      <w:r w:rsidR="00607B78" w:rsidRPr="009C2953">
        <w:t>La présentation de différents moyens de renforcer</w:t>
      </w:r>
      <w:r w:rsidR="00F34644" w:rsidRPr="009C2953">
        <w:t xml:space="preserve"> la </w:t>
      </w:r>
      <w:r w:rsidR="00607B78" w:rsidRPr="009C2953">
        <w:t>réalisation de l</w:t>
      </w:r>
      <w:r w:rsidR="00EA2966" w:rsidRPr="009C2953">
        <w:t>’</w:t>
      </w:r>
      <w:r w:rsidR="00607B78" w:rsidRPr="009C2953">
        <w:t>objectif 4 a) et</w:t>
      </w:r>
      <w:r w:rsidR="00580C84" w:rsidRPr="009C2953">
        <w:t> </w:t>
      </w:r>
      <w:r w:rsidR="00607B78" w:rsidRPr="009C2953">
        <w:t>d</w:t>
      </w:r>
      <w:r w:rsidR="00EA2966" w:rsidRPr="009C2953">
        <w:t>’</w:t>
      </w:r>
      <w:r w:rsidR="00607B78" w:rsidRPr="009C2953">
        <w:t>options pour</w:t>
      </w:r>
      <w:r w:rsidR="00F34644" w:rsidRPr="009C2953">
        <w:t xml:space="preserve"> les </w:t>
      </w:r>
      <w:r w:rsidR="00607B78" w:rsidRPr="009C2953">
        <w:t>futures dispositions institutionnelles qui, au minimum, incluent</w:t>
      </w:r>
      <w:r w:rsidR="00F34644" w:rsidRPr="009C2953">
        <w:t xml:space="preserve"> un </w:t>
      </w:r>
      <w:r w:rsidR="00607B78" w:rsidRPr="009C2953">
        <w:t>projet de</w:t>
      </w:r>
      <w:r w:rsidR="00580C84" w:rsidRPr="009C2953">
        <w:t> </w:t>
      </w:r>
      <w:r w:rsidR="00607B78" w:rsidRPr="009C2953">
        <w:t>mandat pour</w:t>
      </w:r>
      <w:r w:rsidR="00F34644" w:rsidRPr="009C2953">
        <w:t xml:space="preserve"> une </w:t>
      </w:r>
      <w:r w:rsidR="00607B78" w:rsidRPr="009C2953">
        <w:t>équipe spéciale sur</w:t>
      </w:r>
      <w:r w:rsidR="00F34644" w:rsidRPr="009C2953">
        <w:t xml:space="preserve"> les </w:t>
      </w:r>
      <w:r w:rsidR="00607B78" w:rsidRPr="009C2953">
        <w:t>outils d</w:t>
      </w:r>
      <w:r w:rsidR="00EA2966" w:rsidRPr="009C2953">
        <w:t>’</w:t>
      </w:r>
      <w:r w:rsidR="00607B78" w:rsidRPr="009C2953">
        <w:t>élaboration</w:t>
      </w:r>
      <w:r w:rsidR="00D24DC1" w:rsidRPr="009C2953">
        <w:t xml:space="preserve"> des </w:t>
      </w:r>
      <w:r w:rsidR="00607B78" w:rsidRPr="009C2953">
        <w:t>politiques et l</w:t>
      </w:r>
      <w:r w:rsidR="00EA2966" w:rsidRPr="009C2953">
        <w:t>’</w:t>
      </w:r>
      <w:r w:rsidR="00607B78" w:rsidRPr="009C2953">
        <w:t>appui à l</w:t>
      </w:r>
      <w:r w:rsidR="00EA2966" w:rsidRPr="009C2953">
        <w:t>’</w:t>
      </w:r>
      <w:r w:rsidR="00607B78" w:rsidRPr="009C2953">
        <w:t>élaboration</w:t>
      </w:r>
      <w:r w:rsidR="00D24DC1" w:rsidRPr="009C2953">
        <w:t xml:space="preserve"> des </w:t>
      </w:r>
      <w:r w:rsidR="00607B78" w:rsidRPr="009C2953">
        <w:t>politiques, pour examen et adoption par</w:t>
      </w:r>
      <w:r w:rsidR="00F34644" w:rsidRPr="009C2953">
        <w:t xml:space="preserve"> la </w:t>
      </w:r>
      <w:r w:rsidR="00607B78" w:rsidRPr="009C2953">
        <w:t>Plénière à</w:t>
      </w:r>
      <w:r w:rsidR="00F34644" w:rsidRPr="009C2953">
        <w:t xml:space="preserve"> sa </w:t>
      </w:r>
      <w:r w:rsidR="00607B78" w:rsidRPr="009C2953">
        <w:t>onzième session.</w:t>
      </w:r>
    </w:p>
    <w:p w14:paraId="332AEA78" w14:textId="69B368FB" w:rsidR="00607B78" w:rsidRPr="009C2953" w:rsidRDefault="00F064B3" w:rsidP="00F064B3">
      <w:pPr>
        <w:pStyle w:val="NormalNonumber"/>
      </w:pPr>
      <w:r w:rsidRPr="009C2953">
        <w:t>3.</w:t>
      </w:r>
      <w:r w:rsidRPr="009C2953">
        <w:tab/>
      </w:r>
      <w:r w:rsidR="00607B78" w:rsidRPr="009C2953">
        <w:t>Les activités visant à accroître l</w:t>
      </w:r>
      <w:r w:rsidR="00EA2966" w:rsidRPr="009C2953">
        <w:t>’</w:t>
      </w:r>
      <w:r w:rsidR="00607B78" w:rsidRPr="009C2953">
        <w:t>utilité</w:t>
      </w:r>
      <w:r w:rsidR="00D24DC1" w:rsidRPr="009C2953">
        <w:t xml:space="preserve"> des </w:t>
      </w:r>
      <w:r w:rsidR="00607B78" w:rsidRPr="009C2953">
        <w:t>évaluations de</w:t>
      </w:r>
      <w:r w:rsidR="00F34644" w:rsidRPr="009C2953">
        <w:t xml:space="preserve"> la </w:t>
      </w:r>
      <w:r w:rsidR="00607B78" w:rsidRPr="009C2953">
        <w:t>Plateforme pour l</w:t>
      </w:r>
      <w:r w:rsidR="00EA2966" w:rsidRPr="009C2953">
        <w:t>’</w:t>
      </w:r>
      <w:r w:rsidR="00607B78" w:rsidRPr="009C2953">
        <w:t>élaboration</w:t>
      </w:r>
      <w:r w:rsidR="00D24DC1" w:rsidRPr="009C2953">
        <w:t xml:space="preserve"> des </w:t>
      </w:r>
      <w:r w:rsidR="00607B78" w:rsidRPr="009C2953">
        <w:t xml:space="preserve">politiques comprendront : </w:t>
      </w:r>
    </w:p>
    <w:p w14:paraId="1071CB99" w14:textId="4122798B" w:rsidR="00607B78" w:rsidRPr="009C2953" w:rsidRDefault="00F064B3" w:rsidP="00F064B3">
      <w:pPr>
        <w:pStyle w:val="NormalNonumber"/>
      </w:pPr>
      <w:r w:rsidRPr="009C2953">
        <w:tab/>
        <w:t>a)</w:t>
      </w:r>
      <w:r w:rsidRPr="009C2953">
        <w:tab/>
      </w:r>
      <w:r w:rsidR="00607B78" w:rsidRPr="009C2953">
        <w:t>La fourniture d</w:t>
      </w:r>
      <w:r w:rsidR="00EA2966" w:rsidRPr="009C2953">
        <w:t>’</w:t>
      </w:r>
      <w:r w:rsidR="00607B78" w:rsidRPr="009C2953">
        <w:t>un appui</w:t>
      </w:r>
      <w:r w:rsidR="00F34644" w:rsidRPr="009C2953">
        <w:t xml:space="preserve"> aux </w:t>
      </w:r>
      <w:r w:rsidR="00607B78" w:rsidRPr="009C2953">
        <w:t>expert(e)s chargé(e)s de l</w:t>
      </w:r>
      <w:r w:rsidR="00EA2966" w:rsidRPr="009C2953">
        <w:t>’</w:t>
      </w:r>
      <w:r w:rsidR="00607B78" w:rsidRPr="009C2953">
        <w:t>évaluation afin d</w:t>
      </w:r>
      <w:r w:rsidR="00EA2966" w:rsidRPr="009C2953">
        <w:t>’</w:t>
      </w:r>
      <w:r w:rsidR="00607B78" w:rsidRPr="009C2953">
        <w:t>accroître</w:t>
      </w:r>
      <w:r w:rsidR="00F34644" w:rsidRPr="009C2953">
        <w:t xml:space="preserve"> la </w:t>
      </w:r>
      <w:r w:rsidR="00607B78" w:rsidRPr="009C2953">
        <w:t>pertinence</w:t>
      </w:r>
      <w:r w:rsidR="00D24DC1" w:rsidRPr="009C2953">
        <w:t xml:space="preserve"> des </w:t>
      </w:r>
      <w:r w:rsidR="00607B78" w:rsidRPr="009C2953">
        <w:t>évaluations de</w:t>
      </w:r>
      <w:r w:rsidR="00F34644" w:rsidRPr="009C2953">
        <w:t xml:space="preserve"> la </w:t>
      </w:r>
      <w:r w:rsidR="00607B78" w:rsidRPr="009C2953">
        <w:t>Plateforme pour l</w:t>
      </w:r>
      <w:r w:rsidR="00EA2966" w:rsidRPr="009C2953">
        <w:t>’</w:t>
      </w:r>
      <w:r w:rsidR="00607B78" w:rsidRPr="009C2953">
        <w:t>élaboration</w:t>
      </w:r>
      <w:r w:rsidR="00D24DC1" w:rsidRPr="009C2953">
        <w:t xml:space="preserve"> des </w:t>
      </w:r>
      <w:r w:rsidR="00607B78" w:rsidRPr="009C2953">
        <w:t>politiques ;</w:t>
      </w:r>
    </w:p>
    <w:p w14:paraId="789C636D" w14:textId="1AF60E1A" w:rsidR="00607B78" w:rsidRPr="009C2953" w:rsidRDefault="00F064B3" w:rsidP="00F064B3">
      <w:pPr>
        <w:pStyle w:val="NormalNonumber"/>
      </w:pPr>
      <w:r w:rsidRPr="009C2953">
        <w:tab/>
        <w:t>b)</w:t>
      </w:r>
      <w:r w:rsidRPr="009C2953">
        <w:tab/>
      </w:r>
      <w:r w:rsidR="00607B78" w:rsidRPr="009C2953">
        <w:t>L</w:t>
      </w:r>
      <w:r w:rsidR="00EA2966" w:rsidRPr="009C2953">
        <w:t>’</w:t>
      </w:r>
      <w:r w:rsidR="00607B78" w:rsidRPr="009C2953">
        <w:t>organisation d</w:t>
      </w:r>
      <w:r w:rsidR="00EA2966" w:rsidRPr="009C2953">
        <w:t>’</w:t>
      </w:r>
      <w:r w:rsidR="00607B78" w:rsidRPr="009C2953">
        <w:t>un atelier de dialogue en ligne avec</w:t>
      </w:r>
      <w:r w:rsidR="00F34644" w:rsidRPr="009C2953">
        <w:t xml:space="preserve"> </w:t>
      </w:r>
      <w:proofErr w:type="gramStart"/>
      <w:r w:rsidR="00F34644" w:rsidRPr="009C2953">
        <w:t>les </w:t>
      </w:r>
      <w:r w:rsidR="00607B78" w:rsidRPr="009C2953">
        <w:t>praticien</w:t>
      </w:r>
      <w:proofErr w:type="gramEnd"/>
      <w:r w:rsidR="00607B78" w:rsidRPr="009C2953">
        <w:t>(ne)s visant à faciliter</w:t>
      </w:r>
      <w:r w:rsidR="00F34644" w:rsidRPr="009C2953">
        <w:t xml:space="preserve"> leur </w:t>
      </w:r>
      <w:r w:rsidR="00607B78" w:rsidRPr="009C2953">
        <w:t>contribution au cadrage de toute nouvelle évaluation (dans</w:t>
      </w:r>
      <w:r w:rsidR="00F34644" w:rsidRPr="009C2953">
        <w:t xml:space="preserve"> le </w:t>
      </w:r>
      <w:r w:rsidR="00607B78" w:rsidRPr="009C2953">
        <w:t>cadre</w:t>
      </w:r>
      <w:r w:rsidR="00D24DC1" w:rsidRPr="009C2953">
        <w:t xml:space="preserve"> des </w:t>
      </w:r>
      <w:r w:rsidR="00607B78" w:rsidRPr="009C2953">
        <w:t>ateliers de dialogue visés à l</w:t>
      </w:r>
      <w:r w:rsidR="00EA2966" w:rsidRPr="009C2953">
        <w:t>’</w:t>
      </w:r>
      <w:r w:rsidR="00607B78" w:rsidRPr="009C2953">
        <w:t>annexe III ; premier trimestre 2024) ;</w:t>
      </w:r>
    </w:p>
    <w:p w14:paraId="229F4B4E" w14:textId="5269B9B9" w:rsidR="00607B78" w:rsidRPr="009C2953" w:rsidRDefault="00F064B3" w:rsidP="00F064B3">
      <w:pPr>
        <w:pStyle w:val="NormalNonumber"/>
      </w:pPr>
      <w:r w:rsidRPr="009C2953">
        <w:tab/>
        <w:t>c)</w:t>
      </w:r>
      <w:r w:rsidRPr="009C2953">
        <w:tab/>
      </w:r>
      <w:r w:rsidR="00607B78" w:rsidRPr="009C2953">
        <w:t>Des dialogues en ligne avec</w:t>
      </w:r>
      <w:r w:rsidR="00F34644" w:rsidRPr="009C2953">
        <w:t xml:space="preserve"> </w:t>
      </w:r>
      <w:proofErr w:type="gramStart"/>
      <w:r w:rsidR="00F34644" w:rsidRPr="009C2953">
        <w:t>les </w:t>
      </w:r>
      <w:r w:rsidR="00607B78" w:rsidRPr="009C2953">
        <w:t>correspondant</w:t>
      </w:r>
      <w:proofErr w:type="gramEnd"/>
      <w:r w:rsidR="00607B78" w:rsidRPr="009C2953">
        <w:t>(e)s nationaux(ales) et</w:t>
      </w:r>
      <w:r w:rsidR="00F34644" w:rsidRPr="009C2953">
        <w:t xml:space="preserve"> les </w:t>
      </w:r>
      <w:r w:rsidR="00607B78" w:rsidRPr="009C2953">
        <w:t>parties prenantes dans</w:t>
      </w:r>
      <w:r w:rsidR="00F34644" w:rsidRPr="009C2953">
        <w:t xml:space="preserve"> le </w:t>
      </w:r>
      <w:r w:rsidR="00607B78" w:rsidRPr="009C2953">
        <w:t>but d</w:t>
      </w:r>
      <w:r w:rsidR="00EA2966" w:rsidRPr="009C2953">
        <w:t>’</w:t>
      </w:r>
      <w:r w:rsidR="00607B78" w:rsidRPr="009C2953">
        <w:t>accroître</w:t>
      </w:r>
      <w:r w:rsidR="00F34644" w:rsidRPr="009C2953">
        <w:t xml:space="preserve"> la </w:t>
      </w:r>
      <w:r w:rsidR="00607B78" w:rsidRPr="009C2953">
        <w:t>pertinence, pour l</w:t>
      </w:r>
      <w:r w:rsidR="00EA2966" w:rsidRPr="009C2953">
        <w:t>’</w:t>
      </w:r>
      <w:r w:rsidR="00607B78" w:rsidRPr="009C2953">
        <w:t>élaboration des politiques,</w:t>
      </w:r>
      <w:r w:rsidR="00D24DC1" w:rsidRPr="009C2953">
        <w:t xml:space="preserve"> des </w:t>
      </w:r>
      <w:r w:rsidR="00607B78" w:rsidRPr="009C2953">
        <w:t>évaluations dans</w:t>
      </w:r>
      <w:r w:rsidR="00F34644" w:rsidRPr="009C2953">
        <w:t xml:space="preserve"> le </w:t>
      </w:r>
      <w:r w:rsidR="00607B78" w:rsidRPr="009C2953">
        <w:t>contexte du deuxième examen externe</w:t>
      </w:r>
      <w:r w:rsidR="00D24DC1" w:rsidRPr="009C2953">
        <w:t xml:space="preserve"> des </w:t>
      </w:r>
      <w:r w:rsidR="00607B78" w:rsidRPr="009C2953">
        <w:t>évaluations</w:t>
      </w:r>
      <w:r w:rsidR="00D24DC1" w:rsidRPr="009C2953">
        <w:t xml:space="preserve"> des </w:t>
      </w:r>
      <w:r w:rsidR="00607B78" w:rsidRPr="009C2953">
        <w:t>interdépendances et du changement transformateur et de l</w:t>
      </w:r>
      <w:r w:rsidR="00EA2966" w:rsidRPr="009C2953">
        <w:t>’</w:t>
      </w:r>
      <w:r w:rsidR="00607B78" w:rsidRPr="009C2953">
        <w:t>examen externe de l</w:t>
      </w:r>
      <w:r w:rsidR="00EA2966" w:rsidRPr="009C2953">
        <w:t>’</w:t>
      </w:r>
      <w:r w:rsidR="00607B78" w:rsidRPr="009C2953">
        <w:t>évaluation</w:t>
      </w:r>
      <w:r w:rsidR="00D24DC1" w:rsidRPr="009C2953">
        <w:t xml:space="preserve"> des </w:t>
      </w:r>
      <w:r w:rsidR="00607B78" w:rsidRPr="009C2953">
        <w:t>entreprises et de</w:t>
      </w:r>
      <w:r w:rsidR="00F34644" w:rsidRPr="009C2953">
        <w:t xml:space="preserve"> la </w:t>
      </w:r>
      <w:r w:rsidR="00607B78" w:rsidRPr="009C2953">
        <w:t>biodiversité (dans</w:t>
      </w:r>
      <w:r w:rsidR="00F34644" w:rsidRPr="009C2953">
        <w:t xml:space="preserve"> le </w:t>
      </w:r>
      <w:r w:rsidR="00607B78" w:rsidRPr="009C2953">
        <w:t>cadre</w:t>
      </w:r>
      <w:r w:rsidR="00D24DC1" w:rsidRPr="009C2953">
        <w:t xml:space="preserve"> des </w:t>
      </w:r>
      <w:r w:rsidR="00607B78" w:rsidRPr="009C2953">
        <w:t>dialogues mentionnés à l</w:t>
      </w:r>
      <w:r w:rsidR="00EA2966" w:rsidRPr="009C2953">
        <w:t>’</w:t>
      </w:r>
      <w:r w:rsidR="00607B78" w:rsidRPr="009C2953">
        <w:t>annexe III) ;</w:t>
      </w:r>
    </w:p>
    <w:p w14:paraId="5418A8CE" w14:textId="1D41EC42" w:rsidR="00607B78" w:rsidRPr="009C2953" w:rsidRDefault="00F064B3" w:rsidP="00F064B3">
      <w:pPr>
        <w:pStyle w:val="NormalNonumber"/>
        <w:rPr>
          <w:color w:val="000000"/>
          <w:shd w:val="clear" w:color="auto" w:fill="D9D9D9"/>
        </w:rPr>
      </w:pPr>
      <w:r w:rsidRPr="009C2953">
        <w:tab/>
        <w:t>d)</w:t>
      </w:r>
      <w:r w:rsidRPr="009C2953">
        <w:tab/>
      </w:r>
      <w:r w:rsidR="00607B78" w:rsidRPr="009C2953">
        <w:t>La promotion de</w:t>
      </w:r>
      <w:r w:rsidR="00F34644" w:rsidRPr="009C2953">
        <w:t xml:space="preserve"> la </w:t>
      </w:r>
      <w:r w:rsidR="00607B78" w:rsidRPr="009C2953">
        <w:t>participation</w:t>
      </w:r>
      <w:r w:rsidR="00D24DC1" w:rsidRPr="009C2953">
        <w:t xml:space="preserve"> des </w:t>
      </w:r>
      <w:r w:rsidR="00607B78" w:rsidRPr="009C2953">
        <w:t>praticien(ne)s de l</w:t>
      </w:r>
      <w:r w:rsidR="00EA2966" w:rsidRPr="009C2953">
        <w:t>’</w:t>
      </w:r>
      <w:r w:rsidR="00607B78" w:rsidRPr="009C2953">
        <w:t>élaboration</w:t>
      </w:r>
      <w:r w:rsidR="00D24DC1" w:rsidRPr="009C2953">
        <w:t xml:space="preserve"> des </w:t>
      </w:r>
      <w:r w:rsidR="00607B78" w:rsidRPr="009C2953">
        <w:t>politiques</w:t>
      </w:r>
      <w:r w:rsidR="00F34644" w:rsidRPr="009C2953">
        <w:t xml:space="preserve"> aux </w:t>
      </w:r>
      <w:r w:rsidR="00607B78" w:rsidRPr="009C2953">
        <w:t>évaluations de l</w:t>
      </w:r>
      <w:r w:rsidR="00EA2966" w:rsidRPr="009C2953">
        <w:t>’</w:t>
      </w:r>
      <w:r w:rsidR="00607B78" w:rsidRPr="009C2953">
        <w:t>IPBES grâce</w:t>
      </w:r>
      <w:r w:rsidR="00F34644" w:rsidRPr="009C2953">
        <w:t xml:space="preserve"> aux </w:t>
      </w:r>
      <w:r w:rsidR="00607B78" w:rsidRPr="009C2953">
        <w:t>ateliers de dialogue avec</w:t>
      </w:r>
      <w:r w:rsidR="00F34644" w:rsidRPr="009C2953">
        <w:t xml:space="preserve"> les </w:t>
      </w:r>
      <w:r w:rsidR="00607B78" w:rsidRPr="009C2953">
        <w:t>parties prenantes organisés pour</w:t>
      </w:r>
      <w:r w:rsidR="00F34644" w:rsidRPr="009C2953">
        <w:t xml:space="preserve"> les </w:t>
      </w:r>
      <w:r w:rsidR="00607B78" w:rsidRPr="009C2953">
        <w:t>évaluations en cours (voir l</w:t>
      </w:r>
      <w:r w:rsidR="00EA2966" w:rsidRPr="009C2953">
        <w:t>’</w:t>
      </w:r>
      <w:r w:rsidR="00607B78" w:rsidRPr="009C2953">
        <w:t>annexe III).</w:t>
      </w:r>
    </w:p>
    <w:p w14:paraId="5110CCE3" w14:textId="3210B8B0" w:rsidR="00607B78" w:rsidRPr="009C2953" w:rsidRDefault="00D73CB1" w:rsidP="00D73CB1">
      <w:pPr>
        <w:pStyle w:val="NormalNonumber"/>
      </w:pPr>
      <w:r w:rsidRPr="009C2953">
        <w:t>4.</w:t>
      </w:r>
      <w:r w:rsidRPr="009C2953">
        <w:tab/>
      </w:r>
      <w:r w:rsidR="00607B78" w:rsidRPr="009C2953">
        <w:t>Les activités visant à promouvoir et à appuyer l</w:t>
      </w:r>
      <w:r w:rsidR="00EA2966" w:rsidRPr="009C2953">
        <w:t>’</w:t>
      </w:r>
      <w:r w:rsidR="00607B78" w:rsidRPr="009C2953">
        <w:t>utilisation</w:t>
      </w:r>
      <w:r w:rsidR="00D24DC1" w:rsidRPr="009C2953">
        <w:t xml:space="preserve"> des </w:t>
      </w:r>
      <w:r w:rsidR="00607B78" w:rsidRPr="009C2953">
        <w:t>produits de l</w:t>
      </w:r>
      <w:r w:rsidR="00EA2966" w:rsidRPr="009C2953">
        <w:t>’</w:t>
      </w:r>
      <w:r w:rsidR="00607B78" w:rsidRPr="009C2953">
        <w:t>IPBES dans</w:t>
      </w:r>
      <w:r w:rsidR="00F34644" w:rsidRPr="009C2953">
        <w:t xml:space="preserve"> la </w:t>
      </w:r>
      <w:r w:rsidR="00607B78" w:rsidRPr="009C2953">
        <w:t>prise de décisions comprendront :</w:t>
      </w:r>
    </w:p>
    <w:p w14:paraId="0C910971" w14:textId="0111DC6E" w:rsidR="00607B78" w:rsidRPr="009C2953" w:rsidRDefault="00D73CB1" w:rsidP="00D73CB1">
      <w:pPr>
        <w:pStyle w:val="NormalNonumber"/>
      </w:pPr>
      <w:r w:rsidRPr="009C2953">
        <w:tab/>
        <w:t>a)</w:t>
      </w:r>
      <w:r w:rsidRPr="009C2953">
        <w:tab/>
      </w:r>
      <w:r w:rsidR="00607B78" w:rsidRPr="009C2953">
        <w:t>L</w:t>
      </w:r>
      <w:r w:rsidR="00EA2966" w:rsidRPr="009C2953">
        <w:t>’</w:t>
      </w:r>
      <w:r w:rsidR="00607B78" w:rsidRPr="009C2953">
        <w:t>établissement de</w:t>
      </w:r>
      <w:r w:rsidR="00F34644" w:rsidRPr="009C2953">
        <w:t xml:space="preserve"> la </w:t>
      </w:r>
      <w:r w:rsidR="00607B78" w:rsidRPr="009C2953">
        <w:t>version définitive</w:t>
      </w:r>
      <w:r w:rsidR="00D24DC1" w:rsidRPr="009C2953">
        <w:t xml:space="preserve"> des </w:t>
      </w:r>
      <w:r w:rsidR="00607B78" w:rsidRPr="009C2953">
        <w:t>fiches d</w:t>
      </w:r>
      <w:r w:rsidR="00EA2966" w:rsidRPr="009C2953">
        <w:t>’</w:t>
      </w:r>
      <w:r w:rsidR="00607B78" w:rsidRPr="009C2953">
        <w:t>information sur l</w:t>
      </w:r>
      <w:r w:rsidR="00EA2966" w:rsidRPr="009C2953">
        <w:t>’</w:t>
      </w:r>
      <w:r w:rsidR="00607B78" w:rsidRPr="009C2953">
        <w:t>évaluation</w:t>
      </w:r>
      <w:r w:rsidR="00D24DC1" w:rsidRPr="009C2953">
        <w:t xml:space="preserve"> des </w:t>
      </w:r>
      <w:r w:rsidR="00607B78" w:rsidRPr="009C2953">
        <w:t>espèces exotiques envahissantes et de</w:t>
      </w:r>
      <w:r w:rsidR="00F34644" w:rsidRPr="009C2953">
        <w:t xml:space="preserve"> la </w:t>
      </w:r>
      <w:r w:rsidR="00607B78" w:rsidRPr="009C2953">
        <w:t>lutte contre</w:t>
      </w:r>
      <w:r w:rsidR="00F34644" w:rsidRPr="009C2953">
        <w:t xml:space="preserve"> leur </w:t>
      </w:r>
      <w:r w:rsidR="00607B78" w:rsidRPr="009C2953">
        <w:t>prolifération,</w:t>
      </w:r>
      <w:r w:rsidR="00F34644" w:rsidRPr="009C2953">
        <w:t xml:space="preserve"> y </w:t>
      </w:r>
      <w:r w:rsidR="00607B78" w:rsidRPr="009C2953">
        <w:t>compris</w:t>
      </w:r>
      <w:r w:rsidR="00F34644" w:rsidRPr="009C2953">
        <w:t xml:space="preserve"> les </w:t>
      </w:r>
      <w:r w:rsidR="00607B78" w:rsidRPr="009C2953">
        <w:t>données sur</w:t>
      </w:r>
      <w:r w:rsidR="00F34644" w:rsidRPr="009C2953">
        <w:t xml:space="preserve"> les </w:t>
      </w:r>
      <w:r w:rsidR="00607B78" w:rsidRPr="009C2953">
        <w:t>tendances et</w:t>
      </w:r>
      <w:r w:rsidR="00F34644" w:rsidRPr="009C2953">
        <w:t xml:space="preserve"> les </w:t>
      </w:r>
      <w:r w:rsidR="00607B78" w:rsidRPr="009C2953">
        <w:t>impacts ;</w:t>
      </w:r>
      <w:r w:rsidR="00F34644" w:rsidRPr="009C2953">
        <w:t xml:space="preserve"> le </w:t>
      </w:r>
      <w:r w:rsidR="00607B78" w:rsidRPr="009C2953">
        <w:t>rôle</w:t>
      </w:r>
      <w:r w:rsidR="00D24DC1" w:rsidRPr="009C2953">
        <w:t xml:space="preserve"> des </w:t>
      </w:r>
      <w:r w:rsidR="00607B78" w:rsidRPr="009C2953">
        <w:t>entreprises dans</w:t>
      </w:r>
      <w:r w:rsidR="00F34644" w:rsidRPr="009C2953">
        <w:t xml:space="preserve"> la </w:t>
      </w:r>
      <w:r w:rsidR="00607B78" w:rsidRPr="009C2953">
        <w:t>gestion et</w:t>
      </w:r>
      <w:r w:rsidR="00F34644" w:rsidRPr="009C2953">
        <w:t xml:space="preserve"> la </w:t>
      </w:r>
      <w:r w:rsidR="00607B78" w:rsidRPr="009C2953">
        <w:t>gouvernance ;</w:t>
      </w:r>
      <w:r w:rsidR="00F34644" w:rsidRPr="009C2953">
        <w:t xml:space="preserve"> les </w:t>
      </w:r>
      <w:r w:rsidR="00607B78" w:rsidRPr="009C2953">
        <w:t>invasions biologiques affectant</w:t>
      </w:r>
      <w:r w:rsidR="00F34644" w:rsidRPr="009C2953">
        <w:t xml:space="preserve"> les </w:t>
      </w:r>
      <w:r w:rsidR="00607B78" w:rsidRPr="009C2953">
        <w:t>zones protégées et</w:t>
      </w:r>
      <w:r w:rsidR="00F34644" w:rsidRPr="009C2953">
        <w:t xml:space="preserve"> la </w:t>
      </w:r>
      <w:r w:rsidR="00607B78" w:rsidRPr="009C2953">
        <w:t>plupart</w:t>
      </w:r>
      <w:r w:rsidR="00D24DC1" w:rsidRPr="009C2953">
        <w:t xml:space="preserve"> des </w:t>
      </w:r>
      <w:r w:rsidR="00607B78" w:rsidRPr="009C2953">
        <w:t>écosystèmes naturels ; (options en matière de gestion et d</w:t>
      </w:r>
      <w:r w:rsidR="00EA2966" w:rsidRPr="009C2953">
        <w:t>’</w:t>
      </w:r>
      <w:r w:rsidR="00607B78" w:rsidRPr="009C2953">
        <w:t>intervention et invasions biologiques touchant</w:t>
      </w:r>
      <w:r w:rsidR="00F34644" w:rsidRPr="009C2953">
        <w:t xml:space="preserve"> les </w:t>
      </w:r>
      <w:r w:rsidR="00607B78" w:rsidRPr="009C2953">
        <w:t>îles) ;</w:t>
      </w:r>
    </w:p>
    <w:p w14:paraId="3323F9E3" w14:textId="75F51468" w:rsidR="00607B78" w:rsidRPr="009C2953" w:rsidRDefault="00D73CB1" w:rsidP="00D73CB1">
      <w:pPr>
        <w:pStyle w:val="NormalNonumber"/>
      </w:pPr>
      <w:r w:rsidRPr="009C2953">
        <w:lastRenderedPageBreak/>
        <w:tab/>
        <w:t>b)</w:t>
      </w:r>
      <w:r w:rsidRPr="009C2953">
        <w:tab/>
      </w:r>
      <w:r w:rsidR="00607B78" w:rsidRPr="009C2953">
        <w:t>La préparation (coordonnée par</w:t>
      </w:r>
      <w:r w:rsidR="00F34644" w:rsidRPr="009C2953">
        <w:t xml:space="preserve"> le </w:t>
      </w:r>
      <w:r w:rsidR="00607B78" w:rsidRPr="009C2953">
        <w:t>secrétariat) de projets de fiches d</w:t>
      </w:r>
      <w:r w:rsidR="00EA2966" w:rsidRPr="009C2953">
        <w:t>’</w:t>
      </w:r>
      <w:r w:rsidR="00607B78" w:rsidRPr="009C2953">
        <w:t>information pour</w:t>
      </w:r>
      <w:r w:rsidRPr="009C2953">
        <w:t> </w:t>
      </w:r>
      <w:r w:rsidR="00F34644" w:rsidRPr="009C2953">
        <w:t>les </w:t>
      </w:r>
      <w:r w:rsidR="00607B78" w:rsidRPr="009C2953">
        <w:t>évaluations</w:t>
      </w:r>
      <w:r w:rsidR="00D24DC1" w:rsidRPr="009C2953">
        <w:t xml:space="preserve"> des </w:t>
      </w:r>
      <w:r w:rsidR="00607B78" w:rsidRPr="009C2953">
        <w:t>interdépendances et du changement transformateur destinées à</w:t>
      </w:r>
      <w:r w:rsidR="00D24DC1" w:rsidRPr="009C2953">
        <w:t xml:space="preserve"> des </w:t>
      </w:r>
      <w:r w:rsidR="00607B78" w:rsidRPr="009C2953">
        <w:t>secteurs particuliers ;</w:t>
      </w:r>
    </w:p>
    <w:p w14:paraId="06363809" w14:textId="0397993A" w:rsidR="00607B78" w:rsidRPr="009C2953" w:rsidRDefault="00D73CB1" w:rsidP="00D73CB1">
      <w:pPr>
        <w:pStyle w:val="NormalNonumber"/>
      </w:pPr>
      <w:r w:rsidRPr="009C2953">
        <w:tab/>
        <w:t>c)</w:t>
      </w:r>
      <w:r w:rsidRPr="009C2953">
        <w:tab/>
      </w:r>
      <w:r w:rsidR="00607B78" w:rsidRPr="009C2953">
        <w:t>L</w:t>
      </w:r>
      <w:r w:rsidR="00EA2966" w:rsidRPr="009C2953">
        <w:t>’</w:t>
      </w:r>
      <w:r w:rsidR="00607B78" w:rsidRPr="009C2953">
        <w:t>organisation d</w:t>
      </w:r>
      <w:r w:rsidR="00EA2966" w:rsidRPr="009C2953">
        <w:t>’</w:t>
      </w:r>
      <w:r w:rsidR="00607B78" w:rsidRPr="009C2953">
        <w:t>une réunion de dialogue en présentiel avec</w:t>
      </w:r>
      <w:r w:rsidR="00F34644" w:rsidRPr="009C2953">
        <w:t xml:space="preserve"> </w:t>
      </w:r>
      <w:proofErr w:type="gramStart"/>
      <w:r w:rsidR="00F34644" w:rsidRPr="009C2953">
        <w:t>les </w:t>
      </w:r>
      <w:r w:rsidR="00607B78" w:rsidRPr="009C2953">
        <w:t>correspondant</w:t>
      </w:r>
      <w:proofErr w:type="gramEnd"/>
      <w:r w:rsidR="00607B78" w:rsidRPr="009C2953">
        <w:t>(e)s nationaux(ales) visant à renforcer davantage</w:t>
      </w:r>
      <w:r w:rsidR="00F34644" w:rsidRPr="009C2953">
        <w:t xml:space="preserve"> la </w:t>
      </w:r>
      <w:r w:rsidR="00607B78" w:rsidRPr="009C2953">
        <w:t>capacité</w:t>
      </w:r>
      <w:r w:rsidR="00D24DC1" w:rsidRPr="009C2953">
        <w:t xml:space="preserve"> des </w:t>
      </w:r>
      <w:r w:rsidR="00607B78" w:rsidRPr="009C2953">
        <w:t>gouvernements à utiliser</w:t>
      </w:r>
      <w:r w:rsidR="00F34644" w:rsidRPr="009C2953">
        <w:t xml:space="preserve"> les </w:t>
      </w:r>
      <w:r w:rsidR="00607B78" w:rsidRPr="009C2953">
        <w:t>évaluations achevées et autres produits de l</w:t>
      </w:r>
      <w:r w:rsidR="00EA2966" w:rsidRPr="009C2953">
        <w:t>’</w:t>
      </w:r>
      <w:r w:rsidR="00607B78" w:rsidRPr="009C2953">
        <w:t>IPBES</w:t>
      </w:r>
      <w:r w:rsidR="00F34644" w:rsidRPr="009C2953">
        <w:t xml:space="preserve"> aux </w:t>
      </w:r>
      <w:r w:rsidR="00607B78" w:rsidRPr="009C2953">
        <w:t>fins de l</w:t>
      </w:r>
      <w:r w:rsidR="00EA2966" w:rsidRPr="009C2953">
        <w:t>’</w:t>
      </w:r>
      <w:r w:rsidR="00607B78" w:rsidRPr="009C2953">
        <w:t>élaboration</w:t>
      </w:r>
      <w:r w:rsidR="00D24DC1" w:rsidRPr="009C2953">
        <w:t xml:space="preserve"> des </w:t>
      </w:r>
      <w:r w:rsidR="00607B78" w:rsidRPr="009C2953">
        <w:t>politiques et de</w:t>
      </w:r>
      <w:r w:rsidR="00F34644" w:rsidRPr="009C2953">
        <w:t xml:space="preserve"> la </w:t>
      </w:r>
      <w:r w:rsidR="00607B78" w:rsidRPr="009C2953">
        <w:t>prise de décisions (dans</w:t>
      </w:r>
      <w:r w:rsidR="00F34644" w:rsidRPr="009C2953">
        <w:t xml:space="preserve"> le </w:t>
      </w:r>
      <w:r w:rsidR="00607B78" w:rsidRPr="009C2953">
        <w:t>cadre de l</w:t>
      </w:r>
      <w:r w:rsidR="00EA2966" w:rsidRPr="009C2953">
        <w:t>’</w:t>
      </w:r>
      <w:r w:rsidR="00607B78" w:rsidRPr="009C2953">
        <w:t>atelier mentionné à l</w:t>
      </w:r>
      <w:r w:rsidR="00EA2966" w:rsidRPr="009C2953">
        <w:t>’</w:t>
      </w:r>
      <w:r w:rsidR="00607B78" w:rsidRPr="009C2953">
        <w:t>annexe III) ;</w:t>
      </w:r>
    </w:p>
    <w:p w14:paraId="69105815" w14:textId="3BD368D1" w:rsidR="00607B78" w:rsidRPr="009C2953" w:rsidRDefault="00D73CB1" w:rsidP="00D73CB1">
      <w:pPr>
        <w:pStyle w:val="NormalNonumber"/>
      </w:pPr>
      <w:r w:rsidRPr="009C2953">
        <w:tab/>
        <w:t>d)</w:t>
      </w:r>
      <w:r w:rsidRPr="009C2953">
        <w:tab/>
      </w:r>
      <w:r w:rsidR="00607B78" w:rsidRPr="009C2953">
        <w:t>Le renforcement du rôle</w:t>
      </w:r>
      <w:r w:rsidR="00D24DC1" w:rsidRPr="009C2953">
        <w:t xml:space="preserve"> des </w:t>
      </w:r>
      <w:r w:rsidR="00607B78" w:rsidRPr="009C2953">
        <w:t>plateformes nationales et (sous-) régionales</w:t>
      </w:r>
      <w:r w:rsidR="003532A2" w:rsidRPr="009C2953">
        <w:t xml:space="preserve"> sur l</w:t>
      </w:r>
      <w:r w:rsidR="00EA2966" w:rsidRPr="009C2953">
        <w:t>’</w:t>
      </w:r>
      <w:r w:rsidR="003532A2" w:rsidRPr="009C2953">
        <w:t>interface science-politiques</w:t>
      </w:r>
      <w:r w:rsidR="00607B78" w:rsidRPr="009C2953">
        <w:t>,</w:t>
      </w:r>
      <w:r w:rsidR="00D24DC1" w:rsidRPr="009C2953">
        <w:t xml:space="preserve"> des </w:t>
      </w:r>
      <w:r w:rsidR="00607B78" w:rsidRPr="009C2953">
        <w:t>réseaux et</w:t>
      </w:r>
      <w:r w:rsidR="00D24DC1" w:rsidRPr="009C2953">
        <w:t xml:space="preserve"> des </w:t>
      </w:r>
      <w:r w:rsidR="00607B78" w:rsidRPr="009C2953">
        <w:t>évaluations liés à</w:t>
      </w:r>
      <w:r w:rsidR="00F34644" w:rsidRPr="009C2953">
        <w:t xml:space="preserve"> la </w:t>
      </w:r>
      <w:r w:rsidR="00607B78" w:rsidRPr="009C2953">
        <w:t>biodiversité et</w:t>
      </w:r>
      <w:r w:rsidR="00F34644" w:rsidRPr="009C2953">
        <w:t xml:space="preserve"> aux </w:t>
      </w:r>
      <w:r w:rsidR="00607B78" w:rsidRPr="009C2953">
        <w:t>services écosystémiques dans</w:t>
      </w:r>
      <w:r w:rsidR="00F34644" w:rsidRPr="009C2953">
        <w:t xml:space="preserve"> la </w:t>
      </w:r>
      <w:r w:rsidR="00607B78" w:rsidRPr="009C2953">
        <w:t>promotion de l</w:t>
      </w:r>
      <w:r w:rsidR="00EA2966" w:rsidRPr="009C2953">
        <w:t>’</w:t>
      </w:r>
      <w:r w:rsidR="00607B78" w:rsidRPr="009C2953">
        <w:t>utilisation</w:t>
      </w:r>
      <w:r w:rsidR="00D24DC1" w:rsidRPr="009C2953">
        <w:t xml:space="preserve"> des </w:t>
      </w:r>
      <w:r w:rsidR="00607B78" w:rsidRPr="009C2953">
        <w:t>produits de l</w:t>
      </w:r>
      <w:r w:rsidR="00EA2966" w:rsidRPr="009C2953">
        <w:t>’</w:t>
      </w:r>
      <w:r w:rsidR="00607B78" w:rsidRPr="009C2953">
        <w:t>IPBES</w:t>
      </w:r>
      <w:r w:rsidR="00F34644" w:rsidRPr="009C2953">
        <w:t xml:space="preserve"> aux </w:t>
      </w:r>
      <w:r w:rsidR="00607B78" w:rsidRPr="009C2953">
        <w:t>fins de l</w:t>
      </w:r>
      <w:r w:rsidR="00EA2966" w:rsidRPr="009C2953">
        <w:t>’</w:t>
      </w:r>
      <w:r w:rsidR="00607B78" w:rsidRPr="009C2953">
        <w:t>élaboration de</w:t>
      </w:r>
      <w:r w:rsidR="009A5593" w:rsidRPr="009C2953">
        <w:t> </w:t>
      </w:r>
      <w:r w:rsidR="00607B78" w:rsidRPr="009C2953">
        <w:t>politiques et de</w:t>
      </w:r>
      <w:r w:rsidR="00F34644" w:rsidRPr="009C2953">
        <w:t xml:space="preserve"> la </w:t>
      </w:r>
      <w:r w:rsidR="00607B78" w:rsidRPr="009C2953">
        <w:t>prise de décisions ainsi que de celle de l</w:t>
      </w:r>
      <w:r w:rsidR="00EA2966" w:rsidRPr="009C2953">
        <w:t>’</w:t>
      </w:r>
      <w:r w:rsidR="00607B78" w:rsidRPr="009C2953">
        <w:t>amélioration de</w:t>
      </w:r>
      <w:r w:rsidR="00F34644" w:rsidRPr="009C2953">
        <w:t xml:space="preserve"> leur </w:t>
      </w:r>
      <w:r w:rsidR="00607B78" w:rsidRPr="009C2953">
        <w:t>pertinence pour</w:t>
      </w:r>
      <w:r w:rsidR="00F34644" w:rsidRPr="009C2953">
        <w:t xml:space="preserve"> les </w:t>
      </w:r>
      <w:r w:rsidR="00607B78" w:rsidRPr="009C2953">
        <w:t>politiques (dans</w:t>
      </w:r>
      <w:r w:rsidR="00F34644" w:rsidRPr="009C2953">
        <w:t xml:space="preserve"> le </w:t>
      </w:r>
      <w:r w:rsidR="00607B78" w:rsidRPr="009C2953">
        <w:t>cadre de l</w:t>
      </w:r>
      <w:r w:rsidR="00EA2966" w:rsidRPr="009C2953">
        <w:t>’</w:t>
      </w:r>
      <w:r w:rsidR="00607B78" w:rsidRPr="009C2953">
        <w:t>atelier de dialogue en ligne mentionné à l</w:t>
      </w:r>
      <w:r w:rsidR="00EA2966" w:rsidRPr="009C2953">
        <w:t>’</w:t>
      </w:r>
      <w:r w:rsidR="00607B78" w:rsidRPr="009C2953">
        <w:t>annexe III) ;</w:t>
      </w:r>
    </w:p>
    <w:p w14:paraId="330FFAEA" w14:textId="64A0B975" w:rsidR="00607B78" w:rsidRPr="009C2953" w:rsidRDefault="00D73CB1" w:rsidP="00D73CB1">
      <w:pPr>
        <w:pStyle w:val="NormalNonumber"/>
      </w:pPr>
      <w:r w:rsidRPr="009C2953">
        <w:tab/>
        <w:t>e)</w:t>
      </w:r>
      <w:r w:rsidRPr="009C2953">
        <w:tab/>
      </w:r>
      <w:r w:rsidR="00607B78" w:rsidRPr="009C2953">
        <w:t>Des réunions régionales de dialogue en ligne avec</w:t>
      </w:r>
      <w:r w:rsidR="00F34644" w:rsidRPr="009C2953">
        <w:t xml:space="preserve"> les </w:t>
      </w:r>
      <w:r w:rsidR="00607B78" w:rsidRPr="009C2953">
        <w:t>acteurs de l</w:t>
      </w:r>
      <w:r w:rsidR="00EA2966" w:rsidRPr="009C2953">
        <w:t>’</w:t>
      </w:r>
      <w:r w:rsidR="00607B78" w:rsidRPr="009C2953">
        <w:t>interface science-politiques,</w:t>
      </w:r>
      <w:r w:rsidR="00F34644" w:rsidRPr="009C2953">
        <w:t xml:space="preserve"> y </w:t>
      </w:r>
      <w:r w:rsidR="00607B78" w:rsidRPr="009C2953">
        <w:t>compris</w:t>
      </w:r>
      <w:r w:rsidR="00F34644" w:rsidRPr="009C2953">
        <w:t xml:space="preserve"> les </w:t>
      </w:r>
      <w:r w:rsidR="00607B78" w:rsidRPr="009C2953">
        <w:t>correspondant(e)s nationaux(ales) de l</w:t>
      </w:r>
      <w:r w:rsidR="00EA2966" w:rsidRPr="009C2953">
        <w:t>’</w:t>
      </w:r>
      <w:r w:rsidR="00607B78" w:rsidRPr="009C2953">
        <w:t>IPBES et</w:t>
      </w:r>
      <w:r w:rsidR="00F34644" w:rsidRPr="009C2953">
        <w:t xml:space="preserve"> les </w:t>
      </w:r>
      <w:r w:rsidR="00607B78" w:rsidRPr="009C2953">
        <w:t>points focaux d</w:t>
      </w:r>
      <w:r w:rsidR="00EA2966" w:rsidRPr="009C2953">
        <w:t>’</w:t>
      </w:r>
      <w:r w:rsidR="00607B78" w:rsidRPr="009C2953">
        <w:t>autres accords multilatéraux sur l</w:t>
      </w:r>
      <w:r w:rsidR="00EA2966" w:rsidRPr="009C2953">
        <w:t>’</w:t>
      </w:r>
      <w:r w:rsidR="00607B78" w:rsidRPr="009C2953">
        <w:t>environnement liés à</w:t>
      </w:r>
      <w:r w:rsidR="00F34644" w:rsidRPr="009C2953">
        <w:t xml:space="preserve"> la </w:t>
      </w:r>
      <w:r w:rsidR="00607B78" w:rsidRPr="009C2953">
        <w:t>biodiversité, afin de promouvoir l</w:t>
      </w:r>
      <w:r w:rsidR="00EA2966" w:rsidRPr="009C2953">
        <w:t>’</w:t>
      </w:r>
      <w:r w:rsidR="00607B78" w:rsidRPr="009C2953">
        <w:t>utilisation</w:t>
      </w:r>
      <w:r w:rsidR="00D24DC1" w:rsidRPr="009C2953">
        <w:t xml:space="preserve"> des </w:t>
      </w:r>
      <w:r w:rsidR="00607B78" w:rsidRPr="009C2953">
        <w:t>rapports d</w:t>
      </w:r>
      <w:r w:rsidR="00EA2966" w:rsidRPr="009C2953">
        <w:t>’</w:t>
      </w:r>
      <w:r w:rsidR="00607B78" w:rsidRPr="009C2953">
        <w:t>évaluation achevés de l</w:t>
      </w:r>
      <w:r w:rsidR="00EA2966" w:rsidRPr="009C2953">
        <w:t>’</w:t>
      </w:r>
      <w:r w:rsidR="00607B78" w:rsidRPr="009C2953">
        <w:t>IPBES dans l</w:t>
      </w:r>
      <w:r w:rsidR="00EA2966" w:rsidRPr="009C2953">
        <w:t>’</w:t>
      </w:r>
      <w:r w:rsidR="00607B78" w:rsidRPr="009C2953">
        <w:t>élaboration</w:t>
      </w:r>
      <w:r w:rsidR="00D24DC1" w:rsidRPr="009C2953">
        <w:t xml:space="preserve"> des </w:t>
      </w:r>
      <w:r w:rsidR="00607B78" w:rsidRPr="009C2953">
        <w:t>politiques et</w:t>
      </w:r>
      <w:r w:rsidR="00F34644" w:rsidRPr="009C2953">
        <w:t xml:space="preserve"> la </w:t>
      </w:r>
      <w:r w:rsidR="00607B78" w:rsidRPr="009C2953">
        <w:t>prise de décisions grâce au retour d</w:t>
      </w:r>
      <w:r w:rsidR="00EA2966" w:rsidRPr="009C2953">
        <w:t>’</w:t>
      </w:r>
      <w:r w:rsidR="00607B78" w:rsidRPr="009C2953">
        <w:t>expérience,</w:t>
      </w:r>
      <w:r w:rsidR="00F34644" w:rsidRPr="009C2953">
        <w:t xml:space="preserve"> aux </w:t>
      </w:r>
      <w:r w:rsidR="00607B78" w:rsidRPr="009C2953">
        <w:t>meilleures pratiques et au partage de données d</w:t>
      </w:r>
      <w:r w:rsidR="00EA2966" w:rsidRPr="009C2953">
        <w:t>’</w:t>
      </w:r>
      <w:r w:rsidR="00607B78" w:rsidRPr="009C2953">
        <w:t>expérience ;</w:t>
      </w:r>
    </w:p>
    <w:p w14:paraId="0719C252" w14:textId="78F72507" w:rsidR="00607B78" w:rsidRPr="009C2953" w:rsidRDefault="00D73CB1" w:rsidP="00D73CB1">
      <w:pPr>
        <w:pStyle w:val="NormalNonumber"/>
      </w:pPr>
      <w:r w:rsidRPr="009C2953">
        <w:tab/>
        <w:t>f)</w:t>
      </w:r>
      <w:r w:rsidRPr="009C2953">
        <w:tab/>
      </w:r>
      <w:r w:rsidR="00607B78" w:rsidRPr="009C2953">
        <w:t>La réalisation d</w:t>
      </w:r>
      <w:r w:rsidR="00EA2966" w:rsidRPr="009C2953">
        <w:t>’</w:t>
      </w:r>
      <w:r w:rsidR="00607B78" w:rsidRPr="009C2953">
        <w:t>une deuxième enquête sur l</w:t>
      </w:r>
      <w:r w:rsidR="00EA2966" w:rsidRPr="009C2953">
        <w:t>’</w:t>
      </w:r>
      <w:r w:rsidR="00607B78" w:rsidRPr="009C2953">
        <w:t>utilisation</w:t>
      </w:r>
      <w:r w:rsidR="00D24DC1" w:rsidRPr="009C2953">
        <w:t xml:space="preserve"> des </w:t>
      </w:r>
      <w:r w:rsidR="00607B78" w:rsidRPr="009C2953">
        <w:t>évaluations de</w:t>
      </w:r>
      <w:r w:rsidR="00F34644" w:rsidRPr="009C2953">
        <w:t xml:space="preserve"> la </w:t>
      </w:r>
      <w:r w:rsidR="00607B78" w:rsidRPr="009C2953">
        <w:t>Plateforme dans l</w:t>
      </w:r>
      <w:r w:rsidR="00EA2966" w:rsidRPr="009C2953">
        <w:t>’</w:t>
      </w:r>
      <w:r w:rsidR="00607B78" w:rsidRPr="009C2953">
        <w:t>élaboration</w:t>
      </w:r>
      <w:r w:rsidR="00D24DC1" w:rsidRPr="009C2953">
        <w:t xml:space="preserve"> des </w:t>
      </w:r>
      <w:r w:rsidR="00607B78" w:rsidRPr="009C2953">
        <w:t>politiques</w:t>
      </w:r>
      <w:r w:rsidR="00F34644" w:rsidRPr="009C2953">
        <w:t xml:space="preserve"> aux </w:t>
      </w:r>
      <w:r w:rsidR="00607B78" w:rsidRPr="009C2953">
        <w:t>niveaux national et infranational afin de recueillir</w:t>
      </w:r>
      <w:r w:rsidR="00D24DC1" w:rsidRPr="009C2953">
        <w:t xml:space="preserve"> des </w:t>
      </w:r>
      <w:r w:rsidR="00607B78" w:rsidRPr="009C2953">
        <w:t>informations relatives</w:t>
      </w:r>
      <w:r w:rsidR="00F34644" w:rsidRPr="009C2953">
        <w:t xml:space="preserve"> aux </w:t>
      </w:r>
      <w:r w:rsidR="00607B78" w:rsidRPr="009C2953">
        <w:t>nouvelles évaluations de</w:t>
      </w:r>
      <w:r w:rsidR="00F34644" w:rsidRPr="009C2953">
        <w:t xml:space="preserve"> la </w:t>
      </w:r>
      <w:r w:rsidR="00607B78" w:rsidRPr="009C2953">
        <w:t>Plateforme (quatrième trimestre 2023) ;</w:t>
      </w:r>
    </w:p>
    <w:p w14:paraId="02407911" w14:textId="10615CB6" w:rsidR="00607B78" w:rsidRPr="009C2953" w:rsidRDefault="00D73CB1" w:rsidP="00D73CB1">
      <w:pPr>
        <w:pStyle w:val="NormalNonumber"/>
      </w:pPr>
      <w:r w:rsidRPr="009C2953">
        <w:tab/>
        <w:t>g)</w:t>
      </w:r>
      <w:r w:rsidRPr="009C2953">
        <w:tab/>
      </w:r>
      <w:r w:rsidR="00607B78" w:rsidRPr="009C2953">
        <w:t>La promotion de l</w:t>
      </w:r>
      <w:r w:rsidR="00EA2966" w:rsidRPr="009C2953">
        <w:t>’</w:t>
      </w:r>
      <w:r w:rsidR="00607B78" w:rsidRPr="009C2953">
        <w:t>ajout dans</w:t>
      </w:r>
      <w:r w:rsidR="00F34644" w:rsidRPr="009C2953">
        <w:t xml:space="preserve"> la </w:t>
      </w:r>
      <w:r w:rsidR="00607B78" w:rsidRPr="009C2953">
        <w:t>base de données de suivi de l</w:t>
      </w:r>
      <w:r w:rsidR="00EA2966" w:rsidRPr="009C2953">
        <w:t>’</w:t>
      </w:r>
      <w:r w:rsidR="00607B78" w:rsidRPr="009C2953">
        <w:t>impact de l</w:t>
      </w:r>
      <w:r w:rsidR="00EA2966" w:rsidRPr="009C2953">
        <w:t>’</w:t>
      </w:r>
      <w:r w:rsidR="00607B78" w:rsidRPr="009C2953">
        <w:t>IPBES</w:t>
      </w:r>
      <w:r w:rsidR="009A5593" w:rsidRPr="009C2953">
        <w:t> </w:t>
      </w:r>
      <w:r w:rsidR="00607B78" w:rsidRPr="009C2953">
        <w:t>(TRACK) d</w:t>
      </w:r>
      <w:r w:rsidR="00EA2966" w:rsidRPr="009C2953">
        <w:t>’</w:t>
      </w:r>
      <w:r w:rsidR="00607B78" w:rsidRPr="009C2953">
        <w:t>exemples d</w:t>
      </w:r>
      <w:r w:rsidR="00EA2966" w:rsidRPr="009C2953">
        <w:t>’</w:t>
      </w:r>
      <w:r w:rsidR="00607B78" w:rsidRPr="009C2953">
        <w:t>utilisation réussie d</w:t>
      </w:r>
      <w:r w:rsidR="00EA2966" w:rsidRPr="009C2953">
        <w:t>’</w:t>
      </w:r>
      <w:r w:rsidR="00607B78" w:rsidRPr="009C2953">
        <w:t>évaluations achevées de l</w:t>
      </w:r>
      <w:r w:rsidR="00EA2966" w:rsidRPr="009C2953">
        <w:t>’</w:t>
      </w:r>
      <w:r w:rsidR="00607B78" w:rsidRPr="009C2953">
        <w:t>IPBES</w:t>
      </w:r>
      <w:r w:rsidR="00F34644" w:rsidRPr="009C2953">
        <w:t xml:space="preserve"> aux </w:t>
      </w:r>
      <w:r w:rsidR="00607B78" w:rsidRPr="009C2953">
        <w:t>fins</w:t>
      </w:r>
      <w:r w:rsidR="009A5593" w:rsidRPr="009C2953">
        <w:t> </w:t>
      </w:r>
      <w:r w:rsidR="00607B78" w:rsidRPr="009C2953">
        <w:t>de</w:t>
      </w:r>
      <w:r w:rsidR="009A5593" w:rsidRPr="009C2953">
        <w:t> </w:t>
      </w:r>
      <w:r w:rsidR="00607B78" w:rsidRPr="009C2953">
        <w:t>l</w:t>
      </w:r>
      <w:r w:rsidR="00EA2966" w:rsidRPr="009C2953">
        <w:t>’</w:t>
      </w:r>
      <w:r w:rsidR="00607B78" w:rsidRPr="009C2953">
        <w:t>élaboration de politiques et de</w:t>
      </w:r>
      <w:r w:rsidR="00F34644" w:rsidRPr="009C2953">
        <w:t xml:space="preserve"> la </w:t>
      </w:r>
      <w:r w:rsidR="00607B78" w:rsidRPr="009C2953">
        <w:t>prise de décisions</w:t>
      </w:r>
      <w:r w:rsidR="00607B78" w:rsidRPr="009C2953">
        <w:rPr>
          <w:vertAlign w:val="superscript"/>
        </w:rPr>
        <w:footnoteReference w:id="32"/>
      </w:r>
      <w:r w:rsidR="00607B78" w:rsidRPr="009C2953">
        <w:t xml:space="preserve">. </w:t>
      </w:r>
    </w:p>
    <w:p w14:paraId="7E713A45" w14:textId="376E710B" w:rsidR="00607B78" w:rsidRPr="009C2953" w:rsidRDefault="00D73CB1" w:rsidP="00D73CB1">
      <w:pPr>
        <w:pStyle w:val="NormalNonumber"/>
      </w:pPr>
      <w:r w:rsidRPr="009C2953">
        <w:t>5.</w:t>
      </w:r>
      <w:r w:rsidRPr="009C2953">
        <w:tab/>
      </w:r>
      <w:r w:rsidR="00607B78" w:rsidRPr="009C2953">
        <w:t>Les activités visant à garantir</w:t>
      </w:r>
      <w:r w:rsidR="00F34644" w:rsidRPr="009C2953">
        <w:t xml:space="preserve"> la </w:t>
      </w:r>
      <w:r w:rsidR="00607B78" w:rsidRPr="009C2953">
        <w:t>mise en œuvre effective du plan de travail comprennent l</w:t>
      </w:r>
      <w:r w:rsidR="00EA2966" w:rsidRPr="009C2953">
        <w:t>’</w:t>
      </w:r>
      <w:r w:rsidR="00607B78" w:rsidRPr="009C2953">
        <w:t>élaboration et</w:t>
      </w:r>
      <w:r w:rsidR="00F34644" w:rsidRPr="009C2953">
        <w:t xml:space="preserve"> le </w:t>
      </w:r>
      <w:r w:rsidR="00607B78" w:rsidRPr="009C2953">
        <w:t>suivi d</w:t>
      </w:r>
      <w:r w:rsidR="00EA2966" w:rsidRPr="009C2953">
        <w:t>’</w:t>
      </w:r>
      <w:r w:rsidR="00607B78" w:rsidRPr="009C2953">
        <w:t>une série d</w:t>
      </w:r>
      <w:r w:rsidR="00EA2966" w:rsidRPr="009C2953">
        <w:t>’</w:t>
      </w:r>
      <w:r w:rsidR="00607B78" w:rsidRPr="009C2953">
        <w:t>indicateurs pertinents pour mesurer l</w:t>
      </w:r>
      <w:r w:rsidR="00EA2966" w:rsidRPr="009C2953">
        <w:t>’</w:t>
      </w:r>
      <w:r w:rsidR="00607B78" w:rsidRPr="009C2953">
        <w:t>efficacité. L</w:t>
      </w:r>
      <w:r w:rsidR="00EA2966" w:rsidRPr="009C2953">
        <w:t>’</w:t>
      </w:r>
      <w:r w:rsidR="00607B78" w:rsidRPr="009C2953">
        <w:t>ensemble d</w:t>
      </w:r>
      <w:r w:rsidR="00EA2966" w:rsidRPr="009C2953">
        <w:t>’</w:t>
      </w:r>
      <w:r w:rsidR="00607B78" w:rsidRPr="009C2953">
        <w:t>indicateurs mis au point sera présenté à</w:t>
      </w:r>
      <w:r w:rsidR="00F34644" w:rsidRPr="009C2953">
        <w:t xml:space="preserve"> la </w:t>
      </w:r>
      <w:r w:rsidR="00607B78" w:rsidRPr="009C2953">
        <w:t>Plénière, à</w:t>
      </w:r>
      <w:r w:rsidR="00F34644" w:rsidRPr="009C2953">
        <w:t xml:space="preserve"> sa </w:t>
      </w:r>
      <w:r w:rsidR="00607B78" w:rsidRPr="009C2953">
        <w:t>onzième session, dans</w:t>
      </w:r>
      <w:r w:rsidR="00F34644" w:rsidRPr="009C2953">
        <w:t xml:space="preserve"> le </w:t>
      </w:r>
      <w:r w:rsidR="00607B78" w:rsidRPr="009C2953">
        <w:t>cadre du projet de</w:t>
      </w:r>
      <w:r w:rsidR="009A5593" w:rsidRPr="009C2953">
        <w:t> </w:t>
      </w:r>
      <w:r w:rsidR="00607B78" w:rsidRPr="009C2953">
        <w:t>plan de travail pour</w:t>
      </w:r>
      <w:r w:rsidR="00F34644" w:rsidRPr="009C2953">
        <w:t xml:space="preserve"> la </w:t>
      </w:r>
      <w:r w:rsidR="00607B78" w:rsidRPr="009C2953">
        <w:t>période intersessions 2024</w:t>
      </w:r>
      <w:r w:rsidR="00FA7442">
        <w:t>–</w:t>
      </w:r>
      <w:r w:rsidR="00607B78" w:rsidRPr="009C2953">
        <w:t>2025.</w:t>
      </w:r>
    </w:p>
    <w:p w14:paraId="58D552A4"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0AD04BCD" w14:textId="06D6673D" w:rsidR="00607B78" w:rsidRPr="009C2953" w:rsidRDefault="00607B78" w:rsidP="00607B78">
      <w:pPr>
        <w:pStyle w:val="CH1"/>
      </w:pPr>
      <w:r w:rsidRPr="009C2953">
        <w:lastRenderedPageBreak/>
        <w:tab/>
      </w:r>
      <w:r w:rsidRPr="009C2953">
        <w:tab/>
        <w:t>Annexe VIII à</w:t>
      </w:r>
      <w:r w:rsidR="00F34644" w:rsidRPr="009C2953">
        <w:t xml:space="preserve"> la </w:t>
      </w:r>
      <w:r w:rsidRPr="009C2953">
        <w:t>décision IPBES-10/1</w:t>
      </w:r>
    </w:p>
    <w:p w14:paraId="73F8B25D" w14:textId="2A230FEE" w:rsidR="00607B78" w:rsidRPr="009C2953" w:rsidRDefault="00607B78" w:rsidP="00607B78">
      <w:pPr>
        <w:pStyle w:val="CH1"/>
      </w:pPr>
      <w:r w:rsidRPr="009C2953">
        <w:tab/>
      </w:r>
      <w:r w:rsidRPr="009C2953">
        <w:tab/>
        <w:t>Plan de travail pour l</w:t>
      </w:r>
      <w:r w:rsidR="00EA2966" w:rsidRPr="009C2953">
        <w:t>’</w:t>
      </w:r>
      <w:r w:rsidRPr="009C2953">
        <w:t>objectif 4 b) : travaux avancés sur</w:t>
      </w:r>
      <w:r w:rsidR="0063764D" w:rsidRPr="009C2953">
        <w:t> </w:t>
      </w:r>
      <w:r w:rsidR="00F34644" w:rsidRPr="009C2953">
        <w:t>les </w:t>
      </w:r>
      <w:r w:rsidRPr="009C2953">
        <w:t>scénarios et</w:t>
      </w:r>
      <w:r w:rsidR="00F34644" w:rsidRPr="009C2953">
        <w:t xml:space="preserve"> les </w:t>
      </w:r>
      <w:r w:rsidRPr="009C2953">
        <w:t>modèles, pour</w:t>
      </w:r>
      <w:r w:rsidR="00F34644" w:rsidRPr="009C2953">
        <w:t xml:space="preserve"> la </w:t>
      </w:r>
      <w:r w:rsidRPr="009C2953">
        <w:t>période intersessions</w:t>
      </w:r>
      <w:r w:rsidR="004B5612" w:rsidRPr="009C2953">
        <w:t> </w:t>
      </w:r>
      <w:r w:rsidRPr="009C2953">
        <w:t>2023</w:t>
      </w:r>
      <w:r w:rsidR="004B5612" w:rsidRPr="009C2953">
        <w:t> </w:t>
      </w:r>
      <w:r w:rsidRPr="009C2953">
        <w:t>2024</w:t>
      </w:r>
    </w:p>
    <w:p w14:paraId="26DF9126" w14:textId="4054C024" w:rsidR="00607B78" w:rsidRPr="009C2953" w:rsidRDefault="00240CCC" w:rsidP="00240CCC">
      <w:pPr>
        <w:pStyle w:val="NormalNonumber"/>
        <w:ind w:left="1274"/>
      </w:pPr>
      <w:r w:rsidRPr="009C2953">
        <w:t>1.</w:t>
      </w:r>
      <w:r w:rsidRPr="009C2953">
        <w:tab/>
      </w:r>
      <w:r w:rsidR="00607B78" w:rsidRPr="009C2953">
        <w:t>Une équipe spéciale sur</w:t>
      </w:r>
      <w:r w:rsidR="00F34644" w:rsidRPr="009C2953">
        <w:t xml:space="preserve"> les </w:t>
      </w:r>
      <w:r w:rsidR="00607B78" w:rsidRPr="009C2953">
        <w:t>scénarios et</w:t>
      </w:r>
      <w:r w:rsidR="00F34644" w:rsidRPr="009C2953">
        <w:t xml:space="preserve"> les </w:t>
      </w:r>
      <w:r w:rsidR="00607B78" w:rsidRPr="009C2953">
        <w:t>modèles mettra en œuvre</w:t>
      </w:r>
      <w:r w:rsidR="00F34644" w:rsidRPr="009C2953">
        <w:t xml:space="preserve"> le </w:t>
      </w:r>
      <w:r w:rsidR="00607B78" w:rsidRPr="009C2953">
        <w:t>plan de travail suivant pour l</w:t>
      </w:r>
      <w:r w:rsidR="00EA2966" w:rsidRPr="009C2953">
        <w:t>’</w:t>
      </w:r>
      <w:r w:rsidR="00607B78" w:rsidRPr="009C2953">
        <w:t>objectif 4 b), avec</w:t>
      </w:r>
      <w:r w:rsidR="00F34644" w:rsidRPr="009C2953">
        <w:t xml:space="preserve"> le </w:t>
      </w:r>
      <w:r w:rsidR="00607B78" w:rsidRPr="009C2953">
        <w:t>soutien du secrétariat, qui comprend</w:t>
      </w:r>
      <w:r w:rsidR="00F34644" w:rsidRPr="009C2953">
        <w:t xml:space="preserve"> un </w:t>
      </w:r>
      <w:r w:rsidR="00607B78" w:rsidRPr="009C2953">
        <w:t>groupe d</w:t>
      </w:r>
      <w:r w:rsidR="00EA2966" w:rsidRPr="009C2953">
        <w:t>’</w:t>
      </w:r>
      <w:r w:rsidR="00607B78" w:rsidRPr="009C2953">
        <w:t>appui technique dédié.</w:t>
      </w:r>
    </w:p>
    <w:p w14:paraId="69D01FEA" w14:textId="5C98F47C" w:rsidR="00607B78" w:rsidRPr="009C2953" w:rsidRDefault="00240CCC" w:rsidP="00240CCC">
      <w:pPr>
        <w:pStyle w:val="NormalNonumber"/>
        <w:ind w:left="1274"/>
      </w:pPr>
      <w:r w:rsidRPr="009C2953">
        <w:t>2.</w:t>
      </w:r>
      <w:r w:rsidRPr="009C2953">
        <w:tab/>
      </w:r>
      <w:r w:rsidR="00607B78" w:rsidRPr="009C2953">
        <w:t>Bien que des progrès aient été accomplis dans l</w:t>
      </w:r>
      <w:r w:rsidR="00EA2966" w:rsidRPr="009C2953">
        <w:t>’</w:t>
      </w:r>
      <w:r w:rsidR="00607B78" w:rsidRPr="009C2953">
        <w:t>élaboration</w:t>
      </w:r>
      <w:r w:rsidR="00D24DC1" w:rsidRPr="009C2953">
        <w:t xml:space="preserve"> des </w:t>
      </w:r>
      <w:r w:rsidR="00607B78" w:rsidRPr="009C2953">
        <w:t>orientations méthodologiques relatives au Cadre sur l</w:t>
      </w:r>
      <w:r w:rsidR="00EA2966" w:rsidRPr="009C2953">
        <w:t>’</w:t>
      </w:r>
      <w:r w:rsidR="00607B78" w:rsidRPr="009C2953">
        <w:t>avenir de</w:t>
      </w:r>
      <w:r w:rsidR="00F34644" w:rsidRPr="009C2953">
        <w:t xml:space="preserve"> la </w:t>
      </w:r>
      <w:r w:rsidR="00607B78" w:rsidRPr="009C2953">
        <w:t>nature,</w:t>
      </w:r>
      <w:r w:rsidR="00F34644" w:rsidRPr="009C2953">
        <w:t xml:space="preserve"> un </w:t>
      </w:r>
      <w:r w:rsidR="00607B78" w:rsidRPr="009C2953">
        <w:t>outil souple pour faciliter l</w:t>
      </w:r>
      <w:r w:rsidR="00EA2966" w:rsidRPr="009C2953">
        <w:t>’</w:t>
      </w:r>
      <w:r w:rsidR="00607B78" w:rsidRPr="009C2953">
        <w:t>élaboration de scénarios et de modèles d</w:t>
      </w:r>
      <w:r w:rsidR="00EA2966" w:rsidRPr="009C2953">
        <w:t>’</w:t>
      </w:r>
      <w:r w:rsidR="00607B78" w:rsidRPr="009C2953">
        <w:t>avenirs souhaitables pour</w:t>
      </w:r>
      <w:r w:rsidR="00F34644" w:rsidRPr="009C2953">
        <w:t xml:space="preserve"> la </w:t>
      </w:r>
      <w:r w:rsidR="00607B78" w:rsidRPr="009C2953">
        <w:t>population,</w:t>
      </w:r>
      <w:r w:rsidR="00F34644" w:rsidRPr="009C2953">
        <w:t xml:space="preserve"> la </w:t>
      </w:r>
      <w:r w:rsidR="00607B78" w:rsidRPr="009C2953">
        <w:t>nature et</w:t>
      </w:r>
      <w:r w:rsidR="00F34644" w:rsidRPr="009C2953">
        <w:t xml:space="preserve"> la </w:t>
      </w:r>
      <w:r w:rsidR="00607B78" w:rsidRPr="009C2953">
        <w:t>Terre nourricière</w:t>
      </w:r>
      <w:r w:rsidR="00607B78" w:rsidRPr="009C2953">
        <w:rPr>
          <w:rStyle w:val="FootnoteReference"/>
        </w:rPr>
        <w:footnoteReference w:id="33"/>
      </w:r>
      <w:r w:rsidR="00607B78" w:rsidRPr="009C2953">
        <w:t>, il est nécessaire de poursuivre</w:t>
      </w:r>
      <w:r w:rsidR="00F34644" w:rsidRPr="009C2953">
        <w:t xml:space="preserve"> la </w:t>
      </w:r>
      <w:r w:rsidR="00607B78" w:rsidRPr="009C2953">
        <w:t>mise au point de ces orientations méthodologiques,</w:t>
      </w:r>
      <w:r w:rsidR="00F34644" w:rsidRPr="009C2953">
        <w:t xml:space="preserve"> y </w:t>
      </w:r>
      <w:r w:rsidR="00607B78" w:rsidRPr="009C2953">
        <w:t>compris pour</w:t>
      </w:r>
      <w:r w:rsidR="00F34644" w:rsidRPr="009C2953">
        <w:t xml:space="preserve"> les </w:t>
      </w:r>
      <w:r w:rsidR="00607B78" w:rsidRPr="009C2953">
        <w:t>scénarios et</w:t>
      </w:r>
      <w:r w:rsidR="00F34644" w:rsidRPr="009C2953">
        <w:t xml:space="preserve"> les </w:t>
      </w:r>
      <w:r w:rsidR="00607B78" w:rsidRPr="009C2953">
        <w:t>modèles centrés sur</w:t>
      </w:r>
      <w:r w:rsidR="00F34644" w:rsidRPr="009C2953">
        <w:t xml:space="preserve"> la </w:t>
      </w:r>
      <w:r w:rsidR="00607B78" w:rsidRPr="009C2953">
        <w:t>Terre nourricière.</w:t>
      </w:r>
    </w:p>
    <w:p w14:paraId="70654E4A" w14:textId="1DBCE9F6" w:rsidR="00607B78" w:rsidRPr="009C2953" w:rsidRDefault="00240CCC" w:rsidP="00240CCC">
      <w:pPr>
        <w:pStyle w:val="NormalNonumber"/>
        <w:ind w:left="1274"/>
      </w:pPr>
      <w:r w:rsidRPr="009C2953">
        <w:t>3.</w:t>
      </w:r>
      <w:r w:rsidRPr="009C2953">
        <w:tab/>
      </w:r>
      <w:r w:rsidR="00607B78" w:rsidRPr="009C2953">
        <w:t>Les activités visant à soutenir l</w:t>
      </w:r>
      <w:r w:rsidR="00EA2966" w:rsidRPr="009C2953">
        <w:t>’</w:t>
      </w:r>
      <w:r w:rsidR="00607B78" w:rsidRPr="009C2953">
        <w:t>élaboration</w:t>
      </w:r>
      <w:r w:rsidR="00D24DC1" w:rsidRPr="009C2953">
        <w:t xml:space="preserve"> des </w:t>
      </w:r>
      <w:r w:rsidR="00607B78" w:rsidRPr="009C2953">
        <w:t>scénarios et</w:t>
      </w:r>
      <w:r w:rsidR="00D24DC1" w:rsidRPr="009C2953">
        <w:t xml:space="preserve"> des </w:t>
      </w:r>
      <w:r w:rsidR="00607B78" w:rsidRPr="009C2953">
        <w:t>modèles pour</w:t>
      </w:r>
      <w:r w:rsidR="00F34644" w:rsidRPr="009C2953">
        <w:t xml:space="preserve"> les </w:t>
      </w:r>
      <w:r w:rsidR="00607B78" w:rsidRPr="009C2953">
        <w:t>évaluations de l</w:t>
      </w:r>
      <w:r w:rsidR="00EA2966" w:rsidRPr="009C2953">
        <w:t>’</w:t>
      </w:r>
      <w:r w:rsidR="00607B78" w:rsidRPr="009C2953">
        <w:t>IPBES comprendront :</w:t>
      </w:r>
    </w:p>
    <w:p w14:paraId="79795781" w14:textId="0480FC1F" w:rsidR="00607B78" w:rsidRPr="009C2953" w:rsidRDefault="00240CCC" w:rsidP="00240CCC">
      <w:pPr>
        <w:pStyle w:val="NormalNonumber"/>
      </w:pPr>
      <w:r w:rsidRPr="009C2953">
        <w:tab/>
        <w:t>a)</w:t>
      </w:r>
      <w:r w:rsidRPr="009C2953">
        <w:tab/>
      </w:r>
      <w:r w:rsidR="00607B78" w:rsidRPr="009C2953">
        <w:t>Un examen par</w:t>
      </w:r>
      <w:r w:rsidR="00F34644" w:rsidRPr="009C2953">
        <w:t xml:space="preserve"> les </w:t>
      </w:r>
      <w:r w:rsidR="00607B78" w:rsidRPr="009C2953">
        <w:t>pairs, au sein de l</w:t>
      </w:r>
      <w:r w:rsidR="00EA2966" w:rsidRPr="009C2953">
        <w:t>’</w:t>
      </w:r>
      <w:r w:rsidR="00607B78" w:rsidRPr="009C2953">
        <w:t>équipe spéciale,</w:t>
      </w:r>
      <w:r w:rsidR="00D24DC1" w:rsidRPr="009C2953">
        <w:t xml:space="preserve"> des </w:t>
      </w:r>
      <w:r w:rsidR="00607B78" w:rsidRPr="009C2953">
        <w:t>projets</w:t>
      </w:r>
      <w:r w:rsidR="00D24DC1" w:rsidRPr="009C2953">
        <w:t xml:space="preserve"> des </w:t>
      </w:r>
      <w:r w:rsidR="00607B78" w:rsidRPr="009C2953">
        <w:t>évaluations</w:t>
      </w:r>
      <w:r w:rsidR="00D24DC1" w:rsidRPr="009C2953">
        <w:t xml:space="preserve"> des </w:t>
      </w:r>
      <w:r w:rsidR="00607B78" w:rsidRPr="009C2953">
        <w:t>interdépendances et du changement transformateur (quatrième trimestre 2023) et</w:t>
      </w:r>
      <w:r w:rsidR="00D24DC1" w:rsidRPr="009C2953">
        <w:t xml:space="preserve"> des </w:t>
      </w:r>
      <w:r w:rsidR="00607B78" w:rsidRPr="009C2953">
        <w:t>projets</w:t>
      </w:r>
      <w:r w:rsidR="00D24DC1" w:rsidRPr="009C2953">
        <w:t xml:space="preserve"> des </w:t>
      </w:r>
      <w:r w:rsidR="00607B78" w:rsidRPr="009C2953">
        <w:t>évaluations</w:t>
      </w:r>
      <w:r w:rsidR="00D24DC1" w:rsidRPr="009C2953">
        <w:t xml:space="preserve"> des </w:t>
      </w:r>
      <w:r w:rsidR="00607B78" w:rsidRPr="009C2953">
        <w:t>entreprises et de</w:t>
      </w:r>
      <w:r w:rsidR="00F34644" w:rsidRPr="009C2953">
        <w:t xml:space="preserve"> la </w:t>
      </w:r>
      <w:r w:rsidR="00607B78" w:rsidRPr="009C2953">
        <w:t>biodiversité (troisième trimestre 2024) ;</w:t>
      </w:r>
    </w:p>
    <w:p w14:paraId="3F1EDBFC" w14:textId="20465A11" w:rsidR="00607B78" w:rsidRPr="009C2953" w:rsidRDefault="00240CCC" w:rsidP="00240CCC">
      <w:pPr>
        <w:pStyle w:val="NormalNonumber"/>
      </w:pPr>
      <w:r w:rsidRPr="009C2953">
        <w:tab/>
        <w:t>b)</w:t>
      </w:r>
      <w:r w:rsidRPr="009C2953">
        <w:tab/>
      </w:r>
      <w:r w:rsidR="00607B78" w:rsidRPr="009C2953">
        <w:t>La mobilisation d</w:t>
      </w:r>
      <w:r w:rsidR="00EA2966" w:rsidRPr="009C2953">
        <w:t>’</w:t>
      </w:r>
      <w:r w:rsidR="00607B78" w:rsidRPr="009C2953">
        <w:t>expert(e)s en scénarios et modèles et autres études prospectives au</w:t>
      </w:r>
      <w:r w:rsidR="004B5612" w:rsidRPr="009C2953">
        <w:noBreakHyphen/>
      </w:r>
      <w:r w:rsidR="00607B78" w:rsidRPr="009C2953">
        <w:t>delà de l</w:t>
      </w:r>
      <w:r w:rsidR="00EA2966" w:rsidRPr="009C2953">
        <w:t>’</w:t>
      </w:r>
      <w:r w:rsidR="00607B78" w:rsidRPr="009C2953">
        <w:t>équipe spéciale afin de</w:t>
      </w:r>
      <w:r w:rsidR="00F34644" w:rsidRPr="009C2953">
        <w:t xml:space="preserve"> les </w:t>
      </w:r>
      <w:r w:rsidR="00607B78" w:rsidRPr="009C2953">
        <w:t>encourager à contribuer</w:t>
      </w:r>
      <w:r w:rsidR="00F34644" w:rsidRPr="009C2953">
        <w:t xml:space="preserve"> aux </w:t>
      </w:r>
      <w:r w:rsidR="00607B78" w:rsidRPr="009C2953">
        <w:t>évaluations à venir (par exemple, en diffusant</w:t>
      </w:r>
      <w:r w:rsidR="00D24DC1" w:rsidRPr="009C2953">
        <w:t xml:space="preserve"> des </w:t>
      </w:r>
      <w:r w:rsidR="00607B78" w:rsidRPr="009C2953">
        <w:t>appels à candidatures, ainsi que</w:t>
      </w:r>
      <w:r w:rsidR="00D24DC1" w:rsidRPr="009C2953">
        <w:t xml:space="preserve"> des </w:t>
      </w:r>
      <w:r w:rsidR="00607B78" w:rsidRPr="009C2953">
        <w:t>notifications sur l</w:t>
      </w:r>
      <w:r w:rsidR="00EA2966" w:rsidRPr="009C2953">
        <w:t>’</w:t>
      </w:r>
      <w:r w:rsidR="00607B78" w:rsidRPr="009C2953">
        <w:t>examen externe</w:t>
      </w:r>
      <w:r w:rsidR="00D24DC1" w:rsidRPr="009C2953">
        <w:t xml:space="preserve"> des </w:t>
      </w:r>
      <w:r w:rsidR="00607B78" w:rsidRPr="009C2953">
        <w:t>évaluations de l</w:t>
      </w:r>
      <w:r w:rsidR="00EA2966" w:rsidRPr="009C2953">
        <w:t>’</w:t>
      </w:r>
      <w:r w:rsidR="00607B78" w:rsidRPr="009C2953">
        <w:t>IPBES) ;</w:t>
      </w:r>
    </w:p>
    <w:p w14:paraId="1DEA3096" w14:textId="10A2AF73" w:rsidR="00607B78" w:rsidRPr="009C2953" w:rsidRDefault="00240CCC" w:rsidP="00240CCC">
      <w:pPr>
        <w:pStyle w:val="NormalNonumber"/>
      </w:pPr>
      <w:r w:rsidRPr="009C2953">
        <w:tab/>
        <w:t>c)</w:t>
      </w:r>
      <w:r w:rsidRPr="009C2953">
        <w:tab/>
      </w:r>
      <w:r w:rsidR="00607B78" w:rsidRPr="009C2953">
        <w:t>La fourniture de conseils et de contributions sur</w:t>
      </w:r>
      <w:r w:rsidR="00F34644" w:rsidRPr="009C2953">
        <w:t xml:space="preserve"> les </w:t>
      </w:r>
      <w:r w:rsidR="00607B78" w:rsidRPr="009C2953">
        <w:t>scénarios et</w:t>
      </w:r>
      <w:r w:rsidR="00F34644" w:rsidRPr="009C2953">
        <w:t xml:space="preserve"> les </w:t>
      </w:r>
      <w:r w:rsidR="00607B78" w:rsidRPr="009C2953">
        <w:t>modèles</w:t>
      </w:r>
      <w:r w:rsidR="00F34644" w:rsidRPr="009C2953">
        <w:t xml:space="preserve"> aux </w:t>
      </w:r>
      <w:r w:rsidR="00607B78" w:rsidRPr="009C2953">
        <w:t>groupes d</w:t>
      </w:r>
      <w:r w:rsidR="00EA2966" w:rsidRPr="009C2953">
        <w:t>’</w:t>
      </w:r>
      <w:r w:rsidR="00607B78" w:rsidRPr="009C2953">
        <w:t>auteur(</w:t>
      </w:r>
      <w:proofErr w:type="spellStart"/>
      <w:r w:rsidR="00607B78" w:rsidRPr="009C2953">
        <w:t>rice</w:t>
      </w:r>
      <w:proofErr w:type="spellEnd"/>
      <w:r w:rsidR="00607B78" w:rsidRPr="009C2953">
        <w:t>)s de l</w:t>
      </w:r>
      <w:r w:rsidR="00EA2966" w:rsidRPr="009C2953">
        <w:t>’</w:t>
      </w:r>
      <w:r w:rsidR="00607B78" w:rsidRPr="009C2953">
        <w:t>évaluation de l</w:t>
      </w:r>
      <w:r w:rsidR="00EA2966" w:rsidRPr="009C2953">
        <w:t>’</w:t>
      </w:r>
      <w:r w:rsidR="00607B78" w:rsidRPr="009C2953">
        <w:t>IPBES,</w:t>
      </w:r>
      <w:r w:rsidR="00F34644" w:rsidRPr="009C2953">
        <w:t xml:space="preserve"> y </w:t>
      </w:r>
      <w:r w:rsidR="00607B78" w:rsidRPr="009C2953">
        <w:t>compris</w:t>
      </w:r>
      <w:r w:rsidR="00F34644" w:rsidRPr="009C2953">
        <w:t xml:space="preserve"> la </w:t>
      </w:r>
      <w:r w:rsidR="00607B78" w:rsidRPr="009C2953">
        <w:t>participation active de membres de l</w:t>
      </w:r>
      <w:r w:rsidR="00EA2966" w:rsidRPr="009C2953">
        <w:t>’</w:t>
      </w:r>
      <w:r w:rsidR="00607B78" w:rsidRPr="009C2953">
        <w:t>équipe spéciale en tant qu</w:t>
      </w:r>
      <w:r w:rsidR="00EA2966" w:rsidRPr="009C2953">
        <w:t>’</w:t>
      </w:r>
      <w:r w:rsidR="00607B78" w:rsidRPr="009C2953">
        <w:t>auteur(</w:t>
      </w:r>
      <w:proofErr w:type="spellStart"/>
      <w:r w:rsidR="00607B78" w:rsidRPr="009C2953">
        <w:t>rice</w:t>
      </w:r>
      <w:proofErr w:type="spellEnd"/>
      <w:r w:rsidR="00607B78" w:rsidRPr="009C2953">
        <w:t>)s collaborateur(</w:t>
      </w:r>
      <w:proofErr w:type="spellStart"/>
      <w:r w:rsidR="00607B78" w:rsidRPr="009C2953">
        <w:t>rice</w:t>
      </w:r>
      <w:proofErr w:type="spellEnd"/>
      <w:r w:rsidR="00607B78" w:rsidRPr="009C2953">
        <w:t>)s, ou par</w:t>
      </w:r>
      <w:r w:rsidR="00F34644" w:rsidRPr="009C2953">
        <w:t xml:space="preserve"> la </w:t>
      </w:r>
      <w:r w:rsidR="00607B78" w:rsidRPr="009C2953">
        <w:t>fourniture de matériel et l</w:t>
      </w:r>
      <w:r w:rsidR="00EA2966" w:rsidRPr="009C2953">
        <w:t>’</w:t>
      </w:r>
      <w:r w:rsidR="00607B78" w:rsidRPr="009C2953">
        <w:t>organisation de webinaires, à</w:t>
      </w:r>
      <w:r w:rsidR="00F34644" w:rsidRPr="009C2953">
        <w:t xml:space="preserve"> la </w:t>
      </w:r>
      <w:r w:rsidR="00607B78" w:rsidRPr="009C2953">
        <w:t>demande (à partir du premier trimestre de 2024) ;</w:t>
      </w:r>
    </w:p>
    <w:p w14:paraId="3C569C65" w14:textId="21E170BF" w:rsidR="00607B78" w:rsidRPr="009C2953" w:rsidRDefault="00240CCC" w:rsidP="00240CCC">
      <w:pPr>
        <w:pStyle w:val="NormalNonumber"/>
      </w:pPr>
      <w:r w:rsidRPr="009C2953">
        <w:tab/>
        <w:t>d)</w:t>
      </w:r>
      <w:r w:rsidRPr="009C2953">
        <w:tab/>
      </w:r>
      <w:r w:rsidR="00607B78" w:rsidRPr="009C2953">
        <w:t>Une collaboration avec</w:t>
      </w:r>
      <w:r w:rsidR="00F34644" w:rsidRPr="009C2953">
        <w:t xml:space="preserve"> </w:t>
      </w:r>
      <w:proofErr w:type="gramStart"/>
      <w:r w:rsidR="00F34644" w:rsidRPr="009C2953">
        <w:t>les </w:t>
      </w:r>
      <w:r w:rsidR="00607B78" w:rsidRPr="009C2953">
        <w:t>expert</w:t>
      </w:r>
      <w:proofErr w:type="gramEnd"/>
      <w:r w:rsidR="00607B78" w:rsidRPr="009C2953">
        <w:t>(e)s en scénarios et modèles d</w:t>
      </w:r>
      <w:r w:rsidR="00EA2966" w:rsidRPr="009C2953">
        <w:t>’</w:t>
      </w:r>
      <w:r w:rsidR="00607B78" w:rsidRPr="009C2953">
        <w:t>autres processus intergouvernementaux afin de favoriser</w:t>
      </w:r>
      <w:r w:rsidR="00F34644" w:rsidRPr="009C2953">
        <w:t xml:space="preserve"> la </w:t>
      </w:r>
      <w:r w:rsidR="00607B78" w:rsidRPr="009C2953">
        <w:t>cohérence et l</w:t>
      </w:r>
      <w:r w:rsidR="00EA2966" w:rsidRPr="009C2953">
        <w:t>’</w:t>
      </w:r>
      <w:r w:rsidR="00607B78" w:rsidRPr="009C2953">
        <w:t>échange d</w:t>
      </w:r>
      <w:r w:rsidR="00EA2966" w:rsidRPr="009C2953">
        <w:t>’</w:t>
      </w:r>
      <w:r w:rsidR="00607B78" w:rsidRPr="009C2953">
        <w:t>idées entre</w:t>
      </w:r>
      <w:r w:rsidR="00F34644" w:rsidRPr="009C2953">
        <w:t xml:space="preserve"> les </w:t>
      </w:r>
      <w:r w:rsidR="00607B78" w:rsidRPr="009C2953">
        <w:t>processus d</w:t>
      </w:r>
      <w:r w:rsidR="00EA2966" w:rsidRPr="009C2953">
        <w:t>’</w:t>
      </w:r>
      <w:r w:rsidR="00607B78" w:rsidRPr="009C2953">
        <w:t>évaluation ;</w:t>
      </w:r>
    </w:p>
    <w:p w14:paraId="61BAA77B" w14:textId="16952A5E" w:rsidR="00607B78" w:rsidRPr="009C2953" w:rsidRDefault="00240CCC" w:rsidP="00240CCC">
      <w:pPr>
        <w:pStyle w:val="NormalNonumber"/>
      </w:pPr>
      <w:r w:rsidRPr="009C2953">
        <w:tab/>
        <w:t>e)</w:t>
      </w:r>
      <w:r w:rsidRPr="009C2953">
        <w:tab/>
      </w:r>
      <w:r w:rsidR="00607B78" w:rsidRPr="009C2953">
        <w:t>L</w:t>
      </w:r>
      <w:r w:rsidR="00EA2966" w:rsidRPr="009C2953">
        <w:t>’</w:t>
      </w:r>
      <w:r w:rsidR="00607B78" w:rsidRPr="009C2953">
        <w:t>organisation d</w:t>
      </w:r>
      <w:r w:rsidR="00EA2966" w:rsidRPr="009C2953">
        <w:t>’</w:t>
      </w:r>
      <w:r w:rsidR="00607B78" w:rsidRPr="009C2953">
        <w:t>un atelier en présentiel afin d</w:t>
      </w:r>
      <w:r w:rsidR="00EA2966" w:rsidRPr="009C2953">
        <w:t>’</w:t>
      </w:r>
      <w:r w:rsidR="00607B78" w:rsidRPr="009C2953">
        <w:t>alimenter</w:t>
      </w:r>
      <w:r w:rsidR="00F34644" w:rsidRPr="009C2953">
        <w:t xml:space="preserve"> la </w:t>
      </w:r>
      <w:r w:rsidR="00607B78" w:rsidRPr="009C2953">
        <w:t>réflexion sur</w:t>
      </w:r>
      <w:r w:rsidR="00F34644" w:rsidRPr="009C2953">
        <w:t xml:space="preserve"> les </w:t>
      </w:r>
      <w:r w:rsidR="00607B78" w:rsidRPr="009C2953">
        <w:t>scénarios et</w:t>
      </w:r>
      <w:r w:rsidR="00F34644" w:rsidRPr="009C2953">
        <w:t xml:space="preserve"> les </w:t>
      </w:r>
      <w:r w:rsidR="00607B78" w:rsidRPr="009C2953">
        <w:t>modèles qui permettent</w:t>
      </w:r>
      <w:r w:rsidR="00F34644" w:rsidRPr="009C2953">
        <w:t xml:space="preserve"> une </w:t>
      </w:r>
      <w:r w:rsidR="00607B78" w:rsidRPr="009C2953">
        <w:t>meilleure prise en compte</w:t>
      </w:r>
      <w:r w:rsidR="00D24DC1" w:rsidRPr="009C2953">
        <w:t xml:space="preserve"> des </w:t>
      </w:r>
      <w:r w:rsidR="00607B78" w:rsidRPr="009C2953">
        <w:t>différents systèmes de connaissances,</w:t>
      </w:r>
      <w:r w:rsidR="00F34644" w:rsidRPr="009C2953">
        <w:t xml:space="preserve"> y </w:t>
      </w:r>
      <w:r w:rsidR="00607B78" w:rsidRPr="009C2953">
        <w:t>compris</w:t>
      </w:r>
      <w:r w:rsidR="00F34644" w:rsidRPr="009C2953">
        <w:t xml:space="preserve"> les </w:t>
      </w:r>
      <w:r w:rsidR="00607B78" w:rsidRPr="009C2953">
        <w:t>systèmes de savoirs autochtones et locaux, ainsi que sur</w:t>
      </w:r>
      <w:r w:rsidR="00F34644" w:rsidRPr="009C2953">
        <w:t xml:space="preserve"> les </w:t>
      </w:r>
      <w:r w:rsidR="00607B78" w:rsidRPr="009C2953">
        <w:t>scénarios et modèles centrés sur</w:t>
      </w:r>
      <w:r w:rsidR="00F34644" w:rsidRPr="009C2953">
        <w:t xml:space="preserve"> la </w:t>
      </w:r>
      <w:r w:rsidR="00607B78" w:rsidRPr="009C2953">
        <w:t>Terre nourricière qui figurent dans</w:t>
      </w:r>
      <w:r w:rsidR="00F34644" w:rsidRPr="009C2953">
        <w:t xml:space="preserve"> le </w:t>
      </w:r>
      <w:r w:rsidR="00607B78" w:rsidRPr="009C2953">
        <w:t>Cadre sur l</w:t>
      </w:r>
      <w:r w:rsidR="00EA2966" w:rsidRPr="009C2953">
        <w:t>’</w:t>
      </w:r>
      <w:r w:rsidR="00607B78" w:rsidRPr="009C2953">
        <w:t>avenir de</w:t>
      </w:r>
      <w:r w:rsidR="00F34644" w:rsidRPr="009C2953">
        <w:t xml:space="preserve"> la </w:t>
      </w:r>
      <w:r w:rsidR="00607B78" w:rsidRPr="009C2953">
        <w:t>nature, entre</w:t>
      </w:r>
      <w:r w:rsidR="00F34644" w:rsidRPr="009C2953">
        <w:t xml:space="preserve"> les </w:t>
      </w:r>
      <w:r w:rsidR="00607B78" w:rsidRPr="009C2953">
        <w:t>dixième et douzième sessions de</w:t>
      </w:r>
      <w:r w:rsidR="00F34644" w:rsidRPr="009C2953">
        <w:t xml:space="preserve"> la </w:t>
      </w:r>
      <w:r w:rsidR="00607B78" w:rsidRPr="009C2953">
        <w:t>Plénière, et</w:t>
      </w:r>
      <w:r w:rsidR="00F34644" w:rsidRPr="009C2953">
        <w:t xml:space="preserve"> la </w:t>
      </w:r>
      <w:r w:rsidR="00607B78" w:rsidRPr="009C2953">
        <w:t>présentation d</w:t>
      </w:r>
      <w:r w:rsidR="00EA2966" w:rsidRPr="009C2953">
        <w:t>’</w:t>
      </w:r>
      <w:r w:rsidR="00607B78" w:rsidRPr="009C2953">
        <w:t>un rapport, assorti d</w:t>
      </w:r>
      <w:r w:rsidR="00EA2966" w:rsidRPr="009C2953">
        <w:t>’</w:t>
      </w:r>
      <w:r w:rsidR="00607B78" w:rsidRPr="009C2953">
        <w:t>orientations méthodologiques supplémentaires, à</w:t>
      </w:r>
      <w:r w:rsidR="00F34644" w:rsidRPr="009C2953">
        <w:t xml:space="preserve"> sa </w:t>
      </w:r>
      <w:r w:rsidR="00607B78" w:rsidRPr="009C2953">
        <w:t>douzième session.</w:t>
      </w:r>
    </w:p>
    <w:p w14:paraId="50B7FCE3" w14:textId="1DE81C9F" w:rsidR="00607B78" w:rsidRPr="009C2953" w:rsidRDefault="008B6730" w:rsidP="008B6730">
      <w:pPr>
        <w:pStyle w:val="NormalNonumber"/>
        <w:ind w:left="1274"/>
        <w:rPr>
          <w:color w:val="000000"/>
          <w:shd w:val="clear" w:color="auto" w:fill="D9D9D9"/>
        </w:rPr>
      </w:pPr>
      <w:r w:rsidRPr="009C2953">
        <w:t>4.</w:t>
      </w:r>
      <w:r w:rsidRPr="009C2953">
        <w:tab/>
      </w:r>
      <w:r w:rsidR="00607B78" w:rsidRPr="009C2953">
        <w:t>Les activités visant à promouvoir</w:t>
      </w:r>
      <w:r w:rsidR="00F34644" w:rsidRPr="009C2953">
        <w:t xml:space="preserve"> un </w:t>
      </w:r>
      <w:r w:rsidR="00607B78" w:rsidRPr="009C2953">
        <w:t>dialogue entre l</w:t>
      </w:r>
      <w:r w:rsidR="00EA2966" w:rsidRPr="009C2953">
        <w:t>’</w:t>
      </w:r>
      <w:r w:rsidR="00607B78" w:rsidRPr="009C2953">
        <w:t>IPBES et</w:t>
      </w:r>
      <w:r w:rsidR="00F34644" w:rsidRPr="009C2953">
        <w:t xml:space="preserve"> les </w:t>
      </w:r>
      <w:r w:rsidR="00607B78" w:rsidRPr="009C2953">
        <w:t>communautés de pratique</w:t>
      </w:r>
      <w:r w:rsidR="00607B78" w:rsidRPr="009C2953">
        <w:rPr>
          <w:color w:val="000000"/>
          <w:vertAlign w:val="superscript"/>
        </w:rPr>
        <w:footnoteReference w:id="34"/>
      </w:r>
      <w:r w:rsidR="00607B78" w:rsidRPr="009C2953">
        <w:t xml:space="preserve"> sur</w:t>
      </w:r>
      <w:r w:rsidR="00F34644" w:rsidRPr="009C2953">
        <w:t xml:space="preserve"> les </w:t>
      </w:r>
      <w:r w:rsidR="00607B78" w:rsidRPr="009C2953">
        <w:t>scénarios et</w:t>
      </w:r>
      <w:r w:rsidR="00F34644" w:rsidRPr="009C2953">
        <w:t xml:space="preserve"> les </w:t>
      </w:r>
      <w:r w:rsidR="00607B78" w:rsidRPr="009C2953">
        <w:t>modèles,</w:t>
      </w:r>
      <w:r w:rsidR="00F34644" w:rsidRPr="009C2953">
        <w:t xml:space="preserve"> y </w:t>
      </w:r>
      <w:r w:rsidR="00607B78" w:rsidRPr="009C2953">
        <w:t>compris</w:t>
      </w:r>
      <w:r w:rsidR="00F34644" w:rsidRPr="009C2953">
        <w:t xml:space="preserve"> les </w:t>
      </w:r>
      <w:r w:rsidR="00607B78" w:rsidRPr="009C2953">
        <w:t>scénarios et</w:t>
      </w:r>
      <w:r w:rsidR="00F34644" w:rsidRPr="009C2953">
        <w:t xml:space="preserve"> les </w:t>
      </w:r>
      <w:r w:rsidR="00607B78" w:rsidRPr="009C2953">
        <w:t>modèles centrés sur</w:t>
      </w:r>
      <w:r w:rsidR="00F34644" w:rsidRPr="009C2953">
        <w:t xml:space="preserve"> la </w:t>
      </w:r>
      <w:r w:rsidR="00607B78" w:rsidRPr="009C2953">
        <w:t>nature et sur</w:t>
      </w:r>
      <w:r w:rsidR="00F34644" w:rsidRPr="009C2953">
        <w:t xml:space="preserve"> la </w:t>
      </w:r>
      <w:r w:rsidR="00607B78" w:rsidRPr="009C2953">
        <w:t>Terre nourricière, et à faciliter</w:t>
      </w:r>
      <w:r w:rsidR="00F34644" w:rsidRPr="009C2953">
        <w:t xml:space="preserve"> la </w:t>
      </w:r>
      <w:r w:rsidR="00607B78" w:rsidRPr="009C2953">
        <w:t>poursuite du développement de scénarios et de modèles pour</w:t>
      </w:r>
      <w:r w:rsidR="00F34644" w:rsidRPr="009C2953">
        <w:t xml:space="preserve"> les </w:t>
      </w:r>
      <w:r w:rsidR="00607B78" w:rsidRPr="009C2953">
        <w:t>futures évaluations de l</w:t>
      </w:r>
      <w:r w:rsidR="00EA2966" w:rsidRPr="009C2953">
        <w:t>’</w:t>
      </w:r>
      <w:r w:rsidR="00607B78" w:rsidRPr="009C2953">
        <w:t>IPBES incluront :</w:t>
      </w:r>
      <w:r w:rsidR="00607B78" w:rsidRPr="009C2953">
        <w:rPr>
          <w:color w:val="000000"/>
          <w:shd w:val="clear" w:color="auto" w:fill="D9D9D9"/>
        </w:rPr>
        <w:t xml:space="preserve"> </w:t>
      </w:r>
    </w:p>
    <w:p w14:paraId="3D6D7D30" w14:textId="71CFAE43" w:rsidR="00607B78" w:rsidRPr="009C2953" w:rsidRDefault="008B6730" w:rsidP="008B6730">
      <w:pPr>
        <w:pStyle w:val="NormalNonumber"/>
      </w:pPr>
      <w:r w:rsidRPr="009C2953">
        <w:tab/>
        <w:t>a)</w:t>
      </w:r>
      <w:r w:rsidRPr="009C2953">
        <w:tab/>
      </w:r>
      <w:r w:rsidR="00607B78" w:rsidRPr="009C2953">
        <w:t>La mobilisation</w:t>
      </w:r>
      <w:r w:rsidR="00D24DC1" w:rsidRPr="009C2953">
        <w:t xml:space="preserve"> des </w:t>
      </w:r>
      <w:r w:rsidR="00607B78" w:rsidRPr="009C2953">
        <w:t>communautés existantes sur</w:t>
      </w:r>
      <w:r w:rsidR="00F34644" w:rsidRPr="009C2953">
        <w:t xml:space="preserve"> les </w:t>
      </w:r>
      <w:r w:rsidR="00607B78" w:rsidRPr="009C2953">
        <w:t>scénarios et modèles et autres études prospectives pour faciliter l</w:t>
      </w:r>
      <w:r w:rsidR="00EA2966" w:rsidRPr="009C2953">
        <w:t>’</w:t>
      </w:r>
      <w:r w:rsidR="00607B78" w:rsidRPr="009C2953">
        <w:t>élaboration de scénarios et modèles pertinents pour</w:t>
      </w:r>
      <w:r w:rsidR="00F34644" w:rsidRPr="009C2953">
        <w:t xml:space="preserve"> les </w:t>
      </w:r>
      <w:r w:rsidR="00607B78" w:rsidRPr="009C2953">
        <w:t>travaux de</w:t>
      </w:r>
      <w:r w:rsidR="004B5612" w:rsidRPr="009C2953">
        <w:t> </w:t>
      </w:r>
      <w:r w:rsidR="00607B78" w:rsidRPr="009C2953">
        <w:t>l</w:t>
      </w:r>
      <w:r w:rsidR="00EA2966" w:rsidRPr="009C2953">
        <w:t>’</w:t>
      </w:r>
      <w:r w:rsidR="00607B78" w:rsidRPr="009C2953">
        <w:t>IPBES et ainsi soutenir également</w:t>
      </w:r>
      <w:r w:rsidR="00F34644" w:rsidRPr="009C2953">
        <w:t xml:space="preserve"> les </w:t>
      </w:r>
      <w:r w:rsidR="00607B78" w:rsidRPr="009C2953">
        <w:t>travaux</w:t>
      </w:r>
      <w:r w:rsidR="00D24DC1" w:rsidRPr="009C2953">
        <w:t xml:space="preserve"> des </w:t>
      </w:r>
      <w:r w:rsidR="00607B78" w:rsidRPr="009C2953">
        <w:t>accords multilatéraux sur l</w:t>
      </w:r>
      <w:r w:rsidR="00EA2966" w:rsidRPr="009C2953">
        <w:t>’</w:t>
      </w:r>
      <w:r w:rsidR="00607B78" w:rsidRPr="009C2953">
        <w:t>environnement liés à</w:t>
      </w:r>
      <w:r w:rsidRPr="009C2953">
        <w:t> </w:t>
      </w:r>
      <w:r w:rsidR="00F34644" w:rsidRPr="009C2953">
        <w:t>la </w:t>
      </w:r>
      <w:r w:rsidR="00607B78" w:rsidRPr="009C2953">
        <w:t>biodiversité,</w:t>
      </w:r>
      <w:r w:rsidR="00F34644" w:rsidRPr="009C2953">
        <w:t xml:space="preserve"> y </w:t>
      </w:r>
      <w:r w:rsidR="00607B78" w:rsidRPr="009C2953">
        <w:t>compris en demandant</w:t>
      </w:r>
      <w:r w:rsidR="00F34644" w:rsidRPr="009C2953">
        <w:t xml:space="preserve"> aux </w:t>
      </w:r>
      <w:r w:rsidR="00607B78" w:rsidRPr="009C2953">
        <w:t>organisations concernées d</w:t>
      </w:r>
      <w:r w:rsidR="00EA2966" w:rsidRPr="009C2953">
        <w:t>’</w:t>
      </w:r>
      <w:r w:rsidR="00607B78" w:rsidRPr="009C2953">
        <w:t>organiser</w:t>
      </w:r>
      <w:r w:rsidR="00D24DC1" w:rsidRPr="009C2953">
        <w:t xml:space="preserve"> des </w:t>
      </w:r>
      <w:r w:rsidR="00607B78" w:rsidRPr="009C2953">
        <w:t>ateliers afin de</w:t>
      </w:r>
      <w:r w:rsidRPr="009C2953">
        <w:t> </w:t>
      </w:r>
      <w:r w:rsidR="00607B78" w:rsidRPr="009C2953">
        <w:t>faciliter</w:t>
      </w:r>
      <w:r w:rsidR="00F34644" w:rsidRPr="009C2953">
        <w:t xml:space="preserve"> les </w:t>
      </w:r>
      <w:r w:rsidR="00607B78" w:rsidRPr="009C2953">
        <w:t>travaux ultérieurs (troisième trimestre de 2023) ;</w:t>
      </w:r>
    </w:p>
    <w:p w14:paraId="2C68636B" w14:textId="0B9D0A59" w:rsidR="00607B78" w:rsidRPr="009C2953" w:rsidRDefault="008B6730" w:rsidP="00CE246D">
      <w:pPr>
        <w:pStyle w:val="NormalNonumber"/>
        <w:keepNext/>
        <w:keepLines/>
      </w:pPr>
      <w:r w:rsidRPr="009C2953">
        <w:lastRenderedPageBreak/>
        <w:tab/>
        <w:t>b)</w:t>
      </w:r>
      <w:r w:rsidRPr="009C2953">
        <w:tab/>
      </w:r>
      <w:r w:rsidR="00607B78" w:rsidRPr="009C2953">
        <w:t>La fourniture d</w:t>
      </w:r>
      <w:r w:rsidR="00EA2966" w:rsidRPr="009C2953">
        <w:t>’</w:t>
      </w:r>
      <w:r w:rsidR="00607B78" w:rsidRPr="009C2953">
        <w:t>orientations et d</w:t>
      </w:r>
      <w:r w:rsidR="00EA2966" w:rsidRPr="009C2953">
        <w:t>’</w:t>
      </w:r>
      <w:r w:rsidR="00607B78" w:rsidRPr="009C2953">
        <w:t>informations sur</w:t>
      </w:r>
      <w:r w:rsidR="00F34644" w:rsidRPr="009C2953">
        <w:t xml:space="preserve"> les </w:t>
      </w:r>
      <w:r w:rsidR="00607B78" w:rsidRPr="009C2953">
        <w:t>travaux de l</w:t>
      </w:r>
      <w:r w:rsidR="00EA2966" w:rsidRPr="009C2953">
        <w:t>’</w:t>
      </w:r>
      <w:r w:rsidR="00607B78" w:rsidRPr="009C2953">
        <w:t>IPBES en ce qui concerne</w:t>
      </w:r>
      <w:r w:rsidR="00F34644" w:rsidRPr="009C2953">
        <w:t xml:space="preserve"> les </w:t>
      </w:r>
      <w:r w:rsidR="00607B78" w:rsidRPr="009C2953">
        <w:t>scénarios et</w:t>
      </w:r>
      <w:r w:rsidR="00F34644" w:rsidRPr="009C2953">
        <w:t xml:space="preserve"> les </w:t>
      </w:r>
      <w:r w:rsidR="00607B78" w:rsidRPr="009C2953">
        <w:t>modèles,</w:t>
      </w:r>
      <w:r w:rsidR="00F34644" w:rsidRPr="009C2953">
        <w:t xml:space="preserve"> y </w:t>
      </w:r>
      <w:r w:rsidR="00607B78" w:rsidRPr="009C2953">
        <w:t>compris sur l</w:t>
      </w:r>
      <w:r w:rsidR="00EA2966" w:rsidRPr="009C2953">
        <w:t>’</w:t>
      </w:r>
      <w:r w:rsidR="00607B78" w:rsidRPr="009C2953">
        <w:t>utilisation,</w:t>
      </w:r>
      <w:r w:rsidR="00F34644" w:rsidRPr="009C2953">
        <w:t xml:space="preserve"> les </w:t>
      </w:r>
      <w:r w:rsidR="00607B78" w:rsidRPr="009C2953">
        <w:t>possibilités et</w:t>
      </w:r>
      <w:r w:rsidR="00F34644" w:rsidRPr="009C2953">
        <w:t xml:space="preserve"> les </w:t>
      </w:r>
      <w:r w:rsidR="00607B78" w:rsidRPr="009C2953">
        <w:t>limites du Cadre</w:t>
      </w:r>
      <w:r w:rsidR="005828A6" w:rsidRPr="009C2953">
        <w:t xml:space="preserve"> </w:t>
      </w:r>
      <w:r w:rsidR="00607B78" w:rsidRPr="009C2953">
        <w:t>sur l</w:t>
      </w:r>
      <w:r w:rsidR="00EA2966" w:rsidRPr="009C2953">
        <w:t>’</w:t>
      </w:r>
      <w:r w:rsidR="00607B78" w:rsidRPr="009C2953">
        <w:t>avenir de</w:t>
      </w:r>
      <w:r w:rsidR="00F34644" w:rsidRPr="009C2953">
        <w:t xml:space="preserve"> la </w:t>
      </w:r>
      <w:r w:rsidR="00607B78" w:rsidRPr="009C2953">
        <w:t>nature, lors d</w:t>
      </w:r>
      <w:r w:rsidR="00EA2966" w:rsidRPr="009C2953">
        <w:t>’</w:t>
      </w:r>
      <w:r w:rsidR="00607B78" w:rsidRPr="009C2953">
        <w:t>ateliers organisés par</w:t>
      </w:r>
      <w:r w:rsidR="00F34644" w:rsidRPr="009C2953">
        <w:t xml:space="preserve"> les </w:t>
      </w:r>
      <w:r w:rsidR="00607B78" w:rsidRPr="009C2953">
        <w:t>communautés existantes sur</w:t>
      </w:r>
      <w:r w:rsidR="00F34644" w:rsidRPr="009C2953">
        <w:t xml:space="preserve"> les </w:t>
      </w:r>
      <w:r w:rsidR="00607B78" w:rsidRPr="009C2953">
        <w:t>scénarios et</w:t>
      </w:r>
      <w:r w:rsidR="00F34644" w:rsidRPr="009C2953">
        <w:t xml:space="preserve"> les </w:t>
      </w:r>
      <w:r w:rsidR="00607B78" w:rsidRPr="009C2953">
        <w:t>modèles et d</w:t>
      </w:r>
      <w:r w:rsidR="00EA2966" w:rsidRPr="009C2953">
        <w:t>’</w:t>
      </w:r>
      <w:r w:rsidR="00607B78" w:rsidRPr="009C2953">
        <w:t xml:space="preserve">autres études prospectives ; </w:t>
      </w:r>
    </w:p>
    <w:p w14:paraId="3BBAD690" w14:textId="55AE957B" w:rsidR="00607B78" w:rsidRPr="009C2953" w:rsidRDefault="008B6730" w:rsidP="008B6730">
      <w:pPr>
        <w:pStyle w:val="NormalNonumber"/>
      </w:pPr>
      <w:r w:rsidRPr="009C2953">
        <w:tab/>
        <w:t>c)</w:t>
      </w:r>
      <w:r w:rsidRPr="009C2953">
        <w:tab/>
      </w:r>
      <w:r w:rsidR="00607B78" w:rsidRPr="009C2953">
        <w:t>Une action visant à dynamiser</w:t>
      </w:r>
      <w:r w:rsidR="00F34644" w:rsidRPr="009C2953">
        <w:t xml:space="preserve"> la </w:t>
      </w:r>
      <w:r w:rsidR="00607B78" w:rsidRPr="009C2953">
        <w:t>production de scénarios et de modèles dans différents lieux et à différentes échelles en encourageant</w:t>
      </w:r>
      <w:r w:rsidR="00F34644" w:rsidRPr="009C2953">
        <w:t xml:space="preserve"> les </w:t>
      </w:r>
      <w:r w:rsidR="00607B78" w:rsidRPr="009C2953">
        <w:t>communautés mondiales de pratique à travailler à</w:t>
      </w:r>
      <w:r w:rsidR="004B5612" w:rsidRPr="009C2953">
        <w:t> </w:t>
      </w:r>
      <w:r w:rsidR="00607B78" w:rsidRPr="009C2953">
        <w:t>l</w:t>
      </w:r>
      <w:r w:rsidR="00EA2966" w:rsidRPr="009C2953">
        <w:t>’</w:t>
      </w:r>
      <w:r w:rsidR="00607B78" w:rsidRPr="009C2953">
        <w:t>échelle régionale ;</w:t>
      </w:r>
    </w:p>
    <w:p w14:paraId="09C63239" w14:textId="0CD3DB75" w:rsidR="00607B78" w:rsidRPr="009C2953" w:rsidRDefault="008B6730" w:rsidP="008B6730">
      <w:pPr>
        <w:pStyle w:val="NormalNonumber"/>
      </w:pPr>
      <w:r w:rsidRPr="009C2953">
        <w:tab/>
        <w:t>d)</w:t>
      </w:r>
      <w:r w:rsidRPr="009C2953">
        <w:tab/>
      </w:r>
      <w:r w:rsidR="00607B78" w:rsidRPr="009C2953">
        <w:t>L</w:t>
      </w:r>
      <w:r w:rsidR="00EA2966" w:rsidRPr="009C2953">
        <w:t>’</w:t>
      </w:r>
      <w:r w:rsidR="00607B78" w:rsidRPr="009C2953">
        <w:t>é</w:t>
      </w:r>
      <w:r w:rsidR="00862BE6" w:rsidRPr="009C2953">
        <w:t xml:space="preserve">tablissement </w:t>
      </w:r>
      <w:r w:rsidR="00607B78" w:rsidRPr="009C2953">
        <w:t>d</w:t>
      </w:r>
      <w:r w:rsidR="00EA2966" w:rsidRPr="009C2953">
        <w:t>’</w:t>
      </w:r>
      <w:r w:rsidR="00607B78" w:rsidRPr="009C2953">
        <w:t>un inventaire des lacunes et</w:t>
      </w:r>
      <w:r w:rsidR="00D24DC1" w:rsidRPr="009C2953">
        <w:t xml:space="preserve"> des </w:t>
      </w:r>
      <w:r w:rsidR="00607B78" w:rsidRPr="009C2953">
        <w:t>besoins concernant</w:t>
      </w:r>
      <w:r w:rsidR="00F34644" w:rsidRPr="009C2953">
        <w:t xml:space="preserve"> les </w:t>
      </w:r>
      <w:r w:rsidR="00607B78" w:rsidRPr="009C2953">
        <w:t>scénarios et</w:t>
      </w:r>
      <w:r w:rsidR="00F34644" w:rsidRPr="009C2953">
        <w:t xml:space="preserve"> les </w:t>
      </w:r>
      <w:r w:rsidR="00607B78" w:rsidRPr="009C2953">
        <w:t>modèles centrés sur</w:t>
      </w:r>
      <w:r w:rsidR="00F34644" w:rsidRPr="009C2953">
        <w:t xml:space="preserve"> la </w:t>
      </w:r>
      <w:r w:rsidR="00607B78" w:rsidRPr="009C2953">
        <w:t>nature présentés dans</w:t>
      </w:r>
      <w:r w:rsidR="00F34644" w:rsidRPr="009C2953">
        <w:t xml:space="preserve"> les </w:t>
      </w:r>
      <w:r w:rsidR="00607B78" w:rsidRPr="009C2953">
        <w:t>évaluations de l</w:t>
      </w:r>
      <w:r w:rsidR="00EA2966" w:rsidRPr="009C2953">
        <w:t>’</w:t>
      </w:r>
      <w:r w:rsidR="00607B78" w:rsidRPr="009C2953">
        <w:t>IPBES achevées et l</w:t>
      </w:r>
      <w:r w:rsidR="00EA2966" w:rsidRPr="009C2953">
        <w:t>’</w:t>
      </w:r>
      <w:r w:rsidR="00607B78" w:rsidRPr="009C2953">
        <w:t>utilisation de cet inventaire pour faire part à</w:t>
      </w:r>
      <w:r w:rsidR="00F34644" w:rsidRPr="009C2953">
        <w:t xml:space="preserve"> la </w:t>
      </w:r>
      <w:r w:rsidR="00607B78" w:rsidRPr="009C2953">
        <w:t>communauté scientifique</w:t>
      </w:r>
      <w:r w:rsidR="00D24DC1" w:rsidRPr="009C2953">
        <w:t xml:space="preserve"> des </w:t>
      </w:r>
      <w:r w:rsidR="00607B78" w:rsidRPr="009C2953">
        <w:t>besoins de l</w:t>
      </w:r>
      <w:r w:rsidR="00EA2966" w:rsidRPr="009C2953">
        <w:t>’</w:t>
      </w:r>
      <w:r w:rsidR="00607B78" w:rsidRPr="009C2953">
        <w:t>IPBES en ce qui concerne l</w:t>
      </w:r>
      <w:r w:rsidR="00EA2966" w:rsidRPr="009C2953">
        <w:t>’</w:t>
      </w:r>
      <w:r w:rsidR="00607B78" w:rsidRPr="009C2953">
        <w:t>ajustement</w:t>
      </w:r>
      <w:r w:rsidR="00D24DC1" w:rsidRPr="009C2953">
        <w:t xml:space="preserve"> des </w:t>
      </w:r>
      <w:r w:rsidR="00607B78" w:rsidRPr="009C2953">
        <w:t>scénarios et</w:t>
      </w:r>
      <w:r w:rsidR="00D24DC1" w:rsidRPr="009C2953">
        <w:t xml:space="preserve"> des </w:t>
      </w:r>
      <w:r w:rsidR="00607B78" w:rsidRPr="009C2953">
        <w:t>modèles existants et l</w:t>
      </w:r>
      <w:r w:rsidR="00EA2966" w:rsidRPr="009C2953">
        <w:t>’</w:t>
      </w:r>
      <w:r w:rsidR="00607B78" w:rsidRPr="009C2953">
        <w:t>élaboration de nouveaux scénarios et modèles,</w:t>
      </w:r>
      <w:r w:rsidR="00F34644" w:rsidRPr="009C2953">
        <w:t xml:space="preserve"> y </w:t>
      </w:r>
      <w:r w:rsidR="00607B78" w:rsidRPr="009C2953">
        <w:t>compris au moyen d</w:t>
      </w:r>
      <w:r w:rsidR="00EA2966" w:rsidRPr="009C2953">
        <w:t>’</w:t>
      </w:r>
      <w:r w:rsidR="00607B78" w:rsidRPr="009C2953">
        <w:t>un espace dédié sur</w:t>
      </w:r>
      <w:r w:rsidR="00F34644" w:rsidRPr="009C2953">
        <w:t xml:space="preserve"> le </w:t>
      </w:r>
      <w:r w:rsidR="00607B78" w:rsidRPr="009C2953">
        <w:t>site Web de l</w:t>
      </w:r>
      <w:r w:rsidR="00EA2966" w:rsidRPr="009C2953">
        <w:t>’</w:t>
      </w:r>
      <w:r w:rsidR="00607B78" w:rsidRPr="009C2953">
        <w:t>IPBES (troisième trimestre 2024) ;</w:t>
      </w:r>
    </w:p>
    <w:p w14:paraId="13817B5E" w14:textId="1FAF72A1" w:rsidR="00607B78" w:rsidRPr="009C2953" w:rsidRDefault="008B6730" w:rsidP="008B6730">
      <w:pPr>
        <w:pStyle w:val="NormalNonumber"/>
      </w:pPr>
      <w:r w:rsidRPr="009C2953">
        <w:tab/>
        <w:t>e)</w:t>
      </w:r>
      <w:r w:rsidRPr="009C2953">
        <w:tab/>
      </w:r>
      <w:r w:rsidR="00607B78" w:rsidRPr="009C2953">
        <w:t>La collecte d</w:t>
      </w:r>
      <w:r w:rsidR="00EA2966" w:rsidRPr="009C2953">
        <w:t>’</w:t>
      </w:r>
      <w:r w:rsidR="00607B78" w:rsidRPr="009C2953">
        <w:t>exemples</w:t>
      </w:r>
      <w:r w:rsidR="00607B78" w:rsidRPr="009C2953">
        <w:footnoteReference w:id="35"/>
      </w:r>
      <w:r w:rsidR="00607B78" w:rsidRPr="009C2953">
        <w:t xml:space="preserve"> d</w:t>
      </w:r>
      <w:r w:rsidR="00EA2966" w:rsidRPr="009C2953">
        <w:t>’</w:t>
      </w:r>
      <w:r w:rsidR="00607B78" w:rsidRPr="009C2953">
        <w:t>élaboration de scénarios à l</w:t>
      </w:r>
      <w:r w:rsidR="00EA2966" w:rsidRPr="009C2953">
        <w:t>’</w:t>
      </w:r>
      <w:r w:rsidR="00607B78" w:rsidRPr="009C2953">
        <w:t>aide du Cadre sur l</w:t>
      </w:r>
      <w:r w:rsidR="00EA2966" w:rsidRPr="009C2953">
        <w:t>’</w:t>
      </w:r>
      <w:r w:rsidR="00607B78" w:rsidRPr="009C2953">
        <w:t>avenir de</w:t>
      </w:r>
      <w:r w:rsidR="00F34644" w:rsidRPr="009C2953">
        <w:t xml:space="preserve"> la </w:t>
      </w:r>
      <w:r w:rsidR="00607B78" w:rsidRPr="009C2953">
        <w:t>nature dans divers lieux et à diverses échelles pour différents contextes thématiques,</w:t>
      </w:r>
      <w:r w:rsidR="00F34644" w:rsidRPr="009C2953">
        <w:t xml:space="preserve"> y </w:t>
      </w:r>
      <w:r w:rsidR="00607B78" w:rsidRPr="009C2953">
        <w:t>compris</w:t>
      </w:r>
      <w:r w:rsidR="00D24DC1" w:rsidRPr="009C2953">
        <w:t xml:space="preserve"> des </w:t>
      </w:r>
      <w:r w:rsidR="00607B78" w:rsidRPr="009C2953">
        <w:t>scénarios élaborés en se fondant sur différents systèmes de connaissances et différentes visions du monde, par</w:t>
      </w:r>
      <w:r w:rsidR="00F34644" w:rsidRPr="009C2953">
        <w:t xml:space="preserve"> le </w:t>
      </w:r>
      <w:r w:rsidR="00862BE6" w:rsidRPr="009C2953">
        <w:t>biais</w:t>
      </w:r>
      <w:r w:rsidR="00607B78" w:rsidRPr="009C2953">
        <w:t xml:space="preserve"> d</w:t>
      </w:r>
      <w:r w:rsidR="00EA2966" w:rsidRPr="009C2953">
        <w:t>’</w:t>
      </w:r>
      <w:r w:rsidR="00607B78" w:rsidRPr="009C2953">
        <w:t>un appel à contribution, et</w:t>
      </w:r>
      <w:r w:rsidR="00F34644" w:rsidRPr="009C2953">
        <w:t xml:space="preserve"> le </w:t>
      </w:r>
      <w:r w:rsidR="00607B78" w:rsidRPr="009C2953">
        <w:t>recensement</w:t>
      </w:r>
      <w:r w:rsidR="00D24DC1" w:rsidRPr="009C2953">
        <w:t xml:space="preserve"> des </w:t>
      </w:r>
      <w:r w:rsidR="00607B78" w:rsidRPr="009C2953">
        <w:t>lacunes restantes et</w:t>
      </w:r>
      <w:r w:rsidR="00F34644" w:rsidRPr="009C2953">
        <w:t xml:space="preserve"> la </w:t>
      </w:r>
      <w:r w:rsidR="00607B78" w:rsidRPr="009C2953">
        <w:t>compilation</w:t>
      </w:r>
      <w:r w:rsidR="00D24DC1" w:rsidRPr="009C2953">
        <w:t xml:space="preserve"> des </w:t>
      </w:r>
      <w:r w:rsidR="00607B78" w:rsidRPr="009C2953">
        <w:t>informations connexes,</w:t>
      </w:r>
      <w:r w:rsidR="00F34644" w:rsidRPr="009C2953">
        <w:t xml:space="preserve"> y </w:t>
      </w:r>
      <w:r w:rsidR="00607B78" w:rsidRPr="009C2953">
        <w:t>compris</w:t>
      </w:r>
      <w:r w:rsidR="00F34644" w:rsidRPr="009C2953">
        <w:t xml:space="preserve"> les </w:t>
      </w:r>
      <w:r w:rsidR="00607B78" w:rsidRPr="009C2953">
        <w:t>commentaires et</w:t>
      </w:r>
      <w:r w:rsidR="00F34644" w:rsidRPr="009C2953">
        <w:t xml:space="preserve"> les </w:t>
      </w:r>
      <w:r w:rsidR="00607B78" w:rsidRPr="009C2953">
        <w:t>critiques contribuant au développement et à l</w:t>
      </w:r>
      <w:r w:rsidR="00EA2966" w:rsidRPr="009C2953">
        <w:t>’</w:t>
      </w:r>
      <w:r w:rsidR="00607B78" w:rsidRPr="009C2953">
        <w:t>affinement</w:t>
      </w:r>
      <w:r w:rsidR="00D24DC1" w:rsidRPr="009C2953">
        <w:t xml:space="preserve"> des </w:t>
      </w:r>
      <w:r w:rsidR="00607B78" w:rsidRPr="009C2953">
        <w:t>méthodologies ;</w:t>
      </w:r>
    </w:p>
    <w:p w14:paraId="696683A3" w14:textId="2A9286CD" w:rsidR="00607B78" w:rsidRPr="009C2953" w:rsidRDefault="008B6730" w:rsidP="008B6730">
      <w:pPr>
        <w:pStyle w:val="NormalNonumber"/>
        <w:rPr>
          <w:color w:val="000000"/>
        </w:rPr>
      </w:pPr>
      <w:r w:rsidRPr="009C2953">
        <w:rPr>
          <w:color w:val="000000"/>
        </w:rPr>
        <w:tab/>
        <w:t>f)</w:t>
      </w:r>
      <w:r w:rsidRPr="009C2953">
        <w:rPr>
          <w:color w:val="000000"/>
        </w:rPr>
        <w:tab/>
      </w:r>
      <w:r w:rsidR="00607B78" w:rsidRPr="009C2953">
        <w:rPr>
          <w:color w:val="000000"/>
        </w:rPr>
        <w:t>Des échanges avec</w:t>
      </w:r>
      <w:r w:rsidR="00F34644" w:rsidRPr="009C2953">
        <w:rPr>
          <w:color w:val="000000"/>
        </w:rPr>
        <w:t xml:space="preserve"> les </w:t>
      </w:r>
      <w:r w:rsidR="00607B78" w:rsidRPr="009C2953">
        <w:rPr>
          <w:color w:val="000000"/>
        </w:rPr>
        <w:t>différentes parties prenantes,</w:t>
      </w:r>
      <w:r w:rsidR="00F34644" w:rsidRPr="009C2953">
        <w:rPr>
          <w:color w:val="000000"/>
        </w:rPr>
        <w:t xml:space="preserve"> y </w:t>
      </w:r>
      <w:r w:rsidR="00607B78" w:rsidRPr="009C2953">
        <w:rPr>
          <w:color w:val="000000"/>
        </w:rPr>
        <w:t>compris celles qui ont</w:t>
      </w:r>
      <w:r w:rsidR="00D24DC1" w:rsidRPr="009C2953">
        <w:rPr>
          <w:color w:val="000000"/>
        </w:rPr>
        <w:t xml:space="preserve"> des </w:t>
      </w:r>
      <w:r w:rsidR="00607B78" w:rsidRPr="009C2953">
        <w:rPr>
          <w:color w:val="000000"/>
        </w:rPr>
        <w:t>compétences dans</w:t>
      </w:r>
      <w:r w:rsidR="00F34644" w:rsidRPr="009C2953">
        <w:rPr>
          <w:color w:val="000000"/>
        </w:rPr>
        <w:t xml:space="preserve"> les </w:t>
      </w:r>
      <w:r w:rsidR="00607B78" w:rsidRPr="009C2953">
        <w:rPr>
          <w:color w:val="000000"/>
        </w:rPr>
        <w:t>domaines de</w:t>
      </w:r>
      <w:r w:rsidR="00F34644" w:rsidRPr="009C2953">
        <w:rPr>
          <w:color w:val="000000"/>
        </w:rPr>
        <w:t xml:space="preserve"> la </w:t>
      </w:r>
      <w:r w:rsidR="00607B78" w:rsidRPr="009C2953">
        <w:t>modélisation,</w:t>
      </w:r>
      <w:r w:rsidR="00D24DC1" w:rsidRPr="009C2953">
        <w:t xml:space="preserve"> des </w:t>
      </w:r>
      <w:r w:rsidR="00607B78" w:rsidRPr="009C2953">
        <w:t>sciences sociales et humaines et</w:t>
      </w:r>
      <w:r w:rsidR="00D24DC1" w:rsidRPr="009C2953">
        <w:t xml:space="preserve"> des </w:t>
      </w:r>
      <w:r w:rsidR="00607B78" w:rsidRPr="009C2953">
        <w:t>savoirs autochtones et locaux, ainsi qu</w:t>
      </w:r>
      <w:r w:rsidR="00EA2966" w:rsidRPr="009C2953">
        <w:t>’</w:t>
      </w:r>
      <w:r w:rsidR="00607B78" w:rsidRPr="009C2953">
        <w:t>avec les décideur(se)s et</w:t>
      </w:r>
      <w:r w:rsidR="00F34644" w:rsidRPr="009C2953">
        <w:t xml:space="preserve"> les </w:t>
      </w:r>
      <w:r w:rsidR="00607B78" w:rsidRPr="009C2953">
        <w:t>acteurs du secteur privé, en</w:t>
      </w:r>
      <w:r w:rsidR="004B5612" w:rsidRPr="009C2953">
        <w:t> </w:t>
      </w:r>
      <w:r w:rsidR="00607B78" w:rsidRPr="009C2953">
        <w:t>participant</w:t>
      </w:r>
      <w:r w:rsidR="00F34644" w:rsidRPr="009C2953">
        <w:t xml:space="preserve"> aux </w:t>
      </w:r>
      <w:r w:rsidR="00607B78" w:rsidRPr="009C2953">
        <w:t>réunions et conférences internationales pertinentes,</w:t>
      </w:r>
      <w:r w:rsidR="00F34644" w:rsidRPr="009C2953">
        <w:t xml:space="preserve"> y </w:t>
      </w:r>
      <w:r w:rsidR="00607B78" w:rsidRPr="009C2953">
        <w:t>compris</w:t>
      </w:r>
      <w:r w:rsidR="00F34644" w:rsidRPr="009C2953">
        <w:t xml:space="preserve"> les </w:t>
      </w:r>
      <w:r w:rsidR="00607B78" w:rsidRPr="009C2953">
        <w:t>dialogues prévus sur</w:t>
      </w:r>
      <w:r w:rsidR="00F34644" w:rsidRPr="009C2953">
        <w:t xml:space="preserve"> les </w:t>
      </w:r>
      <w:r w:rsidR="00607B78" w:rsidRPr="009C2953">
        <w:t>savoirs autochtones et locaux,</w:t>
      </w:r>
      <w:r w:rsidR="00F34644" w:rsidRPr="009C2953">
        <w:t xml:space="preserve"> le </w:t>
      </w:r>
      <w:r w:rsidR="00607B78" w:rsidRPr="009C2953">
        <w:t>cas échéant, afin de diffuser, d</w:t>
      </w:r>
      <w:r w:rsidR="00EA2966" w:rsidRPr="009C2953">
        <w:t>’</w:t>
      </w:r>
      <w:r w:rsidR="00607B78" w:rsidRPr="009C2953">
        <w:t>analyser et d</w:t>
      </w:r>
      <w:r w:rsidR="00EA2966" w:rsidRPr="009C2953">
        <w:t>’</w:t>
      </w:r>
      <w:r w:rsidR="00607B78" w:rsidRPr="009C2953">
        <w:t>approfondir</w:t>
      </w:r>
      <w:r w:rsidR="00F34644" w:rsidRPr="009C2953">
        <w:t xml:space="preserve"> les </w:t>
      </w:r>
      <w:r w:rsidR="00607B78" w:rsidRPr="009C2953">
        <w:t>travaux de l</w:t>
      </w:r>
      <w:r w:rsidR="00EA2966" w:rsidRPr="009C2953">
        <w:t>’</w:t>
      </w:r>
      <w:r w:rsidR="00607B78" w:rsidRPr="009C2953">
        <w:t>IPBES en matière de scénarios et de modèles.</w:t>
      </w:r>
      <w:r w:rsidR="00607B78" w:rsidRPr="009C2953">
        <w:rPr>
          <w:color w:val="000000"/>
        </w:rPr>
        <w:t xml:space="preserve"> </w:t>
      </w:r>
    </w:p>
    <w:p w14:paraId="1CD4F0CA" w14:textId="54763E04" w:rsidR="00607B78" w:rsidRPr="009C2953" w:rsidRDefault="008B6730" w:rsidP="008B6730">
      <w:pPr>
        <w:pStyle w:val="NormalNonumber"/>
        <w:ind w:left="1274"/>
        <w:rPr>
          <w:color w:val="000000"/>
        </w:rPr>
      </w:pPr>
      <w:r w:rsidRPr="009C2953">
        <w:rPr>
          <w:color w:val="000000"/>
        </w:rPr>
        <w:t>5.</w:t>
      </w:r>
      <w:r w:rsidRPr="009C2953">
        <w:rPr>
          <w:color w:val="000000"/>
        </w:rPr>
        <w:tab/>
      </w:r>
      <w:r w:rsidR="00607B78" w:rsidRPr="009C2953">
        <w:rPr>
          <w:color w:val="000000"/>
        </w:rPr>
        <w:t>Les activités visant à garantir</w:t>
      </w:r>
      <w:r w:rsidR="00F34644" w:rsidRPr="009C2953">
        <w:rPr>
          <w:color w:val="000000"/>
        </w:rPr>
        <w:t xml:space="preserve"> la </w:t>
      </w:r>
      <w:r w:rsidR="00607B78" w:rsidRPr="009C2953">
        <w:rPr>
          <w:color w:val="000000"/>
        </w:rPr>
        <w:t>mise en œuvre effective du plan de travail comprennent l</w:t>
      </w:r>
      <w:r w:rsidR="00EA2966" w:rsidRPr="009C2953">
        <w:rPr>
          <w:color w:val="000000"/>
        </w:rPr>
        <w:t>’</w:t>
      </w:r>
      <w:r w:rsidR="00607B78" w:rsidRPr="009C2953">
        <w:rPr>
          <w:color w:val="000000"/>
        </w:rPr>
        <w:t>élaboration et</w:t>
      </w:r>
      <w:r w:rsidR="00F34644" w:rsidRPr="009C2953">
        <w:rPr>
          <w:color w:val="000000"/>
        </w:rPr>
        <w:t xml:space="preserve"> le </w:t>
      </w:r>
      <w:r w:rsidR="00607B78" w:rsidRPr="009C2953">
        <w:rPr>
          <w:color w:val="000000"/>
        </w:rPr>
        <w:t>suivi d</w:t>
      </w:r>
      <w:r w:rsidR="00EA2966" w:rsidRPr="009C2953">
        <w:rPr>
          <w:color w:val="000000"/>
        </w:rPr>
        <w:t>’</w:t>
      </w:r>
      <w:r w:rsidR="00607B78" w:rsidRPr="009C2953">
        <w:rPr>
          <w:color w:val="000000"/>
        </w:rPr>
        <w:t>une série d</w:t>
      </w:r>
      <w:r w:rsidR="00EA2966" w:rsidRPr="009C2953">
        <w:rPr>
          <w:color w:val="000000"/>
        </w:rPr>
        <w:t>’</w:t>
      </w:r>
      <w:r w:rsidR="00607B78" w:rsidRPr="009C2953">
        <w:rPr>
          <w:color w:val="000000"/>
        </w:rPr>
        <w:t>indicateurs pertinents pour mesurer l</w:t>
      </w:r>
      <w:r w:rsidR="00EA2966" w:rsidRPr="009C2953">
        <w:rPr>
          <w:color w:val="000000"/>
        </w:rPr>
        <w:t>’</w:t>
      </w:r>
      <w:r w:rsidR="00607B78" w:rsidRPr="009C2953">
        <w:rPr>
          <w:color w:val="000000"/>
        </w:rPr>
        <w:t>efficacité. L</w:t>
      </w:r>
      <w:r w:rsidR="00EA2966" w:rsidRPr="009C2953">
        <w:rPr>
          <w:color w:val="000000"/>
        </w:rPr>
        <w:t>’</w:t>
      </w:r>
      <w:r w:rsidR="00607B78" w:rsidRPr="009C2953">
        <w:rPr>
          <w:color w:val="000000"/>
        </w:rPr>
        <w:t>ensemble d</w:t>
      </w:r>
      <w:r w:rsidR="00EA2966" w:rsidRPr="009C2953">
        <w:rPr>
          <w:color w:val="000000"/>
        </w:rPr>
        <w:t>’</w:t>
      </w:r>
      <w:r w:rsidR="00607B78" w:rsidRPr="009C2953">
        <w:rPr>
          <w:color w:val="000000"/>
        </w:rPr>
        <w:t>indicateurs mis au point sera présenté à</w:t>
      </w:r>
      <w:r w:rsidR="00F34644" w:rsidRPr="009C2953">
        <w:rPr>
          <w:color w:val="000000"/>
        </w:rPr>
        <w:t xml:space="preserve"> la </w:t>
      </w:r>
      <w:r w:rsidR="00607B78" w:rsidRPr="009C2953">
        <w:rPr>
          <w:color w:val="000000"/>
        </w:rPr>
        <w:t>Plénière, à</w:t>
      </w:r>
      <w:r w:rsidR="00F34644" w:rsidRPr="009C2953">
        <w:rPr>
          <w:color w:val="000000"/>
        </w:rPr>
        <w:t xml:space="preserve"> sa </w:t>
      </w:r>
      <w:r w:rsidR="00607B78" w:rsidRPr="009C2953">
        <w:rPr>
          <w:color w:val="000000"/>
        </w:rPr>
        <w:t>onzième session, dans</w:t>
      </w:r>
      <w:r w:rsidR="00F34644" w:rsidRPr="009C2953">
        <w:rPr>
          <w:color w:val="000000"/>
        </w:rPr>
        <w:t xml:space="preserve"> le </w:t>
      </w:r>
      <w:r w:rsidR="00607B78" w:rsidRPr="009C2953">
        <w:rPr>
          <w:color w:val="000000"/>
        </w:rPr>
        <w:t>cadre du projet de</w:t>
      </w:r>
      <w:r w:rsidR="004B5612" w:rsidRPr="009C2953">
        <w:rPr>
          <w:color w:val="000000"/>
        </w:rPr>
        <w:t> </w:t>
      </w:r>
      <w:r w:rsidR="00607B78" w:rsidRPr="009C2953">
        <w:rPr>
          <w:color w:val="000000"/>
        </w:rPr>
        <w:t>plan de travail pour</w:t>
      </w:r>
      <w:r w:rsidR="00F34644" w:rsidRPr="009C2953">
        <w:rPr>
          <w:color w:val="000000"/>
        </w:rPr>
        <w:t xml:space="preserve"> la </w:t>
      </w:r>
      <w:r w:rsidR="00607B78" w:rsidRPr="009C2953">
        <w:rPr>
          <w:color w:val="000000"/>
        </w:rPr>
        <w:t>période intersessions 2024</w:t>
      </w:r>
      <w:r w:rsidR="00FA7442">
        <w:rPr>
          <w:color w:val="000000"/>
        </w:rPr>
        <w:t>–</w:t>
      </w:r>
      <w:r w:rsidR="00607B78" w:rsidRPr="009C2953">
        <w:rPr>
          <w:color w:val="000000"/>
        </w:rPr>
        <w:t>2025.</w:t>
      </w:r>
    </w:p>
    <w:p w14:paraId="3026306D" w14:textId="77777777" w:rsidR="00607B78" w:rsidRPr="009C2953" w:rsidRDefault="00607B78" w:rsidP="00607B78">
      <w:pPr>
        <w:pStyle w:val="Normal-pool"/>
      </w:pPr>
    </w:p>
    <w:p w14:paraId="441CA488"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19E0D491" w14:textId="65B6651B" w:rsidR="00607B78" w:rsidRPr="009C2953" w:rsidRDefault="00607B78" w:rsidP="00607B78">
      <w:pPr>
        <w:pStyle w:val="CH1"/>
      </w:pPr>
      <w:r w:rsidRPr="009C2953">
        <w:lastRenderedPageBreak/>
        <w:tab/>
      </w:r>
      <w:r w:rsidRPr="009C2953">
        <w:tab/>
        <w:t>Annexe IX à</w:t>
      </w:r>
      <w:r w:rsidR="00F34644" w:rsidRPr="009C2953">
        <w:t xml:space="preserve"> la </w:t>
      </w:r>
      <w:r w:rsidRPr="009C2953">
        <w:t>décision IPBES-10/1</w:t>
      </w:r>
    </w:p>
    <w:p w14:paraId="61478C60" w14:textId="6318E639" w:rsidR="00607B78" w:rsidRPr="009C2953" w:rsidRDefault="00607B78" w:rsidP="00607B78">
      <w:pPr>
        <w:pStyle w:val="CH1"/>
      </w:pPr>
      <w:r w:rsidRPr="009C2953">
        <w:tab/>
      </w:r>
      <w:r w:rsidRPr="009C2953">
        <w:tab/>
        <w:t>Cadre pour l</w:t>
      </w:r>
      <w:r w:rsidR="00EA2966" w:rsidRPr="009C2953">
        <w:t>’</w:t>
      </w:r>
      <w:r w:rsidRPr="009C2953">
        <w:t>examen à mi-parcours du programme de travail glissant de</w:t>
      </w:r>
      <w:r w:rsidR="00F34644" w:rsidRPr="009C2953">
        <w:t xml:space="preserve"> la </w:t>
      </w:r>
      <w:r w:rsidRPr="009C2953">
        <w:t>Plateforme intergouvernementale scientifique et politique sur</w:t>
      </w:r>
      <w:r w:rsidR="00F34644" w:rsidRPr="009C2953">
        <w:t xml:space="preserve"> la </w:t>
      </w:r>
      <w:r w:rsidRPr="009C2953">
        <w:t>biodiversité et</w:t>
      </w:r>
      <w:r w:rsidR="00F34644" w:rsidRPr="009C2953">
        <w:t xml:space="preserve"> les </w:t>
      </w:r>
      <w:r w:rsidRPr="009C2953">
        <w:t>services écosystémiques pour</w:t>
      </w:r>
      <w:r w:rsidR="00F34644" w:rsidRPr="009C2953">
        <w:t xml:space="preserve"> la </w:t>
      </w:r>
      <w:r w:rsidRPr="009C2953">
        <w:t>période allant jusqu</w:t>
      </w:r>
      <w:r w:rsidR="00EA2966" w:rsidRPr="009C2953">
        <w:t>’</w:t>
      </w:r>
      <w:r w:rsidRPr="009C2953">
        <w:t>en 2030</w:t>
      </w:r>
    </w:p>
    <w:p w14:paraId="10E12694" w14:textId="690B572D" w:rsidR="00607B78" w:rsidRPr="009C2953" w:rsidRDefault="00607B78" w:rsidP="00607B78">
      <w:pPr>
        <w:pStyle w:val="CH1"/>
      </w:pPr>
      <w:r w:rsidRPr="009C2953">
        <w:tab/>
        <w:t>I.</w:t>
      </w:r>
      <w:r w:rsidRPr="009C2953">
        <w:tab/>
        <w:t>Objectifs, calendrier et résultats escomptés de l</w:t>
      </w:r>
      <w:r w:rsidR="00EA2966" w:rsidRPr="009C2953">
        <w:t>’</w:t>
      </w:r>
      <w:r w:rsidRPr="009C2953">
        <w:t>examen</w:t>
      </w:r>
    </w:p>
    <w:p w14:paraId="2891BE3B" w14:textId="356F367A" w:rsidR="00607B78" w:rsidRPr="009C2953" w:rsidRDefault="00094601" w:rsidP="00094601">
      <w:pPr>
        <w:pStyle w:val="NormalNonumber"/>
      </w:pPr>
      <w:r w:rsidRPr="009C2953">
        <w:t>1.</w:t>
      </w:r>
      <w:r w:rsidRPr="009C2953">
        <w:tab/>
      </w:r>
      <w:r w:rsidR="00607B78" w:rsidRPr="009C2953">
        <w:t xml:space="preserve">Un examen à mi-parcours du programme de travail </w:t>
      </w:r>
      <w:r w:rsidR="00260A0B" w:rsidRPr="009C2953">
        <w:t>glissant pour</w:t>
      </w:r>
      <w:r w:rsidR="00F34644" w:rsidRPr="009C2953">
        <w:t xml:space="preserve"> la </w:t>
      </w:r>
      <w:r w:rsidR="00607B78" w:rsidRPr="009C2953">
        <w:t>période allant</w:t>
      </w:r>
      <w:r w:rsidRPr="009C2953">
        <w:t xml:space="preserve"> </w:t>
      </w:r>
      <w:r w:rsidR="00607B78" w:rsidRPr="009C2953">
        <w:t>jusqu</w:t>
      </w:r>
      <w:r w:rsidR="00EA2966" w:rsidRPr="009C2953">
        <w:t>’</w:t>
      </w:r>
      <w:r w:rsidR="00607B78" w:rsidRPr="009C2953">
        <w:t>en</w:t>
      </w:r>
      <w:r w:rsidR="0044004C" w:rsidRPr="009C2953">
        <w:t> </w:t>
      </w:r>
      <w:r w:rsidR="00607B78" w:rsidRPr="009C2953">
        <w:t>2030 sera réalisé entre</w:t>
      </w:r>
      <w:r w:rsidR="00F34644" w:rsidRPr="009C2953">
        <w:t xml:space="preserve"> </w:t>
      </w:r>
      <w:proofErr w:type="gramStart"/>
      <w:r w:rsidR="00F34644" w:rsidRPr="009C2953">
        <w:t>les </w:t>
      </w:r>
      <w:r w:rsidR="00607B78" w:rsidRPr="009C2953">
        <w:t>dixième</w:t>
      </w:r>
      <w:proofErr w:type="gramEnd"/>
      <w:r w:rsidR="00607B78" w:rsidRPr="009C2953">
        <w:t xml:space="preserve"> et douzième sessions de</w:t>
      </w:r>
      <w:r w:rsidR="00F34644" w:rsidRPr="009C2953">
        <w:t xml:space="preserve"> la </w:t>
      </w:r>
      <w:r w:rsidR="00607B78" w:rsidRPr="009C2953">
        <w:t>Plénière de</w:t>
      </w:r>
      <w:r w:rsidR="00F34644" w:rsidRPr="009C2953">
        <w:t xml:space="preserve"> la </w:t>
      </w:r>
      <w:r w:rsidR="00607B78" w:rsidRPr="009C2953">
        <w:t>Plateforme</w:t>
      </w:r>
      <w:r w:rsidR="0044004C" w:rsidRPr="009C2953">
        <w:t> </w:t>
      </w:r>
      <w:r w:rsidR="00607B78" w:rsidRPr="009C2953">
        <w:t>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w:t>
      </w:r>
      <w:r w:rsidR="0044004C" w:rsidRPr="009C2953">
        <w:t> </w:t>
      </w:r>
      <w:r w:rsidR="00607B78" w:rsidRPr="009C2953">
        <w:t>(IPBES). Il se composera d</w:t>
      </w:r>
      <w:r w:rsidR="00EA2966" w:rsidRPr="009C2953">
        <w:t>’</w:t>
      </w:r>
      <w:r w:rsidR="00607B78" w:rsidRPr="009C2953">
        <w:t>un examen interne mené entre</w:t>
      </w:r>
      <w:r w:rsidR="00F34644" w:rsidRPr="009C2953">
        <w:t xml:space="preserve"> </w:t>
      </w:r>
      <w:proofErr w:type="gramStart"/>
      <w:r w:rsidR="00F34644" w:rsidRPr="009C2953">
        <w:t>les </w:t>
      </w:r>
      <w:r w:rsidR="00607B78" w:rsidRPr="009C2953">
        <w:t>dixième</w:t>
      </w:r>
      <w:proofErr w:type="gramEnd"/>
      <w:r w:rsidR="00607B78" w:rsidRPr="009C2953">
        <w:t xml:space="preserve"> et onzième sessions, et d</w:t>
      </w:r>
      <w:r w:rsidR="00EA2966" w:rsidRPr="009C2953">
        <w:t>’</w:t>
      </w:r>
      <w:r w:rsidR="00607B78" w:rsidRPr="009C2953">
        <w:t>un examen externe mené entre</w:t>
      </w:r>
      <w:r w:rsidR="00F34644" w:rsidRPr="009C2953">
        <w:t xml:space="preserve"> les </w:t>
      </w:r>
      <w:r w:rsidR="00607B78" w:rsidRPr="009C2953">
        <w:t>onzième et douzième sessions de</w:t>
      </w:r>
      <w:r w:rsidR="00F34644" w:rsidRPr="009C2953">
        <w:t xml:space="preserve"> la </w:t>
      </w:r>
      <w:r w:rsidR="00607B78" w:rsidRPr="009C2953">
        <w:t>Plénière.</w:t>
      </w:r>
    </w:p>
    <w:p w14:paraId="7A3B9554" w14:textId="13669808" w:rsidR="00607B78" w:rsidRPr="009C2953" w:rsidRDefault="00094601" w:rsidP="00094601">
      <w:pPr>
        <w:pStyle w:val="NormalNonumber"/>
        <w:rPr>
          <w:color w:val="000000"/>
        </w:rPr>
      </w:pPr>
      <w:r w:rsidRPr="009C2953">
        <w:t>2.</w:t>
      </w:r>
      <w:r w:rsidRPr="009C2953">
        <w:tab/>
      </w:r>
      <w:r w:rsidR="00607B78" w:rsidRPr="009C2953">
        <w:t>Les éléments ci-après seront évalués :</w:t>
      </w:r>
    </w:p>
    <w:p w14:paraId="5ADCA4AF" w14:textId="6EEB2790" w:rsidR="00607B78" w:rsidRPr="009C2953" w:rsidRDefault="00094601" w:rsidP="00094601">
      <w:pPr>
        <w:pStyle w:val="NormalNonumber"/>
        <w:rPr>
          <w:color w:val="000000"/>
        </w:rPr>
      </w:pPr>
      <w:r w:rsidRPr="009C2953">
        <w:tab/>
        <w:t>a)</w:t>
      </w:r>
      <w:r w:rsidRPr="009C2953">
        <w:tab/>
      </w:r>
      <w:r w:rsidR="00607B78" w:rsidRPr="009C2953">
        <w:t>L</w:t>
      </w:r>
      <w:r w:rsidR="00EA2966" w:rsidRPr="009C2953">
        <w:t>’</w:t>
      </w:r>
      <w:r w:rsidR="00607B78" w:rsidRPr="009C2953">
        <w:t>efficacité</w:t>
      </w:r>
      <w:r w:rsidR="00D24DC1" w:rsidRPr="009C2953">
        <w:t xml:space="preserve"> des </w:t>
      </w:r>
      <w:r w:rsidR="00607B78" w:rsidRPr="009C2953">
        <w:t>dispositions institutionnelles de</w:t>
      </w:r>
      <w:r w:rsidR="00F34644" w:rsidRPr="009C2953">
        <w:t xml:space="preserve"> la </w:t>
      </w:r>
      <w:r w:rsidR="00607B78" w:rsidRPr="009C2953">
        <w:t>Plateforme et de</w:t>
      </w:r>
      <w:r w:rsidR="00F34644" w:rsidRPr="009C2953">
        <w:t xml:space="preserve"> son </w:t>
      </w:r>
      <w:r w:rsidR="00607B78" w:rsidRPr="009C2953">
        <w:t>secrétariat, en</w:t>
      </w:r>
      <w:r w:rsidR="0044004C" w:rsidRPr="009C2953">
        <w:t> </w:t>
      </w:r>
      <w:r w:rsidR="00607B78" w:rsidRPr="009C2953">
        <w:t>particulier celle :</w:t>
      </w:r>
    </w:p>
    <w:p w14:paraId="5DA6C070" w14:textId="7ED4B0A2" w:rsidR="00607B78" w:rsidRPr="009C2953" w:rsidRDefault="00094601" w:rsidP="00D0133B">
      <w:pPr>
        <w:pStyle w:val="NormalNonumber"/>
        <w:ind w:left="3122" w:hanging="1589"/>
      </w:pPr>
      <w:r w:rsidRPr="009C2953">
        <w:tab/>
      </w:r>
      <w:r w:rsidRPr="009C2953">
        <w:tab/>
        <w:t>i)</w:t>
      </w:r>
      <w:r w:rsidRPr="009C2953">
        <w:tab/>
      </w:r>
      <w:r w:rsidR="00607B78" w:rsidRPr="009C2953">
        <w:t>Des travaux et</w:t>
      </w:r>
      <w:r w:rsidR="00D24DC1" w:rsidRPr="009C2953">
        <w:t xml:space="preserve"> des </w:t>
      </w:r>
      <w:r w:rsidR="00607B78" w:rsidRPr="009C2953">
        <w:t>sessions de</w:t>
      </w:r>
      <w:r w:rsidR="00F34644" w:rsidRPr="009C2953">
        <w:t xml:space="preserve"> la </w:t>
      </w:r>
      <w:r w:rsidR="00607B78" w:rsidRPr="009C2953">
        <w:t>Plénière, notamment</w:t>
      </w:r>
      <w:r w:rsidR="00D24DC1" w:rsidRPr="009C2953">
        <w:t xml:space="preserve"> des </w:t>
      </w:r>
      <w:r w:rsidR="00607B78" w:rsidRPr="009C2953">
        <w:t>divers mécanismes visant à faciliter</w:t>
      </w:r>
      <w:r w:rsidR="00F34644" w:rsidRPr="009C2953">
        <w:t xml:space="preserve"> le </w:t>
      </w:r>
      <w:r w:rsidR="00607B78" w:rsidRPr="009C2953">
        <w:t>consensus,</w:t>
      </w:r>
      <w:r w:rsidR="00F34644" w:rsidRPr="009C2953">
        <w:t xml:space="preserve"> y </w:t>
      </w:r>
      <w:r w:rsidR="00607B78" w:rsidRPr="009C2953">
        <w:t>compris</w:t>
      </w:r>
      <w:r w:rsidR="00F34644" w:rsidRPr="009C2953">
        <w:t xml:space="preserve"> les </w:t>
      </w:r>
      <w:r w:rsidR="00607B78" w:rsidRPr="009C2953">
        <w:t>processus préparatoires ;</w:t>
      </w:r>
    </w:p>
    <w:p w14:paraId="613173FC" w14:textId="557BB200" w:rsidR="00607B78" w:rsidRPr="009C2953" w:rsidRDefault="00094601" w:rsidP="00D0133B">
      <w:pPr>
        <w:pStyle w:val="NormalNonumber"/>
        <w:ind w:left="3122" w:hanging="1589"/>
      </w:pPr>
      <w:r w:rsidRPr="009C2953">
        <w:tab/>
      </w:r>
      <w:r w:rsidRPr="009C2953">
        <w:tab/>
        <w:t>ii)</w:t>
      </w:r>
      <w:r w:rsidRPr="009C2953">
        <w:tab/>
      </w:r>
      <w:r w:rsidR="00607B78" w:rsidRPr="009C2953">
        <w:t>De</w:t>
      </w:r>
      <w:r w:rsidR="00F34644" w:rsidRPr="009C2953">
        <w:t xml:space="preserve"> la </w:t>
      </w:r>
      <w:r w:rsidR="00607B78" w:rsidRPr="009C2953">
        <w:t>réalisation des objectifs 2, 3 et 4, en particulier</w:t>
      </w:r>
      <w:r w:rsidR="00F34644" w:rsidRPr="009C2953">
        <w:t xml:space="preserve"> les </w:t>
      </w:r>
      <w:r w:rsidR="00607B78" w:rsidRPr="009C2953">
        <w:t>travaux et</w:t>
      </w:r>
      <w:r w:rsidR="00F34644" w:rsidRPr="009C2953">
        <w:t xml:space="preserve"> la </w:t>
      </w:r>
      <w:r w:rsidR="00607B78" w:rsidRPr="009C2953">
        <w:t>structure</w:t>
      </w:r>
      <w:r w:rsidR="00D24DC1" w:rsidRPr="009C2953">
        <w:t xml:space="preserve"> des </w:t>
      </w:r>
      <w:r w:rsidR="00607B78" w:rsidRPr="009C2953">
        <w:t>équipes spéciales de l</w:t>
      </w:r>
      <w:r w:rsidR="00EA2966" w:rsidRPr="009C2953">
        <w:t>’</w:t>
      </w:r>
      <w:r w:rsidR="00607B78" w:rsidRPr="009C2953">
        <w:t>IPBES,</w:t>
      </w:r>
      <w:r w:rsidR="00F34644" w:rsidRPr="009C2953">
        <w:t xml:space="preserve"> y </w:t>
      </w:r>
      <w:r w:rsidR="00607B78" w:rsidRPr="009C2953">
        <w:t>compris</w:t>
      </w:r>
      <w:r w:rsidR="00F34644" w:rsidRPr="009C2953">
        <w:t xml:space="preserve"> les </w:t>
      </w:r>
      <w:r w:rsidR="00607B78" w:rsidRPr="009C2953">
        <w:t>interactions de ces équipes entre</w:t>
      </w:r>
      <w:r w:rsidR="00F34644" w:rsidRPr="009C2953">
        <w:t xml:space="preserve"> elles </w:t>
      </w:r>
      <w:r w:rsidR="00607B78" w:rsidRPr="009C2953">
        <w:t>et avec</w:t>
      </w:r>
      <w:r w:rsidR="00F34644" w:rsidRPr="009C2953">
        <w:t xml:space="preserve"> les </w:t>
      </w:r>
      <w:r w:rsidR="00607B78" w:rsidRPr="009C2953">
        <w:t>groupes d</w:t>
      </w:r>
      <w:r w:rsidR="00EA2966" w:rsidRPr="009C2953">
        <w:t>’</w:t>
      </w:r>
      <w:r w:rsidR="00607B78" w:rsidRPr="009C2953">
        <w:t>appui technique et</w:t>
      </w:r>
      <w:r w:rsidR="00F34644" w:rsidRPr="009C2953">
        <w:t xml:space="preserve"> le </w:t>
      </w:r>
      <w:r w:rsidR="00607B78" w:rsidRPr="009C2953">
        <w:t>secrétariat ;</w:t>
      </w:r>
    </w:p>
    <w:p w14:paraId="413B6895" w14:textId="6FAAFD87" w:rsidR="00607B78" w:rsidRPr="009C2953" w:rsidRDefault="00D0133B" w:rsidP="00D0133B">
      <w:pPr>
        <w:pStyle w:val="NormalNonumber"/>
      </w:pPr>
      <w:r w:rsidRPr="009C2953">
        <w:tab/>
      </w:r>
      <w:r w:rsidRPr="009C2953">
        <w:tab/>
      </w:r>
      <w:r w:rsidR="00094601" w:rsidRPr="009C2953">
        <w:t>iii)</w:t>
      </w:r>
      <w:r w:rsidR="00094601" w:rsidRPr="009C2953">
        <w:tab/>
      </w:r>
      <w:r w:rsidR="00607B78" w:rsidRPr="009C2953">
        <w:t>Des travaux du Bureau et du Groupe d</w:t>
      </w:r>
      <w:r w:rsidR="00EA2966" w:rsidRPr="009C2953">
        <w:t>’</w:t>
      </w:r>
      <w:r w:rsidR="00607B78" w:rsidRPr="009C2953">
        <w:t>experts multidisciplinaire ;</w:t>
      </w:r>
    </w:p>
    <w:p w14:paraId="1F27F466" w14:textId="15A74B99" w:rsidR="00607B78" w:rsidRPr="009C2953" w:rsidRDefault="00D0133B" w:rsidP="00D0133B">
      <w:pPr>
        <w:pStyle w:val="NormalNonumber"/>
      </w:pPr>
      <w:r w:rsidRPr="009C2953">
        <w:tab/>
      </w:r>
      <w:r w:rsidRPr="009C2953">
        <w:tab/>
      </w:r>
      <w:r w:rsidR="00094601" w:rsidRPr="009C2953">
        <w:t>iv)</w:t>
      </w:r>
      <w:r w:rsidR="00094601" w:rsidRPr="009C2953">
        <w:tab/>
      </w:r>
      <w:r w:rsidR="00607B78" w:rsidRPr="009C2953">
        <w:t>Des dispositifs financiers et budgétaires de</w:t>
      </w:r>
      <w:r w:rsidR="00F34644" w:rsidRPr="009C2953">
        <w:t xml:space="preserve"> la </w:t>
      </w:r>
      <w:r w:rsidR="00607B78" w:rsidRPr="009C2953">
        <w:t>Plateforme ;</w:t>
      </w:r>
    </w:p>
    <w:p w14:paraId="5AD79F7B" w14:textId="66095C63" w:rsidR="00607B78" w:rsidRPr="009C2953" w:rsidRDefault="00D0133B" w:rsidP="00D0133B">
      <w:pPr>
        <w:pStyle w:val="NormalNonumber"/>
      </w:pPr>
      <w:r w:rsidRPr="009C2953">
        <w:tab/>
      </w:r>
      <w:r w:rsidRPr="009C2953">
        <w:tab/>
      </w:r>
      <w:r w:rsidR="00094601" w:rsidRPr="009C2953">
        <w:t>v)</w:t>
      </w:r>
      <w:r w:rsidR="00094601" w:rsidRPr="009C2953">
        <w:tab/>
      </w:r>
      <w:r w:rsidR="00607B78" w:rsidRPr="009C2953">
        <w:t>Des activités de communication et de sensibilisation de l</w:t>
      </w:r>
      <w:r w:rsidR="00EA2966" w:rsidRPr="009C2953">
        <w:t>’</w:t>
      </w:r>
      <w:r w:rsidR="00607B78" w:rsidRPr="009C2953">
        <w:t>IPBES ;</w:t>
      </w:r>
    </w:p>
    <w:p w14:paraId="1D0E14E4" w14:textId="113E0E1B" w:rsidR="00607B78" w:rsidRPr="009C2953" w:rsidRDefault="00094601" w:rsidP="00094601">
      <w:pPr>
        <w:pStyle w:val="NormalNonumber"/>
      </w:pPr>
      <w:r w:rsidRPr="009C2953">
        <w:tab/>
        <w:t>b)</w:t>
      </w:r>
      <w:r w:rsidRPr="009C2953">
        <w:tab/>
      </w:r>
      <w:r w:rsidR="00607B78" w:rsidRPr="009C2953">
        <w:t>L</w:t>
      </w:r>
      <w:r w:rsidR="00EA2966" w:rsidRPr="009C2953">
        <w:t>’</w:t>
      </w:r>
      <w:r w:rsidR="00607B78" w:rsidRPr="009C2953">
        <w:t>efficacité</w:t>
      </w:r>
      <w:r w:rsidR="00D24DC1" w:rsidRPr="009C2953">
        <w:t xml:space="preserve"> des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 s</w:t>
      </w:r>
      <w:r w:rsidR="00EA2966" w:rsidRPr="009C2953">
        <w:t>’</w:t>
      </w:r>
      <w:r w:rsidR="00607B78" w:rsidRPr="009C2953">
        <w:t>agissant en</w:t>
      </w:r>
      <w:r w:rsidR="00F34278" w:rsidRPr="009C2953">
        <w:t> </w:t>
      </w:r>
      <w:r w:rsidR="00607B78" w:rsidRPr="009C2953">
        <w:t>particulier :</w:t>
      </w:r>
    </w:p>
    <w:p w14:paraId="40443530" w14:textId="3620B27E" w:rsidR="00607B78" w:rsidRPr="009C2953" w:rsidRDefault="00094601" w:rsidP="00D0133B">
      <w:pPr>
        <w:pStyle w:val="NormalNonumber"/>
        <w:ind w:left="3122" w:hanging="1589"/>
        <w:rPr>
          <w:color w:val="000000"/>
        </w:rPr>
      </w:pPr>
      <w:r w:rsidRPr="009C2953">
        <w:tab/>
      </w:r>
      <w:r w:rsidRPr="009C2953">
        <w:tab/>
        <w:t>i)</w:t>
      </w:r>
      <w:r w:rsidRPr="009C2953">
        <w:tab/>
      </w:r>
      <w:r w:rsidR="00607B78" w:rsidRPr="009C2953">
        <w:t>Des options pour traiter</w:t>
      </w:r>
      <w:r w:rsidR="00F34644" w:rsidRPr="009C2953">
        <w:t xml:space="preserve"> les </w:t>
      </w:r>
      <w:r w:rsidR="00607B78" w:rsidRPr="009C2953">
        <w:t>nouvelles questions urgentes en temps voulu,</w:t>
      </w:r>
      <w:r w:rsidR="00F34644" w:rsidRPr="009C2953">
        <w:t xml:space="preserve"> y </w:t>
      </w:r>
      <w:r w:rsidR="00607B78" w:rsidRPr="009C2953">
        <w:t>compris</w:t>
      </w:r>
      <w:r w:rsidR="00F34644" w:rsidRPr="009C2953">
        <w:t xml:space="preserve"> le </w:t>
      </w:r>
      <w:r w:rsidR="00607B78" w:rsidRPr="009C2953">
        <w:t>rôle et l</w:t>
      </w:r>
      <w:r w:rsidR="00EA2966" w:rsidRPr="009C2953">
        <w:t>’</w:t>
      </w:r>
      <w:r w:rsidR="00607B78" w:rsidRPr="009C2953">
        <w:t>impact</w:t>
      </w:r>
      <w:r w:rsidR="00D24DC1" w:rsidRPr="009C2953">
        <w:t xml:space="preserve"> des </w:t>
      </w:r>
      <w:r w:rsidR="00607B78" w:rsidRPr="009C2953">
        <w:t>ateliers et</w:t>
      </w:r>
      <w:r w:rsidR="00D24DC1" w:rsidRPr="009C2953">
        <w:t xml:space="preserve"> des </w:t>
      </w:r>
      <w:r w:rsidR="00607B78" w:rsidRPr="009C2953">
        <w:t>autres produits de</w:t>
      </w:r>
      <w:r w:rsidR="00F34644" w:rsidRPr="009C2953">
        <w:t xml:space="preserve"> la </w:t>
      </w:r>
      <w:r w:rsidR="00607B78" w:rsidRPr="009C2953">
        <w:t>Plateforme, ainsi que</w:t>
      </w:r>
      <w:r w:rsidR="00F34644" w:rsidRPr="009C2953">
        <w:t xml:space="preserve"> les </w:t>
      </w:r>
      <w:r w:rsidR="00607B78" w:rsidRPr="009C2953">
        <w:t>possibilités d</w:t>
      </w:r>
      <w:r w:rsidR="00EA2966" w:rsidRPr="009C2953">
        <w:t>’</w:t>
      </w:r>
      <w:r w:rsidR="00607B78" w:rsidRPr="009C2953">
        <w:t>en renforcer</w:t>
      </w:r>
      <w:r w:rsidR="00F34644" w:rsidRPr="009C2953">
        <w:t xml:space="preserve"> la </w:t>
      </w:r>
      <w:r w:rsidR="00607B78" w:rsidRPr="009C2953">
        <w:t>résonnance, notamment grâce à</w:t>
      </w:r>
      <w:r w:rsidR="00F34278" w:rsidRPr="009C2953">
        <w:t> </w:t>
      </w:r>
      <w:r w:rsidR="00607B78" w:rsidRPr="009C2953">
        <w:t>l</w:t>
      </w:r>
      <w:r w:rsidR="00EA2966" w:rsidRPr="009C2953">
        <w:t>’</w:t>
      </w:r>
      <w:r w:rsidR="00607B78" w:rsidRPr="009C2953">
        <w:t>examen éventuel</w:t>
      </w:r>
      <w:r w:rsidR="00D24DC1" w:rsidRPr="009C2953">
        <w:t xml:space="preserve"> des </w:t>
      </w:r>
      <w:r w:rsidR="00607B78" w:rsidRPr="009C2953">
        <w:t>rapports d</w:t>
      </w:r>
      <w:r w:rsidR="00EA2966" w:rsidRPr="009C2953">
        <w:t>’</w:t>
      </w:r>
      <w:r w:rsidR="00607B78" w:rsidRPr="009C2953">
        <w:t>ateliers par</w:t>
      </w:r>
      <w:r w:rsidR="00F34644" w:rsidRPr="009C2953">
        <w:t xml:space="preserve"> les </w:t>
      </w:r>
      <w:r w:rsidR="00607B78" w:rsidRPr="009C2953">
        <w:t>membres et</w:t>
      </w:r>
      <w:r w:rsidR="00F34644" w:rsidRPr="009C2953">
        <w:t xml:space="preserve"> les </w:t>
      </w:r>
      <w:r w:rsidR="00607B78" w:rsidRPr="009C2953">
        <w:t>observateur(</w:t>
      </w:r>
      <w:proofErr w:type="spellStart"/>
      <w:r w:rsidR="00607B78" w:rsidRPr="009C2953">
        <w:t>rice</w:t>
      </w:r>
      <w:proofErr w:type="spellEnd"/>
      <w:r w:rsidR="00607B78" w:rsidRPr="009C2953">
        <w:t>)s de l</w:t>
      </w:r>
      <w:r w:rsidR="00EA2966" w:rsidRPr="009C2953">
        <w:t>’</w:t>
      </w:r>
      <w:r w:rsidR="00607B78" w:rsidRPr="009C2953">
        <w:t>IPBES ;</w:t>
      </w:r>
    </w:p>
    <w:p w14:paraId="13B93B6C" w14:textId="74D08C24" w:rsidR="00607B78" w:rsidRPr="009C2953" w:rsidRDefault="00094601" w:rsidP="00D0133B">
      <w:pPr>
        <w:pStyle w:val="NormalNonumber"/>
        <w:ind w:left="3122" w:hanging="1589"/>
      </w:pPr>
      <w:r w:rsidRPr="009C2953">
        <w:tab/>
      </w:r>
      <w:r w:rsidRPr="009C2953">
        <w:tab/>
        <w:t>ii)</w:t>
      </w:r>
      <w:r w:rsidRPr="009C2953">
        <w:tab/>
      </w:r>
      <w:r w:rsidR="00607B78" w:rsidRPr="009C2953">
        <w:t>De l</w:t>
      </w:r>
      <w:r w:rsidR="00EA2966" w:rsidRPr="009C2953">
        <w:t>’</w:t>
      </w:r>
      <w:r w:rsidR="00607B78" w:rsidRPr="009C2953">
        <w:t>amélioration de</w:t>
      </w:r>
      <w:r w:rsidR="00F34644" w:rsidRPr="009C2953">
        <w:t xml:space="preserve"> la </w:t>
      </w:r>
      <w:r w:rsidR="00607B78" w:rsidRPr="009C2953">
        <w:t>participation</w:t>
      </w:r>
      <w:r w:rsidR="00F34644" w:rsidRPr="009C2953">
        <w:t xml:space="preserve"> aux </w:t>
      </w:r>
      <w:r w:rsidR="00607B78" w:rsidRPr="009C2953">
        <w:t>processus d</w:t>
      </w:r>
      <w:r w:rsidR="00EA2966" w:rsidRPr="009C2953">
        <w:t>’</w:t>
      </w:r>
      <w:r w:rsidR="00607B78" w:rsidRPr="009C2953">
        <w:t>examen externe</w:t>
      </w:r>
      <w:r w:rsidR="00D24DC1" w:rsidRPr="009C2953">
        <w:t xml:space="preserve"> des </w:t>
      </w:r>
      <w:r w:rsidR="00607B78" w:rsidRPr="009C2953">
        <w:t>évaluations de</w:t>
      </w:r>
      <w:r w:rsidR="00F34644" w:rsidRPr="009C2953">
        <w:t xml:space="preserve"> la </w:t>
      </w:r>
      <w:r w:rsidR="00607B78" w:rsidRPr="009C2953">
        <w:t xml:space="preserve">Plateforme ; </w:t>
      </w:r>
    </w:p>
    <w:p w14:paraId="44294E90" w14:textId="22E1A0DC" w:rsidR="00607B78" w:rsidRPr="009C2953" w:rsidRDefault="00094601" w:rsidP="00D0133B">
      <w:pPr>
        <w:pStyle w:val="NormalNonumber"/>
        <w:ind w:left="3122" w:hanging="1589"/>
      </w:pPr>
      <w:r w:rsidRPr="009C2953">
        <w:tab/>
      </w:r>
      <w:r w:rsidRPr="009C2953">
        <w:tab/>
        <w:t>iii)</w:t>
      </w:r>
      <w:r w:rsidRPr="009C2953">
        <w:tab/>
      </w:r>
      <w:r w:rsidR="00607B78" w:rsidRPr="009C2953">
        <w:t>De</w:t>
      </w:r>
      <w:r w:rsidR="00F34644" w:rsidRPr="009C2953">
        <w:t xml:space="preserve"> la </w:t>
      </w:r>
      <w:r w:rsidR="00607B78" w:rsidRPr="009C2953">
        <w:t>collaboration avec d</w:t>
      </w:r>
      <w:r w:rsidR="00EA2966" w:rsidRPr="009C2953">
        <w:t>’</w:t>
      </w:r>
      <w:r w:rsidR="00607B78" w:rsidRPr="009C2953">
        <w:t>autres entités,</w:t>
      </w:r>
      <w:r w:rsidR="00F34644" w:rsidRPr="009C2953">
        <w:t xml:space="preserve"> y </w:t>
      </w:r>
      <w:r w:rsidR="00607B78" w:rsidRPr="009C2953">
        <w:t>compris</w:t>
      </w:r>
      <w:r w:rsidR="00F34644" w:rsidRPr="009C2953">
        <w:t xml:space="preserve"> les </w:t>
      </w:r>
      <w:r w:rsidR="00607B78" w:rsidRPr="009C2953">
        <w:t>autres mécanismes d</w:t>
      </w:r>
      <w:r w:rsidR="00EA2966" w:rsidRPr="009C2953">
        <w:t>’</w:t>
      </w:r>
      <w:r w:rsidR="00607B78" w:rsidRPr="009C2953">
        <w:t xml:space="preserve">interface entre science et politiques ; </w:t>
      </w:r>
    </w:p>
    <w:p w14:paraId="7FB7CA38" w14:textId="184A9A81" w:rsidR="00607B78" w:rsidRPr="009C2953" w:rsidRDefault="00094601" w:rsidP="00D0133B">
      <w:pPr>
        <w:pStyle w:val="NormalNonumber"/>
        <w:ind w:left="3122" w:hanging="1589"/>
      </w:pPr>
      <w:r w:rsidRPr="009C2953">
        <w:tab/>
      </w:r>
      <w:r w:rsidRPr="009C2953">
        <w:tab/>
        <w:t>iv)</w:t>
      </w:r>
      <w:r w:rsidRPr="009C2953">
        <w:tab/>
      </w:r>
      <w:r w:rsidR="00607B78" w:rsidRPr="009C2953">
        <w:t>Du processus de présentation de candidature et de sélection</w:t>
      </w:r>
      <w:r w:rsidR="00D24DC1" w:rsidRPr="009C2953">
        <w:t xml:space="preserve"> des </w:t>
      </w:r>
      <w:r w:rsidR="00607B78" w:rsidRPr="009C2953">
        <w:t>expert(e)s pour</w:t>
      </w:r>
      <w:r w:rsidR="00F34644" w:rsidRPr="009C2953">
        <w:t xml:space="preserve"> les </w:t>
      </w:r>
      <w:r w:rsidR="00607B78" w:rsidRPr="009C2953">
        <w:t>différents rôles, en tenant compte de l</w:t>
      </w:r>
      <w:r w:rsidR="00EA2966" w:rsidRPr="009C2953">
        <w:t>’</w:t>
      </w:r>
      <w:r w:rsidR="00607B78" w:rsidRPr="009C2953">
        <w:t>équilibre entre</w:t>
      </w:r>
      <w:r w:rsidR="00F34644" w:rsidRPr="009C2953">
        <w:t xml:space="preserve"> les </w:t>
      </w:r>
      <w:r w:rsidR="00607B78" w:rsidRPr="009C2953">
        <w:t>genres,</w:t>
      </w:r>
      <w:r w:rsidR="00F34644" w:rsidRPr="009C2953">
        <w:t xml:space="preserve"> les </w:t>
      </w:r>
      <w:r w:rsidR="00607B78" w:rsidRPr="009C2953">
        <w:t>régions et</w:t>
      </w:r>
      <w:r w:rsidR="00F34644" w:rsidRPr="009C2953">
        <w:t xml:space="preserve"> les </w:t>
      </w:r>
      <w:r w:rsidR="00607B78" w:rsidRPr="009C2953">
        <w:t>disciplines et en assurant</w:t>
      </w:r>
      <w:r w:rsidR="00F34644" w:rsidRPr="009C2953">
        <w:t xml:space="preserve"> la </w:t>
      </w:r>
      <w:r w:rsidR="00607B78" w:rsidRPr="009C2953">
        <w:t>participation</w:t>
      </w:r>
      <w:r w:rsidR="00D24DC1" w:rsidRPr="009C2953">
        <w:t xml:space="preserve"> des </w:t>
      </w:r>
      <w:r w:rsidR="00607B78" w:rsidRPr="009C2953">
        <w:t>peuples autochtones et</w:t>
      </w:r>
      <w:r w:rsidR="00D24DC1" w:rsidRPr="009C2953">
        <w:t xml:space="preserve"> des </w:t>
      </w:r>
      <w:r w:rsidR="00607B78" w:rsidRPr="009C2953">
        <w:t>communautés locales</w:t>
      </w:r>
      <w:r w:rsidR="00260A0B" w:rsidRPr="009C2953">
        <w:t> ;</w:t>
      </w:r>
      <w:r w:rsidR="00607B78" w:rsidRPr="009C2953">
        <w:t xml:space="preserve"> </w:t>
      </w:r>
    </w:p>
    <w:p w14:paraId="48D5B35D" w14:textId="4CC27249" w:rsidR="00607B78" w:rsidRPr="009C2953" w:rsidRDefault="00094601" w:rsidP="00D0133B">
      <w:pPr>
        <w:pStyle w:val="NormalNonumber"/>
        <w:ind w:left="3122" w:hanging="1589"/>
      </w:pPr>
      <w:r w:rsidRPr="009C2953">
        <w:tab/>
      </w:r>
      <w:r w:rsidRPr="009C2953">
        <w:tab/>
        <w:t>v)</w:t>
      </w:r>
      <w:r w:rsidRPr="009C2953">
        <w:tab/>
      </w:r>
      <w:r w:rsidR="00607B78" w:rsidRPr="009C2953">
        <w:t>De l</w:t>
      </w:r>
      <w:r w:rsidR="00EA2966" w:rsidRPr="009C2953">
        <w:t>’</w:t>
      </w:r>
      <w:r w:rsidR="00607B78" w:rsidRPr="009C2953">
        <w:t>intégration d</w:t>
      </w:r>
      <w:r w:rsidR="00EA2966" w:rsidRPr="009C2953">
        <w:t>’</w:t>
      </w:r>
      <w:r w:rsidR="00607B78" w:rsidRPr="009C2953">
        <w:t>autres systèmes de connaissances et</w:t>
      </w:r>
      <w:r w:rsidR="00D24DC1" w:rsidRPr="009C2953">
        <w:t xml:space="preserve"> des </w:t>
      </w:r>
      <w:r w:rsidR="00607B78" w:rsidRPr="009C2953">
        <w:t>connaissances autochtones et locales dans</w:t>
      </w:r>
      <w:r w:rsidR="00F34644" w:rsidRPr="009C2953">
        <w:t xml:space="preserve"> les </w:t>
      </w:r>
      <w:r w:rsidR="00607B78" w:rsidRPr="009C2953">
        <w:t>évaluations de l</w:t>
      </w:r>
      <w:r w:rsidR="00EA2966" w:rsidRPr="009C2953">
        <w:t>’</w:t>
      </w:r>
      <w:r w:rsidR="00607B78" w:rsidRPr="009C2953">
        <w:t>IPBES et d</w:t>
      </w:r>
      <w:r w:rsidR="00EA2966" w:rsidRPr="009C2953">
        <w:t>’</w:t>
      </w:r>
      <w:r w:rsidR="00607B78" w:rsidRPr="009C2953">
        <w:t>autres produits ;</w:t>
      </w:r>
    </w:p>
    <w:p w14:paraId="494EDBB7" w14:textId="147C12EE" w:rsidR="00607B78" w:rsidRPr="009C2953" w:rsidRDefault="00F07E41" w:rsidP="00D0133B">
      <w:pPr>
        <w:pStyle w:val="NormalNonumber"/>
      </w:pPr>
      <w:r w:rsidRPr="009C2953">
        <w:tab/>
      </w:r>
      <w:r w:rsidRPr="009C2953">
        <w:tab/>
      </w:r>
      <w:r w:rsidR="00094601" w:rsidRPr="009C2953">
        <w:t>vi)</w:t>
      </w:r>
      <w:r w:rsidR="00094601" w:rsidRPr="009C2953">
        <w:tab/>
      </w:r>
      <w:r w:rsidR="00607B78" w:rsidRPr="009C2953">
        <w:t>Du respect des principes de fonctionnement de</w:t>
      </w:r>
      <w:r w:rsidR="00F34644" w:rsidRPr="009C2953">
        <w:t xml:space="preserve"> la </w:t>
      </w:r>
      <w:r w:rsidR="00607B78" w:rsidRPr="009C2953">
        <w:t>Plateforme.</w:t>
      </w:r>
    </w:p>
    <w:p w14:paraId="714FC8A7" w14:textId="40748794" w:rsidR="00607B78" w:rsidRPr="009C2953" w:rsidRDefault="00094601" w:rsidP="00094601">
      <w:pPr>
        <w:pStyle w:val="NormalNonumber"/>
      </w:pPr>
      <w:r w:rsidRPr="009C2953">
        <w:tab/>
        <w:t>c)</w:t>
      </w:r>
      <w:r w:rsidRPr="009C2953">
        <w:tab/>
      </w:r>
      <w:r w:rsidR="00607B78" w:rsidRPr="009C2953">
        <w:t>Des modalités de travail en ligne, en particulier durant</w:t>
      </w:r>
      <w:r w:rsidR="00F34644" w:rsidRPr="009C2953">
        <w:t xml:space="preserve"> la </w:t>
      </w:r>
      <w:r w:rsidR="00607B78" w:rsidRPr="009C2953">
        <w:t>pandémie de maladie à</w:t>
      </w:r>
      <w:r w:rsidR="00A861E9" w:rsidRPr="009C2953">
        <w:t xml:space="preserve"> </w:t>
      </w:r>
      <w:r w:rsidR="00607B78" w:rsidRPr="009C2953">
        <w:t>coronavirus</w:t>
      </w:r>
      <w:r w:rsidR="00260A0B" w:rsidRPr="009C2953">
        <w:t xml:space="preserve"> (COVID-19)</w:t>
      </w:r>
      <w:r w:rsidR="00607B78" w:rsidRPr="009C2953">
        <w:t>, et</w:t>
      </w:r>
      <w:r w:rsidR="00D24DC1" w:rsidRPr="009C2953">
        <w:t xml:space="preserve"> des </w:t>
      </w:r>
      <w:r w:rsidR="00607B78" w:rsidRPr="009C2953">
        <w:t>enseignements utiles pour</w:t>
      </w:r>
      <w:r w:rsidR="00F34644" w:rsidRPr="009C2953">
        <w:t xml:space="preserve"> les </w:t>
      </w:r>
      <w:r w:rsidR="00607B78" w:rsidRPr="009C2953">
        <w:t>futurs travaux de</w:t>
      </w:r>
      <w:r w:rsidR="00F34644" w:rsidRPr="009C2953">
        <w:t xml:space="preserve"> la </w:t>
      </w:r>
      <w:r w:rsidR="00607B78" w:rsidRPr="009C2953">
        <w:t xml:space="preserve">Plateforme ; </w:t>
      </w:r>
    </w:p>
    <w:p w14:paraId="1CD1B252" w14:textId="7E382BC7" w:rsidR="00607B78" w:rsidRPr="009C2953" w:rsidRDefault="00094601" w:rsidP="00094601">
      <w:pPr>
        <w:pStyle w:val="NormalNonumber"/>
      </w:pPr>
      <w:r w:rsidRPr="009C2953">
        <w:tab/>
        <w:t>d)</w:t>
      </w:r>
      <w:r w:rsidRPr="009C2953">
        <w:tab/>
      </w:r>
      <w:r w:rsidR="00607B78" w:rsidRPr="009C2953">
        <w:t>Dans</w:t>
      </w:r>
      <w:r w:rsidR="00F34644" w:rsidRPr="009C2953">
        <w:t xml:space="preserve"> la </w:t>
      </w:r>
      <w:r w:rsidR="00607B78" w:rsidRPr="009C2953">
        <w:t>mesure du possible, l</w:t>
      </w:r>
      <w:r w:rsidR="00EA2966" w:rsidRPr="009C2953">
        <w:t>’</w:t>
      </w:r>
      <w:r w:rsidR="00607B78" w:rsidRPr="009C2953">
        <w:t>impact</w:t>
      </w:r>
      <w:r w:rsidR="00D24DC1" w:rsidRPr="009C2953">
        <w:t xml:space="preserve"> des </w:t>
      </w:r>
      <w:r w:rsidR="00607B78" w:rsidRPr="009C2953">
        <w:t>travaux de l</w:t>
      </w:r>
      <w:r w:rsidR="00EA2966" w:rsidRPr="009C2953">
        <w:t>’</w:t>
      </w:r>
      <w:r w:rsidR="00607B78" w:rsidRPr="009C2953">
        <w:t>IPBES sur l</w:t>
      </w:r>
      <w:r w:rsidR="00EA2966" w:rsidRPr="009C2953">
        <w:t>’</w:t>
      </w:r>
      <w:r w:rsidR="00607B78" w:rsidRPr="009C2953">
        <w:t>élaboration</w:t>
      </w:r>
      <w:r w:rsidR="00D24DC1" w:rsidRPr="009C2953">
        <w:t xml:space="preserve"> des </w:t>
      </w:r>
      <w:r w:rsidR="00607B78" w:rsidRPr="009C2953">
        <w:t>politiques.</w:t>
      </w:r>
    </w:p>
    <w:p w14:paraId="33B2ACD0" w14:textId="6595FB5D" w:rsidR="00607B78" w:rsidRPr="009C2953" w:rsidRDefault="008072FD" w:rsidP="008072FD">
      <w:pPr>
        <w:pStyle w:val="NormalNonumber"/>
      </w:pPr>
      <w:r w:rsidRPr="009C2953">
        <w:t>3.</w:t>
      </w:r>
      <w:r w:rsidRPr="009C2953">
        <w:tab/>
      </w:r>
      <w:r w:rsidR="00607B78" w:rsidRPr="009C2953">
        <w:t>Le Bureau et</w:t>
      </w:r>
      <w:r w:rsidR="00F34644" w:rsidRPr="009C2953">
        <w:t xml:space="preserve"> le </w:t>
      </w:r>
      <w:r w:rsidR="00607B78" w:rsidRPr="009C2953">
        <w:t>Groupe d</w:t>
      </w:r>
      <w:r w:rsidR="00EA2966" w:rsidRPr="009C2953">
        <w:t>’</w:t>
      </w:r>
      <w:r w:rsidR="00607B78" w:rsidRPr="009C2953">
        <w:t>experts multidisciplinaire élaboreront</w:t>
      </w:r>
      <w:r w:rsidR="00F34644" w:rsidRPr="009C2953">
        <w:t xml:space="preserve"> un </w:t>
      </w:r>
      <w:r w:rsidR="00607B78" w:rsidRPr="009C2953">
        <w:t>rapport d</w:t>
      </w:r>
      <w:r w:rsidR="00EA2966" w:rsidRPr="009C2953">
        <w:t>’</w:t>
      </w:r>
      <w:r w:rsidR="00607B78" w:rsidRPr="009C2953">
        <w:t>examen interne</w:t>
      </w:r>
      <w:r w:rsidRPr="009C2953">
        <w:t> </w:t>
      </w:r>
      <w:r w:rsidR="00607B78" w:rsidRPr="009C2953">
        <w:t>pour examen par</w:t>
      </w:r>
      <w:r w:rsidR="00F34644" w:rsidRPr="009C2953">
        <w:t xml:space="preserve"> la </w:t>
      </w:r>
      <w:r w:rsidR="00607B78" w:rsidRPr="009C2953">
        <w:t>Plénière à</w:t>
      </w:r>
      <w:r w:rsidR="00F34644" w:rsidRPr="009C2953">
        <w:t xml:space="preserve"> sa </w:t>
      </w:r>
      <w:r w:rsidR="00607B78" w:rsidRPr="009C2953">
        <w:t>onzième session.</w:t>
      </w:r>
      <w:r w:rsidR="00F34644" w:rsidRPr="009C2953">
        <w:t xml:space="preserve"> La </w:t>
      </w:r>
      <w:r w:rsidR="00607B78" w:rsidRPr="009C2953">
        <w:t>commission d</w:t>
      </w:r>
      <w:r w:rsidR="00EA2966" w:rsidRPr="009C2953">
        <w:t>’</w:t>
      </w:r>
      <w:r w:rsidR="00607B78" w:rsidRPr="009C2953">
        <w:t>examen tiendra compte de</w:t>
      </w:r>
      <w:r w:rsidRPr="009C2953">
        <w:t> </w:t>
      </w:r>
      <w:r w:rsidR="00607B78" w:rsidRPr="009C2953">
        <w:t>ce</w:t>
      </w:r>
      <w:r w:rsidR="00A861E9" w:rsidRPr="009C2953">
        <w:t> </w:t>
      </w:r>
      <w:r w:rsidR="00607B78" w:rsidRPr="009C2953">
        <w:t>rapport lors de l</w:t>
      </w:r>
      <w:r w:rsidR="00EA2966" w:rsidRPr="009C2953">
        <w:t>’</w:t>
      </w:r>
      <w:r w:rsidR="00607B78" w:rsidRPr="009C2953">
        <w:t>examen externe et établira</w:t>
      </w:r>
      <w:r w:rsidR="00F34644" w:rsidRPr="009C2953">
        <w:t xml:space="preserve"> un </w:t>
      </w:r>
      <w:r w:rsidR="00607B78" w:rsidRPr="009C2953">
        <w:t>rapport d</w:t>
      </w:r>
      <w:r w:rsidR="00EA2966" w:rsidRPr="009C2953">
        <w:t>’</w:t>
      </w:r>
      <w:r w:rsidR="00607B78" w:rsidRPr="009C2953">
        <w:t>examen externe pour examen par</w:t>
      </w:r>
      <w:r w:rsidR="00F34644" w:rsidRPr="009C2953">
        <w:t xml:space="preserve"> la </w:t>
      </w:r>
      <w:r w:rsidR="00607B78" w:rsidRPr="009C2953">
        <w:t>Plénière à</w:t>
      </w:r>
      <w:r w:rsidR="00F34644" w:rsidRPr="009C2953">
        <w:t xml:space="preserve"> sa </w:t>
      </w:r>
      <w:r w:rsidR="00607B78" w:rsidRPr="009C2953">
        <w:t>douzième session.</w:t>
      </w:r>
      <w:r w:rsidR="00F34644" w:rsidRPr="009C2953">
        <w:t xml:space="preserve"> Les </w:t>
      </w:r>
      <w:r w:rsidR="00607B78" w:rsidRPr="009C2953">
        <w:t>rapports contiendront</w:t>
      </w:r>
      <w:r w:rsidR="00D24DC1" w:rsidRPr="009C2953">
        <w:t xml:space="preserve"> des </w:t>
      </w:r>
      <w:r w:rsidR="00607B78" w:rsidRPr="009C2953">
        <w:t xml:space="preserve">recommandations spécifiques </w:t>
      </w:r>
      <w:r w:rsidR="00607B78" w:rsidRPr="009C2953">
        <w:lastRenderedPageBreak/>
        <w:t>concernant</w:t>
      </w:r>
      <w:r w:rsidR="00F34644" w:rsidRPr="009C2953">
        <w:t xml:space="preserve"> la </w:t>
      </w:r>
      <w:r w:rsidR="00607B78" w:rsidRPr="009C2953">
        <w:t>poursuite de</w:t>
      </w:r>
      <w:r w:rsidR="00F34644" w:rsidRPr="009C2953">
        <w:t xml:space="preserve"> la </w:t>
      </w:r>
      <w:r w:rsidR="00607B78" w:rsidRPr="009C2953">
        <w:t>mise en œuvre du programme de travail glissant pour</w:t>
      </w:r>
      <w:r w:rsidR="00F34644" w:rsidRPr="009C2953">
        <w:t xml:space="preserve"> la </w:t>
      </w:r>
      <w:r w:rsidR="00607B78" w:rsidRPr="009C2953">
        <w:t>période allant jusqu</w:t>
      </w:r>
      <w:r w:rsidR="00EA2966" w:rsidRPr="009C2953">
        <w:t>’</w:t>
      </w:r>
      <w:r w:rsidR="00607B78" w:rsidRPr="009C2953">
        <w:t>en 2030, en particulier</w:t>
      </w:r>
      <w:r w:rsidR="00F34644" w:rsidRPr="009C2953">
        <w:t xml:space="preserve"> la </w:t>
      </w:r>
      <w:r w:rsidR="00607B78" w:rsidRPr="009C2953">
        <w:t>mise en œuvre de ses six objectifs conformément</w:t>
      </w:r>
      <w:r w:rsidR="00F34644" w:rsidRPr="009C2953">
        <w:t xml:space="preserve"> aux </w:t>
      </w:r>
      <w:r w:rsidR="00607B78" w:rsidRPr="009C2953">
        <w:t>décisions pertinentes de</w:t>
      </w:r>
      <w:r w:rsidR="00F34644" w:rsidRPr="009C2953">
        <w:t xml:space="preserve"> la </w:t>
      </w:r>
      <w:r w:rsidR="00607B78" w:rsidRPr="009C2953">
        <w:t>Plénière et</w:t>
      </w:r>
      <w:r w:rsidR="00F34644" w:rsidRPr="009C2953">
        <w:t xml:space="preserve"> aux </w:t>
      </w:r>
      <w:r w:rsidR="00607B78" w:rsidRPr="009C2953">
        <w:t>budgets approuvés.</w:t>
      </w:r>
      <w:r w:rsidR="00F34644" w:rsidRPr="009C2953">
        <w:t xml:space="preserve"> Ils </w:t>
      </w:r>
      <w:r w:rsidR="00607B78" w:rsidRPr="009C2953">
        <w:t>comprendront</w:t>
      </w:r>
      <w:r w:rsidR="00D24DC1" w:rsidRPr="009C2953">
        <w:t xml:space="preserve"> des </w:t>
      </w:r>
      <w:r w:rsidR="00607B78" w:rsidRPr="009C2953">
        <w:t>recommandations répondant à</w:t>
      </w:r>
      <w:r w:rsidR="00F34644" w:rsidRPr="009C2953">
        <w:t xml:space="preserve"> la </w:t>
      </w:r>
      <w:r w:rsidR="00607B78" w:rsidRPr="009C2953">
        <w:t>nécessité de faciliter</w:t>
      </w:r>
      <w:r w:rsidR="00F34644" w:rsidRPr="009C2953">
        <w:t xml:space="preserve"> la </w:t>
      </w:r>
      <w:r w:rsidR="00607B78" w:rsidRPr="009C2953">
        <w:t>participation pleine et effective de tous</w:t>
      </w:r>
      <w:r w:rsidR="00F34644" w:rsidRPr="009C2953">
        <w:t xml:space="preserve"> les </w:t>
      </w:r>
      <w:r w:rsidR="00607B78" w:rsidRPr="009C2953">
        <w:t>membres, observateurs, expert(e)s et parties prenantes,</w:t>
      </w:r>
      <w:r w:rsidR="00F34644" w:rsidRPr="009C2953">
        <w:t xml:space="preserve"> y </w:t>
      </w:r>
      <w:r w:rsidR="00607B78" w:rsidRPr="009C2953">
        <w:t>compris</w:t>
      </w:r>
      <w:r w:rsidR="00D24DC1" w:rsidRPr="009C2953">
        <w:t xml:space="preserve"> des </w:t>
      </w:r>
      <w:r w:rsidR="00607B78" w:rsidRPr="009C2953">
        <w:t>pays en développement, ainsi qu</w:t>
      </w:r>
      <w:r w:rsidR="00EA2966" w:rsidRPr="009C2953">
        <w:t>’</w:t>
      </w:r>
      <w:r w:rsidR="00607B78" w:rsidRPr="009C2953">
        <w:t>à</w:t>
      </w:r>
      <w:r w:rsidR="00F34644" w:rsidRPr="009C2953">
        <w:t xml:space="preserve"> la </w:t>
      </w:r>
      <w:r w:rsidR="00607B78" w:rsidRPr="009C2953">
        <w:t>nécessité d</w:t>
      </w:r>
      <w:r w:rsidR="00EA2966" w:rsidRPr="009C2953">
        <w:t>’</w:t>
      </w:r>
      <w:r w:rsidR="00607B78" w:rsidRPr="009C2953">
        <w:t>assurer</w:t>
      </w:r>
      <w:r w:rsidRPr="009C2953">
        <w:t> </w:t>
      </w:r>
      <w:r w:rsidR="00607B78" w:rsidRPr="009C2953">
        <w:t>l</w:t>
      </w:r>
      <w:r w:rsidR="00EA2966" w:rsidRPr="009C2953">
        <w:t>’</w:t>
      </w:r>
      <w:r w:rsidR="00607B78" w:rsidRPr="009C2953">
        <w:t>équité de genre dans tous</w:t>
      </w:r>
      <w:r w:rsidR="00F34644" w:rsidRPr="009C2953">
        <w:t xml:space="preserve"> les </w:t>
      </w:r>
      <w:r w:rsidR="00607B78" w:rsidRPr="009C2953">
        <w:t>aspects pertinents</w:t>
      </w:r>
      <w:r w:rsidR="00D24DC1" w:rsidRPr="009C2953">
        <w:t xml:space="preserve"> des </w:t>
      </w:r>
      <w:r w:rsidR="00607B78" w:rsidRPr="009C2953">
        <w:t>travaux de</w:t>
      </w:r>
      <w:r w:rsidR="00F34644" w:rsidRPr="009C2953">
        <w:t xml:space="preserve"> la </w:t>
      </w:r>
      <w:r w:rsidR="00607B78" w:rsidRPr="009C2953">
        <w:t>Plateforme.</w:t>
      </w:r>
    </w:p>
    <w:p w14:paraId="689C63CD" w14:textId="30BB38CE" w:rsidR="00607B78" w:rsidRPr="009C2953" w:rsidRDefault="00607B78" w:rsidP="00607B78">
      <w:pPr>
        <w:pStyle w:val="CH1"/>
      </w:pPr>
      <w:r w:rsidRPr="009C2953">
        <w:tab/>
        <w:t>II.</w:t>
      </w:r>
      <w:r w:rsidRPr="009C2953">
        <w:tab/>
        <w:t>Structure institutionnelle de l</w:t>
      </w:r>
      <w:r w:rsidR="00EA2966" w:rsidRPr="009C2953">
        <w:t>’</w:t>
      </w:r>
      <w:r w:rsidRPr="009C2953">
        <w:t>examen</w:t>
      </w:r>
    </w:p>
    <w:p w14:paraId="52ADB12C" w14:textId="77777777" w:rsidR="00607B78" w:rsidRPr="009C2953" w:rsidRDefault="00607B78" w:rsidP="00607B78">
      <w:pPr>
        <w:pStyle w:val="CH2"/>
      </w:pPr>
      <w:r w:rsidRPr="009C2953">
        <w:tab/>
        <w:t>A.</w:t>
      </w:r>
      <w:r w:rsidRPr="009C2953">
        <w:tab/>
        <w:t>Examen interne</w:t>
      </w:r>
    </w:p>
    <w:p w14:paraId="6C72CEEE" w14:textId="0483D82E" w:rsidR="00607B78" w:rsidRPr="009C2953" w:rsidRDefault="00406893" w:rsidP="00406893">
      <w:pPr>
        <w:pStyle w:val="NormalNonumber"/>
        <w:rPr>
          <w:color w:val="000000"/>
        </w:rPr>
      </w:pPr>
      <w:r w:rsidRPr="009C2953">
        <w:t>4.</w:t>
      </w:r>
      <w:r w:rsidRPr="009C2953">
        <w:tab/>
      </w:r>
      <w:r w:rsidR="00607B78" w:rsidRPr="009C2953">
        <w:t>Le Bureau et</w:t>
      </w:r>
      <w:r w:rsidR="00F34644" w:rsidRPr="009C2953">
        <w:t xml:space="preserve"> le </w:t>
      </w:r>
      <w:r w:rsidR="00607B78" w:rsidRPr="009C2953">
        <w:t>Groupe d</w:t>
      </w:r>
      <w:r w:rsidR="00EA2966" w:rsidRPr="009C2953">
        <w:t>’</w:t>
      </w:r>
      <w:r w:rsidR="00607B78" w:rsidRPr="009C2953">
        <w:t>experts multidisciplinaire réaliseront</w:t>
      </w:r>
      <w:r w:rsidR="00F34644" w:rsidRPr="009C2953">
        <w:t xml:space="preserve"> un </w:t>
      </w:r>
      <w:r w:rsidR="00607B78" w:rsidRPr="009C2953">
        <w:t>examen interne</w:t>
      </w:r>
      <w:r w:rsidR="00D24DC1" w:rsidRPr="009C2953">
        <w:t xml:space="preserve"> des </w:t>
      </w:r>
      <w:r w:rsidR="00607B78" w:rsidRPr="009C2953">
        <w:t>éléments énumérés au paragraphe 2 ci-dessus entre</w:t>
      </w:r>
      <w:r w:rsidR="00F34644" w:rsidRPr="009C2953">
        <w:t xml:space="preserve"> </w:t>
      </w:r>
      <w:proofErr w:type="gramStart"/>
      <w:r w:rsidR="00F34644" w:rsidRPr="009C2953">
        <w:t>les </w:t>
      </w:r>
      <w:r w:rsidR="00607B78" w:rsidRPr="009C2953">
        <w:t>dixième</w:t>
      </w:r>
      <w:proofErr w:type="gramEnd"/>
      <w:r w:rsidR="00607B78" w:rsidRPr="009C2953">
        <w:t xml:space="preserve"> et onzième sessions de</w:t>
      </w:r>
      <w:r w:rsidR="00F34644" w:rsidRPr="009C2953">
        <w:t xml:space="preserve"> la </w:t>
      </w:r>
      <w:r w:rsidR="00607B78" w:rsidRPr="009C2953">
        <w:t>Plénière.</w:t>
      </w:r>
      <w:r w:rsidR="00607B78" w:rsidRPr="009C2953">
        <w:rPr>
          <w:color w:val="000000"/>
        </w:rPr>
        <w:t xml:space="preserve"> </w:t>
      </w:r>
      <w:r w:rsidR="00607B78" w:rsidRPr="009C2953">
        <w:t>Dans</w:t>
      </w:r>
      <w:r w:rsidR="00F34644" w:rsidRPr="009C2953">
        <w:t xml:space="preserve"> le </w:t>
      </w:r>
      <w:r w:rsidR="00607B78" w:rsidRPr="009C2953">
        <w:t>cadre de cet examen,</w:t>
      </w:r>
      <w:r w:rsidR="00F34644" w:rsidRPr="009C2953">
        <w:t xml:space="preserve"> ils </w:t>
      </w:r>
      <w:r w:rsidR="00607B78" w:rsidRPr="009C2953">
        <w:t>solliciteront</w:t>
      </w:r>
      <w:r w:rsidR="00F34644" w:rsidRPr="009C2953">
        <w:t xml:space="preserve"> les </w:t>
      </w:r>
      <w:r w:rsidR="00607B78" w:rsidRPr="009C2953">
        <w:t>vues</w:t>
      </w:r>
      <w:r w:rsidR="00D24DC1" w:rsidRPr="009C2953">
        <w:t xml:space="preserve"> des </w:t>
      </w:r>
      <w:r w:rsidR="00607B78" w:rsidRPr="009C2953">
        <w:t>membres</w:t>
      </w:r>
      <w:r w:rsidR="00D24DC1" w:rsidRPr="009C2953">
        <w:t xml:space="preserve"> des </w:t>
      </w:r>
      <w:r w:rsidR="00607B78" w:rsidRPr="009C2953">
        <w:t>organes concernés au sein de</w:t>
      </w:r>
      <w:r w:rsidR="00F34644" w:rsidRPr="009C2953">
        <w:t xml:space="preserve"> la </w:t>
      </w:r>
      <w:r w:rsidR="00607B78" w:rsidRPr="009C2953">
        <w:t>Plateforme, ainsi que celles</w:t>
      </w:r>
      <w:r w:rsidR="00D24DC1" w:rsidRPr="009C2953">
        <w:t xml:space="preserve"> des </w:t>
      </w:r>
      <w:r w:rsidR="00607B78" w:rsidRPr="009C2953">
        <w:t>ancien(ne)s membres du Bureau et du Groupe d</w:t>
      </w:r>
      <w:r w:rsidR="00EA2966" w:rsidRPr="009C2953">
        <w:t>’</w:t>
      </w:r>
      <w:r w:rsidR="00607B78" w:rsidRPr="009C2953">
        <w:t>experts multidisciplinaire.</w:t>
      </w:r>
    </w:p>
    <w:p w14:paraId="0B797A86" w14:textId="77777777" w:rsidR="00607B78" w:rsidRPr="009C2953" w:rsidRDefault="00607B78" w:rsidP="00607B78">
      <w:pPr>
        <w:pStyle w:val="CH2"/>
      </w:pPr>
      <w:r w:rsidRPr="009C2953">
        <w:tab/>
        <w:t>B.</w:t>
      </w:r>
      <w:r w:rsidRPr="009C2953">
        <w:tab/>
        <w:t>Examen externe</w:t>
      </w:r>
    </w:p>
    <w:p w14:paraId="4E5E161C" w14:textId="3728B311" w:rsidR="00607B78" w:rsidRPr="009C2953" w:rsidRDefault="00406893" w:rsidP="00406893">
      <w:pPr>
        <w:pStyle w:val="NormalNonumber"/>
      </w:pPr>
      <w:r w:rsidRPr="009C2953">
        <w:t>5.</w:t>
      </w:r>
      <w:r w:rsidRPr="009C2953">
        <w:tab/>
      </w:r>
      <w:r w:rsidR="00607B78" w:rsidRPr="009C2953">
        <w:t>Un examen externe</w:t>
      </w:r>
      <w:r w:rsidR="00D24DC1" w:rsidRPr="009C2953">
        <w:t xml:space="preserve"> des </w:t>
      </w:r>
      <w:r w:rsidR="00607B78" w:rsidRPr="009C2953">
        <w:t>éléments énumérés au paragraphe 2 ci-dessus aura lieu entre</w:t>
      </w:r>
      <w:r w:rsidR="00F34644" w:rsidRPr="009C2953">
        <w:t xml:space="preserve"> la </w:t>
      </w:r>
      <w:r w:rsidR="00607B78" w:rsidRPr="009C2953">
        <w:t>onzième et</w:t>
      </w:r>
      <w:r w:rsidR="00F34644" w:rsidRPr="009C2953">
        <w:t xml:space="preserve"> la </w:t>
      </w:r>
      <w:r w:rsidR="00607B78" w:rsidRPr="009C2953">
        <w:t>douzième session de</w:t>
      </w:r>
      <w:r w:rsidR="00F34644" w:rsidRPr="009C2953">
        <w:t xml:space="preserve"> la </w:t>
      </w:r>
      <w:r w:rsidR="00607B78" w:rsidRPr="009C2953">
        <w:t>Plénière, en tenant compte</w:t>
      </w:r>
      <w:r w:rsidR="00D24DC1" w:rsidRPr="009C2953">
        <w:t xml:space="preserve"> des </w:t>
      </w:r>
      <w:r w:rsidR="00607B78" w:rsidRPr="009C2953">
        <w:t>conclusions de l</w:t>
      </w:r>
      <w:r w:rsidR="00EA2966" w:rsidRPr="009C2953">
        <w:t>’</w:t>
      </w:r>
      <w:r w:rsidR="00607B78" w:rsidRPr="009C2953">
        <w:t>examen interne. L</w:t>
      </w:r>
      <w:r w:rsidR="00EA2966" w:rsidRPr="009C2953">
        <w:t>’</w:t>
      </w:r>
      <w:r w:rsidR="00607B78" w:rsidRPr="009C2953">
        <w:t>examen externe sera effectué par</w:t>
      </w:r>
      <w:r w:rsidR="00F34644" w:rsidRPr="009C2953">
        <w:t xml:space="preserve"> une </w:t>
      </w:r>
      <w:r w:rsidR="00607B78" w:rsidRPr="009C2953">
        <w:t>commission d</w:t>
      </w:r>
      <w:r w:rsidR="00EA2966" w:rsidRPr="009C2953">
        <w:t>’</w:t>
      </w:r>
      <w:r w:rsidR="00607B78" w:rsidRPr="009C2953">
        <w:t>examen.</w:t>
      </w:r>
      <w:r w:rsidR="00F34644" w:rsidRPr="009C2953">
        <w:t xml:space="preserve"> Les </w:t>
      </w:r>
      <w:r w:rsidR="00607B78" w:rsidRPr="009C2953">
        <w:t>membres de cette commission seront soumis</w:t>
      </w:r>
      <w:r w:rsidR="00F34644" w:rsidRPr="009C2953">
        <w:t xml:space="preserve"> aux </w:t>
      </w:r>
      <w:r w:rsidR="00607B78" w:rsidRPr="009C2953">
        <w:t>règles de</w:t>
      </w:r>
      <w:r w:rsidR="00F34644" w:rsidRPr="009C2953">
        <w:t xml:space="preserve"> la </w:t>
      </w:r>
      <w:r w:rsidR="00607B78" w:rsidRPr="009C2953">
        <w:t>Plateforme en matière de conflits d</w:t>
      </w:r>
      <w:r w:rsidR="00EA2966" w:rsidRPr="009C2953">
        <w:t>’</w:t>
      </w:r>
      <w:r w:rsidR="00607B78" w:rsidRPr="009C2953">
        <w:t>intérêts.</w:t>
      </w:r>
    </w:p>
    <w:p w14:paraId="0A830931" w14:textId="02C10E74" w:rsidR="00607B78" w:rsidRPr="009C2953" w:rsidRDefault="00406893" w:rsidP="00406893">
      <w:pPr>
        <w:pStyle w:val="NormalNonumber"/>
      </w:pPr>
      <w:r w:rsidRPr="009C2953">
        <w:t>6.</w:t>
      </w:r>
      <w:r w:rsidRPr="009C2953">
        <w:tab/>
      </w:r>
      <w:r w:rsidR="00607B78" w:rsidRPr="009C2953">
        <w:t>La commission d</w:t>
      </w:r>
      <w:r w:rsidR="00EA2966" w:rsidRPr="009C2953">
        <w:t>’</w:t>
      </w:r>
      <w:r w:rsidR="00607B78" w:rsidRPr="009C2953">
        <w:t>examen sera composée de 15 membres issu(e)s de différentes disciplines possédant</w:t>
      </w:r>
      <w:r w:rsidR="00D24DC1" w:rsidRPr="009C2953">
        <w:t xml:space="preserve"> des </w:t>
      </w:r>
      <w:r w:rsidR="00607B78" w:rsidRPr="009C2953">
        <w:t>compétences dans</w:t>
      </w:r>
      <w:r w:rsidR="00F34644" w:rsidRPr="009C2953">
        <w:t xml:space="preserve"> les </w:t>
      </w:r>
      <w:r w:rsidR="00607B78" w:rsidRPr="009C2953">
        <w:t>domaines de</w:t>
      </w:r>
      <w:r w:rsidR="00F34644" w:rsidRPr="009C2953">
        <w:t xml:space="preserve"> la </w:t>
      </w:r>
      <w:r w:rsidR="00607B78" w:rsidRPr="009C2953">
        <w:t>sensibilisation et de</w:t>
      </w:r>
      <w:r w:rsidR="00F34644" w:rsidRPr="009C2953">
        <w:t xml:space="preserve"> la </w:t>
      </w:r>
      <w:r w:rsidR="00607B78" w:rsidRPr="009C2953">
        <w:t>mise en œuvre et</w:t>
      </w:r>
      <w:r w:rsidR="00F34644" w:rsidRPr="009C2953">
        <w:t xml:space="preserve"> une </w:t>
      </w:r>
      <w:r w:rsidR="00607B78" w:rsidRPr="009C2953">
        <w:t>bonne connaissance</w:t>
      </w:r>
      <w:r w:rsidR="00D24DC1" w:rsidRPr="009C2953">
        <w:t xml:space="preserve"> des </w:t>
      </w:r>
      <w:r w:rsidR="00607B78" w:rsidRPr="009C2953">
        <w:t>travaux de</w:t>
      </w:r>
      <w:r w:rsidR="00F34644" w:rsidRPr="009C2953">
        <w:t xml:space="preserve"> la </w:t>
      </w:r>
      <w:r w:rsidR="00607B78" w:rsidRPr="009C2953">
        <w:t>Plateforme, qui seront choisi(e)s par</w:t>
      </w:r>
      <w:r w:rsidR="00F34644" w:rsidRPr="009C2953">
        <w:t xml:space="preserve"> le </w:t>
      </w:r>
      <w:r w:rsidR="00607B78" w:rsidRPr="009C2953">
        <w:t>Bureau à partir</w:t>
      </w:r>
      <w:r w:rsidR="00D24DC1" w:rsidRPr="009C2953">
        <w:t xml:space="preserve"> des </w:t>
      </w:r>
      <w:r w:rsidR="00607B78" w:rsidRPr="009C2953">
        <w:t>candidatures proposées par</w:t>
      </w:r>
      <w:r w:rsidR="00F34644" w:rsidRPr="009C2953">
        <w:t xml:space="preserve"> les </w:t>
      </w:r>
      <w:r w:rsidR="00607B78" w:rsidRPr="009C2953">
        <w:t>gouvernements, en tenant compte de l</w:t>
      </w:r>
      <w:r w:rsidR="00EA2966" w:rsidRPr="009C2953">
        <w:t>’</w:t>
      </w:r>
      <w:r w:rsidR="00607B78" w:rsidRPr="009C2953">
        <w:t>équilibre entre</w:t>
      </w:r>
      <w:r w:rsidR="00F34644" w:rsidRPr="009C2953">
        <w:t xml:space="preserve"> les </w:t>
      </w:r>
      <w:r w:rsidR="00607B78" w:rsidRPr="009C2953">
        <w:t>genres,</w:t>
      </w:r>
      <w:r w:rsidR="00F34644" w:rsidRPr="009C2953">
        <w:t xml:space="preserve"> les </w:t>
      </w:r>
      <w:r w:rsidR="00607B78" w:rsidRPr="009C2953">
        <w:t>régions et</w:t>
      </w:r>
      <w:r w:rsidR="00F34644" w:rsidRPr="009C2953">
        <w:t xml:space="preserve"> les </w:t>
      </w:r>
      <w:r w:rsidR="00607B78" w:rsidRPr="009C2953">
        <w:t>disciplines et en assurant</w:t>
      </w:r>
      <w:r w:rsidR="00F34644" w:rsidRPr="009C2953">
        <w:t xml:space="preserve"> la </w:t>
      </w:r>
      <w:r w:rsidR="00607B78" w:rsidRPr="009C2953">
        <w:t>participation</w:t>
      </w:r>
      <w:r w:rsidR="00D24DC1" w:rsidRPr="009C2953">
        <w:t xml:space="preserve"> des </w:t>
      </w:r>
      <w:r w:rsidR="00607B78" w:rsidRPr="009C2953">
        <w:t>peuples autochtones et</w:t>
      </w:r>
      <w:r w:rsidR="00D24DC1" w:rsidRPr="009C2953">
        <w:t xml:space="preserve"> des </w:t>
      </w:r>
      <w:r w:rsidR="00607B78" w:rsidRPr="009C2953">
        <w:t>communautés locales ainsi</w:t>
      </w:r>
      <w:r w:rsidR="00A861E9" w:rsidRPr="009C2953">
        <w:t> </w:t>
      </w:r>
      <w:r w:rsidR="00607B78" w:rsidRPr="009C2953">
        <w:t>que</w:t>
      </w:r>
      <w:r w:rsidR="00D24DC1" w:rsidRPr="009C2953">
        <w:t xml:space="preserve"> des </w:t>
      </w:r>
      <w:r w:rsidR="00607B78" w:rsidRPr="009C2953">
        <w:t>jeunes.</w:t>
      </w:r>
    </w:p>
    <w:p w14:paraId="6004482F" w14:textId="7B9364CF" w:rsidR="00607B78" w:rsidRPr="009C2953" w:rsidRDefault="00406893" w:rsidP="00406893">
      <w:pPr>
        <w:pStyle w:val="NormalNonumber"/>
        <w:rPr>
          <w:color w:val="000000"/>
        </w:rPr>
      </w:pPr>
      <w:r w:rsidRPr="009C2953">
        <w:t>7.</w:t>
      </w:r>
      <w:r w:rsidRPr="009C2953">
        <w:tab/>
      </w:r>
      <w:r w:rsidR="00607B78" w:rsidRPr="009C2953">
        <w:t>La commission d</w:t>
      </w:r>
      <w:r w:rsidR="00EA2966" w:rsidRPr="009C2953">
        <w:t>’</w:t>
      </w:r>
      <w:r w:rsidR="00607B78" w:rsidRPr="009C2953">
        <w:t>examen sera épaulée dans ses travaux par un(e) consultant(e) qualifié(e), recrutée par</w:t>
      </w:r>
      <w:r w:rsidR="00F34644" w:rsidRPr="009C2953">
        <w:t xml:space="preserve"> le </w:t>
      </w:r>
      <w:r w:rsidR="00607B78" w:rsidRPr="009C2953">
        <w:t>secrétariat à l</w:t>
      </w:r>
      <w:r w:rsidR="00EA2966" w:rsidRPr="009C2953">
        <w:t>’</w:t>
      </w:r>
      <w:r w:rsidR="00607B78" w:rsidRPr="009C2953">
        <w:t>issue d</w:t>
      </w:r>
      <w:r w:rsidR="00EA2966" w:rsidRPr="009C2953">
        <w:t>’</w:t>
      </w:r>
      <w:r w:rsidR="00607B78" w:rsidRPr="009C2953">
        <w:t>un appel à candidatures ouvert et en consultation avec</w:t>
      </w:r>
      <w:r w:rsidR="00F34644" w:rsidRPr="009C2953">
        <w:t xml:space="preserve"> le </w:t>
      </w:r>
      <w:r w:rsidR="00607B78" w:rsidRPr="009C2953">
        <w:t>Bureau et</w:t>
      </w:r>
      <w:r w:rsidR="00F34644" w:rsidRPr="009C2953">
        <w:t xml:space="preserve"> la </w:t>
      </w:r>
      <w:r w:rsidR="00607B78" w:rsidRPr="009C2953">
        <w:t>commission.</w:t>
      </w:r>
      <w:r w:rsidR="00F34644" w:rsidRPr="009C2953">
        <w:t xml:space="preserve"> Le </w:t>
      </w:r>
      <w:r w:rsidR="00607B78" w:rsidRPr="009C2953">
        <w:t>(la) consultant(e) travaillera en partie au siège du secrétariat de</w:t>
      </w:r>
      <w:r w:rsidR="00F34644" w:rsidRPr="009C2953">
        <w:t xml:space="preserve"> la </w:t>
      </w:r>
      <w:r w:rsidR="00607B78" w:rsidRPr="009C2953">
        <w:t>Plateforme, mais n</w:t>
      </w:r>
      <w:r w:rsidR="00EA2966" w:rsidRPr="009C2953">
        <w:t>’</w:t>
      </w:r>
      <w:r w:rsidR="00607B78" w:rsidRPr="009C2953">
        <w:t>interviendra pas dans</w:t>
      </w:r>
      <w:r w:rsidR="00F34644" w:rsidRPr="009C2953">
        <w:t xml:space="preserve"> les </w:t>
      </w:r>
      <w:r w:rsidR="00607B78" w:rsidRPr="009C2953">
        <w:t>affaires courantes de celui-ci, et collaborera directement avec</w:t>
      </w:r>
      <w:r w:rsidR="00F34644" w:rsidRPr="009C2953">
        <w:t xml:space="preserve"> la </w:t>
      </w:r>
      <w:r w:rsidR="00607B78" w:rsidRPr="009C2953">
        <w:t>coprésidence de</w:t>
      </w:r>
      <w:r w:rsidR="00F34644" w:rsidRPr="009C2953">
        <w:t xml:space="preserve"> la </w:t>
      </w:r>
      <w:r w:rsidR="00607B78" w:rsidRPr="009C2953">
        <w:t>commission d</w:t>
      </w:r>
      <w:r w:rsidR="00EA2966" w:rsidRPr="009C2953">
        <w:t>’</w:t>
      </w:r>
      <w:r w:rsidR="00607B78" w:rsidRPr="009C2953">
        <w:t>examen.</w:t>
      </w:r>
      <w:r w:rsidR="00607B78" w:rsidRPr="009C2953">
        <w:rPr>
          <w:color w:val="000000"/>
        </w:rPr>
        <w:t xml:space="preserve"> De cette manière,</w:t>
      </w:r>
      <w:r w:rsidR="00F34644" w:rsidRPr="009C2953">
        <w:rPr>
          <w:color w:val="000000"/>
        </w:rPr>
        <w:t xml:space="preserve"> le </w:t>
      </w:r>
      <w:r w:rsidR="00607B78" w:rsidRPr="009C2953">
        <w:rPr>
          <w:color w:val="000000"/>
        </w:rPr>
        <w:t>(la) consultant(e) bénéficierait d</w:t>
      </w:r>
      <w:r w:rsidR="00EA2966" w:rsidRPr="009C2953">
        <w:rPr>
          <w:color w:val="000000"/>
        </w:rPr>
        <w:t>’</w:t>
      </w:r>
      <w:r w:rsidR="00607B78" w:rsidRPr="009C2953">
        <w:rPr>
          <w:color w:val="000000"/>
        </w:rPr>
        <w:t>un</w:t>
      </w:r>
      <w:r w:rsidR="00A861E9" w:rsidRPr="009C2953">
        <w:rPr>
          <w:color w:val="000000"/>
        </w:rPr>
        <w:t> </w:t>
      </w:r>
      <w:r w:rsidR="00607B78" w:rsidRPr="009C2953">
        <w:rPr>
          <w:color w:val="000000"/>
        </w:rPr>
        <w:t>accès direct à toutes</w:t>
      </w:r>
      <w:r w:rsidR="00F34644" w:rsidRPr="009C2953">
        <w:rPr>
          <w:color w:val="000000"/>
        </w:rPr>
        <w:t xml:space="preserve"> les </w:t>
      </w:r>
      <w:r w:rsidR="00607B78" w:rsidRPr="009C2953">
        <w:rPr>
          <w:color w:val="000000"/>
        </w:rPr>
        <w:t>informations pertinentes tout en soutenant de manière indépendante</w:t>
      </w:r>
      <w:r w:rsidR="00F34644" w:rsidRPr="009C2953">
        <w:rPr>
          <w:color w:val="000000"/>
        </w:rPr>
        <w:t xml:space="preserve"> les </w:t>
      </w:r>
      <w:r w:rsidR="00607B78" w:rsidRPr="009C2953">
        <w:rPr>
          <w:color w:val="000000"/>
        </w:rPr>
        <w:t>travaux de</w:t>
      </w:r>
      <w:r w:rsidR="00F34644" w:rsidRPr="009C2953">
        <w:rPr>
          <w:color w:val="000000"/>
        </w:rPr>
        <w:t xml:space="preserve"> la </w:t>
      </w:r>
      <w:r w:rsidR="00607B78" w:rsidRPr="009C2953">
        <w:rPr>
          <w:color w:val="000000"/>
        </w:rPr>
        <w:t>commission d</w:t>
      </w:r>
      <w:r w:rsidR="00EA2966" w:rsidRPr="009C2953">
        <w:rPr>
          <w:color w:val="000000"/>
        </w:rPr>
        <w:t>’</w:t>
      </w:r>
      <w:r w:rsidR="00607B78" w:rsidRPr="009C2953">
        <w:rPr>
          <w:color w:val="000000"/>
        </w:rPr>
        <w:t>examen.</w:t>
      </w:r>
    </w:p>
    <w:p w14:paraId="1F52136F" w14:textId="77777777" w:rsidR="00607B78" w:rsidRPr="009C2953" w:rsidRDefault="00607B78" w:rsidP="00607B78">
      <w:pPr>
        <w:pStyle w:val="CH1"/>
      </w:pPr>
      <w:r w:rsidRPr="009C2953">
        <w:tab/>
        <w:t>III.</w:t>
      </w:r>
      <w:r w:rsidRPr="009C2953">
        <w:tab/>
        <w:t>Méthodologie</w:t>
      </w:r>
    </w:p>
    <w:p w14:paraId="2AC0536E" w14:textId="7D8BE015" w:rsidR="00607B78" w:rsidRPr="009C2953" w:rsidRDefault="00406893" w:rsidP="00406893">
      <w:pPr>
        <w:pStyle w:val="NormalNonumber"/>
        <w:rPr>
          <w:shd w:val="clear" w:color="auto" w:fill="D9D9D9"/>
        </w:rPr>
      </w:pPr>
      <w:r w:rsidRPr="009C2953">
        <w:t>8.</w:t>
      </w:r>
      <w:r w:rsidRPr="009C2953">
        <w:tab/>
      </w:r>
      <w:r w:rsidR="00607B78" w:rsidRPr="009C2953">
        <w:t>L</w:t>
      </w:r>
      <w:r w:rsidR="00EA2966" w:rsidRPr="009C2953">
        <w:t>’</w:t>
      </w:r>
      <w:r w:rsidR="00607B78" w:rsidRPr="009C2953">
        <w:t>examen devrait inclure l</w:t>
      </w:r>
      <w:r w:rsidR="00EA2966" w:rsidRPr="009C2953">
        <w:t>’</w:t>
      </w:r>
      <w:r w:rsidR="00607B78" w:rsidRPr="009C2953">
        <w:t>élaboration et</w:t>
      </w:r>
      <w:r w:rsidR="00F34644" w:rsidRPr="009C2953">
        <w:t xml:space="preserve"> la </w:t>
      </w:r>
      <w:r w:rsidR="00607B78" w:rsidRPr="009C2953">
        <w:t>réalisation d</w:t>
      </w:r>
      <w:r w:rsidR="00EA2966" w:rsidRPr="009C2953">
        <w:t>’</w:t>
      </w:r>
      <w:r w:rsidR="00607B78" w:rsidRPr="009C2953">
        <w:t>un certain nombre d</w:t>
      </w:r>
      <w:r w:rsidR="00EA2966" w:rsidRPr="009C2953">
        <w:t>’</w:t>
      </w:r>
      <w:r w:rsidR="00607B78" w:rsidRPr="009C2953">
        <w:t>enquêtes relatives</w:t>
      </w:r>
      <w:r w:rsidR="00F34644" w:rsidRPr="009C2953">
        <w:t xml:space="preserve"> aux </w:t>
      </w:r>
      <w:r w:rsidR="00607B78" w:rsidRPr="009C2953">
        <w:t>questions énumérées au paragraphe 2 ci-dessus.</w:t>
      </w:r>
      <w:r w:rsidR="00F34644" w:rsidRPr="009C2953">
        <w:rPr>
          <w:color w:val="000000"/>
        </w:rPr>
        <w:t xml:space="preserve"> Les </w:t>
      </w:r>
      <w:r w:rsidR="00607B78" w:rsidRPr="009C2953">
        <w:t>projets de questions seront soumis à</w:t>
      </w:r>
      <w:r w:rsidRPr="009C2953">
        <w:t> </w:t>
      </w:r>
      <w:r w:rsidR="00F34644" w:rsidRPr="009C2953">
        <w:t>un </w:t>
      </w:r>
      <w:r w:rsidR="00607B78" w:rsidRPr="009C2953">
        <w:t>examen externe avant que</w:t>
      </w:r>
      <w:r w:rsidR="00F34644" w:rsidRPr="009C2953">
        <w:t xml:space="preserve"> la </w:t>
      </w:r>
      <w:r w:rsidR="00607B78" w:rsidRPr="009C2953">
        <w:t>version définitive</w:t>
      </w:r>
      <w:r w:rsidR="00D24DC1" w:rsidRPr="009C2953">
        <w:t xml:space="preserve"> des </w:t>
      </w:r>
      <w:r w:rsidR="00607B78" w:rsidRPr="009C2953">
        <w:t>enquêtes ne soit établie par</w:t>
      </w:r>
      <w:r w:rsidR="00F34644" w:rsidRPr="009C2953">
        <w:t xml:space="preserve"> le </w:t>
      </w:r>
      <w:r w:rsidR="00607B78" w:rsidRPr="009C2953">
        <w:t>Bureau et</w:t>
      </w:r>
      <w:r w:rsidR="00F34644" w:rsidRPr="009C2953">
        <w:t xml:space="preserve"> le </w:t>
      </w:r>
      <w:r w:rsidR="00607B78" w:rsidRPr="009C2953">
        <w:t>Groupe d</w:t>
      </w:r>
      <w:r w:rsidR="00EA2966" w:rsidRPr="009C2953">
        <w:t>’</w:t>
      </w:r>
      <w:r w:rsidR="00607B78" w:rsidRPr="009C2953">
        <w:t>experts multidisciplinaire (dans</w:t>
      </w:r>
      <w:r w:rsidR="00F34644" w:rsidRPr="009C2953">
        <w:t xml:space="preserve"> le </w:t>
      </w:r>
      <w:r w:rsidR="00607B78" w:rsidRPr="009C2953">
        <w:t>cas de l</w:t>
      </w:r>
      <w:r w:rsidR="00EA2966" w:rsidRPr="009C2953">
        <w:t>’</w:t>
      </w:r>
      <w:r w:rsidR="00607B78" w:rsidRPr="009C2953">
        <w:t>examen interne) et par</w:t>
      </w:r>
      <w:r w:rsidR="00F34644" w:rsidRPr="009C2953">
        <w:t xml:space="preserve"> la </w:t>
      </w:r>
      <w:r w:rsidR="00607B78" w:rsidRPr="009C2953">
        <w:t>commission d</w:t>
      </w:r>
      <w:r w:rsidR="00EA2966" w:rsidRPr="009C2953">
        <w:t>’</w:t>
      </w:r>
      <w:r w:rsidR="00607B78" w:rsidRPr="009C2953">
        <w:t>examen externe (dans</w:t>
      </w:r>
      <w:r w:rsidR="00F34644" w:rsidRPr="009C2953">
        <w:t xml:space="preserve"> le </w:t>
      </w:r>
      <w:r w:rsidR="00607B78" w:rsidRPr="009C2953">
        <w:t>cas de l</w:t>
      </w:r>
      <w:r w:rsidR="00EA2966" w:rsidRPr="009C2953">
        <w:t>’</w:t>
      </w:r>
      <w:r w:rsidR="00607B78" w:rsidRPr="009C2953">
        <w:t>examen externe).</w:t>
      </w:r>
      <w:r w:rsidR="00607B78" w:rsidRPr="009C2953">
        <w:rPr>
          <w:color w:val="000000"/>
        </w:rPr>
        <w:t xml:space="preserve"> L</w:t>
      </w:r>
      <w:r w:rsidR="00EA2966" w:rsidRPr="009C2953">
        <w:rPr>
          <w:color w:val="000000"/>
        </w:rPr>
        <w:t>’</w:t>
      </w:r>
      <w:r w:rsidR="00607B78" w:rsidRPr="009C2953">
        <w:rPr>
          <w:color w:val="000000"/>
        </w:rPr>
        <w:t>examen devrait également comprendre</w:t>
      </w:r>
      <w:r w:rsidR="00F34644" w:rsidRPr="009C2953">
        <w:rPr>
          <w:color w:val="000000"/>
        </w:rPr>
        <w:t xml:space="preserve"> une </w:t>
      </w:r>
      <w:r w:rsidR="00607B78" w:rsidRPr="009C2953">
        <w:rPr>
          <w:color w:val="000000"/>
        </w:rPr>
        <w:t>étude de</w:t>
      </w:r>
      <w:r w:rsidR="00F34644" w:rsidRPr="009C2953">
        <w:rPr>
          <w:color w:val="000000"/>
        </w:rPr>
        <w:t xml:space="preserve"> la </w:t>
      </w:r>
      <w:r w:rsidR="00607B78" w:rsidRPr="009C2953">
        <w:rPr>
          <w:color w:val="000000"/>
        </w:rPr>
        <w:t>littérature et</w:t>
      </w:r>
      <w:r w:rsidR="00D24DC1" w:rsidRPr="009C2953">
        <w:rPr>
          <w:color w:val="000000"/>
        </w:rPr>
        <w:t xml:space="preserve"> des </w:t>
      </w:r>
      <w:r w:rsidR="00607B78" w:rsidRPr="009C2953">
        <w:rPr>
          <w:color w:val="000000"/>
        </w:rPr>
        <w:t>documents pertinents,</w:t>
      </w:r>
      <w:r w:rsidR="00D24DC1" w:rsidRPr="009C2953">
        <w:rPr>
          <w:color w:val="000000"/>
        </w:rPr>
        <w:t xml:space="preserve"> des </w:t>
      </w:r>
      <w:r w:rsidR="00607B78" w:rsidRPr="009C2953">
        <w:rPr>
          <w:color w:val="000000"/>
        </w:rPr>
        <w:t>entretiens et</w:t>
      </w:r>
      <w:r w:rsidR="00D24DC1" w:rsidRPr="009C2953">
        <w:rPr>
          <w:color w:val="000000"/>
        </w:rPr>
        <w:t xml:space="preserve"> des </w:t>
      </w:r>
      <w:r w:rsidR="00607B78" w:rsidRPr="009C2953">
        <w:rPr>
          <w:color w:val="000000"/>
        </w:rPr>
        <w:t>réunions en ligne avec</w:t>
      </w:r>
      <w:r w:rsidR="00F34644" w:rsidRPr="009C2953">
        <w:rPr>
          <w:color w:val="000000"/>
        </w:rPr>
        <w:t xml:space="preserve"> les </w:t>
      </w:r>
      <w:r w:rsidR="00607B78" w:rsidRPr="009C2953">
        <w:rPr>
          <w:color w:val="000000"/>
        </w:rPr>
        <w:t>acteurs concernés, et</w:t>
      </w:r>
      <w:r w:rsidR="00F34644" w:rsidRPr="009C2953">
        <w:rPr>
          <w:color w:val="000000"/>
        </w:rPr>
        <w:t xml:space="preserve"> une </w:t>
      </w:r>
      <w:r w:rsidR="00607B78" w:rsidRPr="009C2953">
        <w:rPr>
          <w:color w:val="000000"/>
        </w:rPr>
        <w:t>séance participative lors de</w:t>
      </w:r>
      <w:r w:rsidR="00F34644" w:rsidRPr="009C2953">
        <w:rPr>
          <w:color w:val="000000"/>
        </w:rPr>
        <w:t xml:space="preserve"> la </w:t>
      </w:r>
      <w:r w:rsidR="00607B78" w:rsidRPr="009C2953">
        <w:rPr>
          <w:color w:val="000000"/>
        </w:rPr>
        <w:t>onzième session de</w:t>
      </w:r>
      <w:r w:rsidR="00F34644" w:rsidRPr="009C2953">
        <w:rPr>
          <w:color w:val="000000"/>
        </w:rPr>
        <w:t xml:space="preserve"> la </w:t>
      </w:r>
      <w:r w:rsidR="00607B78" w:rsidRPr="009C2953">
        <w:rPr>
          <w:color w:val="000000"/>
        </w:rPr>
        <w:t xml:space="preserve">Plénière. </w:t>
      </w:r>
      <w:r w:rsidR="00607B78" w:rsidRPr="009C2953">
        <w:t>Ses</w:t>
      </w:r>
      <w:r w:rsidR="00A861E9" w:rsidRPr="009C2953">
        <w:t> </w:t>
      </w:r>
      <w:r w:rsidR="00607B78" w:rsidRPr="009C2953">
        <w:t>recommandations devraient également tenir compte</w:t>
      </w:r>
      <w:r w:rsidR="00D24DC1" w:rsidRPr="009C2953">
        <w:t xml:space="preserve"> des </w:t>
      </w:r>
      <w:r w:rsidR="00607B78" w:rsidRPr="009C2953">
        <w:t>enseignements pertinents tirés de l</w:t>
      </w:r>
      <w:r w:rsidR="00EA2966" w:rsidRPr="009C2953">
        <w:t>’</w:t>
      </w:r>
      <w:r w:rsidR="00607B78" w:rsidRPr="009C2953">
        <w:t>expérience</w:t>
      </w:r>
      <w:r w:rsidR="00D24DC1" w:rsidRPr="009C2953">
        <w:t xml:space="preserve"> des </w:t>
      </w:r>
      <w:r w:rsidR="00607B78" w:rsidRPr="009C2953">
        <w:t>autres mécanismes d</w:t>
      </w:r>
      <w:r w:rsidR="00EA2966" w:rsidRPr="009C2953">
        <w:t>’</w:t>
      </w:r>
      <w:r w:rsidR="00607B78" w:rsidRPr="009C2953">
        <w:t>interface entre science et politiques et,</w:t>
      </w:r>
      <w:r w:rsidR="00F34644" w:rsidRPr="009C2953">
        <w:t xml:space="preserve"> le </w:t>
      </w:r>
      <w:r w:rsidR="00607B78" w:rsidRPr="009C2953">
        <w:t>cas échéant,</w:t>
      </w:r>
      <w:r w:rsidR="00D24DC1" w:rsidRPr="009C2953">
        <w:t xml:space="preserve"> des </w:t>
      </w:r>
      <w:r w:rsidR="00607B78" w:rsidRPr="009C2953">
        <w:t>accords multilatéraux sur l</w:t>
      </w:r>
      <w:r w:rsidR="00EA2966" w:rsidRPr="009C2953">
        <w:t>’</w:t>
      </w:r>
      <w:r w:rsidR="00607B78" w:rsidRPr="009C2953">
        <w:t>environnement concernés.</w:t>
      </w:r>
    </w:p>
    <w:p w14:paraId="2F4D6F17" w14:textId="77777777" w:rsidR="00607B78" w:rsidRPr="009C2953" w:rsidRDefault="00607B78" w:rsidP="00607B78">
      <w:pPr>
        <w:pStyle w:val="CH1"/>
      </w:pPr>
      <w:r w:rsidRPr="009C2953">
        <w:tab/>
        <w:t>IV.</w:t>
      </w:r>
      <w:r w:rsidRPr="009C2953">
        <w:tab/>
        <w:t>Budget</w:t>
      </w:r>
    </w:p>
    <w:p w14:paraId="48AB8DD0" w14:textId="02FE76F4" w:rsidR="00607B78" w:rsidRPr="009C2953" w:rsidRDefault="00A17FD8" w:rsidP="00A17FD8">
      <w:pPr>
        <w:pStyle w:val="NormalNonumber"/>
        <w:rPr>
          <w:color w:val="000000"/>
        </w:rPr>
      </w:pPr>
      <w:r w:rsidRPr="009C2953">
        <w:t>9.</w:t>
      </w:r>
      <w:r w:rsidRPr="009C2953">
        <w:tab/>
      </w:r>
      <w:r w:rsidR="00607B78" w:rsidRPr="009C2953">
        <w:t>Il est supposé que :</w:t>
      </w:r>
    </w:p>
    <w:p w14:paraId="786C30D6" w14:textId="4C67B1F3" w:rsidR="00607B78" w:rsidRPr="009C2953" w:rsidRDefault="00A17FD8" w:rsidP="00A17FD8">
      <w:pPr>
        <w:pStyle w:val="NormalNonumber"/>
      </w:pPr>
      <w:r w:rsidRPr="009C2953">
        <w:tab/>
        <w:t>a)</w:t>
      </w:r>
      <w:r w:rsidRPr="009C2953">
        <w:tab/>
      </w:r>
      <w:r w:rsidR="00607B78" w:rsidRPr="009C2953">
        <w:t>Les membres de</w:t>
      </w:r>
      <w:r w:rsidR="00F34644" w:rsidRPr="009C2953">
        <w:t xml:space="preserve"> la </w:t>
      </w:r>
      <w:r w:rsidR="00607B78" w:rsidRPr="009C2953">
        <w:t>commission chargée de l</w:t>
      </w:r>
      <w:r w:rsidR="00EA2966" w:rsidRPr="009C2953">
        <w:t>’</w:t>
      </w:r>
      <w:r w:rsidR="00607B78" w:rsidRPr="009C2953">
        <w:t>examen externe fourniront</w:t>
      </w:r>
      <w:r w:rsidR="00107282" w:rsidRPr="009C2953">
        <w:t xml:space="preserve"> leurs </w:t>
      </w:r>
      <w:r w:rsidR="00607B78" w:rsidRPr="009C2953">
        <w:t>services à</w:t>
      </w:r>
      <w:r w:rsidR="00A861E9" w:rsidRPr="009C2953">
        <w:t> </w:t>
      </w:r>
      <w:r w:rsidR="00607B78" w:rsidRPr="009C2953">
        <w:t>titre gracieux ;</w:t>
      </w:r>
    </w:p>
    <w:p w14:paraId="699A7E7F" w14:textId="6BEA46F2" w:rsidR="00607B78" w:rsidRPr="009C2953" w:rsidRDefault="00A17FD8" w:rsidP="00A17FD8">
      <w:pPr>
        <w:pStyle w:val="NormalNonumber"/>
      </w:pPr>
      <w:r w:rsidRPr="009C2953">
        <w:tab/>
        <w:t>b)</w:t>
      </w:r>
      <w:r w:rsidRPr="009C2953">
        <w:tab/>
      </w:r>
      <w:r w:rsidR="00607B78" w:rsidRPr="009C2953">
        <w:t>La commission commencera ses travaux en tenant</w:t>
      </w:r>
      <w:r w:rsidR="00F34644" w:rsidRPr="009C2953">
        <w:t xml:space="preserve"> une </w:t>
      </w:r>
      <w:r w:rsidR="00607B78" w:rsidRPr="009C2953">
        <w:t>réunion en présentiel ;</w:t>
      </w:r>
      <w:r w:rsidR="00F34644" w:rsidRPr="009C2953">
        <w:t xml:space="preserve"> un </w:t>
      </w:r>
      <w:r w:rsidR="00607B78" w:rsidRPr="009C2953">
        <w:t>budget de 38 000 dollars sera prévu à cette fin. Hormis cette première réunion,</w:t>
      </w:r>
      <w:r w:rsidR="00F34644" w:rsidRPr="009C2953">
        <w:t xml:space="preserve"> la </w:t>
      </w:r>
      <w:r w:rsidR="00607B78" w:rsidRPr="009C2953">
        <w:t>commission effectuera ses</w:t>
      </w:r>
      <w:r w:rsidR="00A861E9" w:rsidRPr="009C2953">
        <w:t> </w:t>
      </w:r>
      <w:r w:rsidR="00607B78" w:rsidRPr="009C2953">
        <w:t>travaux à distance et se réunira en ligne au besoin ;</w:t>
      </w:r>
    </w:p>
    <w:p w14:paraId="66F3B89C" w14:textId="69B560AB" w:rsidR="00607B78" w:rsidRPr="009C2953" w:rsidRDefault="00A17FD8" w:rsidP="00A17FD8">
      <w:pPr>
        <w:pStyle w:val="NormalNonumber"/>
      </w:pPr>
      <w:r w:rsidRPr="009C2953">
        <w:lastRenderedPageBreak/>
        <w:tab/>
        <w:t>c)</w:t>
      </w:r>
      <w:r w:rsidRPr="009C2953">
        <w:tab/>
      </w:r>
      <w:r w:rsidR="00607B78" w:rsidRPr="009C2953">
        <w:t>Deux représentant(e)s de</w:t>
      </w:r>
      <w:r w:rsidR="00F34644" w:rsidRPr="009C2953">
        <w:t xml:space="preserve"> la </w:t>
      </w:r>
      <w:r w:rsidR="00607B78" w:rsidRPr="009C2953">
        <w:t>commission chargée de l</w:t>
      </w:r>
      <w:r w:rsidR="00EA2966" w:rsidRPr="009C2953">
        <w:t>’</w:t>
      </w:r>
      <w:r w:rsidR="00607B78" w:rsidRPr="009C2953">
        <w:t>examen externe seront invité(e)s à</w:t>
      </w:r>
      <w:r w:rsidR="00A861E9" w:rsidRPr="009C2953">
        <w:t> </w:t>
      </w:r>
      <w:r w:rsidR="00607B78" w:rsidRPr="009C2953">
        <w:t>présenter</w:t>
      </w:r>
      <w:r w:rsidR="00F34644" w:rsidRPr="009C2953">
        <w:t xml:space="preserve"> le </w:t>
      </w:r>
      <w:r w:rsidR="00607B78" w:rsidRPr="009C2953">
        <w:t>rapport sur</w:t>
      </w:r>
      <w:r w:rsidR="00107282" w:rsidRPr="009C2953">
        <w:t xml:space="preserve"> leurs </w:t>
      </w:r>
      <w:r w:rsidR="00607B78" w:rsidRPr="009C2953">
        <w:t>travaux à</w:t>
      </w:r>
      <w:r w:rsidR="00F34644" w:rsidRPr="009C2953">
        <w:t xml:space="preserve"> la </w:t>
      </w:r>
      <w:r w:rsidR="00607B78" w:rsidRPr="009C2953">
        <w:t>Plénière à</w:t>
      </w:r>
      <w:r w:rsidR="00F34644" w:rsidRPr="009C2953">
        <w:t xml:space="preserve"> sa </w:t>
      </w:r>
      <w:r w:rsidR="00607B78" w:rsidRPr="009C2953">
        <w:t>douzième session ;</w:t>
      </w:r>
      <w:r w:rsidR="00F34644" w:rsidRPr="009C2953">
        <w:t xml:space="preserve"> un </w:t>
      </w:r>
      <w:r w:rsidR="00607B78" w:rsidRPr="009C2953">
        <w:t>budget de 7</w:t>
      </w:r>
      <w:r w:rsidR="00CE246D" w:rsidRPr="009C2953">
        <w:t> </w:t>
      </w:r>
      <w:r w:rsidR="00607B78" w:rsidRPr="009C2953">
        <w:t>500 dollars sera prévu à cette fin.</w:t>
      </w:r>
    </w:p>
    <w:p w14:paraId="3B66607F" w14:textId="73D96071" w:rsidR="00607B78" w:rsidRPr="009C2953" w:rsidRDefault="00A17FD8" w:rsidP="00A17FD8">
      <w:pPr>
        <w:pStyle w:val="NormalNonumber"/>
        <w:sectPr w:rsidR="00607B78" w:rsidRPr="009C2953" w:rsidSect="00603A5E">
          <w:footnotePr>
            <w:numRestart w:val="eachSect"/>
          </w:footnotePr>
          <w:pgSz w:w="11907" w:h="16839" w:code="9"/>
          <w:pgMar w:top="907" w:right="992" w:bottom="1418" w:left="1418" w:header="539" w:footer="975" w:gutter="0"/>
          <w:cols w:space="539"/>
          <w:docGrid w:linePitch="360"/>
        </w:sectPr>
      </w:pPr>
      <w:r w:rsidRPr="009C2953">
        <w:t>10.</w:t>
      </w:r>
      <w:r w:rsidRPr="009C2953">
        <w:tab/>
      </w:r>
      <w:r w:rsidR="00607B78" w:rsidRPr="009C2953">
        <w:t>Un budget de 50 000 dollars est prévu pour</w:t>
      </w:r>
      <w:r w:rsidR="00F34644" w:rsidRPr="009C2953">
        <w:t xml:space="preserve"> le </w:t>
      </w:r>
      <w:r w:rsidR="00607B78" w:rsidRPr="009C2953">
        <w:t>recrutement du (de la) consultant(e) qualifié(e).</w:t>
      </w:r>
    </w:p>
    <w:p w14:paraId="6190CBB7" w14:textId="5AD415B9" w:rsidR="00607B78" w:rsidRPr="009C2953" w:rsidRDefault="00607B78" w:rsidP="00607B78">
      <w:pPr>
        <w:pStyle w:val="CH1"/>
      </w:pPr>
      <w:r w:rsidRPr="009C2953">
        <w:lastRenderedPageBreak/>
        <w:tab/>
      </w:r>
      <w:r w:rsidRPr="009C2953">
        <w:tab/>
        <w:t>Annexe X à</w:t>
      </w:r>
      <w:r w:rsidR="00F34644" w:rsidRPr="009C2953">
        <w:t xml:space="preserve"> la </w:t>
      </w:r>
      <w:r w:rsidRPr="009C2953">
        <w:t>décision IPBES-10/1</w:t>
      </w:r>
    </w:p>
    <w:p w14:paraId="0AE414AF" w14:textId="387EB1DA" w:rsidR="00607B78" w:rsidRPr="009C2953" w:rsidRDefault="00607B78" w:rsidP="00607B78">
      <w:pPr>
        <w:pStyle w:val="CH1"/>
      </w:pPr>
      <w:r w:rsidRPr="009C2953">
        <w:tab/>
      </w:r>
      <w:r w:rsidRPr="009C2953">
        <w:tab/>
        <w:t>Mandat de l</w:t>
      </w:r>
      <w:r w:rsidR="00EA2966" w:rsidRPr="009C2953">
        <w:t>’</w:t>
      </w:r>
      <w:r w:rsidRPr="009C2953">
        <w:t>équipe spéciale sur</w:t>
      </w:r>
      <w:r w:rsidR="00F34644" w:rsidRPr="009C2953">
        <w:t xml:space="preserve"> le </w:t>
      </w:r>
      <w:r w:rsidRPr="009C2953">
        <w:t>renforcement</w:t>
      </w:r>
      <w:r w:rsidR="00D24DC1" w:rsidRPr="009C2953">
        <w:t xml:space="preserve"> des </w:t>
      </w:r>
      <w:r w:rsidRPr="009C2953">
        <w:t>capacités</w:t>
      </w:r>
    </w:p>
    <w:p w14:paraId="6AFA31F2" w14:textId="24C201EA" w:rsidR="00607B78" w:rsidRPr="009C2953" w:rsidRDefault="00607B78" w:rsidP="00607B78">
      <w:pPr>
        <w:pStyle w:val="CH1"/>
      </w:pPr>
      <w:r w:rsidRPr="009C2953">
        <w:tab/>
        <w:t>I.</w:t>
      </w:r>
      <w:r w:rsidRPr="009C2953">
        <w:tab/>
        <w:t>Fonctions et responsabilités</w:t>
      </w:r>
    </w:p>
    <w:p w14:paraId="1B5B0FD8" w14:textId="70F615E1" w:rsidR="00607B78" w:rsidRPr="009C2953" w:rsidRDefault="00914B12" w:rsidP="00914B12">
      <w:pPr>
        <w:pStyle w:val="NormalNonumber"/>
        <w:tabs>
          <w:tab w:val="clear" w:pos="1247"/>
          <w:tab w:val="clear" w:pos="1871"/>
          <w:tab w:val="clear" w:pos="2495"/>
          <w:tab w:val="clear" w:pos="3119"/>
          <w:tab w:val="clear" w:pos="3742"/>
          <w:tab w:val="clear" w:pos="4366"/>
          <w:tab w:val="left" w:pos="1843"/>
        </w:tabs>
        <w:rPr>
          <w:color w:val="000000"/>
        </w:rPr>
      </w:pPr>
      <w:r w:rsidRPr="009C2953">
        <w:t>1.</w:t>
      </w:r>
      <w:r w:rsidRPr="009C2953">
        <w:tab/>
      </w:r>
      <w:r w:rsidR="00607B78" w:rsidRPr="009C2953">
        <w:t>L</w:t>
      </w:r>
      <w:r w:rsidR="00EA2966" w:rsidRPr="009C2953">
        <w:t>’</w:t>
      </w:r>
      <w:r w:rsidR="00607B78" w:rsidRPr="009C2953">
        <w:t>équipe spéciale sur</w:t>
      </w:r>
      <w:r w:rsidR="00F34644" w:rsidRPr="009C2953">
        <w:t xml:space="preserve"> le </w:t>
      </w:r>
      <w:r w:rsidR="00607B78" w:rsidRPr="009C2953">
        <w:t>renforcement</w:t>
      </w:r>
      <w:r w:rsidR="00D24DC1" w:rsidRPr="009C2953">
        <w:t xml:space="preserve"> des </w:t>
      </w:r>
      <w:r w:rsidR="00607B78" w:rsidRPr="009C2953">
        <w:t>capacités supervise</w:t>
      </w:r>
      <w:r w:rsidR="00444C49" w:rsidRPr="009C2953">
        <w:t>ra</w:t>
      </w:r>
      <w:r w:rsidR="00607B78" w:rsidRPr="009C2953">
        <w:t xml:space="preserve"> et participe</w:t>
      </w:r>
      <w:r w:rsidR="00444C49" w:rsidRPr="009C2953">
        <w:t xml:space="preserve">ra </w:t>
      </w:r>
      <w:r w:rsidR="00607B78" w:rsidRPr="009C2953">
        <w:t>à</w:t>
      </w:r>
      <w:r w:rsidR="00F34644" w:rsidRPr="009C2953">
        <w:t xml:space="preserve"> la </w:t>
      </w:r>
      <w:r w:rsidR="00607B78" w:rsidRPr="009C2953">
        <w:t>réalisation de</w:t>
      </w:r>
      <w:r w:rsidR="00B23ED8" w:rsidRPr="009C2953">
        <w:t> </w:t>
      </w:r>
      <w:r w:rsidR="00607B78" w:rsidRPr="009C2953">
        <w:t>l</w:t>
      </w:r>
      <w:r w:rsidR="00EA2966" w:rsidRPr="009C2953">
        <w:t>’</w:t>
      </w:r>
      <w:r w:rsidR="00607B78" w:rsidRPr="009C2953">
        <w:t>objectif 2 « renforcement</w:t>
      </w:r>
      <w:r w:rsidR="00D24DC1" w:rsidRPr="009C2953">
        <w:t xml:space="preserve"> des </w:t>
      </w:r>
      <w:r w:rsidR="00607B78" w:rsidRPr="009C2953">
        <w:t>capacités » du programme de travail glissant de</w:t>
      </w:r>
      <w:r w:rsidR="00F34644" w:rsidRPr="009C2953">
        <w:t xml:space="preserve"> la </w:t>
      </w:r>
      <w:r w:rsidR="00607B78" w:rsidRPr="009C2953">
        <w:t>Plateforme</w:t>
      </w:r>
      <w:r w:rsidR="00D43EA4" w:rsidRPr="009C2953">
        <w:t> </w:t>
      </w:r>
      <w:r w:rsidR="00607B78" w:rsidRPr="009C2953">
        <w:t>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w:t>
      </w:r>
      <w:r w:rsidR="00B23ED8" w:rsidRPr="009C2953">
        <w:t> </w:t>
      </w:r>
      <w:r w:rsidR="00607B78" w:rsidRPr="009C2953">
        <w:t>(IPBES) pour</w:t>
      </w:r>
      <w:r w:rsidR="00F34644" w:rsidRPr="009C2953">
        <w:t xml:space="preserve"> la </w:t>
      </w:r>
      <w:r w:rsidR="00607B78" w:rsidRPr="009C2953">
        <w:t>période allant jusqu</w:t>
      </w:r>
      <w:r w:rsidR="00EA2966" w:rsidRPr="009C2953">
        <w:t>’</w:t>
      </w:r>
      <w:r w:rsidR="00607B78" w:rsidRPr="009C2953">
        <w:t>en 2030</w:t>
      </w:r>
      <w:r w:rsidR="00607B78" w:rsidRPr="009C2953">
        <w:rPr>
          <w:rStyle w:val="FootnoteReference"/>
        </w:rPr>
        <w:footnoteReference w:id="36"/>
      </w:r>
      <w:r w:rsidR="00444C49" w:rsidRPr="009C2953">
        <w:t>et agira</w:t>
      </w:r>
      <w:r w:rsidR="00607B78" w:rsidRPr="009C2953">
        <w:t xml:space="preserve"> conformément</w:t>
      </w:r>
      <w:r w:rsidR="00F34644" w:rsidRPr="009C2953">
        <w:t xml:space="preserve"> aux </w:t>
      </w:r>
      <w:r w:rsidR="00607B78" w:rsidRPr="009C2953">
        <w:t>décisions pertinentes de</w:t>
      </w:r>
      <w:r w:rsidR="00F34644" w:rsidRPr="009C2953">
        <w:t xml:space="preserve"> la </w:t>
      </w:r>
      <w:r w:rsidR="00607B78" w:rsidRPr="009C2953">
        <w:t>Plénière et de ses organes subsidiaires, notamment en s</w:t>
      </w:r>
      <w:r w:rsidR="00EA2966" w:rsidRPr="009C2953">
        <w:t>’</w:t>
      </w:r>
      <w:r w:rsidR="00607B78" w:rsidRPr="009C2953">
        <w:t>appuyant sur</w:t>
      </w:r>
      <w:r w:rsidR="00F34644" w:rsidRPr="009C2953">
        <w:t xml:space="preserve"> les </w:t>
      </w:r>
      <w:r w:rsidR="00607B78" w:rsidRPr="009C2953">
        <w:t>enseignements tirés de</w:t>
      </w:r>
      <w:r w:rsidR="00F34644" w:rsidRPr="009C2953">
        <w:t xml:space="preserve"> la </w:t>
      </w:r>
      <w:r w:rsidR="00607B78" w:rsidRPr="009C2953">
        <w:t>réalisation de cet objectif au cours de</w:t>
      </w:r>
      <w:r w:rsidR="00F34644" w:rsidRPr="009C2953">
        <w:t xml:space="preserve"> la </w:t>
      </w:r>
      <w:r w:rsidR="00607B78" w:rsidRPr="009C2953">
        <w:t>période 2019</w:t>
      </w:r>
      <w:r w:rsidR="00607B78" w:rsidRPr="009C2953">
        <w:rPr>
          <w:rFonts w:ascii="Noto Sans Symbols" w:hAnsi="Noto Sans Symbols"/>
        </w:rPr>
        <w:t>-</w:t>
      </w:r>
      <w:r w:rsidR="00607B78" w:rsidRPr="009C2953">
        <w:t>2023 et</w:t>
      </w:r>
      <w:r w:rsidR="00D24DC1" w:rsidRPr="009C2953">
        <w:t xml:space="preserve"> des </w:t>
      </w:r>
      <w:r w:rsidR="00607B78" w:rsidRPr="009C2953">
        <w:t>produits 1 a), « besoins prioritaires en matière de renforcement</w:t>
      </w:r>
      <w:r w:rsidR="00D24DC1" w:rsidRPr="009C2953">
        <w:t xml:space="preserve"> des </w:t>
      </w:r>
      <w:r w:rsidR="00607B78" w:rsidRPr="009C2953">
        <w:t>capacités nécessaires pour mener à bien</w:t>
      </w:r>
      <w:r w:rsidR="00F34644" w:rsidRPr="009C2953">
        <w:t xml:space="preserve"> le </w:t>
      </w:r>
      <w:r w:rsidR="00607B78" w:rsidRPr="009C2953">
        <w:t>programme de travail de</w:t>
      </w:r>
      <w:r w:rsidR="00F34644" w:rsidRPr="009C2953">
        <w:t xml:space="preserve"> la </w:t>
      </w:r>
      <w:r w:rsidR="00607B78" w:rsidRPr="009C2953">
        <w:t>Plateforme en adéquation avec</w:t>
      </w:r>
      <w:r w:rsidR="00F34644" w:rsidRPr="009C2953">
        <w:t xml:space="preserve"> les </w:t>
      </w:r>
      <w:r w:rsidR="00607B78" w:rsidRPr="009C2953">
        <w:t>ressources grâce à</w:t>
      </w:r>
      <w:r w:rsidR="00F34644" w:rsidRPr="009C2953">
        <w:t xml:space="preserve"> la </w:t>
      </w:r>
      <w:r w:rsidR="00607B78" w:rsidRPr="009C2953">
        <w:t>mobilisation d</w:t>
      </w:r>
      <w:r w:rsidR="00EA2966" w:rsidRPr="009C2953">
        <w:t>’</w:t>
      </w:r>
      <w:r w:rsidR="00607B78" w:rsidRPr="009C2953">
        <w:t>un appui financier et en nature », et 1 b), « disponibilité</w:t>
      </w:r>
      <w:r w:rsidR="00D24DC1" w:rsidRPr="009C2953">
        <w:t xml:space="preserve"> des </w:t>
      </w:r>
      <w:r w:rsidR="00607B78" w:rsidRPr="009C2953">
        <w:t>capacités nécessaires pour mener à bien</w:t>
      </w:r>
      <w:r w:rsidR="00F34644" w:rsidRPr="009C2953">
        <w:t xml:space="preserve"> le </w:t>
      </w:r>
      <w:r w:rsidR="00607B78" w:rsidRPr="009C2953">
        <w:t>programme de travail de</w:t>
      </w:r>
      <w:r w:rsidR="00F34644" w:rsidRPr="009C2953">
        <w:t xml:space="preserve"> la </w:t>
      </w:r>
      <w:r w:rsidR="00607B78" w:rsidRPr="009C2953">
        <w:t>Plateforme », du premier programme de travail de</w:t>
      </w:r>
      <w:r w:rsidR="00D43EA4" w:rsidRPr="009C2953">
        <w:t> </w:t>
      </w:r>
      <w:r w:rsidR="00607B78" w:rsidRPr="009C2953">
        <w:t>l</w:t>
      </w:r>
      <w:r w:rsidR="00EA2966" w:rsidRPr="009C2953">
        <w:t>’</w:t>
      </w:r>
      <w:r w:rsidR="00607B78" w:rsidRPr="009C2953">
        <w:t>IPBES</w:t>
      </w:r>
      <w:r w:rsidR="00607B78" w:rsidRPr="009C2953">
        <w:rPr>
          <w:rStyle w:val="FootnoteReference"/>
        </w:rPr>
        <w:footnoteReference w:id="37"/>
      </w:r>
      <w:r w:rsidR="00607B78" w:rsidRPr="009C2953">
        <w:t>.</w:t>
      </w:r>
    </w:p>
    <w:p w14:paraId="0F7B9FEC" w14:textId="72A95720" w:rsidR="00607B78" w:rsidRPr="009C2953" w:rsidRDefault="00914B12" w:rsidP="00914B12">
      <w:pPr>
        <w:pStyle w:val="NormalNonumber"/>
        <w:tabs>
          <w:tab w:val="clear" w:pos="1247"/>
          <w:tab w:val="clear" w:pos="1871"/>
          <w:tab w:val="clear" w:pos="2495"/>
          <w:tab w:val="clear" w:pos="3119"/>
          <w:tab w:val="clear" w:pos="3742"/>
          <w:tab w:val="clear" w:pos="4366"/>
          <w:tab w:val="left" w:pos="1843"/>
        </w:tabs>
        <w:rPr>
          <w:color w:val="000000"/>
        </w:rPr>
      </w:pPr>
      <w:r w:rsidRPr="009C2953">
        <w:t>2.</w:t>
      </w:r>
      <w:r w:rsidRPr="009C2953">
        <w:tab/>
      </w:r>
      <w:r w:rsidR="00607B78" w:rsidRPr="009C2953">
        <w:t>L</w:t>
      </w:r>
      <w:r w:rsidR="00EA2966" w:rsidRPr="009C2953">
        <w:t>’</w:t>
      </w:r>
      <w:r w:rsidR="00607B78" w:rsidRPr="009C2953">
        <w:t>équipe</w:t>
      </w:r>
      <w:r w:rsidR="00607B78" w:rsidRPr="009C2953">
        <w:rPr>
          <w:color w:val="000000"/>
        </w:rPr>
        <w:t xml:space="preserve"> spéciale :</w:t>
      </w:r>
    </w:p>
    <w:p w14:paraId="14B2DB08" w14:textId="073D7161" w:rsidR="00607B78" w:rsidRPr="009C2953" w:rsidRDefault="00914B12" w:rsidP="00914B12">
      <w:pPr>
        <w:pStyle w:val="NormalNonumber"/>
      </w:pPr>
      <w:r w:rsidRPr="009C2953">
        <w:tab/>
        <w:t>a)</w:t>
      </w:r>
      <w:r w:rsidRPr="009C2953">
        <w:tab/>
      </w:r>
      <w:r w:rsidR="00607B78" w:rsidRPr="009C2953">
        <w:t>Guide</w:t>
      </w:r>
      <w:r w:rsidR="00444C49" w:rsidRPr="009C2953">
        <w:t>ra</w:t>
      </w:r>
      <w:r w:rsidR="00F34644" w:rsidRPr="009C2953">
        <w:t xml:space="preserve"> le </w:t>
      </w:r>
      <w:r w:rsidR="00607B78" w:rsidRPr="009C2953">
        <w:t>secrétariat,</w:t>
      </w:r>
      <w:r w:rsidR="00F34644" w:rsidRPr="009C2953">
        <w:t xml:space="preserve"> y </w:t>
      </w:r>
      <w:r w:rsidR="00607B78" w:rsidRPr="009C2953">
        <w:t>compris</w:t>
      </w:r>
      <w:r w:rsidR="00F34644" w:rsidRPr="009C2953">
        <w:t xml:space="preserve"> le </w:t>
      </w:r>
      <w:r w:rsidR="00607B78" w:rsidRPr="009C2953">
        <w:t>groupe d</w:t>
      </w:r>
      <w:r w:rsidR="00EA2966" w:rsidRPr="009C2953">
        <w:t>’</w:t>
      </w:r>
      <w:r w:rsidR="00607B78" w:rsidRPr="009C2953">
        <w:t>appui technique dédié, dans</w:t>
      </w:r>
      <w:r w:rsidR="00F34644" w:rsidRPr="009C2953">
        <w:t xml:space="preserve"> la </w:t>
      </w:r>
      <w:r w:rsidR="00607B78" w:rsidRPr="009C2953">
        <w:t>mise en</w:t>
      </w:r>
      <w:r w:rsidR="00B23ED8" w:rsidRPr="009C2953">
        <w:t> </w:t>
      </w:r>
      <w:r w:rsidR="00607B78" w:rsidRPr="009C2953">
        <w:t>œuvre du plan glissant de renforcement</w:t>
      </w:r>
      <w:r w:rsidR="00D24DC1" w:rsidRPr="009C2953">
        <w:t xml:space="preserve"> des </w:t>
      </w:r>
      <w:r w:rsidR="00607B78" w:rsidRPr="009C2953">
        <w:t>capacités</w:t>
      </w:r>
      <w:r w:rsidR="00607B78" w:rsidRPr="009C2953">
        <w:rPr>
          <w:vertAlign w:val="superscript"/>
        </w:rPr>
        <w:footnoteReference w:id="38"/>
      </w:r>
      <w:r w:rsidR="00607B78" w:rsidRPr="009C2953">
        <w:t>, qui encadre</w:t>
      </w:r>
      <w:r w:rsidR="00F34644" w:rsidRPr="009C2953">
        <w:t xml:space="preserve"> les </w:t>
      </w:r>
      <w:r w:rsidR="00607B78" w:rsidRPr="009C2953">
        <w:t>activités relevant de l</w:t>
      </w:r>
      <w:r w:rsidR="00EA2966" w:rsidRPr="009C2953">
        <w:t>’</w:t>
      </w:r>
      <w:r w:rsidR="00607B78" w:rsidRPr="009C2953">
        <w:t>objectif 2 du programme de travail glissant pour</w:t>
      </w:r>
      <w:r w:rsidR="00F34644" w:rsidRPr="009C2953">
        <w:t xml:space="preserve"> la </w:t>
      </w:r>
      <w:r w:rsidR="00607B78" w:rsidRPr="009C2953">
        <w:t>période allant jusqu</w:t>
      </w:r>
      <w:r w:rsidR="00EA2966" w:rsidRPr="009C2953">
        <w:t>’</w:t>
      </w:r>
      <w:r w:rsidR="00607B78" w:rsidRPr="009C2953">
        <w:t xml:space="preserve">en 2030 ; </w:t>
      </w:r>
    </w:p>
    <w:p w14:paraId="2C898186" w14:textId="67F26B5C" w:rsidR="00607B78" w:rsidRPr="009C2953" w:rsidRDefault="00914B12" w:rsidP="00914B12">
      <w:pPr>
        <w:pStyle w:val="NormalNonumber"/>
        <w:rPr>
          <w:color w:val="000000"/>
        </w:rPr>
      </w:pPr>
      <w:r w:rsidRPr="009C2953">
        <w:tab/>
        <w:t>b)</w:t>
      </w:r>
      <w:r w:rsidRPr="009C2953">
        <w:tab/>
      </w:r>
      <w:r w:rsidR="00607B78" w:rsidRPr="009C2953">
        <w:t>F</w:t>
      </w:r>
      <w:r w:rsidR="00444C49" w:rsidRPr="009C2953">
        <w:t>era</w:t>
      </w:r>
      <w:r w:rsidR="00607B78" w:rsidRPr="009C2953">
        <w:t xml:space="preserve"> périodiquement rapport à</w:t>
      </w:r>
      <w:r w:rsidR="00F34644" w:rsidRPr="009C2953">
        <w:t xml:space="preserve"> la </w:t>
      </w:r>
      <w:r w:rsidR="00607B78" w:rsidRPr="009C2953">
        <w:t>Plénière sur</w:t>
      </w:r>
      <w:r w:rsidR="00F34644" w:rsidRPr="009C2953">
        <w:t xml:space="preserve"> les </w:t>
      </w:r>
      <w:r w:rsidR="00607B78" w:rsidRPr="009C2953">
        <w:t>progrès accomplis.</w:t>
      </w:r>
    </w:p>
    <w:p w14:paraId="323AAD53" w14:textId="21D491F6" w:rsidR="00607B78" w:rsidRPr="009C2953" w:rsidRDefault="00914B12" w:rsidP="00914B12">
      <w:pPr>
        <w:pStyle w:val="NormalNonumber"/>
        <w:tabs>
          <w:tab w:val="clear" w:pos="1247"/>
          <w:tab w:val="clear" w:pos="1871"/>
          <w:tab w:val="clear" w:pos="2495"/>
          <w:tab w:val="clear" w:pos="3119"/>
          <w:tab w:val="clear" w:pos="3742"/>
          <w:tab w:val="clear" w:pos="4366"/>
          <w:tab w:val="left" w:pos="1843"/>
        </w:tabs>
        <w:rPr>
          <w:color w:val="000000"/>
        </w:rPr>
      </w:pPr>
      <w:r w:rsidRPr="009C2953">
        <w:t>3.</w:t>
      </w:r>
      <w:r w:rsidRPr="009C2953">
        <w:tab/>
      </w:r>
      <w:r w:rsidR="00607B78" w:rsidRPr="009C2953">
        <w:t>Le</w:t>
      </w:r>
      <w:r w:rsidR="00607B78" w:rsidRPr="009C2953">
        <w:rPr>
          <w:color w:val="000000"/>
        </w:rPr>
        <w:t xml:space="preserve"> Groupe d</w:t>
      </w:r>
      <w:r w:rsidR="00EA2966" w:rsidRPr="009C2953">
        <w:rPr>
          <w:color w:val="000000"/>
        </w:rPr>
        <w:t>’</w:t>
      </w:r>
      <w:r w:rsidR="00607B78" w:rsidRPr="009C2953">
        <w:rPr>
          <w:color w:val="000000"/>
        </w:rPr>
        <w:t>experts multidisciplinaire et</w:t>
      </w:r>
      <w:r w:rsidR="00F34644" w:rsidRPr="009C2953">
        <w:rPr>
          <w:color w:val="000000"/>
        </w:rPr>
        <w:t xml:space="preserve"> le </w:t>
      </w:r>
      <w:r w:rsidR="00607B78" w:rsidRPr="009C2953">
        <w:rPr>
          <w:color w:val="000000"/>
        </w:rPr>
        <w:t>Bureau assure</w:t>
      </w:r>
      <w:r w:rsidR="00444C49" w:rsidRPr="009C2953">
        <w:rPr>
          <w:color w:val="000000"/>
        </w:rPr>
        <w:t>ro</w:t>
      </w:r>
      <w:r w:rsidR="00607B78" w:rsidRPr="009C2953">
        <w:rPr>
          <w:color w:val="000000"/>
        </w:rPr>
        <w:t>nt</w:t>
      </w:r>
      <w:r w:rsidR="00F34644" w:rsidRPr="009C2953">
        <w:rPr>
          <w:color w:val="000000"/>
        </w:rPr>
        <w:t xml:space="preserve"> la </w:t>
      </w:r>
      <w:r w:rsidR="00607B78" w:rsidRPr="009C2953">
        <w:rPr>
          <w:color w:val="000000"/>
        </w:rPr>
        <w:t>coordination</w:t>
      </w:r>
      <w:r w:rsidR="00D24DC1" w:rsidRPr="009C2953">
        <w:rPr>
          <w:color w:val="000000"/>
        </w:rPr>
        <w:t xml:space="preserve"> des </w:t>
      </w:r>
      <w:r w:rsidR="00607B78" w:rsidRPr="009C2953">
        <w:rPr>
          <w:color w:val="000000"/>
        </w:rPr>
        <w:t>activités et</w:t>
      </w:r>
      <w:r w:rsidRPr="009C2953">
        <w:rPr>
          <w:color w:val="000000"/>
        </w:rPr>
        <w:t> </w:t>
      </w:r>
      <w:r w:rsidR="00D24DC1" w:rsidRPr="009C2953">
        <w:rPr>
          <w:color w:val="000000"/>
        </w:rPr>
        <w:t>des </w:t>
      </w:r>
      <w:r w:rsidR="00607B78" w:rsidRPr="009C2953">
        <w:rPr>
          <w:color w:val="000000"/>
        </w:rPr>
        <w:t>synergies entre toutes</w:t>
      </w:r>
      <w:r w:rsidR="00F34644" w:rsidRPr="009C2953">
        <w:rPr>
          <w:color w:val="000000"/>
        </w:rPr>
        <w:t xml:space="preserve"> les </w:t>
      </w:r>
      <w:r w:rsidR="00607B78" w:rsidRPr="009C2953">
        <w:rPr>
          <w:color w:val="000000"/>
        </w:rPr>
        <w:t>équipes spéciales et tous</w:t>
      </w:r>
      <w:r w:rsidR="00F34644" w:rsidRPr="009C2953">
        <w:rPr>
          <w:color w:val="000000"/>
        </w:rPr>
        <w:t xml:space="preserve"> les </w:t>
      </w:r>
      <w:r w:rsidR="00607B78" w:rsidRPr="009C2953">
        <w:rPr>
          <w:color w:val="000000"/>
        </w:rPr>
        <w:t>groupes d</w:t>
      </w:r>
      <w:r w:rsidR="00EA2966" w:rsidRPr="009C2953">
        <w:rPr>
          <w:color w:val="000000"/>
        </w:rPr>
        <w:t>’</w:t>
      </w:r>
      <w:r w:rsidR="00607B78" w:rsidRPr="009C2953">
        <w:rPr>
          <w:color w:val="000000"/>
        </w:rPr>
        <w:t>expert(e)s de l</w:t>
      </w:r>
      <w:r w:rsidR="00EA2966" w:rsidRPr="009C2953">
        <w:rPr>
          <w:color w:val="000000"/>
        </w:rPr>
        <w:t>’</w:t>
      </w:r>
      <w:r w:rsidR="00607B78" w:rsidRPr="009C2953">
        <w:rPr>
          <w:color w:val="000000"/>
        </w:rPr>
        <w:t>IPBES.</w:t>
      </w:r>
    </w:p>
    <w:p w14:paraId="1018131C" w14:textId="268A5A96" w:rsidR="00607B78" w:rsidRPr="009C2953" w:rsidRDefault="00607B78" w:rsidP="00607B78">
      <w:pPr>
        <w:pStyle w:val="CH1"/>
      </w:pPr>
      <w:r w:rsidRPr="009C2953">
        <w:tab/>
        <w:t>II.</w:t>
      </w:r>
      <w:r w:rsidRPr="009C2953">
        <w:tab/>
        <w:t>Composition</w:t>
      </w:r>
    </w:p>
    <w:p w14:paraId="06A1D75E" w14:textId="5EBF0E9D" w:rsidR="00607B78" w:rsidRPr="009C2953" w:rsidRDefault="005C35A8" w:rsidP="005C35A8">
      <w:pPr>
        <w:pStyle w:val="NormalNonumber"/>
        <w:tabs>
          <w:tab w:val="clear" w:pos="1247"/>
          <w:tab w:val="clear" w:pos="1871"/>
          <w:tab w:val="clear" w:pos="2495"/>
          <w:tab w:val="clear" w:pos="3119"/>
          <w:tab w:val="clear" w:pos="3742"/>
          <w:tab w:val="clear" w:pos="4366"/>
          <w:tab w:val="left" w:pos="1843"/>
        </w:tabs>
      </w:pPr>
      <w:r w:rsidRPr="009C2953">
        <w:rPr>
          <w:color w:val="000000"/>
        </w:rPr>
        <w:t>4.</w:t>
      </w:r>
      <w:r w:rsidRPr="009C2953">
        <w:rPr>
          <w:color w:val="000000"/>
        </w:rPr>
        <w:tab/>
      </w:r>
      <w:r w:rsidR="00607B78" w:rsidRPr="009C2953">
        <w:rPr>
          <w:color w:val="000000"/>
        </w:rPr>
        <w:t>L</w:t>
      </w:r>
      <w:r w:rsidR="00EA2966" w:rsidRPr="009C2953">
        <w:rPr>
          <w:color w:val="000000"/>
        </w:rPr>
        <w:t>’</w:t>
      </w:r>
      <w:r w:rsidR="00607B78" w:rsidRPr="009C2953">
        <w:rPr>
          <w:color w:val="000000"/>
        </w:rPr>
        <w:t xml:space="preserve">équipe </w:t>
      </w:r>
      <w:r w:rsidR="00607B78" w:rsidRPr="009C2953">
        <w:t>spéciale comprend</w:t>
      </w:r>
      <w:r w:rsidR="00444C49" w:rsidRPr="009C2953">
        <w:t>ra</w:t>
      </w:r>
      <w:r w:rsidR="00607B78" w:rsidRPr="009C2953">
        <w:t xml:space="preserve"> jusqu</w:t>
      </w:r>
      <w:r w:rsidR="00EA2966" w:rsidRPr="009C2953">
        <w:t>’</w:t>
      </w:r>
      <w:r w:rsidR="00607B78" w:rsidRPr="009C2953">
        <w:t>à 18 membres issus</w:t>
      </w:r>
      <w:r w:rsidR="00D24DC1" w:rsidRPr="009C2953">
        <w:t xml:space="preserve"> des </w:t>
      </w:r>
      <w:r w:rsidR="00607B78" w:rsidRPr="009C2953">
        <w:t>cinq régions de l</w:t>
      </w:r>
      <w:r w:rsidR="00EA2966" w:rsidRPr="009C2953">
        <w:t>’</w:t>
      </w:r>
      <w:r w:rsidR="00607B78" w:rsidRPr="009C2953">
        <w:t>ONU, dont</w:t>
      </w:r>
      <w:r w:rsidR="00B23ED8" w:rsidRPr="009C2953">
        <w:t xml:space="preserve"> </w:t>
      </w:r>
      <w:r w:rsidR="00607B78" w:rsidRPr="009C2953">
        <w:t>jusqu</w:t>
      </w:r>
      <w:r w:rsidR="00EA2966" w:rsidRPr="009C2953">
        <w:t>’</w:t>
      </w:r>
      <w:r w:rsidR="00607B78" w:rsidRPr="009C2953">
        <w:t>à trois membres du Bureau et du Groupe d</w:t>
      </w:r>
      <w:r w:rsidR="00EA2966" w:rsidRPr="009C2953">
        <w:t>’</w:t>
      </w:r>
      <w:r w:rsidR="00607B78" w:rsidRPr="009C2953">
        <w:t>experts multidisciplinaire,</w:t>
      </w:r>
      <w:r w:rsidR="00F34644" w:rsidRPr="009C2953">
        <w:t xml:space="preserve"> les </w:t>
      </w:r>
      <w:r w:rsidR="00607B78" w:rsidRPr="009C2953">
        <w:t>autres membres appartenant à</w:t>
      </w:r>
      <w:r w:rsidR="00F34644" w:rsidRPr="009C2953">
        <w:t xml:space="preserve"> une </w:t>
      </w:r>
      <w:r w:rsidR="00607B78" w:rsidRPr="009C2953">
        <w:t>au moins</w:t>
      </w:r>
      <w:r w:rsidR="00D24DC1" w:rsidRPr="009C2953">
        <w:t xml:space="preserve"> des </w:t>
      </w:r>
      <w:r w:rsidR="00607B78" w:rsidRPr="009C2953">
        <w:t>catégories suivantes : a)</w:t>
      </w:r>
      <w:r w:rsidR="00D24DC1" w:rsidRPr="009C2953">
        <w:t xml:space="preserve"> des </w:t>
      </w:r>
      <w:r w:rsidR="00607B78" w:rsidRPr="009C2953">
        <w:t>représentant(e)s d</w:t>
      </w:r>
      <w:r w:rsidR="00EA2966" w:rsidRPr="009C2953">
        <w:t>’</w:t>
      </w:r>
      <w:r w:rsidR="00607B78" w:rsidRPr="009C2953">
        <w:t>organisations, d</w:t>
      </w:r>
      <w:r w:rsidR="00EA2966" w:rsidRPr="009C2953">
        <w:t>’</w:t>
      </w:r>
      <w:r w:rsidR="00607B78" w:rsidRPr="009C2953">
        <w:t>institutions et de centres d</w:t>
      </w:r>
      <w:r w:rsidR="00EA2966" w:rsidRPr="009C2953">
        <w:t>’</w:t>
      </w:r>
      <w:r w:rsidR="00607B78" w:rsidRPr="009C2953">
        <w:t>excellence scientifiques nationaux, régionaux et internationaux qualifiés,</w:t>
      </w:r>
      <w:r w:rsidR="00F34644" w:rsidRPr="009C2953">
        <w:t xml:space="preserve"> y </w:t>
      </w:r>
      <w:r w:rsidR="00607B78" w:rsidRPr="009C2953">
        <w:t>compris</w:t>
      </w:r>
      <w:r w:rsidR="00D24DC1" w:rsidRPr="009C2953">
        <w:t xml:space="preserve"> des </w:t>
      </w:r>
      <w:r w:rsidR="00607B78" w:rsidRPr="009C2953">
        <w:t>expert(e)s en savoirs autochtones et locaux</w:t>
      </w:r>
      <w:r w:rsidR="00607B78" w:rsidRPr="009C2953">
        <w:footnoteReference w:id="39"/>
      </w:r>
      <w:r w:rsidR="00607B78" w:rsidRPr="009C2953">
        <w:t>, qui sont connu(e)s pour</w:t>
      </w:r>
      <w:r w:rsidR="00107282" w:rsidRPr="009C2953">
        <w:t xml:space="preserve"> leurs </w:t>
      </w:r>
      <w:r w:rsidR="00607B78" w:rsidRPr="009C2953">
        <w:t>travaux et</w:t>
      </w:r>
      <w:r w:rsidR="00F34644" w:rsidRPr="009C2953">
        <w:t xml:space="preserve"> leur </w:t>
      </w:r>
      <w:r w:rsidR="00607B78" w:rsidRPr="009C2953">
        <w:t>expertise sur</w:t>
      </w:r>
      <w:r w:rsidR="00D24DC1" w:rsidRPr="009C2953">
        <w:t xml:space="preserve"> des </w:t>
      </w:r>
      <w:r w:rsidR="00607B78" w:rsidRPr="009C2953">
        <w:t>questions relevant du mandat de l</w:t>
      </w:r>
      <w:r w:rsidR="00EA2966" w:rsidRPr="009C2953">
        <w:t>’</w:t>
      </w:r>
      <w:r w:rsidR="00607B78" w:rsidRPr="009C2953">
        <w:t>équipe spéciale et qui sont</w:t>
      </w:r>
      <w:r w:rsidR="00D24DC1" w:rsidRPr="009C2953">
        <w:t xml:space="preserve"> des </w:t>
      </w:r>
      <w:r w:rsidR="00607B78" w:rsidRPr="009C2953">
        <w:t>partenaires ou</w:t>
      </w:r>
      <w:r w:rsidR="00D24DC1" w:rsidRPr="009C2953">
        <w:t xml:space="preserve"> des </w:t>
      </w:r>
      <w:r w:rsidR="00607B78" w:rsidRPr="009C2953">
        <w:t>collaborateur(</w:t>
      </w:r>
      <w:proofErr w:type="spellStart"/>
      <w:r w:rsidR="00607B78" w:rsidRPr="009C2953">
        <w:t>rice</w:t>
      </w:r>
      <w:proofErr w:type="spellEnd"/>
      <w:r w:rsidR="00607B78" w:rsidRPr="009C2953">
        <w:t>)s actuel(le)s ou potentiel(le)s pour</w:t>
      </w:r>
      <w:r w:rsidR="00F34644" w:rsidRPr="009C2953">
        <w:t xml:space="preserve"> les </w:t>
      </w:r>
      <w:r w:rsidR="00607B78" w:rsidRPr="009C2953">
        <w:t>activités de renforcement</w:t>
      </w:r>
      <w:r w:rsidR="00D24DC1" w:rsidRPr="009C2953">
        <w:t xml:space="preserve"> des </w:t>
      </w:r>
      <w:r w:rsidR="00607B78" w:rsidRPr="009C2953">
        <w:t>capacités de</w:t>
      </w:r>
      <w:r w:rsidR="00B23ED8" w:rsidRPr="009C2953">
        <w:t> </w:t>
      </w:r>
      <w:r w:rsidR="00607B78" w:rsidRPr="009C2953">
        <w:t>l</w:t>
      </w:r>
      <w:r w:rsidR="00EA2966" w:rsidRPr="009C2953">
        <w:t>’</w:t>
      </w:r>
      <w:r w:rsidR="00607B78" w:rsidRPr="009C2953">
        <w:t>IPBES ; b)</w:t>
      </w:r>
      <w:r w:rsidR="00D24DC1" w:rsidRPr="009C2953">
        <w:t xml:space="preserve"> des </w:t>
      </w:r>
      <w:r w:rsidR="00607B78" w:rsidRPr="009C2953">
        <w:t>expert(e)s de renom spécialisés dans</w:t>
      </w:r>
      <w:r w:rsidR="00F34644" w:rsidRPr="009C2953">
        <w:t xml:space="preserve"> les </w:t>
      </w:r>
      <w:r w:rsidR="00607B78" w:rsidRPr="009C2953">
        <w:t>questions relevant du mandat de l</w:t>
      </w:r>
      <w:r w:rsidR="00EA2966" w:rsidRPr="009C2953">
        <w:t>’</w:t>
      </w:r>
      <w:r w:rsidR="00607B78" w:rsidRPr="009C2953">
        <w:t>équipe spéciale,</w:t>
      </w:r>
      <w:r w:rsidR="00F34644" w:rsidRPr="009C2953">
        <w:t xml:space="preserve"> y </w:t>
      </w:r>
      <w:r w:rsidR="00607B78" w:rsidRPr="009C2953">
        <w:t>compris</w:t>
      </w:r>
      <w:r w:rsidR="00D24DC1" w:rsidRPr="009C2953">
        <w:t xml:space="preserve"> des </w:t>
      </w:r>
      <w:r w:rsidR="00607B78" w:rsidRPr="009C2953">
        <w:t>expert(e)s en savoirs autochtones et locaux.</w:t>
      </w:r>
    </w:p>
    <w:p w14:paraId="09CFDB7D" w14:textId="1BC98C18" w:rsidR="00607B78" w:rsidRPr="009C2953" w:rsidRDefault="005C35A8" w:rsidP="005C35A8">
      <w:pPr>
        <w:pStyle w:val="NormalNonumber"/>
        <w:tabs>
          <w:tab w:val="clear" w:pos="1247"/>
          <w:tab w:val="clear" w:pos="1871"/>
          <w:tab w:val="clear" w:pos="2495"/>
          <w:tab w:val="clear" w:pos="3119"/>
          <w:tab w:val="clear" w:pos="3742"/>
          <w:tab w:val="clear" w:pos="4366"/>
          <w:tab w:val="left" w:pos="1843"/>
        </w:tabs>
      </w:pPr>
      <w:r w:rsidRPr="009C2953">
        <w:t>5.</w:t>
      </w:r>
      <w:r w:rsidRPr="009C2953">
        <w:tab/>
      </w:r>
      <w:r w:rsidR="00607B78" w:rsidRPr="009C2953">
        <w:t>Les membres autres que ceux du Bureau et du Groupe d</w:t>
      </w:r>
      <w:r w:rsidR="00EA2966" w:rsidRPr="009C2953">
        <w:t>’</w:t>
      </w:r>
      <w:r w:rsidR="00607B78" w:rsidRPr="009C2953">
        <w:t>experts multidisciplinaire s</w:t>
      </w:r>
      <w:r w:rsidR="00444C49" w:rsidRPr="009C2953">
        <w:t>er</w:t>
      </w:r>
      <w:r w:rsidR="00607B78" w:rsidRPr="009C2953">
        <w:t>ont sélectionné(e)s conformément au processus de sélection décrit dans</w:t>
      </w:r>
      <w:r w:rsidR="00F34644" w:rsidRPr="009C2953">
        <w:t xml:space="preserve"> les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footnoteReference w:id="40"/>
      </w:r>
      <w:r w:rsidR="00607B78" w:rsidRPr="009C2953">
        <w:t>. Leur mandat expirera à</w:t>
      </w:r>
      <w:r w:rsidR="00F34644" w:rsidRPr="009C2953">
        <w:t xml:space="preserve"> la </w:t>
      </w:r>
      <w:r w:rsidR="00607B78" w:rsidRPr="009C2953">
        <w:t>clôture de</w:t>
      </w:r>
      <w:r w:rsidR="00F34644" w:rsidRPr="009C2953">
        <w:t xml:space="preserve"> la </w:t>
      </w:r>
      <w:r w:rsidR="00607B78" w:rsidRPr="009C2953">
        <w:t>troisième session de</w:t>
      </w:r>
      <w:r w:rsidR="00F34644" w:rsidRPr="009C2953">
        <w:t xml:space="preserve"> la </w:t>
      </w:r>
      <w:r w:rsidR="00607B78" w:rsidRPr="009C2953">
        <w:t>Plénière suivant</w:t>
      </w:r>
      <w:r w:rsidR="00F34644" w:rsidRPr="009C2953">
        <w:t xml:space="preserve"> leur </w:t>
      </w:r>
      <w:r w:rsidR="00607B78" w:rsidRPr="009C2953">
        <w:t>sélection, avec possibilité de réélection.</w:t>
      </w:r>
      <w:r w:rsidR="00F34644" w:rsidRPr="009C2953">
        <w:t xml:space="preserve"> La </w:t>
      </w:r>
      <w:r w:rsidR="00607B78" w:rsidRPr="009C2953">
        <w:t>sélection</w:t>
      </w:r>
      <w:r w:rsidR="00D24DC1" w:rsidRPr="009C2953">
        <w:t xml:space="preserve"> des </w:t>
      </w:r>
      <w:r w:rsidR="00607B78" w:rsidRPr="009C2953">
        <w:t>membres d</w:t>
      </w:r>
      <w:r w:rsidR="00444C49" w:rsidRPr="009C2953">
        <w:t>evrait</w:t>
      </w:r>
      <w:r w:rsidR="00607B78" w:rsidRPr="009C2953">
        <w:t xml:space="preserve"> tenir compte de</w:t>
      </w:r>
      <w:r w:rsidR="00F34644" w:rsidRPr="009C2953">
        <w:t xml:space="preserve"> la </w:t>
      </w:r>
      <w:r w:rsidR="00607B78" w:rsidRPr="009C2953">
        <w:t>nécessité d</w:t>
      </w:r>
      <w:r w:rsidR="00EA2966" w:rsidRPr="009C2953">
        <w:t>’</w:t>
      </w:r>
      <w:r w:rsidR="00607B78" w:rsidRPr="009C2953">
        <w:t>assurer</w:t>
      </w:r>
      <w:r w:rsidR="00F34644" w:rsidRPr="009C2953">
        <w:t xml:space="preserve"> la </w:t>
      </w:r>
      <w:r w:rsidR="00607B78" w:rsidRPr="009C2953">
        <w:t>continuité</w:t>
      </w:r>
      <w:r w:rsidR="00D24DC1" w:rsidRPr="009C2953">
        <w:t xml:space="preserve"> des </w:t>
      </w:r>
      <w:r w:rsidR="00607B78" w:rsidRPr="009C2953">
        <w:t>travaux de l</w:t>
      </w:r>
      <w:r w:rsidR="00EA2966" w:rsidRPr="009C2953">
        <w:t>’</w:t>
      </w:r>
      <w:r w:rsidR="00607B78" w:rsidRPr="009C2953">
        <w:t xml:space="preserve">équipe spéciale. </w:t>
      </w:r>
    </w:p>
    <w:p w14:paraId="0623EF94" w14:textId="48235A51" w:rsidR="00607B78" w:rsidRPr="009C2953" w:rsidRDefault="005C35A8" w:rsidP="005C35A8">
      <w:pPr>
        <w:pStyle w:val="NormalNonumber"/>
        <w:tabs>
          <w:tab w:val="clear" w:pos="1247"/>
          <w:tab w:val="clear" w:pos="1871"/>
          <w:tab w:val="clear" w:pos="2495"/>
          <w:tab w:val="clear" w:pos="3119"/>
          <w:tab w:val="clear" w:pos="3742"/>
          <w:tab w:val="clear" w:pos="4366"/>
          <w:tab w:val="left" w:pos="1843"/>
        </w:tabs>
      </w:pPr>
      <w:r w:rsidRPr="009C2953">
        <w:t>6.</w:t>
      </w:r>
      <w:r w:rsidRPr="009C2953">
        <w:tab/>
      </w:r>
      <w:r w:rsidR="00607B78" w:rsidRPr="009C2953">
        <w:t>À</w:t>
      </w:r>
      <w:r w:rsidR="00F34644" w:rsidRPr="009C2953">
        <w:t xml:space="preserve"> la </w:t>
      </w:r>
      <w:r w:rsidR="00607B78" w:rsidRPr="009C2953">
        <w:t>discrétion</w:t>
      </w:r>
      <w:r w:rsidR="00607B78" w:rsidRPr="009C2953">
        <w:rPr>
          <w:color w:val="000000"/>
        </w:rPr>
        <w:t xml:space="preserve"> de</w:t>
      </w:r>
      <w:r w:rsidR="00F34644" w:rsidRPr="009C2953">
        <w:rPr>
          <w:color w:val="000000"/>
        </w:rPr>
        <w:t xml:space="preserve"> la </w:t>
      </w:r>
      <w:r w:rsidR="00607B78" w:rsidRPr="009C2953">
        <w:rPr>
          <w:color w:val="000000"/>
        </w:rPr>
        <w:t>coprésidence de l</w:t>
      </w:r>
      <w:r w:rsidR="00EA2966" w:rsidRPr="009C2953">
        <w:rPr>
          <w:color w:val="000000"/>
        </w:rPr>
        <w:t>’</w:t>
      </w:r>
      <w:r w:rsidR="00607B78" w:rsidRPr="009C2953">
        <w:rPr>
          <w:color w:val="000000"/>
        </w:rPr>
        <w:t>équipe spéciale et après consultation du Bureau,</w:t>
      </w:r>
      <w:r w:rsidR="00F34644" w:rsidRPr="009C2953">
        <w:rPr>
          <w:color w:val="000000"/>
        </w:rPr>
        <w:t xml:space="preserve"> un </w:t>
      </w:r>
      <w:r w:rsidR="00607B78" w:rsidRPr="009C2953">
        <w:rPr>
          <w:color w:val="000000"/>
        </w:rPr>
        <w:t>nombre limité d</w:t>
      </w:r>
      <w:r w:rsidR="00EA2966" w:rsidRPr="009C2953">
        <w:rPr>
          <w:color w:val="000000"/>
        </w:rPr>
        <w:t>’</w:t>
      </w:r>
      <w:r w:rsidR="00607B78" w:rsidRPr="009C2953">
        <w:rPr>
          <w:color w:val="000000"/>
        </w:rPr>
        <w:t>expert(e)s supplémentaires p</w:t>
      </w:r>
      <w:r w:rsidR="00444C49" w:rsidRPr="009C2953">
        <w:rPr>
          <w:color w:val="000000"/>
        </w:rPr>
        <w:t xml:space="preserve">ourront </w:t>
      </w:r>
      <w:r w:rsidR="00607B78" w:rsidRPr="009C2953">
        <w:rPr>
          <w:color w:val="000000"/>
        </w:rPr>
        <w:t>également être invité(e)s à participer à</w:t>
      </w:r>
      <w:r w:rsidR="00B23ED8" w:rsidRPr="009C2953">
        <w:rPr>
          <w:color w:val="000000"/>
        </w:rPr>
        <w:t> </w:t>
      </w:r>
      <w:r w:rsidR="00607B78" w:rsidRPr="009C2953">
        <w:rPr>
          <w:color w:val="000000"/>
        </w:rPr>
        <w:t>l</w:t>
      </w:r>
      <w:r w:rsidR="00EA2966" w:rsidRPr="009C2953">
        <w:rPr>
          <w:color w:val="000000"/>
        </w:rPr>
        <w:t>’</w:t>
      </w:r>
      <w:r w:rsidR="00607B78" w:rsidRPr="009C2953">
        <w:rPr>
          <w:color w:val="000000"/>
        </w:rPr>
        <w:t>équipe spéciale en qualité de personnes-ressources.</w:t>
      </w:r>
    </w:p>
    <w:p w14:paraId="2BAAB7D7" w14:textId="77777777" w:rsidR="00607B78" w:rsidRPr="009C2953" w:rsidRDefault="00607B78" w:rsidP="00607B78">
      <w:pPr>
        <w:pStyle w:val="CH1"/>
      </w:pPr>
      <w:r w:rsidRPr="009C2953">
        <w:lastRenderedPageBreak/>
        <w:tab/>
        <w:t>III.</w:t>
      </w:r>
      <w:r w:rsidRPr="009C2953">
        <w:tab/>
        <w:t>Mode de fonctionnement</w:t>
      </w:r>
    </w:p>
    <w:p w14:paraId="4F5B79FD" w14:textId="1E0C05D7" w:rsidR="00607B78" w:rsidRPr="009C2953" w:rsidRDefault="003138E6" w:rsidP="000D47E2">
      <w:pPr>
        <w:pStyle w:val="NormalNonumber"/>
        <w:keepLines/>
        <w:tabs>
          <w:tab w:val="clear" w:pos="1247"/>
          <w:tab w:val="clear" w:pos="1871"/>
          <w:tab w:val="clear" w:pos="2495"/>
          <w:tab w:val="clear" w:pos="3119"/>
          <w:tab w:val="clear" w:pos="3742"/>
          <w:tab w:val="clear" w:pos="4366"/>
          <w:tab w:val="left" w:pos="1843"/>
        </w:tabs>
      </w:pPr>
      <w:r w:rsidRPr="009C2953">
        <w:rPr>
          <w:color w:val="000000"/>
        </w:rPr>
        <w:t>7.</w:t>
      </w:r>
      <w:r w:rsidRPr="009C2953">
        <w:rPr>
          <w:color w:val="000000"/>
        </w:rPr>
        <w:tab/>
      </w:r>
      <w:r w:rsidR="00607B78" w:rsidRPr="009C2953">
        <w:rPr>
          <w:color w:val="000000"/>
        </w:rPr>
        <w:t>L</w:t>
      </w:r>
      <w:r w:rsidR="00EA2966" w:rsidRPr="009C2953">
        <w:rPr>
          <w:color w:val="000000"/>
        </w:rPr>
        <w:t>’</w:t>
      </w:r>
      <w:r w:rsidR="00607B78" w:rsidRPr="009C2953">
        <w:rPr>
          <w:color w:val="000000"/>
        </w:rPr>
        <w:t xml:space="preserve">équipe spéciale </w:t>
      </w:r>
      <w:r w:rsidR="00444C49" w:rsidRPr="009C2953">
        <w:rPr>
          <w:color w:val="000000"/>
        </w:rPr>
        <w:t xml:space="preserve">sera </w:t>
      </w:r>
      <w:r w:rsidR="00607B78" w:rsidRPr="009C2953">
        <w:rPr>
          <w:color w:val="000000"/>
        </w:rPr>
        <w:t>coprésidée par</w:t>
      </w:r>
      <w:r w:rsidR="00D24DC1" w:rsidRPr="009C2953">
        <w:rPr>
          <w:color w:val="000000"/>
        </w:rPr>
        <w:t xml:space="preserve"> des </w:t>
      </w:r>
      <w:r w:rsidR="00607B78" w:rsidRPr="009C2953">
        <w:rPr>
          <w:color w:val="000000"/>
        </w:rPr>
        <w:t>membres du Bureau. Elle travaille</w:t>
      </w:r>
      <w:r w:rsidR="00444C49" w:rsidRPr="009C2953">
        <w:rPr>
          <w:color w:val="000000"/>
        </w:rPr>
        <w:t>ra</w:t>
      </w:r>
      <w:r w:rsidR="00607B78" w:rsidRPr="009C2953">
        <w:rPr>
          <w:color w:val="000000"/>
        </w:rPr>
        <w:t xml:space="preserve"> dans</w:t>
      </w:r>
      <w:r w:rsidR="00F34644" w:rsidRPr="009C2953">
        <w:rPr>
          <w:color w:val="000000"/>
        </w:rPr>
        <w:t xml:space="preserve"> le </w:t>
      </w:r>
      <w:r w:rsidR="00607B78" w:rsidRPr="009C2953">
        <w:rPr>
          <w:color w:val="000000"/>
        </w:rPr>
        <w:t>cadre de</w:t>
      </w:r>
      <w:r w:rsidR="00B23ED8" w:rsidRPr="009C2953">
        <w:rPr>
          <w:color w:val="000000"/>
        </w:rPr>
        <w:t> </w:t>
      </w:r>
      <w:r w:rsidR="00607B78" w:rsidRPr="009C2953">
        <w:rPr>
          <w:color w:val="000000"/>
        </w:rPr>
        <w:t xml:space="preserve">réunions en </w:t>
      </w:r>
      <w:r w:rsidR="00607B78" w:rsidRPr="009C2953">
        <w:t>présentiel, de réunions en ligne et d</w:t>
      </w:r>
      <w:r w:rsidR="00EA2966" w:rsidRPr="009C2953">
        <w:t>’</w:t>
      </w:r>
      <w:r w:rsidR="00607B78" w:rsidRPr="009C2953">
        <w:t>autres interactions par voie électronique.</w:t>
      </w:r>
      <w:r w:rsidR="00F34644" w:rsidRPr="009C2953">
        <w:t xml:space="preserve"> Les </w:t>
      </w:r>
      <w:r w:rsidR="00607B78" w:rsidRPr="009C2953">
        <w:t>produits de l</w:t>
      </w:r>
      <w:r w:rsidR="00EA2966" w:rsidRPr="009C2953">
        <w:t>’</w:t>
      </w:r>
      <w:r w:rsidR="00607B78" w:rsidRPr="009C2953">
        <w:t>équipe spéciale s</w:t>
      </w:r>
      <w:r w:rsidR="00444C49" w:rsidRPr="009C2953">
        <w:t>er</w:t>
      </w:r>
      <w:r w:rsidR="00607B78" w:rsidRPr="009C2953">
        <w:t>ont revus par</w:t>
      </w:r>
      <w:r w:rsidR="00F34644" w:rsidRPr="009C2953">
        <w:t xml:space="preserve"> le </w:t>
      </w:r>
      <w:r w:rsidR="00607B78" w:rsidRPr="009C2953">
        <w:t>Bureau et par</w:t>
      </w:r>
      <w:r w:rsidR="00F34644" w:rsidRPr="009C2953">
        <w:t xml:space="preserve"> le </w:t>
      </w:r>
      <w:r w:rsidR="00607B78" w:rsidRPr="009C2953">
        <w:t>Groupe d</w:t>
      </w:r>
      <w:r w:rsidR="00EA2966" w:rsidRPr="009C2953">
        <w:t>’</w:t>
      </w:r>
      <w:r w:rsidR="00607B78" w:rsidRPr="009C2953">
        <w:t>experts multidisciplinaire et transmis à</w:t>
      </w:r>
      <w:r w:rsidR="00F34644" w:rsidRPr="009C2953">
        <w:t xml:space="preserve"> la </w:t>
      </w:r>
      <w:r w:rsidR="00607B78" w:rsidRPr="009C2953">
        <w:t>Plénière pour information et examen, selon qu</w:t>
      </w:r>
      <w:r w:rsidR="00EA2966" w:rsidRPr="009C2953">
        <w:t>’</w:t>
      </w:r>
      <w:r w:rsidR="00607B78" w:rsidRPr="009C2953">
        <w:t>il convien</w:t>
      </w:r>
      <w:r w:rsidR="00693936" w:rsidRPr="009C2953">
        <w:t>dra</w:t>
      </w:r>
      <w:r w:rsidR="00607B78" w:rsidRPr="009C2953">
        <w:t>. L</w:t>
      </w:r>
      <w:r w:rsidR="00EA2966" w:rsidRPr="009C2953">
        <w:t>’</w:t>
      </w:r>
      <w:r w:rsidR="00607B78" w:rsidRPr="009C2953">
        <w:t>équipe spéciale encourage</w:t>
      </w:r>
      <w:r w:rsidR="00693936" w:rsidRPr="009C2953">
        <w:t>ra</w:t>
      </w:r>
      <w:r w:rsidR="00607B78" w:rsidRPr="009C2953">
        <w:t xml:space="preserve"> l</w:t>
      </w:r>
      <w:r w:rsidR="00EA2966" w:rsidRPr="009C2953">
        <w:t>’</w:t>
      </w:r>
      <w:r w:rsidR="00607B78" w:rsidRPr="009C2953">
        <w:t>interaction avec</w:t>
      </w:r>
      <w:r w:rsidR="00F34644" w:rsidRPr="009C2953">
        <w:t xml:space="preserve"> </w:t>
      </w:r>
      <w:proofErr w:type="gramStart"/>
      <w:r w:rsidR="00F34644" w:rsidRPr="009C2953">
        <w:t>les </w:t>
      </w:r>
      <w:r w:rsidR="00607B78" w:rsidRPr="009C2953">
        <w:t>correspondant</w:t>
      </w:r>
      <w:proofErr w:type="gramEnd"/>
      <w:r w:rsidR="00607B78" w:rsidRPr="009C2953">
        <w:t>(e)s nationaux(ales) de</w:t>
      </w:r>
      <w:r w:rsidR="00F34644" w:rsidRPr="009C2953">
        <w:t xml:space="preserve"> la </w:t>
      </w:r>
      <w:r w:rsidR="00607B78" w:rsidRPr="009C2953">
        <w:t>Plateforme et</w:t>
      </w:r>
      <w:r w:rsidR="00F34644" w:rsidRPr="009C2953">
        <w:t xml:space="preserve"> la </w:t>
      </w:r>
      <w:r w:rsidR="00607B78" w:rsidRPr="009C2953">
        <w:t>collaboration avec</w:t>
      </w:r>
      <w:r w:rsidR="00F34644" w:rsidRPr="009C2953">
        <w:t xml:space="preserve"> les </w:t>
      </w:r>
      <w:r w:rsidR="00607B78" w:rsidRPr="009C2953">
        <w:t>partenaires stratégiques et</w:t>
      </w:r>
      <w:r w:rsidR="00F34644" w:rsidRPr="009C2953">
        <w:t xml:space="preserve"> les </w:t>
      </w:r>
      <w:r w:rsidR="00607B78" w:rsidRPr="009C2953">
        <w:t>partenaires appuyant l</w:t>
      </w:r>
      <w:r w:rsidR="00EA2966" w:rsidRPr="009C2953">
        <w:t>’</w:t>
      </w:r>
      <w:r w:rsidR="00607B78" w:rsidRPr="009C2953">
        <w:t>initiative</w:t>
      </w:r>
      <w:r w:rsidR="00B23ED8" w:rsidRPr="009C2953">
        <w:t> </w:t>
      </w:r>
      <w:r w:rsidR="00607B78" w:rsidRPr="009C2953">
        <w:t>sous</w:t>
      </w:r>
      <w:r w:rsidR="00F34644" w:rsidRPr="009C2953">
        <w:t xml:space="preserve"> la </w:t>
      </w:r>
      <w:r w:rsidR="00607B78" w:rsidRPr="009C2953">
        <w:t xml:space="preserve">direction du Bureau. </w:t>
      </w:r>
    </w:p>
    <w:p w14:paraId="0363B24F" w14:textId="236A2A12" w:rsidR="00607B78" w:rsidRPr="009C2953" w:rsidRDefault="003138E6" w:rsidP="003138E6">
      <w:pPr>
        <w:pStyle w:val="NormalNonumber"/>
        <w:tabs>
          <w:tab w:val="clear" w:pos="1247"/>
          <w:tab w:val="clear" w:pos="1871"/>
          <w:tab w:val="clear" w:pos="2495"/>
          <w:tab w:val="clear" w:pos="3119"/>
          <w:tab w:val="clear" w:pos="3742"/>
          <w:tab w:val="clear" w:pos="4366"/>
          <w:tab w:val="left" w:pos="1843"/>
        </w:tabs>
        <w:rPr>
          <w:color w:val="000000"/>
        </w:rPr>
      </w:pPr>
      <w:r w:rsidRPr="009C2953">
        <w:t>8.</w:t>
      </w:r>
      <w:r w:rsidRPr="009C2953">
        <w:tab/>
      </w:r>
      <w:r w:rsidR="00607B78" w:rsidRPr="009C2953">
        <w:t>L</w:t>
      </w:r>
      <w:r w:rsidR="00EA2966" w:rsidRPr="009C2953">
        <w:t>’</w:t>
      </w:r>
      <w:r w:rsidR="00607B78" w:rsidRPr="009C2953">
        <w:t>équipe</w:t>
      </w:r>
      <w:r w:rsidR="00607B78" w:rsidRPr="009C2953">
        <w:rPr>
          <w:color w:val="000000"/>
        </w:rPr>
        <w:t xml:space="preserve"> spéciale </w:t>
      </w:r>
      <w:r w:rsidR="00693936" w:rsidRPr="009C2953">
        <w:rPr>
          <w:color w:val="000000"/>
        </w:rPr>
        <w:t xml:space="preserve">sera </w:t>
      </w:r>
      <w:r w:rsidR="00607B78" w:rsidRPr="009C2953">
        <w:rPr>
          <w:color w:val="000000"/>
        </w:rPr>
        <w:t>secondée par</w:t>
      </w:r>
      <w:r w:rsidR="00F34644" w:rsidRPr="009C2953">
        <w:rPr>
          <w:color w:val="000000"/>
        </w:rPr>
        <w:t xml:space="preserve"> le </w:t>
      </w:r>
      <w:r w:rsidR="00607B78" w:rsidRPr="009C2953">
        <w:rPr>
          <w:color w:val="000000"/>
        </w:rPr>
        <w:t>secrétariat, qui comprend</w:t>
      </w:r>
      <w:r w:rsidR="00693936" w:rsidRPr="009C2953">
        <w:rPr>
          <w:color w:val="000000"/>
        </w:rPr>
        <w:t>ra</w:t>
      </w:r>
      <w:r w:rsidR="00F34644" w:rsidRPr="009C2953">
        <w:rPr>
          <w:color w:val="000000"/>
        </w:rPr>
        <w:t xml:space="preserve"> un </w:t>
      </w:r>
      <w:r w:rsidR="00607B78" w:rsidRPr="009C2953">
        <w:rPr>
          <w:color w:val="000000"/>
        </w:rPr>
        <w:t>groupe d</w:t>
      </w:r>
      <w:r w:rsidR="00EA2966" w:rsidRPr="009C2953">
        <w:rPr>
          <w:color w:val="000000"/>
        </w:rPr>
        <w:t>’</w:t>
      </w:r>
      <w:r w:rsidR="00607B78" w:rsidRPr="009C2953">
        <w:rPr>
          <w:color w:val="000000"/>
        </w:rPr>
        <w:t>appui technique</w:t>
      </w:r>
      <w:r w:rsidR="005828A6" w:rsidRPr="009C2953">
        <w:rPr>
          <w:color w:val="000000"/>
        </w:rPr>
        <w:t> </w:t>
      </w:r>
      <w:r w:rsidR="00607B78" w:rsidRPr="009C2953">
        <w:rPr>
          <w:color w:val="000000"/>
        </w:rPr>
        <w:t>dédié.</w:t>
      </w:r>
    </w:p>
    <w:p w14:paraId="2A1EC907"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7A12E5E9" w14:textId="3A1DAD6B" w:rsidR="00607B78" w:rsidRPr="009C2953" w:rsidRDefault="00607B78" w:rsidP="00607B78">
      <w:pPr>
        <w:pStyle w:val="CH1"/>
      </w:pPr>
      <w:r w:rsidRPr="009C2953">
        <w:lastRenderedPageBreak/>
        <w:tab/>
      </w:r>
      <w:r w:rsidRPr="009C2953">
        <w:tab/>
        <w:t>Annexe XI à</w:t>
      </w:r>
      <w:r w:rsidR="00F34644" w:rsidRPr="009C2953">
        <w:t xml:space="preserve"> la </w:t>
      </w:r>
      <w:r w:rsidRPr="009C2953">
        <w:t>décision IPBES-10/1</w:t>
      </w:r>
    </w:p>
    <w:p w14:paraId="420B09B7" w14:textId="40E99350" w:rsidR="00607B78" w:rsidRPr="009C2953" w:rsidRDefault="00607B78" w:rsidP="00607B78">
      <w:pPr>
        <w:pStyle w:val="CH1"/>
      </w:pPr>
      <w:r w:rsidRPr="009C2953">
        <w:tab/>
      </w:r>
      <w:r w:rsidRPr="009C2953">
        <w:tab/>
        <w:t>Mandat de l</w:t>
      </w:r>
      <w:r w:rsidR="00EA2966" w:rsidRPr="009C2953">
        <w:t>’</w:t>
      </w:r>
      <w:r w:rsidRPr="009C2953">
        <w:t>équipe spéciale sur</w:t>
      </w:r>
      <w:r w:rsidR="00F34644" w:rsidRPr="009C2953">
        <w:t xml:space="preserve"> la </w:t>
      </w:r>
      <w:r w:rsidRPr="009C2953">
        <w:t>gestion</w:t>
      </w:r>
      <w:r w:rsidR="00D24DC1" w:rsidRPr="009C2953">
        <w:t xml:space="preserve"> des </w:t>
      </w:r>
      <w:r w:rsidRPr="009C2953">
        <w:t>données et</w:t>
      </w:r>
      <w:r w:rsidR="00D23134" w:rsidRPr="009C2953">
        <w:t> </w:t>
      </w:r>
      <w:r w:rsidR="00D24DC1" w:rsidRPr="009C2953">
        <w:t>des </w:t>
      </w:r>
      <w:r w:rsidRPr="009C2953">
        <w:t>connaissances</w:t>
      </w:r>
    </w:p>
    <w:p w14:paraId="3C8084E0" w14:textId="77777777" w:rsidR="00607B78" w:rsidRPr="009C2953" w:rsidRDefault="00607B78" w:rsidP="00607B78">
      <w:pPr>
        <w:pStyle w:val="CH1"/>
      </w:pPr>
      <w:r w:rsidRPr="009C2953">
        <w:tab/>
        <w:t>I.</w:t>
      </w:r>
      <w:r w:rsidRPr="009C2953">
        <w:tab/>
        <w:t xml:space="preserve">Fonctions et responsabilités </w:t>
      </w:r>
    </w:p>
    <w:p w14:paraId="29766596" w14:textId="41C60525" w:rsidR="00607B78" w:rsidRPr="009C2953" w:rsidRDefault="00D23134" w:rsidP="00D23134">
      <w:pPr>
        <w:pStyle w:val="NormalNonumber"/>
        <w:tabs>
          <w:tab w:val="clear" w:pos="1247"/>
          <w:tab w:val="clear" w:pos="1871"/>
          <w:tab w:val="clear" w:pos="2495"/>
          <w:tab w:val="clear" w:pos="3119"/>
          <w:tab w:val="clear" w:pos="3742"/>
          <w:tab w:val="clear" w:pos="4366"/>
          <w:tab w:val="left" w:pos="1843"/>
        </w:tabs>
      </w:pPr>
      <w:r w:rsidRPr="009C2953">
        <w:t>1.</w:t>
      </w:r>
      <w:r w:rsidRPr="009C2953">
        <w:tab/>
      </w:r>
      <w:r w:rsidR="00607B78" w:rsidRPr="009C2953">
        <w:t>L</w:t>
      </w:r>
      <w:r w:rsidR="00EA2966" w:rsidRPr="009C2953">
        <w:t>’</w:t>
      </w:r>
      <w:r w:rsidR="00607B78" w:rsidRPr="009C2953">
        <w:t>équipe spéciale sur</w:t>
      </w:r>
      <w:r w:rsidR="00F34644" w:rsidRPr="009C2953">
        <w:t xml:space="preserve"> la </w:t>
      </w:r>
      <w:r w:rsidR="00607B78" w:rsidRPr="009C2953">
        <w:t>gestion</w:t>
      </w:r>
      <w:r w:rsidR="00D24DC1" w:rsidRPr="009C2953">
        <w:t xml:space="preserve"> des </w:t>
      </w:r>
      <w:r w:rsidR="00607B78" w:rsidRPr="009C2953">
        <w:t>données et</w:t>
      </w:r>
      <w:r w:rsidR="00D24DC1" w:rsidRPr="009C2953">
        <w:t xml:space="preserve"> des </w:t>
      </w:r>
      <w:r w:rsidR="00607B78" w:rsidRPr="009C2953">
        <w:t>connaissances supervise</w:t>
      </w:r>
      <w:r w:rsidR="00693936" w:rsidRPr="009C2953">
        <w:t>ra</w:t>
      </w:r>
      <w:r w:rsidR="00607B78" w:rsidRPr="009C2953">
        <w:t xml:space="preserve"> et participe</w:t>
      </w:r>
      <w:r w:rsidR="00693936" w:rsidRPr="009C2953">
        <w:t>ra</w:t>
      </w:r>
      <w:r w:rsidR="00607B78" w:rsidRPr="009C2953">
        <w:t xml:space="preserve"> à</w:t>
      </w:r>
      <w:r w:rsidR="00F34644" w:rsidRPr="009C2953">
        <w:t xml:space="preserve"> la </w:t>
      </w:r>
      <w:r w:rsidR="00607B78" w:rsidRPr="009C2953">
        <w:t>réalisation de l</w:t>
      </w:r>
      <w:r w:rsidR="00EA2966" w:rsidRPr="009C2953">
        <w:t>’</w:t>
      </w:r>
      <w:r w:rsidR="00607B78" w:rsidRPr="009C2953">
        <w:t>objectif 3 a) « travaux avancés sur</w:t>
      </w:r>
      <w:r w:rsidR="00F34644" w:rsidRPr="009C2953">
        <w:t xml:space="preserve"> les </w:t>
      </w:r>
      <w:r w:rsidR="00607B78" w:rsidRPr="009C2953">
        <w:t>connaissances et</w:t>
      </w:r>
      <w:r w:rsidR="00F34644" w:rsidRPr="009C2953">
        <w:t xml:space="preserve"> les </w:t>
      </w:r>
      <w:r w:rsidR="00607B78" w:rsidRPr="009C2953">
        <w:t>données » du programme de travail glissant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(IPBES) pour</w:t>
      </w:r>
      <w:r w:rsidR="00F34644" w:rsidRPr="009C2953">
        <w:t xml:space="preserve"> la </w:t>
      </w:r>
      <w:r w:rsidR="00607B78" w:rsidRPr="009C2953">
        <w:t>période allant jusqu</w:t>
      </w:r>
      <w:r w:rsidR="00EA2966" w:rsidRPr="009C2953">
        <w:t>’</w:t>
      </w:r>
      <w:r w:rsidR="00607B78" w:rsidRPr="009C2953">
        <w:t>en 2030</w:t>
      </w:r>
      <w:r w:rsidR="00607B78" w:rsidRPr="009C2953">
        <w:rPr>
          <w:rStyle w:val="FootnoteReference"/>
        </w:rPr>
        <w:footnoteReference w:id="41"/>
      </w:r>
      <w:r w:rsidR="00607B78" w:rsidRPr="009C2953">
        <w:t xml:space="preserve"> et agi</w:t>
      </w:r>
      <w:r w:rsidR="00693936" w:rsidRPr="009C2953">
        <w:t>ra</w:t>
      </w:r>
      <w:r w:rsidR="00607B78" w:rsidRPr="009C2953">
        <w:t xml:space="preserve"> conformément</w:t>
      </w:r>
      <w:r w:rsidR="00F34644" w:rsidRPr="009C2953">
        <w:t xml:space="preserve"> aux </w:t>
      </w:r>
      <w:r w:rsidR="00607B78" w:rsidRPr="009C2953">
        <w:t>décisions pertinentes de</w:t>
      </w:r>
      <w:r w:rsidR="00F34644" w:rsidRPr="009C2953">
        <w:t xml:space="preserve"> la </w:t>
      </w:r>
      <w:r w:rsidR="00607B78" w:rsidRPr="009C2953">
        <w:t>Plénière et de ses organes subsidiaires, notamment en s</w:t>
      </w:r>
      <w:r w:rsidR="00EA2966" w:rsidRPr="009C2953">
        <w:t>’</w:t>
      </w:r>
      <w:r w:rsidR="00607B78" w:rsidRPr="009C2953">
        <w:t>appuyant sur</w:t>
      </w:r>
      <w:r w:rsidR="00F34644" w:rsidRPr="009C2953">
        <w:t xml:space="preserve"> les </w:t>
      </w:r>
      <w:r w:rsidR="00607B78" w:rsidRPr="009C2953">
        <w:t>enseignements tirés de</w:t>
      </w:r>
      <w:r w:rsidR="00F34644" w:rsidRPr="009C2953">
        <w:t xml:space="preserve"> la </w:t>
      </w:r>
      <w:r w:rsidR="00607B78" w:rsidRPr="009C2953">
        <w:t>réalisation de cet objectif au cours de</w:t>
      </w:r>
      <w:r w:rsidR="00F34644" w:rsidRPr="009C2953">
        <w:t xml:space="preserve"> la </w:t>
      </w:r>
      <w:r w:rsidR="00607B78" w:rsidRPr="009C2953">
        <w:t>période 2019</w:t>
      </w:r>
      <w:r w:rsidR="00FA7442">
        <w:t>–</w:t>
      </w:r>
      <w:r w:rsidR="00607B78" w:rsidRPr="009C2953">
        <w:t>2023 et du produit 1 d), « besoins prioritaires en matière de connaissances et de données pour l</w:t>
      </w:r>
      <w:r w:rsidR="00EA2966" w:rsidRPr="009C2953">
        <w:t>’</w:t>
      </w:r>
      <w:r w:rsidR="00607B78" w:rsidRPr="009C2953">
        <w:t>élaboration</w:t>
      </w:r>
      <w:r w:rsidR="00D24DC1" w:rsidRPr="009C2953">
        <w:t xml:space="preserve"> des </w:t>
      </w:r>
      <w:r w:rsidR="00607B78" w:rsidRPr="009C2953">
        <w:t>politiques satisfaits grâce à</w:t>
      </w:r>
      <w:r w:rsidR="00D24DC1" w:rsidRPr="009C2953">
        <w:t xml:space="preserve"> des </w:t>
      </w:r>
      <w:r w:rsidR="00607B78" w:rsidRPr="009C2953">
        <w:t>efforts de facilitation visant à générer de nouvelles connaissances et à</w:t>
      </w:r>
      <w:r w:rsidR="00F34644" w:rsidRPr="009C2953">
        <w:t xml:space="preserve"> la </w:t>
      </w:r>
      <w:r w:rsidR="00607B78" w:rsidRPr="009C2953">
        <w:t>mise en réseau », du premier programme de travail de l</w:t>
      </w:r>
      <w:r w:rsidR="00EA2966" w:rsidRPr="009C2953">
        <w:t>’</w:t>
      </w:r>
      <w:r w:rsidR="00607B78" w:rsidRPr="009C2953">
        <w:t>IPBES</w:t>
      </w:r>
      <w:r w:rsidR="00607B78" w:rsidRPr="009C2953">
        <w:rPr>
          <w:rStyle w:val="FootnoteReference"/>
        </w:rPr>
        <w:footnoteReference w:id="42"/>
      </w:r>
      <w:r w:rsidR="00607B78" w:rsidRPr="009C2953">
        <w:t>.</w:t>
      </w:r>
    </w:p>
    <w:p w14:paraId="3E23E7A9" w14:textId="0B611888" w:rsidR="00607B78" w:rsidRPr="009C2953" w:rsidRDefault="00D23134" w:rsidP="00D23134">
      <w:pPr>
        <w:pStyle w:val="NormalNonumber"/>
        <w:tabs>
          <w:tab w:val="clear" w:pos="1247"/>
          <w:tab w:val="clear" w:pos="1871"/>
          <w:tab w:val="clear" w:pos="2495"/>
          <w:tab w:val="clear" w:pos="3119"/>
          <w:tab w:val="clear" w:pos="3742"/>
          <w:tab w:val="clear" w:pos="4366"/>
          <w:tab w:val="left" w:pos="1843"/>
        </w:tabs>
        <w:rPr>
          <w:color w:val="000000"/>
        </w:rPr>
      </w:pPr>
      <w:r w:rsidRPr="009C2953">
        <w:t>2.</w:t>
      </w:r>
      <w:r w:rsidRPr="009C2953">
        <w:tab/>
      </w:r>
      <w:r w:rsidR="00607B78" w:rsidRPr="009C2953">
        <w:t>L</w:t>
      </w:r>
      <w:r w:rsidR="00EA2966" w:rsidRPr="009C2953">
        <w:t>’</w:t>
      </w:r>
      <w:r w:rsidR="00607B78" w:rsidRPr="009C2953">
        <w:t>équipe spéciale :</w:t>
      </w:r>
    </w:p>
    <w:p w14:paraId="027B12C5" w14:textId="590740F2" w:rsidR="00607B78" w:rsidRPr="009C2953" w:rsidRDefault="00D23134" w:rsidP="00D23134">
      <w:pPr>
        <w:pStyle w:val="NormalNonumber"/>
      </w:pPr>
      <w:r w:rsidRPr="009C2953">
        <w:tab/>
        <w:t>a)</w:t>
      </w:r>
      <w:r w:rsidRPr="009C2953">
        <w:tab/>
      </w:r>
      <w:r w:rsidR="00607B78" w:rsidRPr="009C2953">
        <w:t>Aide</w:t>
      </w:r>
      <w:r w:rsidR="00693936" w:rsidRPr="009C2953">
        <w:t>ra</w:t>
      </w:r>
      <w:r w:rsidR="00F34644" w:rsidRPr="009C2953">
        <w:t xml:space="preserve"> les </w:t>
      </w:r>
      <w:r w:rsidR="00607B78" w:rsidRPr="009C2953">
        <w:t>expert(e)s chargé(e)s</w:t>
      </w:r>
      <w:r w:rsidR="00D24DC1" w:rsidRPr="009C2953">
        <w:t xml:space="preserve"> des </w:t>
      </w:r>
      <w:r w:rsidR="00607B78" w:rsidRPr="009C2953">
        <w:t>évaluations à recenser, à hiérarchiser et à</w:t>
      </w:r>
      <w:r w:rsidRPr="009C2953">
        <w:t> </w:t>
      </w:r>
      <w:r w:rsidR="00607B78" w:rsidRPr="009C2953">
        <w:t>mobiliser</w:t>
      </w:r>
      <w:r w:rsidR="00F34644" w:rsidRPr="009C2953">
        <w:t xml:space="preserve"> les </w:t>
      </w:r>
      <w:r w:rsidR="00607B78" w:rsidRPr="009C2953">
        <w:t>connaissances et</w:t>
      </w:r>
      <w:r w:rsidR="00F34644" w:rsidRPr="009C2953">
        <w:t xml:space="preserve"> les </w:t>
      </w:r>
      <w:r w:rsidR="00607B78" w:rsidRPr="009C2953">
        <w:t>données nécessaires</w:t>
      </w:r>
      <w:r w:rsidR="00F34644" w:rsidRPr="009C2953">
        <w:t xml:space="preserve"> aux </w:t>
      </w:r>
      <w:r w:rsidR="00607B78" w:rsidRPr="009C2953">
        <w:t>évaluations de</w:t>
      </w:r>
      <w:r w:rsidR="00F34644" w:rsidRPr="009C2953">
        <w:t xml:space="preserve"> la </w:t>
      </w:r>
      <w:r w:rsidR="00607B78" w:rsidRPr="009C2953">
        <w:t>Plateforme ;</w:t>
      </w:r>
    </w:p>
    <w:p w14:paraId="468BB0E9" w14:textId="246D279C" w:rsidR="00607B78" w:rsidRPr="009C2953" w:rsidRDefault="00D23134" w:rsidP="00D23134">
      <w:pPr>
        <w:pStyle w:val="NormalNonumber"/>
        <w:rPr>
          <w:color w:val="000000"/>
        </w:rPr>
      </w:pPr>
      <w:r w:rsidRPr="009C2953">
        <w:tab/>
        <w:t>b)</w:t>
      </w:r>
      <w:r w:rsidRPr="009C2953">
        <w:tab/>
      </w:r>
      <w:r w:rsidR="00607B78" w:rsidRPr="009C2953">
        <w:t>Donne</w:t>
      </w:r>
      <w:r w:rsidR="00693936" w:rsidRPr="009C2953">
        <w:t>ra</w:t>
      </w:r>
      <w:r w:rsidR="00607B78" w:rsidRPr="009C2953">
        <w:t xml:space="preserve"> au secrétariat,</w:t>
      </w:r>
      <w:r w:rsidR="00F34644" w:rsidRPr="009C2953">
        <w:t xml:space="preserve"> y </w:t>
      </w:r>
      <w:r w:rsidR="00607B78" w:rsidRPr="009C2953">
        <w:t>compris à</w:t>
      </w:r>
      <w:r w:rsidR="00F34644" w:rsidRPr="009C2953">
        <w:t xml:space="preserve"> son </w:t>
      </w:r>
      <w:r w:rsidR="00607B78" w:rsidRPr="009C2953">
        <w:t>groupe d</w:t>
      </w:r>
      <w:r w:rsidR="00EA2966" w:rsidRPr="009C2953">
        <w:t>’</w:t>
      </w:r>
      <w:r w:rsidR="00607B78" w:rsidRPr="009C2953">
        <w:t>appui technique dédié,</w:t>
      </w:r>
      <w:r w:rsidR="00D24DC1" w:rsidRPr="009C2953">
        <w:t xml:space="preserve"> des </w:t>
      </w:r>
      <w:r w:rsidR="00607B78" w:rsidRPr="009C2953">
        <w:t>orientations pour</w:t>
      </w:r>
      <w:r w:rsidR="00F34644" w:rsidRPr="009C2953">
        <w:t xml:space="preserve"> la </w:t>
      </w:r>
      <w:r w:rsidR="00607B78" w:rsidRPr="009C2953">
        <w:t>gestion</w:t>
      </w:r>
      <w:r w:rsidR="00D24DC1" w:rsidRPr="009C2953">
        <w:t xml:space="preserve"> des </w:t>
      </w:r>
      <w:r w:rsidR="00607B78" w:rsidRPr="009C2953">
        <w:t>données et</w:t>
      </w:r>
      <w:r w:rsidR="00D24DC1" w:rsidRPr="009C2953">
        <w:t xml:space="preserve"> des </w:t>
      </w:r>
      <w:r w:rsidR="00607B78" w:rsidRPr="009C2953">
        <w:t>connaissances utilisées pour</w:t>
      </w:r>
      <w:r w:rsidR="00F34644" w:rsidRPr="009C2953">
        <w:t xml:space="preserve"> la </w:t>
      </w:r>
      <w:r w:rsidR="00607B78" w:rsidRPr="009C2953">
        <w:t>réalisation</w:t>
      </w:r>
      <w:r w:rsidR="00D24DC1" w:rsidRPr="009C2953">
        <w:t xml:space="preserve"> des </w:t>
      </w:r>
      <w:r w:rsidR="00607B78" w:rsidRPr="009C2953">
        <w:t>produits de</w:t>
      </w:r>
      <w:r w:rsidR="00F34644" w:rsidRPr="009C2953">
        <w:t xml:space="preserve"> la </w:t>
      </w:r>
      <w:r w:rsidR="00607B78" w:rsidRPr="009C2953">
        <w:t>Plateforme, afin d</w:t>
      </w:r>
      <w:r w:rsidR="00EA2966" w:rsidRPr="009C2953">
        <w:t>’</w:t>
      </w:r>
      <w:r w:rsidR="00607B78" w:rsidRPr="009C2953">
        <w:t>en assurer</w:t>
      </w:r>
      <w:r w:rsidR="00F34644" w:rsidRPr="009C2953">
        <w:t xml:space="preserve"> la </w:t>
      </w:r>
      <w:r w:rsidR="00607B78" w:rsidRPr="009C2953">
        <w:t>disponibilité et</w:t>
      </w:r>
      <w:r w:rsidR="00F34644" w:rsidRPr="009C2953">
        <w:t xml:space="preserve"> la </w:t>
      </w:r>
      <w:r w:rsidR="00607B78" w:rsidRPr="009C2953">
        <w:t>traçabilité à long terme.</w:t>
      </w:r>
    </w:p>
    <w:p w14:paraId="780EADF7" w14:textId="2515493E" w:rsidR="00607B78" w:rsidRPr="009C2953" w:rsidRDefault="00D23134" w:rsidP="00D23134">
      <w:pPr>
        <w:pStyle w:val="NormalNonumber"/>
        <w:tabs>
          <w:tab w:val="clear" w:pos="1247"/>
          <w:tab w:val="clear" w:pos="1871"/>
          <w:tab w:val="clear" w:pos="2495"/>
          <w:tab w:val="clear" w:pos="3119"/>
          <w:tab w:val="clear" w:pos="3742"/>
          <w:tab w:val="clear" w:pos="4366"/>
          <w:tab w:val="left" w:pos="1843"/>
        </w:tabs>
        <w:rPr>
          <w:color w:val="000000"/>
        </w:rPr>
      </w:pPr>
      <w:r w:rsidRPr="009C2953">
        <w:t>3.</w:t>
      </w:r>
      <w:r w:rsidRPr="009C2953">
        <w:tab/>
      </w:r>
      <w:r w:rsidR="00607B78" w:rsidRPr="009C2953">
        <w:t>Le Groupe d</w:t>
      </w:r>
      <w:r w:rsidR="00EA2966" w:rsidRPr="009C2953">
        <w:t>’</w:t>
      </w:r>
      <w:r w:rsidR="00607B78" w:rsidRPr="009C2953">
        <w:t>experts multidisciplinaire et</w:t>
      </w:r>
      <w:r w:rsidR="00F34644" w:rsidRPr="009C2953">
        <w:t xml:space="preserve"> le </w:t>
      </w:r>
      <w:r w:rsidR="00607B78" w:rsidRPr="009C2953">
        <w:t>Bureau assure</w:t>
      </w:r>
      <w:r w:rsidR="00693936" w:rsidRPr="009C2953">
        <w:t>ro</w:t>
      </w:r>
      <w:r w:rsidR="00607B78" w:rsidRPr="009C2953">
        <w:t>nt</w:t>
      </w:r>
      <w:r w:rsidR="00F34644" w:rsidRPr="009C2953">
        <w:t xml:space="preserve"> la </w:t>
      </w:r>
      <w:r w:rsidR="00607B78" w:rsidRPr="009C2953">
        <w:t>coordination</w:t>
      </w:r>
      <w:r w:rsidR="00D24DC1" w:rsidRPr="009C2953">
        <w:t xml:space="preserve"> des </w:t>
      </w:r>
      <w:r w:rsidR="00607B78" w:rsidRPr="009C2953">
        <w:t>activités et</w:t>
      </w:r>
      <w:r w:rsidRPr="009C2953">
        <w:t> </w:t>
      </w:r>
      <w:r w:rsidR="00D24DC1" w:rsidRPr="009C2953">
        <w:t>des </w:t>
      </w:r>
      <w:r w:rsidR="00607B78" w:rsidRPr="009C2953">
        <w:t>synergies entre toutes</w:t>
      </w:r>
      <w:r w:rsidR="00F34644" w:rsidRPr="009C2953">
        <w:t xml:space="preserve"> les </w:t>
      </w:r>
      <w:r w:rsidR="00607B78" w:rsidRPr="009C2953">
        <w:t>équipes spéciales et tous</w:t>
      </w:r>
      <w:r w:rsidR="00F34644" w:rsidRPr="009C2953">
        <w:t xml:space="preserve"> les </w:t>
      </w:r>
      <w:r w:rsidR="00607B78" w:rsidRPr="009C2953">
        <w:t>groupes d</w:t>
      </w:r>
      <w:r w:rsidR="00EA2966" w:rsidRPr="009C2953">
        <w:t>’</w:t>
      </w:r>
      <w:r w:rsidR="00607B78" w:rsidRPr="009C2953">
        <w:t>expert(e)s de l</w:t>
      </w:r>
      <w:r w:rsidR="00EA2966" w:rsidRPr="009C2953">
        <w:t>’</w:t>
      </w:r>
      <w:r w:rsidR="00607B78" w:rsidRPr="009C2953">
        <w:t>IPBES.</w:t>
      </w:r>
      <w:r w:rsidR="00607B78" w:rsidRPr="009C2953">
        <w:rPr>
          <w:color w:val="000000"/>
        </w:rPr>
        <w:t xml:space="preserve"> </w:t>
      </w:r>
    </w:p>
    <w:p w14:paraId="6634CCF9" w14:textId="77777777" w:rsidR="00607B78" w:rsidRPr="009C2953" w:rsidRDefault="00607B78" w:rsidP="00607B78">
      <w:pPr>
        <w:pStyle w:val="CH1"/>
      </w:pPr>
      <w:r w:rsidRPr="009C2953">
        <w:tab/>
        <w:t>II.</w:t>
      </w:r>
      <w:r w:rsidRPr="009C2953">
        <w:tab/>
        <w:t xml:space="preserve">Composition </w:t>
      </w:r>
    </w:p>
    <w:p w14:paraId="12A84A32" w14:textId="470C17AC" w:rsidR="00607B78" w:rsidRPr="009C2953" w:rsidRDefault="001545AE" w:rsidP="001545AE">
      <w:pPr>
        <w:pStyle w:val="NormalNonumber"/>
        <w:tabs>
          <w:tab w:val="clear" w:pos="1247"/>
          <w:tab w:val="clear" w:pos="1871"/>
          <w:tab w:val="clear" w:pos="2495"/>
          <w:tab w:val="clear" w:pos="3119"/>
          <w:tab w:val="clear" w:pos="3742"/>
          <w:tab w:val="clear" w:pos="4366"/>
          <w:tab w:val="left" w:pos="1843"/>
        </w:tabs>
      </w:pPr>
      <w:r w:rsidRPr="009C2953">
        <w:t>4.</w:t>
      </w:r>
      <w:r w:rsidRPr="009C2953">
        <w:tab/>
      </w:r>
      <w:r w:rsidR="00607B78" w:rsidRPr="009C2953">
        <w:t>L</w:t>
      </w:r>
      <w:r w:rsidR="00EA2966" w:rsidRPr="009C2953">
        <w:t>’</w:t>
      </w:r>
      <w:r w:rsidR="00607B78" w:rsidRPr="009C2953">
        <w:t>équipe spéciale comprend</w:t>
      </w:r>
      <w:r w:rsidR="00693936" w:rsidRPr="009C2953">
        <w:t>ra</w:t>
      </w:r>
      <w:r w:rsidR="00607B78" w:rsidRPr="009C2953">
        <w:t xml:space="preserve"> jusqu</w:t>
      </w:r>
      <w:r w:rsidR="00EA2966" w:rsidRPr="009C2953">
        <w:t>’</w:t>
      </w:r>
      <w:r w:rsidR="00607B78" w:rsidRPr="009C2953">
        <w:t>à 13 membres issus</w:t>
      </w:r>
      <w:r w:rsidR="00D24DC1" w:rsidRPr="009C2953">
        <w:t xml:space="preserve"> des </w:t>
      </w:r>
      <w:r w:rsidR="00607B78" w:rsidRPr="009C2953">
        <w:t>cinq régions de l</w:t>
      </w:r>
      <w:r w:rsidR="00EA2966" w:rsidRPr="009C2953">
        <w:t>’</w:t>
      </w:r>
      <w:r w:rsidR="00607B78" w:rsidRPr="009C2953">
        <w:t>ONU, dont</w:t>
      </w:r>
      <w:r w:rsidR="00B23ED8" w:rsidRPr="009C2953">
        <w:t> </w:t>
      </w:r>
      <w:r w:rsidR="00607B78" w:rsidRPr="009C2953">
        <w:t>jusqu</w:t>
      </w:r>
      <w:r w:rsidR="00EA2966" w:rsidRPr="009C2953">
        <w:t>’</w:t>
      </w:r>
      <w:r w:rsidR="00607B78" w:rsidRPr="009C2953">
        <w:t>à trois membres du Bureau et du Groupe d</w:t>
      </w:r>
      <w:r w:rsidR="00EA2966" w:rsidRPr="009C2953">
        <w:t>’</w:t>
      </w:r>
      <w:r w:rsidR="00607B78" w:rsidRPr="009C2953">
        <w:t>experts multidisciplinaire,</w:t>
      </w:r>
      <w:r w:rsidR="00F34644" w:rsidRPr="009C2953">
        <w:t xml:space="preserve"> les </w:t>
      </w:r>
      <w:r w:rsidR="00607B78" w:rsidRPr="009C2953">
        <w:t>autres membres appartenant à</w:t>
      </w:r>
      <w:r w:rsidR="00F34644" w:rsidRPr="009C2953">
        <w:t xml:space="preserve"> une </w:t>
      </w:r>
      <w:r w:rsidR="00607B78" w:rsidRPr="009C2953">
        <w:t>au moins</w:t>
      </w:r>
      <w:r w:rsidR="00D24DC1" w:rsidRPr="009C2953">
        <w:t xml:space="preserve"> des </w:t>
      </w:r>
      <w:r w:rsidR="00607B78" w:rsidRPr="009C2953">
        <w:t>catégories suivantes : a)</w:t>
      </w:r>
      <w:r w:rsidR="00D24DC1" w:rsidRPr="009C2953">
        <w:t xml:space="preserve"> des </w:t>
      </w:r>
      <w:r w:rsidR="00607B78" w:rsidRPr="009C2953">
        <w:t>membres de groupes d</w:t>
      </w:r>
      <w:r w:rsidR="00EA2966" w:rsidRPr="009C2953">
        <w:t>’</w:t>
      </w:r>
      <w:r w:rsidR="00607B78" w:rsidRPr="009C2953">
        <w:t>expert(e)s affecté(e)s</w:t>
      </w:r>
      <w:r w:rsidR="00F34644" w:rsidRPr="009C2953">
        <w:t xml:space="preserve"> aux </w:t>
      </w:r>
      <w:r w:rsidR="00607B78" w:rsidRPr="009C2953">
        <w:t>évaluations en cours de l</w:t>
      </w:r>
      <w:r w:rsidR="00EA2966" w:rsidRPr="009C2953">
        <w:t>’</w:t>
      </w:r>
      <w:r w:rsidR="00607B78" w:rsidRPr="009C2953">
        <w:t>IPBES et d</w:t>
      </w:r>
      <w:r w:rsidR="00EA2966" w:rsidRPr="009C2953">
        <w:t>’</w:t>
      </w:r>
      <w:r w:rsidR="00607B78" w:rsidRPr="009C2953">
        <w:t>autres équipes spéciales concernées ; b)</w:t>
      </w:r>
      <w:r w:rsidR="00D24DC1" w:rsidRPr="009C2953">
        <w:t xml:space="preserve"> des </w:t>
      </w:r>
      <w:r w:rsidR="00607B78" w:rsidRPr="009C2953">
        <w:t>expert(e)s de renom spécialisé(e)s dans</w:t>
      </w:r>
      <w:r w:rsidR="00F34644" w:rsidRPr="009C2953">
        <w:t xml:space="preserve"> les </w:t>
      </w:r>
      <w:r w:rsidR="00607B78" w:rsidRPr="009C2953">
        <w:t>questions relevant du mandat de l</w:t>
      </w:r>
      <w:r w:rsidR="00EA2966" w:rsidRPr="009C2953">
        <w:t>’</w:t>
      </w:r>
      <w:r w:rsidR="00607B78" w:rsidRPr="009C2953">
        <w:t>équipe spéciale,</w:t>
      </w:r>
      <w:r w:rsidR="00F34644" w:rsidRPr="009C2953">
        <w:t xml:space="preserve"> y </w:t>
      </w:r>
      <w:r w:rsidR="00607B78" w:rsidRPr="009C2953">
        <w:t>compris</w:t>
      </w:r>
      <w:r w:rsidR="00D24DC1" w:rsidRPr="009C2953">
        <w:t xml:space="preserve"> des </w:t>
      </w:r>
      <w:r w:rsidR="00607B78" w:rsidRPr="009C2953">
        <w:t>expert(e)s dans</w:t>
      </w:r>
      <w:r w:rsidR="00F34644" w:rsidRPr="009C2953">
        <w:t xml:space="preserve"> les </w:t>
      </w:r>
      <w:r w:rsidR="00607B78" w:rsidRPr="009C2953">
        <w:t>domaines</w:t>
      </w:r>
      <w:r w:rsidR="00D24DC1" w:rsidRPr="009C2953">
        <w:t xml:space="preserve"> des </w:t>
      </w:r>
      <w:r w:rsidR="00607B78" w:rsidRPr="009C2953">
        <w:t>sciences naturelles,</w:t>
      </w:r>
      <w:r w:rsidR="00D24DC1" w:rsidRPr="009C2953">
        <w:t xml:space="preserve"> des </w:t>
      </w:r>
      <w:r w:rsidR="00607B78" w:rsidRPr="009C2953">
        <w:t>sciences sociales et</w:t>
      </w:r>
      <w:r w:rsidR="00D24DC1" w:rsidRPr="009C2953">
        <w:t xml:space="preserve"> des </w:t>
      </w:r>
      <w:r w:rsidR="00607B78" w:rsidRPr="009C2953">
        <w:t>sciences humaines, et</w:t>
      </w:r>
      <w:r w:rsidR="00D24DC1" w:rsidRPr="009C2953">
        <w:t xml:space="preserve"> des </w:t>
      </w:r>
      <w:r w:rsidR="00607B78" w:rsidRPr="009C2953">
        <w:t>expert(e)s en analyse de données qualitatives et quantitatives, ainsi</w:t>
      </w:r>
      <w:r w:rsidR="00B23ED8" w:rsidRPr="009C2953">
        <w:t> </w:t>
      </w:r>
      <w:r w:rsidR="00607B78" w:rsidRPr="009C2953">
        <w:t>que</w:t>
      </w:r>
      <w:r w:rsidRPr="009C2953">
        <w:t> </w:t>
      </w:r>
      <w:r w:rsidR="00D24DC1" w:rsidRPr="009C2953">
        <w:t>des </w:t>
      </w:r>
      <w:r w:rsidR="00607B78" w:rsidRPr="009C2953">
        <w:t>expert(e)s en savoirs autochtones et locaux ; et c)</w:t>
      </w:r>
      <w:r w:rsidR="00D24DC1" w:rsidRPr="009C2953">
        <w:t xml:space="preserve"> des </w:t>
      </w:r>
      <w:r w:rsidR="00607B78" w:rsidRPr="009C2953">
        <w:t>représentant(e)s d</w:t>
      </w:r>
      <w:r w:rsidR="00EA2966" w:rsidRPr="009C2953">
        <w:t>’</w:t>
      </w:r>
      <w:r w:rsidR="00607B78" w:rsidRPr="009C2953">
        <w:t>organisations, d</w:t>
      </w:r>
      <w:r w:rsidR="00EA2966" w:rsidRPr="009C2953">
        <w:t>’</w:t>
      </w:r>
      <w:r w:rsidR="00607B78" w:rsidRPr="009C2953">
        <w:t>institutions et de centres d</w:t>
      </w:r>
      <w:r w:rsidR="00EA2966" w:rsidRPr="009C2953">
        <w:t>’</w:t>
      </w:r>
      <w:r w:rsidR="00607B78" w:rsidRPr="009C2953">
        <w:t>excellence scientifiques nationaux, régionaux et internationaux qualifiés,</w:t>
      </w:r>
      <w:r w:rsidR="00F34644" w:rsidRPr="009C2953">
        <w:t xml:space="preserve"> y </w:t>
      </w:r>
      <w:r w:rsidR="00607B78" w:rsidRPr="009C2953">
        <w:t>compris</w:t>
      </w:r>
      <w:r w:rsidR="00D24DC1" w:rsidRPr="009C2953">
        <w:t xml:space="preserve"> des </w:t>
      </w:r>
      <w:r w:rsidR="00607B78" w:rsidRPr="009C2953">
        <w:t>expert(e)s en savoirs autochtones et locaux</w:t>
      </w:r>
      <w:r w:rsidR="00607B78" w:rsidRPr="009C2953">
        <w:footnoteReference w:id="43"/>
      </w:r>
      <w:r w:rsidR="00607B78" w:rsidRPr="009C2953">
        <w:t>, qui sont connu(e)s pour</w:t>
      </w:r>
      <w:r w:rsidR="00107282" w:rsidRPr="009C2953">
        <w:t xml:space="preserve"> leurs </w:t>
      </w:r>
      <w:r w:rsidR="00607B78" w:rsidRPr="009C2953">
        <w:t>travaux et</w:t>
      </w:r>
      <w:r w:rsidRPr="009C2953">
        <w:t> </w:t>
      </w:r>
      <w:r w:rsidR="00107282" w:rsidRPr="009C2953">
        <w:t>leurs </w:t>
      </w:r>
      <w:r w:rsidR="00607B78" w:rsidRPr="009C2953">
        <w:t>compétences concernant</w:t>
      </w:r>
      <w:r w:rsidR="00F34644" w:rsidRPr="009C2953">
        <w:t xml:space="preserve"> les </w:t>
      </w:r>
      <w:r w:rsidR="00607B78" w:rsidRPr="009C2953">
        <w:t>questions relevant du mandat de l</w:t>
      </w:r>
      <w:r w:rsidR="00EA2966" w:rsidRPr="009C2953">
        <w:t>’</w:t>
      </w:r>
      <w:r w:rsidR="00607B78" w:rsidRPr="009C2953">
        <w:t xml:space="preserve">équipe spéciale. </w:t>
      </w:r>
    </w:p>
    <w:p w14:paraId="5D331C8E" w14:textId="1082F909" w:rsidR="00607B78" w:rsidRPr="009C2953" w:rsidRDefault="001545AE" w:rsidP="001545AE">
      <w:pPr>
        <w:pStyle w:val="NormalNonumber"/>
        <w:tabs>
          <w:tab w:val="clear" w:pos="1247"/>
          <w:tab w:val="clear" w:pos="1871"/>
          <w:tab w:val="clear" w:pos="2495"/>
          <w:tab w:val="clear" w:pos="3119"/>
          <w:tab w:val="clear" w:pos="3742"/>
          <w:tab w:val="clear" w:pos="4366"/>
          <w:tab w:val="left" w:pos="1843"/>
        </w:tabs>
      </w:pPr>
      <w:r w:rsidRPr="009C2953">
        <w:t>5.</w:t>
      </w:r>
      <w:r w:rsidRPr="009C2953">
        <w:tab/>
      </w:r>
      <w:r w:rsidR="00607B78" w:rsidRPr="009C2953">
        <w:t>Les membres autres que ceux du Bureau et du Groupe d</w:t>
      </w:r>
      <w:r w:rsidR="00EA2966" w:rsidRPr="009C2953">
        <w:t>’</w:t>
      </w:r>
      <w:r w:rsidR="00607B78" w:rsidRPr="009C2953">
        <w:t>experts multidisciplinaire s</w:t>
      </w:r>
      <w:r w:rsidR="00693936" w:rsidRPr="009C2953">
        <w:t>er</w:t>
      </w:r>
      <w:r w:rsidR="00607B78" w:rsidRPr="009C2953">
        <w:t>ont sélectionné(e)s conformément au processus de sélection décrit dans</w:t>
      </w:r>
      <w:r w:rsidR="00F34644" w:rsidRPr="009C2953">
        <w:t xml:space="preserve"> les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footnoteReference w:id="44"/>
      </w:r>
      <w:r w:rsidR="00607B78" w:rsidRPr="009C2953">
        <w:t>. Leur mandat expirera à</w:t>
      </w:r>
      <w:r w:rsidR="00F34644" w:rsidRPr="009C2953">
        <w:t xml:space="preserve"> la </w:t>
      </w:r>
      <w:r w:rsidR="00607B78" w:rsidRPr="009C2953">
        <w:t>clôture de</w:t>
      </w:r>
      <w:r w:rsidR="00F34644" w:rsidRPr="009C2953">
        <w:t xml:space="preserve"> la </w:t>
      </w:r>
      <w:r w:rsidR="00607B78" w:rsidRPr="009C2953">
        <w:t>troisième session de</w:t>
      </w:r>
      <w:r w:rsidR="00F34644" w:rsidRPr="009C2953">
        <w:t xml:space="preserve"> la </w:t>
      </w:r>
      <w:r w:rsidR="00607B78" w:rsidRPr="009C2953">
        <w:t>Plénière suivant</w:t>
      </w:r>
      <w:r w:rsidR="00F34644" w:rsidRPr="009C2953">
        <w:t xml:space="preserve"> leur </w:t>
      </w:r>
      <w:r w:rsidR="00607B78" w:rsidRPr="009C2953">
        <w:t>sélection, avec possibilité de réélection.</w:t>
      </w:r>
      <w:r w:rsidR="00F34644" w:rsidRPr="009C2953">
        <w:t xml:space="preserve"> La </w:t>
      </w:r>
      <w:r w:rsidR="00607B78" w:rsidRPr="009C2953">
        <w:t>sélection</w:t>
      </w:r>
      <w:r w:rsidR="00D24DC1" w:rsidRPr="009C2953">
        <w:t xml:space="preserve"> des </w:t>
      </w:r>
      <w:r w:rsidR="00607B78" w:rsidRPr="009C2953">
        <w:t xml:space="preserve">membres </w:t>
      </w:r>
      <w:r w:rsidR="00693936" w:rsidRPr="009C2953">
        <w:t xml:space="preserve">devrait </w:t>
      </w:r>
      <w:r w:rsidR="00607B78" w:rsidRPr="009C2953">
        <w:t>tenir compte de</w:t>
      </w:r>
      <w:r w:rsidRPr="009C2953">
        <w:t> </w:t>
      </w:r>
      <w:r w:rsidR="00F34644" w:rsidRPr="009C2953">
        <w:t>la </w:t>
      </w:r>
      <w:r w:rsidR="00607B78" w:rsidRPr="009C2953">
        <w:t>nécessité d</w:t>
      </w:r>
      <w:r w:rsidR="00EA2966" w:rsidRPr="009C2953">
        <w:t>’</w:t>
      </w:r>
      <w:r w:rsidR="00607B78" w:rsidRPr="009C2953">
        <w:t>assurer</w:t>
      </w:r>
      <w:r w:rsidR="00F34644" w:rsidRPr="009C2953">
        <w:t xml:space="preserve"> la </w:t>
      </w:r>
      <w:r w:rsidR="00607B78" w:rsidRPr="009C2953">
        <w:t>continuité</w:t>
      </w:r>
      <w:r w:rsidR="00D24DC1" w:rsidRPr="009C2953">
        <w:t xml:space="preserve"> des </w:t>
      </w:r>
      <w:r w:rsidR="00607B78" w:rsidRPr="009C2953">
        <w:t>travaux de l</w:t>
      </w:r>
      <w:r w:rsidR="00EA2966" w:rsidRPr="009C2953">
        <w:t>’</w:t>
      </w:r>
      <w:r w:rsidR="00607B78" w:rsidRPr="009C2953">
        <w:t xml:space="preserve">équipe spéciale. </w:t>
      </w:r>
    </w:p>
    <w:p w14:paraId="0CDB5CDD" w14:textId="09EB5DCA" w:rsidR="00607B78" w:rsidRPr="009C2953" w:rsidRDefault="001545AE" w:rsidP="001545AE">
      <w:pPr>
        <w:pStyle w:val="NormalNonumber"/>
        <w:tabs>
          <w:tab w:val="clear" w:pos="1247"/>
          <w:tab w:val="clear" w:pos="1871"/>
          <w:tab w:val="clear" w:pos="2495"/>
          <w:tab w:val="clear" w:pos="3119"/>
          <w:tab w:val="clear" w:pos="3742"/>
          <w:tab w:val="clear" w:pos="4366"/>
          <w:tab w:val="left" w:pos="1843"/>
        </w:tabs>
        <w:rPr>
          <w:color w:val="000000"/>
        </w:rPr>
      </w:pPr>
      <w:r w:rsidRPr="009C2953">
        <w:t>6.</w:t>
      </w:r>
      <w:r w:rsidRPr="009C2953">
        <w:tab/>
      </w:r>
      <w:r w:rsidR="00607B78" w:rsidRPr="009C2953">
        <w:t>À</w:t>
      </w:r>
      <w:r w:rsidR="00F34644" w:rsidRPr="009C2953">
        <w:t xml:space="preserve"> la </w:t>
      </w:r>
      <w:r w:rsidR="00607B78" w:rsidRPr="009C2953">
        <w:t>discrétion de</w:t>
      </w:r>
      <w:r w:rsidR="00F34644" w:rsidRPr="009C2953">
        <w:t xml:space="preserve"> la </w:t>
      </w:r>
      <w:r w:rsidR="00607B78" w:rsidRPr="009C2953">
        <w:t>coprésidence de l</w:t>
      </w:r>
      <w:r w:rsidR="00EA2966" w:rsidRPr="009C2953">
        <w:t>’</w:t>
      </w:r>
      <w:r w:rsidR="00607B78" w:rsidRPr="009C2953">
        <w:t>équipe spéciale et après consultation du Bureau,</w:t>
      </w:r>
      <w:r w:rsidR="00F34644" w:rsidRPr="009C2953">
        <w:t xml:space="preserve"> un </w:t>
      </w:r>
      <w:r w:rsidR="00607B78" w:rsidRPr="009C2953">
        <w:t>nombre limité d</w:t>
      </w:r>
      <w:r w:rsidR="00EA2966" w:rsidRPr="009C2953">
        <w:t>’</w:t>
      </w:r>
      <w:r w:rsidR="00607B78" w:rsidRPr="009C2953">
        <w:t>expert(e)s en gestion</w:t>
      </w:r>
      <w:r w:rsidR="00D24DC1" w:rsidRPr="009C2953">
        <w:t xml:space="preserve"> des </w:t>
      </w:r>
      <w:r w:rsidR="00607B78" w:rsidRPr="009C2953">
        <w:t>données et</w:t>
      </w:r>
      <w:r w:rsidR="00D24DC1" w:rsidRPr="009C2953">
        <w:t xml:space="preserve"> des </w:t>
      </w:r>
      <w:r w:rsidR="00607B78" w:rsidRPr="009C2953">
        <w:t>connaissances p</w:t>
      </w:r>
      <w:r w:rsidR="00693936" w:rsidRPr="009C2953">
        <w:t>ourront</w:t>
      </w:r>
      <w:r w:rsidR="00607B78" w:rsidRPr="009C2953">
        <w:t xml:space="preserve"> également être</w:t>
      </w:r>
      <w:r w:rsidR="00B23ED8" w:rsidRPr="009C2953">
        <w:t> </w:t>
      </w:r>
      <w:r w:rsidR="00607B78" w:rsidRPr="009C2953">
        <w:t>invité(e)s à participer à l</w:t>
      </w:r>
      <w:r w:rsidR="00EA2966" w:rsidRPr="009C2953">
        <w:t>’</w:t>
      </w:r>
      <w:r w:rsidR="00607B78" w:rsidRPr="009C2953">
        <w:t>équipe spéciale en qualité de personnes-ressources.</w:t>
      </w:r>
    </w:p>
    <w:p w14:paraId="568645A1" w14:textId="77777777" w:rsidR="00607B78" w:rsidRPr="009C2953" w:rsidRDefault="00607B78" w:rsidP="00607B78">
      <w:pPr>
        <w:pStyle w:val="CH1"/>
      </w:pPr>
      <w:r w:rsidRPr="009C2953">
        <w:lastRenderedPageBreak/>
        <w:tab/>
        <w:t>III.</w:t>
      </w:r>
      <w:r w:rsidRPr="009C2953">
        <w:tab/>
        <w:t>Mode de fonctionnement</w:t>
      </w:r>
    </w:p>
    <w:p w14:paraId="782A05EE" w14:textId="04A3CF4F" w:rsidR="00607B78" w:rsidRPr="009C2953" w:rsidRDefault="001545AE" w:rsidP="001545AE">
      <w:pPr>
        <w:pStyle w:val="NormalNonumber"/>
        <w:tabs>
          <w:tab w:val="clear" w:pos="1247"/>
          <w:tab w:val="clear" w:pos="1871"/>
          <w:tab w:val="clear" w:pos="2495"/>
          <w:tab w:val="clear" w:pos="3119"/>
          <w:tab w:val="clear" w:pos="3742"/>
          <w:tab w:val="clear" w:pos="4366"/>
          <w:tab w:val="left" w:pos="1843"/>
        </w:tabs>
      </w:pPr>
      <w:r w:rsidRPr="009C2953">
        <w:rPr>
          <w:color w:val="000000"/>
        </w:rPr>
        <w:t>7.</w:t>
      </w:r>
      <w:r w:rsidRPr="009C2953">
        <w:rPr>
          <w:color w:val="000000"/>
        </w:rPr>
        <w:tab/>
      </w:r>
      <w:r w:rsidR="00607B78" w:rsidRPr="009C2953">
        <w:rPr>
          <w:color w:val="000000"/>
        </w:rPr>
        <w:t>L</w:t>
      </w:r>
      <w:r w:rsidR="00EA2966" w:rsidRPr="009C2953">
        <w:rPr>
          <w:color w:val="000000"/>
        </w:rPr>
        <w:t>’</w:t>
      </w:r>
      <w:r w:rsidR="00607B78" w:rsidRPr="009C2953">
        <w:rPr>
          <w:color w:val="000000"/>
        </w:rPr>
        <w:t xml:space="preserve">équipe </w:t>
      </w:r>
      <w:r w:rsidR="00607B78" w:rsidRPr="009C2953">
        <w:t xml:space="preserve">spéciale </w:t>
      </w:r>
      <w:r w:rsidR="00693936" w:rsidRPr="009C2953">
        <w:t xml:space="preserve">sera </w:t>
      </w:r>
      <w:r w:rsidR="00607B78" w:rsidRPr="009C2953">
        <w:t>coprésidée par</w:t>
      </w:r>
      <w:r w:rsidR="00D24DC1" w:rsidRPr="009C2953">
        <w:t xml:space="preserve"> des </w:t>
      </w:r>
      <w:r w:rsidR="00607B78" w:rsidRPr="009C2953">
        <w:t>membres du Bureau ou du Groupe d</w:t>
      </w:r>
      <w:r w:rsidR="00EA2966" w:rsidRPr="009C2953">
        <w:t>’</w:t>
      </w:r>
      <w:r w:rsidR="00607B78" w:rsidRPr="009C2953">
        <w:t>experts multidisciplinaire. Elle travaille</w:t>
      </w:r>
      <w:r w:rsidR="00693936" w:rsidRPr="009C2953">
        <w:t>ra</w:t>
      </w:r>
      <w:r w:rsidR="00607B78" w:rsidRPr="009C2953">
        <w:t xml:space="preserve"> dans</w:t>
      </w:r>
      <w:r w:rsidR="00F34644" w:rsidRPr="009C2953">
        <w:t xml:space="preserve"> le </w:t>
      </w:r>
      <w:r w:rsidR="00607B78" w:rsidRPr="009C2953">
        <w:t>cadre de réunions en présentiel, de réunions en ligne et</w:t>
      </w:r>
      <w:r w:rsidR="00B23ED8" w:rsidRPr="009C2953">
        <w:t> </w:t>
      </w:r>
      <w:r w:rsidR="00607B78" w:rsidRPr="009C2953">
        <w:t>d</w:t>
      </w:r>
      <w:r w:rsidR="00EA2966" w:rsidRPr="009C2953">
        <w:t>’</w:t>
      </w:r>
      <w:r w:rsidR="00607B78" w:rsidRPr="009C2953">
        <w:t>autres interactions par voie électronique.</w:t>
      </w:r>
      <w:r w:rsidR="00F34644" w:rsidRPr="009C2953">
        <w:t xml:space="preserve"> Les </w:t>
      </w:r>
      <w:r w:rsidR="00607B78" w:rsidRPr="009C2953">
        <w:t>produits de l</w:t>
      </w:r>
      <w:r w:rsidR="00EA2966" w:rsidRPr="009C2953">
        <w:t>’</w:t>
      </w:r>
      <w:r w:rsidR="00607B78" w:rsidRPr="009C2953">
        <w:t>équipe spéciale s</w:t>
      </w:r>
      <w:r w:rsidR="00693936" w:rsidRPr="009C2953">
        <w:t>er</w:t>
      </w:r>
      <w:r w:rsidR="00607B78" w:rsidRPr="009C2953">
        <w:t>ont revus par</w:t>
      </w:r>
      <w:r w:rsidR="00F34644" w:rsidRPr="009C2953">
        <w:t xml:space="preserve"> le </w:t>
      </w:r>
      <w:r w:rsidR="00607B78" w:rsidRPr="009C2953">
        <w:t>Bureau et par</w:t>
      </w:r>
      <w:r w:rsidR="00F34644" w:rsidRPr="009C2953">
        <w:t xml:space="preserve"> le </w:t>
      </w:r>
      <w:r w:rsidR="00607B78" w:rsidRPr="009C2953">
        <w:t>Groupe d</w:t>
      </w:r>
      <w:r w:rsidR="00EA2966" w:rsidRPr="009C2953">
        <w:t>’</w:t>
      </w:r>
      <w:r w:rsidR="00607B78" w:rsidRPr="009C2953">
        <w:t>experts multidisciplinaire et transmis à</w:t>
      </w:r>
      <w:r w:rsidR="00F34644" w:rsidRPr="009C2953">
        <w:t xml:space="preserve"> la </w:t>
      </w:r>
      <w:r w:rsidR="00607B78" w:rsidRPr="009C2953">
        <w:t>Plénière pour information et</w:t>
      </w:r>
      <w:r w:rsidR="00B23ED8" w:rsidRPr="009C2953">
        <w:t> </w:t>
      </w:r>
      <w:r w:rsidR="00607B78" w:rsidRPr="009C2953">
        <w:t>examen, selon qu</w:t>
      </w:r>
      <w:r w:rsidR="00EA2966" w:rsidRPr="009C2953">
        <w:t>’</w:t>
      </w:r>
      <w:r w:rsidR="00607B78" w:rsidRPr="009C2953">
        <w:t>il convien</w:t>
      </w:r>
      <w:r w:rsidR="00693936" w:rsidRPr="009C2953">
        <w:t>dra</w:t>
      </w:r>
      <w:r w:rsidR="00607B78" w:rsidRPr="009C2953">
        <w:t>. L</w:t>
      </w:r>
      <w:r w:rsidR="00EA2966" w:rsidRPr="009C2953">
        <w:t>’</w:t>
      </w:r>
      <w:r w:rsidR="00607B78" w:rsidRPr="009C2953">
        <w:t>équipe spéciale encourage</w:t>
      </w:r>
      <w:r w:rsidR="00693936" w:rsidRPr="009C2953">
        <w:t>ra</w:t>
      </w:r>
      <w:r w:rsidR="00F34644" w:rsidRPr="009C2953">
        <w:t xml:space="preserve"> la </w:t>
      </w:r>
      <w:r w:rsidR="00607B78" w:rsidRPr="009C2953">
        <w:t>collaboration avec</w:t>
      </w:r>
      <w:r w:rsidR="00F34644" w:rsidRPr="009C2953">
        <w:t xml:space="preserve"> </w:t>
      </w:r>
      <w:proofErr w:type="gramStart"/>
      <w:r w:rsidR="00F34644" w:rsidRPr="009C2953">
        <w:t>les </w:t>
      </w:r>
      <w:r w:rsidR="00607B78" w:rsidRPr="009C2953">
        <w:t>correspondant</w:t>
      </w:r>
      <w:proofErr w:type="gramEnd"/>
      <w:r w:rsidR="00607B78" w:rsidRPr="009C2953">
        <w:t>(e)s nationaux(ales) de</w:t>
      </w:r>
      <w:r w:rsidR="00F34644" w:rsidRPr="009C2953">
        <w:t xml:space="preserve"> la </w:t>
      </w:r>
      <w:r w:rsidR="00607B78" w:rsidRPr="009C2953">
        <w:t>Plateforme et</w:t>
      </w:r>
      <w:r w:rsidR="00F34644" w:rsidRPr="009C2953">
        <w:t xml:space="preserve"> les </w:t>
      </w:r>
      <w:r w:rsidR="00607B78" w:rsidRPr="009C2953">
        <w:t>partenaires appuyant l</w:t>
      </w:r>
      <w:r w:rsidR="00EA2966" w:rsidRPr="009C2953">
        <w:t>’</w:t>
      </w:r>
      <w:r w:rsidR="00607B78" w:rsidRPr="009C2953">
        <w:t>initiative sous</w:t>
      </w:r>
      <w:r w:rsidR="005A3049" w:rsidRPr="009C2953">
        <w:t> </w:t>
      </w:r>
      <w:r w:rsidR="00F34644" w:rsidRPr="009C2953">
        <w:t>la </w:t>
      </w:r>
      <w:r w:rsidR="00607B78" w:rsidRPr="009C2953">
        <w:t>direction du Bureau.</w:t>
      </w:r>
    </w:p>
    <w:p w14:paraId="7F32707F" w14:textId="2F4C6745" w:rsidR="00607B78" w:rsidRPr="009C2953" w:rsidRDefault="001545AE" w:rsidP="001545AE">
      <w:pPr>
        <w:pStyle w:val="NormalNonumber"/>
        <w:tabs>
          <w:tab w:val="clear" w:pos="1247"/>
          <w:tab w:val="clear" w:pos="1871"/>
          <w:tab w:val="clear" w:pos="2495"/>
          <w:tab w:val="clear" w:pos="3119"/>
          <w:tab w:val="clear" w:pos="3742"/>
          <w:tab w:val="clear" w:pos="4366"/>
          <w:tab w:val="left" w:pos="1843"/>
        </w:tabs>
        <w:rPr>
          <w:color w:val="000000"/>
        </w:rPr>
      </w:pPr>
      <w:r w:rsidRPr="009C2953">
        <w:t>8.</w:t>
      </w:r>
      <w:r w:rsidRPr="009C2953">
        <w:tab/>
      </w:r>
      <w:r w:rsidR="00607B78" w:rsidRPr="009C2953">
        <w:t>L</w:t>
      </w:r>
      <w:r w:rsidR="00EA2966" w:rsidRPr="009C2953">
        <w:t>’</w:t>
      </w:r>
      <w:r w:rsidR="00607B78" w:rsidRPr="009C2953">
        <w:t xml:space="preserve">équipe spéciale </w:t>
      </w:r>
      <w:r w:rsidR="00693936" w:rsidRPr="009C2953">
        <w:t>sera</w:t>
      </w:r>
      <w:r w:rsidR="00607B78" w:rsidRPr="009C2953">
        <w:t xml:space="preserve"> secondée par</w:t>
      </w:r>
      <w:r w:rsidR="00F34644" w:rsidRPr="009C2953">
        <w:t xml:space="preserve"> le </w:t>
      </w:r>
      <w:r w:rsidR="00607B78" w:rsidRPr="009C2953">
        <w:t>secrétariat, qui comprend</w:t>
      </w:r>
      <w:r w:rsidR="00F34644" w:rsidRPr="009C2953">
        <w:t xml:space="preserve"> un </w:t>
      </w:r>
      <w:r w:rsidR="00607B78" w:rsidRPr="009C2953">
        <w:t>groupe d</w:t>
      </w:r>
      <w:r w:rsidR="00EA2966" w:rsidRPr="009C2953">
        <w:t>’</w:t>
      </w:r>
      <w:r w:rsidR="00607B78" w:rsidRPr="009C2953">
        <w:t>appui technique</w:t>
      </w:r>
      <w:r w:rsidRPr="009C2953">
        <w:t> </w:t>
      </w:r>
      <w:r w:rsidR="00607B78" w:rsidRPr="009C2953">
        <w:t>dédié.</w:t>
      </w:r>
    </w:p>
    <w:p w14:paraId="60A44575" w14:textId="77777777" w:rsidR="00607B78" w:rsidRPr="009C2953" w:rsidRDefault="00607B78" w:rsidP="00607B78">
      <w:pPr>
        <w:pStyle w:val="Normal-pool"/>
        <w:sectPr w:rsidR="00607B78" w:rsidRPr="009C2953" w:rsidSect="00603A5E">
          <w:headerReference w:type="first" r:id="rId18"/>
          <w:footerReference w:type="first" r:id="rId19"/>
          <w:footnotePr>
            <w:numRestart w:val="eachSect"/>
          </w:footnotePr>
          <w:pgSz w:w="11907" w:h="16839" w:code="9"/>
          <w:pgMar w:top="907" w:right="992" w:bottom="1418" w:left="1418" w:header="539" w:footer="975" w:gutter="0"/>
          <w:cols w:space="539"/>
          <w:docGrid w:linePitch="360"/>
        </w:sectPr>
      </w:pPr>
    </w:p>
    <w:p w14:paraId="19097B5D" w14:textId="7C2AD9AE" w:rsidR="00607B78" w:rsidRPr="009C2953" w:rsidRDefault="00607B78" w:rsidP="00607B78">
      <w:pPr>
        <w:pStyle w:val="CH1"/>
      </w:pPr>
      <w:r w:rsidRPr="009C2953">
        <w:lastRenderedPageBreak/>
        <w:tab/>
      </w:r>
      <w:r w:rsidRPr="009C2953">
        <w:tab/>
        <w:t>Annexe XII à</w:t>
      </w:r>
      <w:r w:rsidR="00F34644" w:rsidRPr="009C2953">
        <w:t xml:space="preserve"> la </w:t>
      </w:r>
      <w:r w:rsidRPr="009C2953">
        <w:t>décision IPBES-10/1</w:t>
      </w:r>
    </w:p>
    <w:p w14:paraId="1BCE5ACE" w14:textId="43CD329B" w:rsidR="00607B78" w:rsidRPr="009C2953" w:rsidRDefault="00607B78" w:rsidP="00607B78">
      <w:pPr>
        <w:pStyle w:val="CH1"/>
      </w:pPr>
      <w:r w:rsidRPr="009C2953">
        <w:tab/>
      </w:r>
      <w:r w:rsidRPr="009C2953">
        <w:tab/>
        <w:t>Mandat de l</w:t>
      </w:r>
      <w:r w:rsidR="00EA2966" w:rsidRPr="009C2953">
        <w:t>’</w:t>
      </w:r>
      <w:r w:rsidRPr="009C2953">
        <w:t>équipe spéciale sur</w:t>
      </w:r>
      <w:r w:rsidR="00F34644" w:rsidRPr="009C2953">
        <w:t xml:space="preserve"> les </w:t>
      </w:r>
      <w:r w:rsidRPr="009C2953">
        <w:t>savoirs autochtones et locaux</w:t>
      </w:r>
    </w:p>
    <w:p w14:paraId="567E5744" w14:textId="21EC62AA" w:rsidR="00607B78" w:rsidRPr="009C2953" w:rsidRDefault="00607B78" w:rsidP="00607B78">
      <w:pPr>
        <w:pStyle w:val="CH1"/>
      </w:pPr>
      <w:r w:rsidRPr="009C2953">
        <w:tab/>
        <w:t>I.</w:t>
      </w:r>
      <w:r w:rsidRPr="009C2953">
        <w:tab/>
        <w:t>Fonctions et responsabilités</w:t>
      </w:r>
    </w:p>
    <w:p w14:paraId="47E6C204" w14:textId="7B19B2E2" w:rsidR="00607B78" w:rsidRPr="009C2953" w:rsidRDefault="00D54E2D" w:rsidP="00D54E2D">
      <w:pPr>
        <w:pStyle w:val="NormalNonumber"/>
        <w:tabs>
          <w:tab w:val="clear" w:pos="1247"/>
          <w:tab w:val="clear" w:pos="1871"/>
          <w:tab w:val="clear" w:pos="2495"/>
          <w:tab w:val="clear" w:pos="3119"/>
          <w:tab w:val="clear" w:pos="3742"/>
          <w:tab w:val="clear" w:pos="4366"/>
          <w:tab w:val="left" w:pos="1876"/>
        </w:tabs>
      </w:pPr>
      <w:r w:rsidRPr="009C2953">
        <w:t>1.</w:t>
      </w:r>
      <w:r w:rsidRPr="009C2953">
        <w:tab/>
      </w:r>
      <w:r w:rsidR="00607B78" w:rsidRPr="009C2953">
        <w:t>L</w:t>
      </w:r>
      <w:r w:rsidR="00EA2966" w:rsidRPr="009C2953">
        <w:t>’</w:t>
      </w:r>
      <w:r w:rsidR="00607B78" w:rsidRPr="009C2953">
        <w:t>équipe spéciale sur</w:t>
      </w:r>
      <w:r w:rsidR="00F34644" w:rsidRPr="009C2953">
        <w:t xml:space="preserve"> les </w:t>
      </w:r>
      <w:r w:rsidR="00607B78" w:rsidRPr="009C2953">
        <w:t>savoirs autochtones et locaux supervise</w:t>
      </w:r>
      <w:r w:rsidR="005E4AB2" w:rsidRPr="009C2953">
        <w:t>ra</w:t>
      </w:r>
      <w:r w:rsidR="00607B78" w:rsidRPr="009C2953">
        <w:t xml:space="preserve"> et participe</w:t>
      </w:r>
      <w:r w:rsidR="005E4AB2" w:rsidRPr="009C2953">
        <w:t>ra</w:t>
      </w:r>
      <w:r w:rsidR="00607B78" w:rsidRPr="009C2953">
        <w:t xml:space="preserve"> à</w:t>
      </w:r>
      <w:r w:rsidR="00F34644" w:rsidRPr="009C2953">
        <w:t xml:space="preserve"> la </w:t>
      </w:r>
      <w:r w:rsidR="00607B78" w:rsidRPr="009C2953">
        <w:t>réalisation de l</w:t>
      </w:r>
      <w:r w:rsidR="00EA2966" w:rsidRPr="009C2953">
        <w:t>’</w:t>
      </w:r>
      <w:r w:rsidR="00607B78" w:rsidRPr="009C2953">
        <w:t>objectif 3 b) « reconnaissance et utilisation améliorées</w:t>
      </w:r>
      <w:r w:rsidR="00D24DC1" w:rsidRPr="009C2953">
        <w:t xml:space="preserve"> des </w:t>
      </w:r>
      <w:r w:rsidR="00607B78" w:rsidRPr="009C2953">
        <w:t>systèmes de savoirs autochtones et locaux » du programme de travail glissant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(IPBES) pour</w:t>
      </w:r>
      <w:r w:rsidR="00F34644" w:rsidRPr="009C2953">
        <w:t xml:space="preserve"> la </w:t>
      </w:r>
      <w:r w:rsidR="00607B78" w:rsidRPr="009C2953">
        <w:t>période allant jusqu</w:t>
      </w:r>
      <w:r w:rsidR="00EA2966" w:rsidRPr="009C2953">
        <w:t>’</w:t>
      </w:r>
      <w:r w:rsidR="00607B78" w:rsidRPr="009C2953">
        <w:t>en 2030</w:t>
      </w:r>
      <w:r w:rsidR="00607B78" w:rsidRPr="009C2953">
        <w:rPr>
          <w:rStyle w:val="FootnoteReference"/>
        </w:rPr>
        <w:footnoteReference w:id="45"/>
      </w:r>
      <w:r w:rsidR="00607B78" w:rsidRPr="009C2953">
        <w:t xml:space="preserve"> et agi</w:t>
      </w:r>
      <w:r w:rsidR="005E4AB2" w:rsidRPr="009C2953">
        <w:t>ra</w:t>
      </w:r>
      <w:r w:rsidR="00607B78" w:rsidRPr="009C2953">
        <w:t xml:space="preserve"> conformément</w:t>
      </w:r>
      <w:r w:rsidR="00F34644" w:rsidRPr="009C2953">
        <w:t xml:space="preserve"> aux </w:t>
      </w:r>
      <w:r w:rsidR="00607B78" w:rsidRPr="009C2953">
        <w:t>décisions pertinentes de</w:t>
      </w:r>
      <w:r w:rsidR="00F34644" w:rsidRPr="009C2953">
        <w:t xml:space="preserve"> la </w:t>
      </w:r>
      <w:r w:rsidR="00607B78" w:rsidRPr="009C2953">
        <w:t>Plénière et de ses organes subsidiaires, notamment en s</w:t>
      </w:r>
      <w:r w:rsidR="00EA2966" w:rsidRPr="009C2953">
        <w:t>’</w:t>
      </w:r>
      <w:r w:rsidR="00607B78" w:rsidRPr="009C2953">
        <w:t>appuyant sur</w:t>
      </w:r>
      <w:r w:rsidR="00F34644" w:rsidRPr="009C2953">
        <w:t xml:space="preserve"> les </w:t>
      </w:r>
      <w:r w:rsidR="00607B78" w:rsidRPr="009C2953">
        <w:t>enseignements tirés de</w:t>
      </w:r>
      <w:r w:rsidR="00F34644" w:rsidRPr="009C2953">
        <w:t xml:space="preserve"> la </w:t>
      </w:r>
      <w:r w:rsidR="00607B78" w:rsidRPr="009C2953">
        <w:t>réalisation de cet objectif au</w:t>
      </w:r>
      <w:r w:rsidR="0000082A" w:rsidRPr="009C2953">
        <w:t> </w:t>
      </w:r>
      <w:r w:rsidR="00607B78" w:rsidRPr="009C2953">
        <w:t>cours de</w:t>
      </w:r>
      <w:r w:rsidR="00F34644" w:rsidRPr="009C2953">
        <w:t xml:space="preserve"> la </w:t>
      </w:r>
      <w:r w:rsidR="00607B78" w:rsidRPr="009C2953">
        <w:t>période 2019</w:t>
      </w:r>
      <w:r w:rsidR="00607B78" w:rsidRPr="009C2953">
        <w:noBreakHyphen/>
        <w:t>2023 et du produit 1 c), « procédures, approches et processus participatifs pour travailler avec</w:t>
      </w:r>
      <w:r w:rsidR="00F34644" w:rsidRPr="009C2953">
        <w:t xml:space="preserve"> les </w:t>
      </w:r>
      <w:r w:rsidR="00607B78" w:rsidRPr="009C2953">
        <w:t>systèmes de savoirs autochtones et locaux », du premier programme de travail de l</w:t>
      </w:r>
      <w:r w:rsidR="00EA2966" w:rsidRPr="009C2953">
        <w:t>’</w:t>
      </w:r>
      <w:r w:rsidR="00607B78" w:rsidRPr="009C2953">
        <w:t>IPBES</w:t>
      </w:r>
      <w:r w:rsidR="00607B78" w:rsidRPr="009C2953">
        <w:rPr>
          <w:rStyle w:val="FootnoteReference"/>
        </w:rPr>
        <w:footnoteReference w:id="46"/>
      </w:r>
      <w:r w:rsidR="00607B78" w:rsidRPr="009C2953">
        <w:t>.</w:t>
      </w:r>
    </w:p>
    <w:p w14:paraId="7AADE605" w14:textId="5CE39314" w:rsidR="00607B78" w:rsidRPr="009C2953" w:rsidRDefault="00D54E2D" w:rsidP="00D54E2D">
      <w:pPr>
        <w:pStyle w:val="NormalNonumber"/>
        <w:tabs>
          <w:tab w:val="clear" w:pos="1247"/>
          <w:tab w:val="clear" w:pos="1871"/>
          <w:tab w:val="clear" w:pos="2495"/>
          <w:tab w:val="clear" w:pos="3119"/>
          <w:tab w:val="clear" w:pos="3742"/>
          <w:tab w:val="clear" w:pos="4366"/>
          <w:tab w:val="left" w:pos="1876"/>
        </w:tabs>
        <w:rPr>
          <w:color w:val="000000"/>
        </w:rPr>
      </w:pPr>
      <w:r w:rsidRPr="009C2953">
        <w:t>2.</w:t>
      </w:r>
      <w:r w:rsidRPr="009C2953">
        <w:tab/>
      </w:r>
      <w:r w:rsidR="00607B78" w:rsidRPr="009C2953">
        <w:t>L</w:t>
      </w:r>
      <w:r w:rsidR="00EA2966" w:rsidRPr="009C2953">
        <w:t>’</w:t>
      </w:r>
      <w:r w:rsidR="00607B78" w:rsidRPr="009C2953">
        <w:t>équipe spéciale :</w:t>
      </w:r>
    </w:p>
    <w:p w14:paraId="7C5E5476" w14:textId="0926F180" w:rsidR="00607B78" w:rsidRPr="009C2953" w:rsidRDefault="00D54E2D" w:rsidP="00D54E2D">
      <w:pPr>
        <w:pStyle w:val="NormalNonumber"/>
      </w:pPr>
      <w:r w:rsidRPr="009C2953">
        <w:tab/>
        <w:t>a)</w:t>
      </w:r>
      <w:r w:rsidRPr="009C2953">
        <w:tab/>
      </w:r>
      <w:r w:rsidR="00607B78" w:rsidRPr="009C2953">
        <w:t>Aide</w:t>
      </w:r>
      <w:r w:rsidR="005E4AB2" w:rsidRPr="009C2953">
        <w:t>ra</w:t>
      </w:r>
      <w:r w:rsidR="00F34644" w:rsidRPr="009C2953">
        <w:t xml:space="preserve"> le </w:t>
      </w:r>
      <w:r w:rsidR="00607B78" w:rsidRPr="009C2953">
        <w:t>Groupe d</w:t>
      </w:r>
      <w:r w:rsidR="00EA2966" w:rsidRPr="009C2953">
        <w:t>’</w:t>
      </w:r>
      <w:r w:rsidR="00607B78" w:rsidRPr="009C2953">
        <w:t>experts multidisciplinaire à mettre en œuvre l</w:t>
      </w:r>
      <w:r w:rsidR="00EA2966" w:rsidRPr="009C2953">
        <w:t>’</w:t>
      </w:r>
      <w:r w:rsidR="00607B78" w:rsidRPr="009C2953">
        <w:t>approche concernant</w:t>
      </w:r>
      <w:r w:rsidR="00F34644" w:rsidRPr="009C2953">
        <w:t xml:space="preserve"> la </w:t>
      </w:r>
      <w:r w:rsidR="00607B78" w:rsidRPr="009C2953">
        <w:t>reconnaissance et l</w:t>
      </w:r>
      <w:r w:rsidR="00EA2966" w:rsidRPr="009C2953">
        <w:t>’</w:t>
      </w:r>
      <w:r w:rsidR="00607B78" w:rsidRPr="009C2953">
        <w:t>utilisation</w:t>
      </w:r>
      <w:r w:rsidR="00D24DC1" w:rsidRPr="009C2953">
        <w:t xml:space="preserve"> des </w:t>
      </w:r>
      <w:r w:rsidR="00607B78" w:rsidRPr="009C2953">
        <w:t>savoirs autochtones et locaux dans</w:t>
      </w:r>
      <w:r w:rsidR="00F34644" w:rsidRPr="009C2953">
        <w:t xml:space="preserve"> les </w:t>
      </w:r>
      <w:r w:rsidR="00607B78" w:rsidRPr="009C2953">
        <w:t>travaux de</w:t>
      </w:r>
      <w:r w:rsidR="0000082A" w:rsidRPr="009C2953">
        <w:t> </w:t>
      </w:r>
      <w:r w:rsidR="00607B78" w:rsidRPr="009C2953">
        <w:t>l</w:t>
      </w:r>
      <w:r w:rsidR="00EA2966" w:rsidRPr="009C2953">
        <w:t>’</w:t>
      </w:r>
      <w:r w:rsidR="00607B78" w:rsidRPr="009C2953">
        <w:t>IPBES</w:t>
      </w:r>
      <w:r w:rsidR="00607B78" w:rsidRPr="009C2953">
        <w:rPr>
          <w:vertAlign w:val="superscript"/>
        </w:rPr>
        <w:footnoteReference w:id="47"/>
      </w:r>
      <w:r w:rsidR="00607B78" w:rsidRPr="009C2953">
        <w:t> ;</w:t>
      </w:r>
    </w:p>
    <w:p w14:paraId="49DB1C71" w14:textId="0AD58E1F" w:rsidR="00607B78" w:rsidRPr="009C2953" w:rsidRDefault="00D54E2D" w:rsidP="00D54E2D">
      <w:pPr>
        <w:pStyle w:val="NormalNonumber"/>
        <w:rPr>
          <w:color w:val="000000"/>
        </w:rPr>
      </w:pPr>
      <w:r w:rsidRPr="009C2953">
        <w:tab/>
        <w:t>b)</w:t>
      </w:r>
      <w:r w:rsidRPr="009C2953">
        <w:tab/>
      </w:r>
      <w:r w:rsidR="00607B78" w:rsidRPr="009C2953">
        <w:t>Donne</w:t>
      </w:r>
      <w:r w:rsidR="005E4AB2" w:rsidRPr="009C2953">
        <w:t>ra</w:t>
      </w:r>
      <w:r w:rsidR="00607B78" w:rsidRPr="009C2953">
        <w:t xml:space="preserve"> au secrétariat,</w:t>
      </w:r>
      <w:r w:rsidR="00F34644" w:rsidRPr="009C2953">
        <w:t xml:space="preserve"> y </w:t>
      </w:r>
      <w:r w:rsidR="00607B78" w:rsidRPr="009C2953">
        <w:t>compris à</w:t>
      </w:r>
      <w:r w:rsidR="00F34644" w:rsidRPr="009C2953">
        <w:t xml:space="preserve"> son </w:t>
      </w:r>
      <w:r w:rsidR="00607B78" w:rsidRPr="009C2953">
        <w:t>groupe d</w:t>
      </w:r>
      <w:r w:rsidR="00EA2966" w:rsidRPr="009C2953">
        <w:t>’</w:t>
      </w:r>
      <w:r w:rsidR="00607B78" w:rsidRPr="009C2953">
        <w:t>appui technique dédié,</w:t>
      </w:r>
      <w:r w:rsidR="00D24DC1" w:rsidRPr="009C2953">
        <w:t xml:space="preserve"> des </w:t>
      </w:r>
      <w:r w:rsidR="00607B78" w:rsidRPr="009C2953">
        <w:t>orientations pour aider</w:t>
      </w:r>
      <w:r w:rsidR="00F34644" w:rsidRPr="009C2953">
        <w:t xml:space="preserve"> le </w:t>
      </w:r>
      <w:r w:rsidR="00607B78" w:rsidRPr="009C2953">
        <w:t>Groupe à mettre en œuvre l</w:t>
      </w:r>
      <w:r w:rsidR="00EA2966" w:rsidRPr="009C2953">
        <w:t>’</w:t>
      </w:r>
      <w:r w:rsidR="00607B78" w:rsidRPr="009C2953">
        <w:t>approche.</w:t>
      </w:r>
    </w:p>
    <w:p w14:paraId="75DEF257" w14:textId="2A91D212" w:rsidR="00607B78" w:rsidRPr="009C2953" w:rsidRDefault="00D54E2D" w:rsidP="00D54E2D">
      <w:pPr>
        <w:pStyle w:val="NormalNonumber"/>
        <w:tabs>
          <w:tab w:val="clear" w:pos="1247"/>
          <w:tab w:val="clear" w:pos="1871"/>
          <w:tab w:val="clear" w:pos="2495"/>
          <w:tab w:val="clear" w:pos="3119"/>
          <w:tab w:val="clear" w:pos="3742"/>
          <w:tab w:val="clear" w:pos="4366"/>
          <w:tab w:val="left" w:pos="1876"/>
        </w:tabs>
        <w:rPr>
          <w:color w:val="000000"/>
        </w:rPr>
      </w:pPr>
      <w:r w:rsidRPr="009C2953">
        <w:t>3.</w:t>
      </w:r>
      <w:r w:rsidRPr="009C2953">
        <w:tab/>
      </w:r>
      <w:r w:rsidR="00607B78" w:rsidRPr="009C2953">
        <w:t>Le</w:t>
      </w:r>
      <w:r w:rsidR="00607B78" w:rsidRPr="009C2953">
        <w:rPr>
          <w:color w:val="000000"/>
        </w:rPr>
        <w:t xml:space="preserve"> Groupe d</w:t>
      </w:r>
      <w:r w:rsidR="00EA2966" w:rsidRPr="009C2953">
        <w:rPr>
          <w:color w:val="000000"/>
        </w:rPr>
        <w:t>’</w:t>
      </w:r>
      <w:r w:rsidR="00607B78" w:rsidRPr="009C2953">
        <w:rPr>
          <w:color w:val="000000"/>
        </w:rPr>
        <w:t>experts multidisciplinaire et</w:t>
      </w:r>
      <w:r w:rsidR="00F34644" w:rsidRPr="009C2953">
        <w:rPr>
          <w:color w:val="000000"/>
        </w:rPr>
        <w:t xml:space="preserve"> le </w:t>
      </w:r>
      <w:r w:rsidR="00607B78" w:rsidRPr="009C2953">
        <w:rPr>
          <w:color w:val="000000"/>
        </w:rPr>
        <w:t>Bureau assure</w:t>
      </w:r>
      <w:r w:rsidR="005E4AB2" w:rsidRPr="009C2953">
        <w:rPr>
          <w:color w:val="000000"/>
        </w:rPr>
        <w:t>ro</w:t>
      </w:r>
      <w:r w:rsidR="00607B78" w:rsidRPr="009C2953">
        <w:rPr>
          <w:color w:val="000000"/>
        </w:rPr>
        <w:t>nt</w:t>
      </w:r>
      <w:r w:rsidR="00F34644" w:rsidRPr="009C2953">
        <w:rPr>
          <w:color w:val="000000"/>
        </w:rPr>
        <w:t xml:space="preserve"> la </w:t>
      </w:r>
      <w:r w:rsidR="00607B78" w:rsidRPr="009C2953">
        <w:rPr>
          <w:color w:val="000000"/>
        </w:rPr>
        <w:t>coordination</w:t>
      </w:r>
      <w:r w:rsidR="00D24DC1" w:rsidRPr="009C2953">
        <w:rPr>
          <w:color w:val="000000"/>
        </w:rPr>
        <w:t xml:space="preserve"> des </w:t>
      </w:r>
      <w:r w:rsidR="00607B78" w:rsidRPr="009C2953">
        <w:rPr>
          <w:color w:val="000000"/>
        </w:rPr>
        <w:t>activités et</w:t>
      </w:r>
      <w:r w:rsidRPr="009C2953">
        <w:rPr>
          <w:color w:val="000000"/>
        </w:rPr>
        <w:t> </w:t>
      </w:r>
      <w:r w:rsidR="00D24DC1" w:rsidRPr="009C2953">
        <w:rPr>
          <w:color w:val="000000"/>
        </w:rPr>
        <w:t>des </w:t>
      </w:r>
      <w:r w:rsidR="00607B78" w:rsidRPr="009C2953">
        <w:rPr>
          <w:color w:val="000000"/>
        </w:rPr>
        <w:t>synergies entre toutes</w:t>
      </w:r>
      <w:r w:rsidR="00F34644" w:rsidRPr="009C2953">
        <w:rPr>
          <w:color w:val="000000"/>
        </w:rPr>
        <w:t xml:space="preserve"> les </w:t>
      </w:r>
      <w:r w:rsidR="00607B78" w:rsidRPr="009C2953">
        <w:rPr>
          <w:color w:val="000000"/>
        </w:rPr>
        <w:t>équipes spéciales et tous</w:t>
      </w:r>
      <w:r w:rsidR="00F34644" w:rsidRPr="009C2953">
        <w:rPr>
          <w:color w:val="000000"/>
        </w:rPr>
        <w:t xml:space="preserve"> les </w:t>
      </w:r>
      <w:r w:rsidR="00607B78" w:rsidRPr="009C2953">
        <w:rPr>
          <w:color w:val="000000"/>
        </w:rPr>
        <w:t>groupes d</w:t>
      </w:r>
      <w:r w:rsidR="00EA2966" w:rsidRPr="009C2953">
        <w:rPr>
          <w:color w:val="000000"/>
        </w:rPr>
        <w:t>’</w:t>
      </w:r>
      <w:r w:rsidR="00607B78" w:rsidRPr="009C2953">
        <w:rPr>
          <w:color w:val="000000"/>
        </w:rPr>
        <w:t>expert(e)s de l</w:t>
      </w:r>
      <w:r w:rsidR="00EA2966" w:rsidRPr="009C2953">
        <w:rPr>
          <w:color w:val="000000"/>
        </w:rPr>
        <w:t>’</w:t>
      </w:r>
      <w:r w:rsidR="00607B78" w:rsidRPr="009C2953">
        <w:rPr>
          <w:color w:val="000000"/>
        </w:rPr>
        <w:t xml:space="preserve">IPBES. </w:t>
      </w:r>
    </w:p>
    <w:p w14:paraId="0503E4E7" w14:textId="4BCFE0C7" w:rsidR="00607B78" w:rsidRPr="009C2953" w:rsidRDefault="00607B78" w:rsidP="00607B78">
      <w:pPr>
        <w:pStyle w:val="CH1"/>
      </w:pPr>
      <w:r w:rsidRPr="009C2953">
        <w:tab/>
        <w:t>II.</w:t>
      </w:r>
      <w:r w:rsidRPr="009C2953">
        <w:tab/>
        <w:t>Composition</w:t>
      </w:r>
    </w:p>
    <w:p w14:paraId="0171179C" w14:textId="6E4C02C4" w:rsidR="00607B78" w:rsidRPr="009C2953" w:rsidRDefault="002002FD" w:rsidP="002002FD">
      <w:pPr>
        <w:pStyle w:val="NormalNonumber"/>
        <w:tabs>
          <w:tab w:val="clear" w:pos="1247"/>
          <w:tab w:val="clear" w:pos="1871"/>
          <w:tab w:val="clear" w:pos="2495"/>
          <w:tab w:val="clear" w:pos="3119"/>
          <w:tab w:val="clear" w:pos="3742"/>
          <w:tab w:val="clear" w:pos="4366"/>
          <w:tab w:val="left" w:pos="1876"/>
        </w:tabs>
      </w:pPr>
      <w:r w:rsidRPr="009C2953">
        <w:t>4.</w:t>
      </w:r>
      <w:r w:rsidRPr="009C2953">
        <w:tab/>
      </w:r>
      <w:r w:rsidR="00607B78" w:rsidRPr="009C2953">
        <w:t>L</w:t>
      </w:r>
      <w:r w:rsidR="00EA2966" w:rsidRPr="009C2953">
        <w:t>’</w:t>
      </w:r>
      <w:r w:rsidR="00607B78" w:rsidRPr="009C2953">
        <w:t>équipe spéciale comprend</w:t>
      </w:r>
      <w:r w:rsidR="005E4AB2" w:rsidRPr="009C2953">
        <w:t>ra</w:t>
      </w:r>
      <w:r w:rsidR="00607B78" w:rsidRPr="009C2953">
        <w:t xml:space="preserve"> jusqu</w:t>
      </w:r>
      <w:r w:rsidR="00EA2966" w:rsidRPr="009C2953">
        <w:t>’</w:t>
      </w:r>
      <w:r w:rsidR="00607B78" w:rsidRPr="009C2953">
        <w:t>à 18 membres issus</w:t>
      </w:r>
      <w:r w:rsidR="00D24DC1" w:rsidRPr="009C2953">
        <w:t xml:space="preserve"> des </w:t>
      </w:r>
      <w:r w:rsidR="00607B78" w:rsidRPr="009C2953">
        <w:t>cinq régions de l</w:t>
      </w:r>
      <w:r w:rsidR="00EA2966" w:rsidRPr="009C2953">
        <w:t>’</w:t>
      </w:r>
      <w:r w:rsidR="00607B78" w:rsidRPr="009C2953">
        <w:t>ONU, dont</w:t>
      </w:r>
      <w:r w:rsidR="0000082A" w:rsidRPr="009C2953">
        <w:t> </w:t>
      </w:r>
      <w:r w:rsidR="00607B78" w:rsidRPr="009C2953">
        <w:t>jusqu</w:t>
      </w:r>
      <w:r w:rsidR="00EA2966" w:rsidRPr="009C2953">
        <w:t>’</w:t>
      </w:r>
      <w:r w:rsidR="00607B78" w:rsidRPr="009C2953">
        <w:t>à trois membres du Bureau et du Groupe d</w:t>
      </w:r>
      <w:r w:rsidR="00EA2966" w:rsidRPr="009C2953">
        <w:t>’</w:t>
      </w:r>
      <w:r w:rsidR="00607B78" w:rsidRPr="009C2953">
        <w:t>experts multidisciplinaire,</w:t>
      </w:r>
      <w:r w:rsidR="00F34644" w:rsidRPr="009C2953">
        <w:t xml:space="preserve"> les </w:t>
      </w:r>
      <w:r w:rsidR="00607B78" w:rsidRPr="009C2953">
        <w:t>autres membres</w:t>
      </w:r>
      <w:r w:rsidR="0000082A" w:rsidRPr="009C2953">
        <w:t xml:space="preserve"> </w:t>
      </w:r>
      <w:r w:rsidR="00607B78" w:rsidRPr="009C2953">
        <w:t>appartenant à</w:t>
      </w:r>
      <w:r w:rsidR="00F34644" w:rsidRPr="009C2953">
        <w:t xml:space="preserve"> une </w:t>
      </w:r>
      <w:r w:rsidR="00607B78" w:rsidRPr="009C2953">
        <w:t>au moins</w:t>
      </w:r>
      <w:r w:rsidR="00D24DC1" w:rsidRPr="009C2953">
        <w:t xml:space="preserve"> des </w:t>
      </w:r>
      <w:r w:rsidR="00607B78" w:rsidRPr="009C2953">
        <w:t>catégories suivantes : a)</w:t>
      </w:r>
      <w:r w:rsidR="00D24DC1" w:rsidRPr="009C2953">
        <w:t xml:space="preserve"> des </w:t>
      </w:r>
      <w:r w:rsidR="00607B78" w:rsidRPr="009C2953">
        <w:t>membres de groupes d</w:t>
      </w:r>
      <w:r w:rsidR="00EA2966" w:rsidRPr="009C2953">
        <w:t>’</w:t>
      </w:r>
      <w:r w:rsidR="00607B78" w:rsidRPr="009C2953">
        <w:t>expert(e)s affecté(e)s</w:t>
      </w:r>
      <w:r w:rsidR="00F34644" w:rsidRPr="009C2953">
        <w:t xml:space="preserve"> aux </w:t>
      </w:r>
      <w:r w:rsidR="00607B78" w:rsidRPr="009C2953">
        <w:t>évaluations en cours de l</w:t>
      </w:r>
      <w:r w:rsidR="00EA2966" w:rsidRPr="009C2953">
        <w:t>’</w:t>
      </w:r>
      <w:r w:rsidR="00607B78" w:rsidRPr="009C2953">
        <w:t>IPBES et d</w:t>
      </w:r>
      <w:r w:rsidR="00EA2966" w:rsidRPr="009C2953">
        <w:t>’</w:t>
      </w:r>
      <w:r w:rsidR="00607B78" w:rsidRPr="009C2953">
        <w:t>autres équipes spéciales concernées ; b)</w:t>
      </w:r>
      <w:r w:rsidR="00D24DC1" w:rsidRPr="009C2953">
        <w:t xml:space="preserve"> des </w:t>
      </w:r>
      <w:r w:rsidR="00607B78" w:rsidRPr="009C2953">
        <w:t>représentant(e)s</w:t>
      </w:r>
      <w:r w:rsidR="00D24DC1" w:rsidRPr="009C2953">
        <w:t xml:space="preserve"> des </w:t>
      </w:r>
      <w:r w:rsidR="00607B78" w:rsidRPr="009C2953">
        <w:t>peuples autochtones et</w:t>
      </w:r>
      <w:r w:rsidR="00D24DC1" w:rsidRPr="009C2953">
        <w:t xml:space="preserve"> des </w:t>
      </w:r>
      <w:r w:rsidR="00607B78" w:rsidRPr="009C2953">
        <w:t>communautés locales ; c)</w:t>
      </w:r>
      <w:r w:rsidR="00D24DC1" w:rsidRPr="009C2953">
        <w:t xml:space="preserve"> des </w:t>
      </w:r>
      <w:r w:rsidR="00607B78" w:rsidRPr="009C2953">
        <w:t>représentant(e)s d</w:t>
      </w:r>
      <w:r w:rsidR="00EA2966" w:rsidRPr="009C2953">
        <w:t>’</w:t>
      </w:r>
      <w:r w:rsidR="00607B78" w:rsidRPr="009C2953">
        <w:t>organisations, de centres d</w:t>
      </w:r>
      <w:r w:rsidR="00EA2966" w:rsidRPr="009C2953">
        <w:t>’</w:t>
      </w:r>
      <w:r w:rsidR="00607B78" w:rsidRPr="009C2953">
        <w:t>excellence et d</w:t>
      </w:r>
      <w:r w:rsidR="00EA2966" w:rsidRPr="009C2953">
        <w:t>’</w:t>
      </w:r>
      <w:r w:rsidR="00607B78" w:rsidRPr="009C2953">
        <w:t>institutions scientifiques nationaux, régionaux et internationaux qualifiés,</w:t>
      </w:r>
      <w:r w:rsidR="00F34644" w:rsidRPr="009C2953">
        <w:t xml:space="preserve"> y </w:t>
      </w:r>
      <w:r w:rsidR="00607B78" w:rsidRPr="009C2953">
        <w:t>compris</w:t>
      </w:r>
      <w:r w:rsidR="00D24DC1" w:rsidRPr="009C2953">
        <w:t xml:space="preserve"> des </w:t>
      </w:r>
      <w:r w:rsidR="00607B78" w:rsidRPr="009C2953">
        <w:t>expert(e)s en savoirs autochtones et locaux</w:t>
      </w:r>
      <w:r w:rsidR="00607B78" w:rsidRPr="009C2953">
        <w:footnoteReference w:id="48"/>
      </w:r>
      <w:r w:rsidR="00607B78" w:rsidRPr="009C2953">
        <w:t>, qui sont connu(e)s pour</w:t>
      </w:r>
      <w:r w:rsidR="00107282" w:rsidRPr="009C2953">
        <w:t xml:space="preserve"> leurs </w:t>
      </w:r>
      <w:r w:rsidR="00607B78" w:rsidRPr="009C2953">
        <w:t>travaux et</w:t>
      </w:r>
      <w:r w:rsidR="00F34644" w:rsidRPr="009C2953">
        <w:t xml:space="preserve"> leur </w:t>
      </w:r>
      <w:r w:rsidR="00607B78" w:rsidRPr="009C2953">
        <w:t>expertise sur</w:t>
      </w:r>
      <w:r w:rsidR="00D24DC1" w:rsidRPr="009C2953">
        <w:t xml:space="preserve"> des </w:t>
      </w:r>
      <w:r w:rsidR="00607B78" w:rsidRPr="009C2953">
        <w:t>questions relevant du mandat de l</w:t>
      </w:r>
      <w:r w:rsidR="00EA2966" w:rsidRPr="009C2953">
        <w:t>’</w:t>
      </w:r>
      <w:r w:rsidR="00607B78" w:rsidRPr="009C2953">
        <w:t>équipe spéciale ; et d)</w:t>
      </w:r>
      <w:r w:rsidR="00D24DC1" w:rsidRPr="009C2953">
        <w:t xml:space="preserve"> des </w:t>
      </w:r>
      <w:r w:rsidR="00607B78" w:rsidRPr="009C2953">
        <w:t>expert(e)s de renom spécialisé(e)s dans</w:t>
      </w:r>
      <w:r w:rsidR="00F34644" w:rsidRPr="009C2953">
        <w:t xml:space="preserve"> les </w:t>
      </w:r>
      <w:r w:rsidR="00607B78" w:rsidRPr="009C2953">
        <w:t>questions relevant du mandat de l</w:t>
      </w:r>
      <w:r w:rsidR="00EA2966" w:rsidRPr="009C2953">
        <w:t>’</w:t>
      </w:r>
      <w:r w:rsidR="00607B78" w:rsidRPr="009C2953">
        <w:t>équipe spéciale</w:t>
      </w:r>
    </w:p>
    <w:p w14:paraId="6AA37D28" w14:textId="2DACC646" w:rsidR="00607B78" w:rsidRPr="009C2953" w:rsidRDefault="002002FD" w:rsidP="002002FD">
      <w:pPr>
        <w:pStyle w:val="NormalNonumber"/>
        <w:tabs>
          <w:tab w:val="clear" w:pos="1247"/>
          <w:tab w:val="clear" w:pos="1871"/>
          <w:tab w:val="clear" w:pos="2495"/>
          <w:tab w:val="clear" w:pos="3119"/>
          <w:tab w:val="clear" w:pos="3742"/>
          <w:tab w:val="clear" w:pos="4366"/>
          <w:tab w:val="left" w:pos="1876"/>
        </w:tabs>
      </w:pPr>
      <w:r w:rsidRPr="009C2953">
        <w:t>5.</w:t>
      </w:r>
      <w:r w:rsidRPr="009C2953">
        <w:tab/>
      </w:r>
      <w:r w:rsidR="00607B78" w:rsidRPr="009C2953">
        <w:t>Les membres autres que ceux du Bureau et du Groupe d</w:t>
      </w:r>
      <w:r w:rsidR="00EA2966" w:rsidRPr="009C2953">
        <w:t>’</w:t>
      </w:r>
      <w:r w:rsidR="00607B78" w:rsidRPr="009C2953">
        <w:t>experts multidisciplinaire s</w:t>
      </w:r>
      <w:r w:rsidR="005E4AB2" w:rsidRPr="009C2953">
        <w:t>er</w:t>
      </w:r>
      <w:r w:rsidR="00607B78" w:rsidRPr="009C2953">
        <w:t>ont sélectionné(e)s conformément au processus de sélection décrit dans</w:t>
      </w:r>
      <w:r w:rsidR="00F34644" w:rsidRPr="009C2953">
        <w:t xml:space="preserve"> les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footnoteReference w:id="49"/>
      </w:r>
      <w:r w:rsidR="00607B78" w:rsidRPr="009C2953">
        <w:t>. Leur mandat expirera à</w:t>
      </w:r>
      <w:r w:rsidR="00F34644" w:rsidRPr="009C2953">
        <w:t xml:space="preserve"> la </w:t>
      </w:r>
      <w:r w:rsidR="00607B78" w:rsidRPr="009C2953">
        <w:t>clôture de</w:t>
      </w:r>
      <w:r w:rsidR="00F34644" w:rsidRPr="009C2953">
        <w:t xml:space="preserve"> la </w:t>
      </w:r>
      <w:r w:rsidR="00607B78" w:rsidRPr="009C2953">
        <w:t>troisième session de</w:t>
      </w:r>
      <w:r w:rsidR="00F34644" w:rsidRPr="009C2953">
        <w:t xml:space="preserve"> la </w:t>
      </w:r>
      <w:r w:rsidR="00607B78" w:rsidRPr="009C2953">
        <w:t>Plénière suivant</w:t>
      </w:r>
      <w:r w:rsidR="00F34644" w:rsidRPr="009C2953">
        <w:t xml:space="preserve"> leur </w:t>
      </w:r>
      <w:r w:rsidR="00607B78" w:rsidRPr="009C2953">
        <w:t>sélection, avec possibilité de réélection.</w:t>
      </w:r>
      <w:r w:rsidR="00F34644" w:rsidRPr="009C2953">
        <w:t xml:space="preserve"> La </w:t>
      </w:r>
      <w:r w:rsidR="00607B78" w:rsidRPr="009C2953">
        <w:t>sélection</w:t>
      </w:r>
      <w:r w:rsidR="00D24DC1" w:rsidRPr="009C2953">
        <w:t xml:space="preserve"> des </w:t>
      </w:r>
      <w:r w:rsidR="00607B78" w:rsidRPr="009C2953">
        <w:t>membres doit tenir compte de</w:t>
      </w:r>
      <w:r w:rsidR="00F34644" w:rsidRPr="009C2953">
        <w:t xml:space="preserve"> la </w:t>
      </w:r>
      <w:r w:rsidR="00607B78" w:rsidRPr="009C2953">
        <w:t>nécessité d</w:t>
      </w:r>
      <w:r w:rsidR="00EA2966" w:rsidRPr="009C2953">
        <w:t>’</w:t>
      </w:r>
      <w:r w:rsidR="00607B78" w:rsidRPr="009C2953">
        <w:t>assurer</w:t>
      </w:r>
      <w:r w:rsidR="00F34644" w:rsidRPr="009C2953">
        <w:t xml:space="preserve"> la </w:t>
      </w:r>
      <w:r w:rsidR="00607B78" w:rsidRPr="009C2953">
        <w:t>continuité</w:t>
      </w:r>
      <w:r w:rsidR="00D24DC1" w:rsidRPr="009C2953">
        <w:t xml:space="preserve"> des </w:t>
      </w:r>
      <w:r w:rsidR="00607B78" w:rsidRPr="009C2953">
        <w:t>travaux de l</w:t>
      </w:r>
      <w:r w:rsidR="00EA2966" w:rsidRPr="009C2953">
        <w:t>’</w:t>
      </w:r>
      <w:r w:rsidR="00607B78" w:rsidRPr="009C2953">
        <w:t>équipe spéciale.</w:t>
      </w:r>
    </w:p>
    <w:p w14:paraId="1D055E4C" w14:textId="405A0360" w:rsidR="00607B78" w:rsidRPr="009C2953" w:rsidRDefault="002002FD" w:rsidP="002002FD">
      <w:pPr>
        <w:pStyle w:val="NormalNonumber"/>
        <w:tabs>
          <w:tab w:val="clear" w:pos="1247"/>
          <w:tab w:val="clear" w:pos="1871"/>
          <w:tab w:val="clear" w:pos="2495"/>
          <w:tab w:val="clear" w:pos="3119"/>
          <w:tab w:val="clear" w:pos="3742"/>
          <w:tab w:val="clear" w:pos="4366"/>
          <w:tab w:val="left" w:pos="1876"/>
        </w:tabs>
        <w:rPr>
          <w:color w:val="000000"/>
        </w:rPr>
      </w:pPr>
      <w:r w:rsidRPr="009C2953">
        <w:t>6.</w:t>
      </w:r>
      <w:r w:rsidRPr="009C2953">
        <w:tab/>
      </w:r>
      <w:r w:rsidR="00607B78" w:rsidRPr="009C2953">
        <w:t>À</w:t>
      </w:r>
      <w:r w:rsidR="00F34644" w:rsidRPr="009C2953">
        <w:t xml:space="preserve"> la </w:t>
      </w:r>
      <w:r w:rsidR="00607B78" w:rsidRPr="009C2953">
        <w:t>discrétion de</w:t>
      </w:r>
      <w:r w:rsidR="00F34644" w:rsidRPr="009C2953">
        <w:t xml:space="preserve"> la </w:t>
      </w:r>
      <w:r w:rsidR="00607B78" w:rsidRPr="009C2953">
        <w:t>coprésidence de l</w:t>
      </w:r>
      <w:r w:rsidR="00EA2966" w:rsidRPr="009C2953">
        <w:t>’</w:t>
      </w:r>
      <w:r w:rsidR="00607B78" w:rsidRPr="009C2953">
        <w:t>équipe spéciale et après consultation du Bureau,</w:t>
      </w:r>
      <w:r w:rsidR="00F34644" w:rsidRPr="009C2953">
        <w:t xml:space="preserve"> un </w:t>
      </w:r>
      <w:r w:rsidR="00607B78" w:rsidRPr="009C2953">
        <w:t>nombre limité d</w:t>
      </w:r>
      <w:r w:rsidR="00EA2966" w:rsidRPr="009C2953">
        <w:t>’</w:t>
      </w:r>
      <w:r w:rsidR="00607B78" w:rsidRPr="009C2953">
        <w:t>expert(e)s supplémentaires en systèmes de savoirs autochtones et locaux et de</w:t>
      </w:r>
      <w:r w:rsidRPr="009C2953">
        <w:t> </w:t>
      </w:r>
      <w:r w:rsidR="00607B78" w:rsidRPr="009C2953">
        <w:t>représentant(e)s d</w:t>
      </w:r>
      <w:r w:rsidR="00EA2966" w:rsidRPr="009C2953">
        <w:t>’</w:t>
      </w:r>
      <w:r w:rsidR="00607B78" w:rsidRPr="009C2953">
        <w:t>organisations autochtones et locales p</w:t>
      </w:r>
      <w:r w:rsidR="005E4AB2" w:rsidRPr="009C2953">
        <w:t xml:space="preserve">ourront </w:t>
      </w:r>
      <w:r w:rsidR="00607B78" w:rsidRPr="009C2953">
        <w:t>également être invité(e)s à participer à</w:t>
      </w:r>
      <w:r w:rsidR="0000082A" w:rsidRPr="009C2953">
        <w:t> </w:t>
      </w:r>
      <w:r w:rsidR="00607B78" w:rsidRPr="009C2953">
        <w:t>l</w:t>
      </w:r>
      <w:r w:rsidR="00EA2966" w:rsidRPr="009C2953">
        <w:t>’</w:t>
      </w:r>
      <w:r w:rsidR="00607B78" w:rsidRPr="009C2953">
        <w:t>équipe spéciale en qualité de personnes-ressources.</w:t>
      </w:r>
      <w:r w:rsidR="00607B78" w:rsidRPr="009C2953">
        <w:rPr>
          <w:color w:val="000000"/>
        </w:rPr>
        <w:t xml:space="preserve"> </w:t>
      </w:r>
    </w:p>
    <w:p w14:paraId="71FF44BA" w14:textId="77777777" w:rsidR="00607B78" w:rsidRPr="009C2953" w:rsidRDefault="00607B78" w:rsidP="00607B78">
      <w:pPr>
        <w:pStyle w:val="CH1"/>
      </w:pPr>
      <w:r w:rsidRPr="009C2953">
        <w:lastRenderedPageBreak/>
        <w:tab/>
        <w:t>III.</w:t>
      </w:r>
      <w:r w:rsidRPr="009C2953">
        <w:tab/>
        <w:t xml:space="preserve">Mode de fonctionnement </w:t>
      </w:r>
    </w:p>
    <w:p w14:paraId="68FC7978" w14:textId="4BE7EE69" w:rsidR="00607B78" w:rsidRPr="009C2953" w:rsidRDefault="00E07E94" w:rsidP="00E07E94">
      <w:pPr>
        <w:pStyle w:val="NormalNonumber"/>
        <w:tabs>
          <w:tab w:val="clear" w:pos="1247"/>
          <w:tab w:val="clear" w:pos="1871"/>
          <w:tab w:val="clear" w:pos="2495"/>
          <w:tab w:val="clear" w:pos="3119"/>
          <w:tab w:val="clear" w:pos="3742"/>
          <w:tab w:val="clear" w:pos="4366"/>
          <w:tab w:val="left" w:pos="1876"/>
        </w:tabs>
      </w:pPr>
      <w:r w:rsidRPr="009C2953">
        <w:rPr>
          <w:color w:val="000000"/>
        </w:rPr>
        <w:t>7.</w:t>
      </w:r>
      <w:r w:rsidRPr="009C2953">
        <w:rPr>
          <w:color w:val="000000"/>
        </w:rPr>
        <w:tab/>
      </w:r>
      <w:r w:rsidR="00607B78" w:rsidRPr="009C2953">
        <w:rPr>
          <w:color w:val="000000"/>
        </w:rPr>
        <w:t>L</w:t>
      </w:r>
      <w:r w:rsidR="00EA2966" w:rsidRPr="009C2953">
        <w:rPr>
          <w:color w:val="000000"/>
        </w:rPr>
        <w:t>’</w:t>
      </w:r>
      <w:r w:rsidR="00607B78" w:rsidRPr="009C2953">
        <w:rPr>
          <w:color w:val="000000"/>
        </w:rPr>
        <w:t xml:space="preserve">équipe spéciale </w:t>
      </w:r>
      <w:r w:rsidR="005E4AB2" w:rsidRPr="009C2953">
        <w:rPr>
          <w:color w:val="000000"/>
        </w:rPr>
        <w:t xml:space="preserve">sera </w:t>
      </w:r>
      <w:r w:rsidR="00607B78" w:rsidRPr="009C2953">
        <w:rPr>
          <w:color w:val="000000"/>
        </w:rPr>
        <w:t>coprésidée par</w:t>
      </w:r>
      <w:r w:rsidR="00F34644" w:rsidRPr="009C2953">
        <w:rPr>
          <w:color w:val="000000"/>
        </w:rPr>
        <w:t xml:space="preserve"> un </w:t>
      </w:r>
      <w:r w:rsidR="00607B78" w:rsidRPr="009C2953">
        <w:rPr>
          <w:color w:val="000000"/>
        </w:rPr>
        <w:t>membre du Bureau ou du Groupe d</w:t>
      </w:r>
      <w:r w:rsidR="00EA2966" w:rsidRPr="009C2953">
        <w:rPr>
          <w:color w:val="000000"/>
        </w:rPr>
        <w:t>’</w:t>
      </w:r>
      <w:r w:rsidR="00607B78" w:rsidRPr="009C2953">
        <w:rPr>
          <w:color w:val="000000"/>
        </w:rPr>
        <w:t xml:space="preserve">experts </w:t>
      </w:r>
      <w:r w:rsidR="00607B78" w:rsidRPr="009C2953">
        <w:t>multidisciplinaire et</w:t>
      </w:r>
      <w:r w:rsidR="00F34644" w:rsidRPr="009C2953">
        <w:t xml:space="preserve"> un </w:t>
      </w:r>
      <w:r w:rsidR="00607B78" w:rsidRPr="009C2953">
        <w:t>membre de l</w:t>
      </w:r>
      <w:r w:rsidR="00EA2966" w:rsidRPr="009C2953">
        <w:t>’</w:t>
      </w:r>
      <w:r w:rsidR="00607B78" w:rsidRPr="009C2953">
        <w:t>équipe spéciale. Elle travaille</w:t>
      </w:r>
      <w:r w:rsidR="005E4AB2" w:rsidRPr="009C2953">
        <w:t>ra</w:t>
      </w:r>
      <w:r w:rsidR="00607B78" w:rsidRPr="009C2953">
        <w:t xml:space="preserve"> dans</w:t>
      </w:r>
      <w:r w:rsidR="00F34644" w:rsidRPr="009C2953">
        <w:t xml:space="preserve"> le </w:t>
      </w:r>
      <w:r w:rsidR="00607B78" w:rsidRPr="009C2953">
        <w:t>cadre de réunions en</w:t>
      </w:r>
      <w:r w:rsidR="0000082A" w:rsidRPr="009C2953">
        <w:t> </w:t>
      </w:r>
      <w:r w:rsidR="00607B78" w:rsidRPr="009C2953">
        <w:t>présentiel, de réunions en ligne et d</w:t>
      </w:r>
      <w:r w:rsidR="00EA2966" w:rsidRPr="009C2953">
        <w:t>’</w:t>
      </w:r>
      <w:r w:rsidR="00607B78" w:rsidRPr="009C2953">
        <w:t>autres interactions par voie électronique.</w:t>
      </w:r>
      <w:r w:rsidR="00F34644" w:rsidRPr="009C2953">
        <w:t xml:space="preserve"> Les </w:t>
      </w:r>
      <w:r w:rsidR="00607B78" w:rsidRPr="009C2953">
        <w:t>produits de l</w:t>
      </w:r>
      <w:r w:rsidR="00EA2966" w:rsidRPr="009C2953">
        <w:t>’</w:t>
      </w:r>
      <w:r w:rsidR="00607B78" w:rsidRPr="009C2953">
        <w:t>équipe</w:t>
      </w:r>
      <w:r w:rsidR="0000082A" w:rsidRPr="009C2953">
        <w:t> </w:t>
      </w:r>
      <w:r w:rsidR="00607B78" w:rsidRPr="009C2953">
        <w:t>spéciale s</w:t>
      </w:r>
      <w:r w:rsidR="005E4AB2" w:rsidRPr="009C2953">
        <w:t>er</w:t>
      </w:r>
      <w:r w:rsidR="00607B78" w:rsidRPr="009C2953">
        <w:t>ont revus par</w:t>
      </w:r>
      <w:r w:rsidR="00F34644" w:rsidRPr="009C2953">
        <w:t xml:space="preserve"> le </w:t>
      </w:r>
      <w:r w:rsidR="00607B78" w:rsidRPr="009C2953">
        <w:t>Bureau et par</w:t>
      </w:r>
      <w:r w:rsidR="00F34644" w:rsidRPr="009C2953">
        <w:t xml:space="preserve"> le </w:t>
      </w:r>
      <w:r w:rsidR="00607B78" w:rsidRPr="009C2953">
        <w:t>Groupe d</w:t>
      </w:r>
      <w:r w:rsidR="00EA2966" w:rsidRPr="009C2953">
        <w:t>’</w:t>
      </w:r>
      <w:r w:rsidR="00607B78" w:rsidRPr="009C2953">
        <w:t>experts multidisciplinaire et transmis à</w:t>
      </w:r>
      <w:r w:rsidRPr="009C2953">
        <w:t> </w:t>
      </w:r>
      <w:r w:rsidR="00F34644" w:rsidRPr="009C2953">
        <w:t>la </w:t>
      </w:r>
      <w:r w:rsidR="00607B78" w:rsidRPr="009C2953">
        <w:t>Plénière pour information et examen, selon qu</w:t>
      </w:r>
      <w:r w:rsidR="00EA2966" w:rsidRPr="009C2953">
        <w:t>’</w:t>
      </w:r>
      <w:r w:rsidR="00607B78" w:rsidRPr="009C2953">
        <w:t>il convien</w:t>
      </w:r>
      <w:r w:rsidR="005E4AB2" w:rsidRPr="009C2953">
        <w:t>dra</w:t>
      </w:r>
      <w:r w:rsidR="00607B78" w:rsidRPr="009C2953">
        <w:t>. L</w:t>
      </w:r>
      <w:r w:rsidR="00EA2966" w:rsidRPr="009C2953">
        <w:t>’</w:t>
      </w:r>
      <w:r w:rsidR="00607B78" w:rsidRPr="009C2953">
        <w:t>équipe spéciale encourage</w:t>
      </w:r>
      <w:r w:rsidR="004739A2" w:rsidRPr="009C2953">
        <w:t>ra</w:t>
      </w:r>
      <w:r w:rsidR="00F34644" w:rsidRPr="009C2953">
        <w:t xml:space="preserve"> la </w:t>
      </w:r>
      <w:r w:rsidR="00607B78" w:rsidRPr="009C2953">
        <w:t>collaboration avec</w:t>
      </w:r>
      <w:r w:rsidR="00F34644" w:rsidRPr="009C2953">
        <w:t xml:space="preserve"> les </w:t>
      </w:r>
      <w:r w:rsidR="00607B78" w:rsidRPr="009C2953">
        <w:t>partenaires stratégiques et</w:t>
      </w:r>
      <w:r w:rsidR="00F34644" w:rsidRPr="009C2953">
        <w:t xml:space="preserve"> les </w:t>
      </w:r>
      <w:r w:rsidR="00607B78" w:rsidRPr="009C2953">
        <w:t>partenaires appuyant l</w:t>
      </w:r>
      <w:r w:rsidR="00EA2966" w:rsidRPr="009C2953">
        <w:t>’</w:t>
      </w:r>
      <w:r w:rsidR="00607B78" w:rsidRPr="009C2953">
        <w:t>initiative sous</w:t>
      </w:r>
      <w:r w:rsidR="00F34644" w:rsidRPr="009C2953">
        <w:t xml:space="preserve"> la </w:t>
      </w:r>
      <w:r w:rsidR="00607B78" w:rsidRPr="009C2953">
        <w:t>direction du Bureau.</w:t>
      </w:r>
    </w:p>
    <w:p w14:paraId="38CCF1FF" w14:textId="2007F658" w:rsidR="00607B78" w:rsidRPr="009C2953" w:rsidRDefault="00E07E94" w:rsidP="00E07E94">
      <w:pPr>
        <w:pStyle w:val="NormalNonumber"/>
        <w:tabs>
          <w:tab w:val="clear" w:pos="1247"/>
          <w:tab w:val="clear" w:pos="1871"/>
          <w:tab w:val="clear" w:pos="2495"/>
          <w:tab w:val="clear" w:pos="3119"/>
          <w:tab w:val="clear" w:pos="3742"/>
          <w:tab w:val="clear" w:pos="4366"/>
          <w:tab w:val="left" w:pos="1876"/>
        </w:tabs>
        <w:rPr>
          <w:color w:val="000000"/>
        </w:rPr>
      </w:pPr>
      <w:r w:rsidRPr="009C2953">
        <w:t>8.</w:t>
      </w:r>
      <w:r w:rsidRPr="009C2953">
        <w:tab/>
      </w:r>
      <w:r w:rsidR="00607B78" w:rsidRPr="009C2953">
        <w:t>L</w:t>
      </w:r>
      <w:r w:rsidR="00EA2966" w:rsidRPr="009C2953">
        <w:t>’</w:t>
      </w:r>
      <w:r w:rsidR="00607B78" w:rsidRPr="009C2953">
        <w:t xml:space="preserve">équipe spéciale </w:t>
      </w:r>
      <w:r w:rsidR="004739A2" w:rsidRPr="009C2953">
        <w:t>sera s</w:t>
      </w:r>
      <w:r w:rsidR="00607B78" w:rsidRPr="009C2953">
        <w:t>econdée par</w:t>
      </w:r>
      <w:r w:rsidR="00F34644" w:rsidRPr="009C2953">
        <w:t xml:space="preserve"> le </w:t>
      </w:r>
      <w:r w:rsidR="00607B78" w:rsidRPr="009C2953">
        <w:t>secrétariat, qui comprend</w:t>
      </w:r>
      <w:r w:rsidR="00F34644" w:rsidRPr="009C2953">
        <w:t xml:space="preserve"> un </w:t>
      </w:r>
      <w:r w:rsidR="00607B78" w:rsidRPr="009C2953">
        <w:t>groupe d</w:t>
      </w:r>
      <w:r w:rsidR="00EA2966" w:rsidRPr="009C2953">
        <w:t>’</w:t>
      </w:r>
      <w:r w:rsidR="00607B78" w:rsidRPr="009C2953">
        <w:t>appui technique</w:t>
      </w:r>
      <w:r w:rsidRPr="009C2953">
        <w:t> </w:t>
      </w:r>
      <w:r w:rsidR="00607B78" w:rsidRPr="009C2953">
        <w:t>dédié.</w:t>
      </w:r>
    </w:p>
    <w:p w14:paraId="451ED74C"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4B3652D4" w14:textId="4F33D954" w:rsidR="00607B78" w:rsidRPr="009C2953" w:rsidRDefault="00607B78" w:rsidP="00607B78">
      <w:pPr>
        <w:pStyle w:val="CH1"/>
      </w:pPr>
      <w:r w:rsidRPr="009C2953">
        <w:lastRenderedPageBreak/>
        <w:tab/>
      </w:r>
      <w:r w:rsidRPr="009C2953">
        <w:tab/>
        <w:t>Annexe XIII à</w:t>
      </w:r>
      <w:r w:rsidR="00F34644" w:rsidRPr="009C2953">
        <w:t xml:space="preserve"> la </w:t>
      </w:r>
      <w:r w:rsidRPr="009C2953">
        <w:t>décision IPBES-10/1</w:t>
      </w:r>
    </w:p>
    <w:p w14:paraId="7E146F25" w14:textId="5FFDD714" w:rsidR="00607B78" w:rsidRPr="009C2953" w:rsidRDefault="00607B78" w:rsidP="00607B78">
      <w:pPr>
        <w:pStyle w:val="CH1"/>
      </w:pPr>
      <w:r w:rsidRPr="009C2953">
        <w:tab/>
      </w:r>
      <w:r w:rsidRPr="009C2953">
        <w:tab/>
        <w:t>Mandat de l</w:t>
      </w:r>
      <w:r w:rsidR="00EA2966" w:rsidRPr="009C2953">
        <w:t>’</w:t>
      </w:r>
      <w:r w:rsidRPr="009C2953">
        <w:t>équipe spéciale sur</w:t>
      </w:r>
      <w:r w:rsidR="00F34644" w:rsidRPr="009C2953">
        <w:t xml:space="preserve"> les </w:t>
      </w:r>
      <w:r w:rsidRPr="009C2953">
        <w:t>scénarios et</w:t>
      </w:r>
      <w:r w:rsidR="00F34644" w:rsidRPr="009C2953">
        <w:t xml:space="preserve"> les </w:t>
      </w:r>
      <w:r w:rsidRPr="009C2953">
        <w:t>modèles de</w:t>
      </w:r>
      <w:r w:rsidR="00446EE6" w:rsidRPr="009C2953">
        <w:t> </w:t>
      </w:r>
      <w:r w:rsidR="00F34644" w:rsidRPr="009C2953">
        <w:t>la </w:t>
      </w:r>
      <w:r w:rsidRPr="009C2953">
        <w:t>biodiversité et</w:t>
      </w:r>
      <w:r w:rsidR="00D24DC1" w:rsidRPr="009C2953">
        <w:t xml:space="preserve"> des </w:t>
      </w:r>
      <w:r w:rsidRPr="009C2953">
        <w:t>services écosystémiques</w:t>
      </w:r>
    </w:p>
    <w:p w14:paraId="70F8E05D" w14:textId="77777777" w:rsidR="00607B78" w:rsidRPr="009C2953" w:rsidRDefault="00607B78" w:rsidP="00607B78">
      <w:pPr>
        <w:pStyle w:val="CH1"/>
      </w:pPr>
      <w:r w:rsidRPr="009C2953">
        <w:tab/>
        <w:t>I.</w:t>
      </w:r>
      <w:r w:rsidRPr="009C2953">
        <w:tab/>
        <w:t>Fonctions et responsabilités</w:t>
      </w:r>
    </w:p>
    <w:p w14:paraId="16C44ECB" w14:textId="0A5725F5" w:rsidR="00607B78" w:rsidRPr="009C2953" w:rsidRDefault="00446EE6" w:rsidP="008F17E7">
      <w:pPr>
        <w:pStyle w:val="NormalNonumber"/>
      </w:pPr>
      <w:r w:rsidRPr="009C2953">
        <w:t>1.</w:t>
      </w:r>
      <w:r w:rsidRPr="009C2953">
        <w:tab/>
      </w:r>
      <w:r w:rsidR="00607B78" w:rsidRPr="009C2953">
        <w:t>L</w:t>
      </w:r>
      <w:r w:rsidR="00EA2966" w:rsidRPr="009C2953">
        <w:t>’</w:t>
      </w:r>
      <w:r w:rsidR="00607B78" w:rsidRPr="009C2953">
        <w:t>équipe spéciale sur</w:t>
      </w:r>
      <w:r w:rsidR="00F34644" w:rsidRPr="009C2953">
        <w:t xml:space="preserve"> les </w:t>
      </w:r>
      <w:r w:rsidR="00607B78" w:rsidRPr="009C2953">
        <w:t>scénarios et</w:t>
      </w:r>
      <w:r w:rsidR="00F34644" w:rsidRPr="009C2953">
        <w:t xml:space="preserve"> les </w:t>
      </w:r>
      <w:r w:rsidR="00607B78" w:rsidRPr="009C2953">
        <w:t xml:space="preserve">modèles </w:t>
      </w:r>
      <w:r w:rsidR="00EA02D0" w:rsidRPr="009C2953">
        <w:t xml:space="preserve">de la biodiversité et des services écosystémiques </w:t>
      </w:r>
      <w:r w:rsidR="00607B78" w:rsidRPr="009C2953">
        <w:t>supervise</w:t>
      </w:r>
      <w:r w:rsidR="004739A2" w:rsidRPr="009C2953">
        <w:t>ra</w:t>
      </w:r>
      <w:r w:rsidR="00607B78" w:rsidRPr="009C2953">
        <w:t xml:space="preserve"> et participe</w:t>
      </w:r>
      <w:r w:rsidR="004739A2" w:rsidRPr="009C2953">
        <w:t>ra</w:t>
      </w:r>
      <w:r w:rsidR="00607B78" w:rsidRPr="009C2953">
        <w:t xml:space="preserve"> à</w:t>
      </w:r>
      <w:r w:rsidR="00F34644" w:rsidRPr="009C2953">
        <w:t xml:space="preserve"> la </w:t>
      </w:r>
      <w:r w:rsidR="00607B78" w:rsidRPr="009C2953">
        <w:t>réalisation de</w:t>
      </w:r>
      <w:r w:rsidR="0000082A" w:rsidRPr="009C2953">
        <w:t> </w:t>
      </w:r>
      <w:r w:rsidR="00607B78" w:rsidRPr="009C2953">
        <w:t>l</w:t>
      </w:r>
      <w:r w:rsidR="00EA2966" w:rsidRPr="009C2953">
        <w:t>’</w:t>
      </w:r>
      <w:r w:rsidR="00607B78" w:rsidRPr="009C2953">
        <w:t>objectif 4 b)</w:t>
      </w:r>
      <w:r w:rsidR="00EA02D0" w:rsidRPr="009C2953">
        <w:t>, « travaux avancés sur les scénarios et modèles de la biodiversité et des fonctions et services écosystémiques »</w:t>
      </w:r>
      <w:r w:rsidR="00607B78" w:rsidRPr="009C2953">
        <w:t xml:space="preserve"> du programme de travail glissant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(IPBES) pour</w:t>
      </w:r>
      <w:r w:rsidR="00F34644" w:rsidRPr="009C2953">
        <w:t xml:space="preserve"> la </w:t>
      </w:r>
      <w:r w:rsidR="00607B78" w:rsidRPr="009C2953">
        <w:t>période allant jusqu</w:t>
      </w:r>
      <w:r w:rsidR="00EA2966" w:rsidRPr="009C2953">
        <w:t>’</w:t>
      </w:r>
      <w:r w:rsidR="00607B78" w:rsidRPr="009C2953">
        <w:t>en 203</w:t>
      </w:r>
      <w:r w:rsidR="00EA02D0" w:rsidRPr="009C2953">
        <w:t>0</w:t>
      </w:r>
      <w:r w:rsidR="00607B78" w:rsidRPr="009C2953">
        <w:rPr>
          <w:rStyle w:val="FootnoteReference"/>
        </w:rPr>
        <w:footnoteReference w:id="50"/>
      </w:r>
      <w:r w:rsidR="00EA02D0" w:rsidRPr="009C2953">
        <w:t xml:space="preserve">, </w:t>
      </w:r>
      <w:r w:rsidR="004739A2" w:rsidRPr="009C2953">
        <w:t>et agira</w:t>
      </w:r>
      <w:r w:rsidR="00607B78" w:rsidRPr="009C2953">
        <w:t xml:space="preserve"> conformément</w:t>
      </w:r>
      <w:r w:rsidR="00F34644" w:rsidRPr="009C2953">
        <w:t xml:space="preserve"> aux </w:t>
      </w:r>
      <w:r w:rsidR="00607B78" w:rsidRPr="009C2953">
        <w:t>décisions pertinentes de</w:t>
      </w:r>
      <w:r w:rsidR="00F34644" w:rsidRPr="009C2953">
        <w:t xml:space="preserve"> la </w:t>
      </w:r>
      <w:r w:rsidR="00607B78" w:rsidRPr="009C2953">
        <w:t>Plénière et de ses organes subsidiaires, notamment en s</w:t>
      </w:r>
      <w:r w:rsidR="00EA2966" w:rsidRPr="009C2953">
        <w:t>’</w:t>
      </w:r>
      <w:r w:rsidR="00607B78" w:rsidRPr="009C2953">
        <w:t>appuyant sur</w:t>
      </w:r>
      <w:r w:rsidR="00F34644" w:rsidRPr="009C2953">
        <w:t xml:space="preserve"> les </w:t>
      </w:r>
      <w:r w:rsidR="00607B78" w:rsidRPr="009C2953">
        <w:t>enseignements tirés de</w:t>
      </w:r>
      <w:r w:rsidR="00F34644" w:rsidRPr="009C2953">
        <w:t xml:space="preserve"> la </w:t>
      </w:r>
      <w:r w:rsidR="00607B78" w:rsidRPr="009C2953">
        <w:t>réalisation de cet objectif au cours de</w:t>
      </w:r>
      <w:r w:rsidR="00F34644" w:rsidRPr="009C2953">
        <w:t xml:space="preserve"> la </w:t>
      </w:r>
      <w:r w:rsidR="00607B78" w:rsidRPr="009C2953">
        <w:t>période 2019</w:t>
      </w:r>
      <w:r w:rsidR="00FA7442">
        <w:t>–</w:t>
      </w:r>
      <w:r w:rsidR="00607B78" w:rsidRPr="009C2953">
        <w:t>2023 et du produit</w:t>
      </w:r>
      <w:r w:rsidR="004831AD" w:rsidRPr="009C2953">
        <w:t> </w:t>
      </w:r>
      <w:r w:rsidR="00607B78" w:rsidRPr="009C2953">
        <w:t>3 c), « outils et méthodologies d</w:t>
      </w:r>
      <w:r w:rsidR="00EA2966" w:rsidRPr="009C2953">
        <w:t>’</w:t>
      </w:r>
      <w:r w:rsidR="00607B78" w:rsidRPr="009C2953">
        <w:t>appui</w:t>
      </w:r>
      <w:r w:rsidR="00F34644" w:rsidRPr="009C2953">
        <w:t xml:space="preserve"> aux </w:t>
      </w:r>
      <w:r w:rsidR="00607B78" w:rsidRPr="009C2953">
        <w:t>politiques pour l</w:t>
      </w:r>
      <w:r w:rsidR="00EA2966" w:rsidRPr="009C2953">
        <w:t>’</w:t>
      </w:r>
      <w:r w:rsidR="00607B78" w:rsidRPr="009C2953">
        <w:t>analyse de scénarios et</w:t>
      </w:r>
      <w:r w:rsidR="00F34644" w:rsidRPr="009C2953">
        <w:t xml:space="preserve"> la </w:t>
      </w:r>
      <w:r w:rsidR="00607B78" w:rsidRPr="009C2953">
        <w:t>modélisation de</w:t>
      </w:r>
      <w:r w:rsidR="00F34644" w:rsidRPr="009C2953">
        <w:t xml:space="preserve"> la </w:t>
      </w:r>
      <w:r w:rsidR="00607B78" w:rsidRPr="009C2953">
        <w:t>biodiversité et</w:t>
      </w:r>
      <w:r w:rsidR="00D24DC1" w:rsidRPr="009C2953">
        <w:t xml:space="preserve"> des </w:t>
      </w:r>
      <w:r w:rsidR="00607B78" w:rsidRPr="009C2953">
        <w:t>services écosystémiques sur</w:t>
      </w:r>
      <w:r w:rsidR="00F34644" w:rsidRPr="009C2953">
        <w:t xml:space="preserve"> la </w:t>
      </w:r>
      <w:r w:rsidR="00607B78" w:rsidRPr="009C2953">
        <w:t>base d</w:t>
      </w:r>
      <w:r w:rsidR="00EA2966" w:rsidRPr="009C2953">
        <w:t>’</w:t>
      </w:r>
      <w:r w:rsidR="00607B78" w:rsidRPr="009C2953">
        <w:t>une évaluation accélérée et d</w:t>
      </w:r>
      <w:r w:rsidR="00EA2966" w:rsidRPr="009C2953">
        <w:t>’</w:t>
      </w:r>
      <w:r w:rsidR="00607B78" w:rsidRPr="009C2953">
        <w:t>un guide », du premier programme de travail de l</w:t>
      </w:r>
      <w:r w:rsidR="00EA2966" w:rsidRPr="009C2953">
        <w:t>’</w:t>
      </w:r>
      <w:r w:rsidR="00607B78" w:rsidRPr="009C2953">
        <w:t>IPBES</w:t>
      </w:r>
      <w:r w:rsidR="00607B78" w:rsidRPr="009C2953">
        <w:rPr>
          <w:rStyle w:val="FootnoteReference"/>
        </w:rPr>
        <w:footnoteReference w:id="51"/>
      </w:r>
      <w:r w:rsidR="00607B78" w:rsidRPr="009C2953">
        <w:t>.</w:t>
      </w:r>
    </w:p>
    <w:p w14:paraId="040F70BB" w14:textId="38108BF6" w:rsidR="00607B78" w:rsidRPr="009C2953" w:rsidRDefault="00446EE6" w:rsidP="00BB65B6">
      <w:pPr>
        <w:pStyle w:val="NormalNonumber"/>
        <w:tabs>
          <w:tab w:val="clear" w:pos="1247"/>
          <w:tab w:val="clear" w:pos="1871"/>
          <w:tab w:val="clear" w:pos="2495"/>
          <w:tab w:val="clear" w:pos="3119"/>
          <w:tab w:val="clear" w:pos="3742"/>
          <w:tab w:val="clear" w:pos="4366"/>
          <w:tab w:val="left" w:pos="1843"/>
        </w:tabs>
        <w:rPr>
          <w:color w:val="000000"/>
        </w:rPr>
      </w:pPr>
      <w:r w:rsidRPr="009C2953">
        <w:rPr>
          <w:color w:val="000000"/>
        </w:rPr>
        <w:t>2.</w:t>
      </w:r>
      <w:r w:rsidRPr="009C2953">
        <w:rPr>
          <w:color w:val="000000"/>
        </w:rPr>
        <w:tab/>
      </w:r>
      <w:r w:rsidR="00607B78" w:rsidRPr="009C2953">
        <w:rPr>
          <w:color w:val="000000"/>
        </w:rPr>
        <w:t>L</w:t>
      </w:r>
      <w:r w:rsidR="00EA2966" w:rsidRPr="009C2953">
        <w:rPr>
          <w:color w:val="000000"/>
        </w:rPr>
        <w:t>’</w:t>
      </w:r>
      <w:r w:rsidR="00607B78" w:rsidRPr="009C2953">
        <w:rPr>
          <w:color w:val="000000"/>
        </w:rPr>
        <w:t>équipe spéciale :</w:t>
      </w:r>
    </w:p>
    <w:p w14:paraId="5F646523" w14:textId="1F90E302" w:rsidR="00607B78" w:rsidRPr="009C2953" w:rsidRDefault="00446EE6" w:rsidP="00446EE6">
      <w:pPr>
        <w:pStyle w:val="NormalNonumber"/>
        <w:rPr>
          <w:color w:val="000000"/>
        </w:rPr>
      </w:pPr>
      <w:r w:rsidRPr="009C2953">
        <w:rPr>
          <w:color w:val="000000"/>
        </w:rPr>
        <w:tab/>
        <w:t>a)</w:t>
      </w:r>
      <w:r w:rsidRPr="009C2953">
        <w:rPr>
          <w:color w:val="000000"/>
        </w:rPr>
        <w:tab/>
      </w:r>
      <w:r w:rsidR="00607B78" w:rsidRPr="009C2953">
        <w:rPr>
          <w:color w:val="000000"/>
        </w:rPr>
        <w:t>Me</w:t>
      </w:r>
      <w:r w:rsidR="004739A2" w:rsidRPr="009C2953">
        <w:rPr>
          <w:color w:val="000000"/>
        </w:rPr>
        <w:t>ttra</w:t>
      </w:r>
      <w:r w:rsidR="00607B78" w:rsidRPr="009C2953">
        <w:rPr>
          <w:color w:val="000000"/>
        </w:rPr>
        <w:t xml:space="preserve"> en œuvre</w:t>
      </w:r>
      <w:r w:rsidR="00F34644" w:rsidRPr="009C2953">
        <w:rPr>
          <w:color w:val="000000"/>
        </w:rPr>
        <w:t xml:space="preserve"> les </w:t>
      </w:r>
      <w:r w:rsidR="00607B78" w:rsidRPr="009C2953">
        <w:rPr>
          <w:color w:val="000000"/>
        </w:rPr>
        <w:t>travaux relatifs</w:t>
      </w:r>
      <w:r w:rsidR="00F34644" w:rsidRPr="009C2953">
        <w:rPr>
          <w:color w:val="000000"/>
        </w:rPr>
        <w:t xml:space="preserve"> aux </w:t>
      </w:r>
      <w:r w:rsidR="00607B78" w:rsidRPr="009C2953">
        <w:rPr>
          <w:color w:val="000000"/>
        </w:rPr>
        <w:t>scénarios et modèles sur</w:t>
      </w:r>
      <w:r w:rsidR="00F34644" w:rsidRPr="009C2953">
        <w:rPr>
          <w:color w:val="000000"/>
        </w:rPr>
        <w:t xml:space="preserve"> la </w:t>
      </w:r>
      <w:r w:rsidR="00607B78" w:rsidRPr="009C2953">
        <w:rPr>
          <w:color w:val="000000"/>
        </w:rPr>
        <w:t>base du cadre de</w:t>
      </w:r>
      <w:r w:rsidR="0000082A" w:rsidRPr="009C2953">
        <w:rPr>
          <w:color w:val="000000"/>
        </w:rPr>
        <w:t> </w:t>
      </w:r>
      <w:r w:rsidR="00607B78" w:rsidRPr="009C2953">
        <w:rPr>
          <w:color w:val="000000"/>
        </w:rPr>
        <w:t>référence pour</w:t>
      </w:r>
      <w:r w:rsidR="00F34644" w:rsidRPr="009C2953">
        <w:rPr>
          <w:color w:val="000000"/>
        </w:rPr>
        <w:t xml:space="preserve"> la </w:t>
      </w:r>
      <w:r w:rsidR="00607B78" w:rsidRPr="009C2953">
        <w:rPr>
          <w:color w:val="000000"/>
        </w:rPr>
        <w:t>poursuite de l</w:t>
      </w:r>
      <w:r w:rsidR="00EA2966" w:rsidRPr="009C2953">
        <w:rPr>
          <w:color w:val="000000"/>
        </w:rPr>
        <w:t>’</w:t>
      </w:r>
      <w:r w:rsidR="00607B78" w:rsidRPr="009C2953">
        <w:rPr>
          <w:color w:val="000000"/>
        </w:rPr>
        <w:t>élaboration</w:t>
      </w:r>
      <w:r w:rsidR="00D24DC1" w:rsidRPr="009C2953">
        <w:rPr>
          <w:color w:val="000000"/>
        </w:rPr>
        <w:t xml:space="preserve"> des </w:t>
      </w:r>
      <w:r w:rsidR="00607B78" w:rsidRPr="009C2953">
        <w:rPr>
          <w:color w:val="000000"/>
        </w:rPr>
        <w:t>méthodes et outils relatifs</w:t>
      </w:r>
      <w:r w:rsidR="00F34644" w:rsidRPr="009C2953">
        <w:rPr>
          <w:color w:val="000000"/>
        </w:rPr>
        <w:t xml:space="preserve"> aux </w:t>
      </w:r>
      <w:r w:rsidR="00607B78" w:rsidRPr="009C2953">
        <w:rPr>
          <w:color w:val="000000"/>
        </w:rPr>
        <w:t>scénarios et</w:t>
      </w:r>
      <w:r w:rsidR="00F34644" w:rsidRPr="009C2953">
        <w:rPr>
          <w:color w:val="000000"/>
        </w:rPr>
        <w:t xml:space="preserve"> aux </w:t>
      </w:r>
      <w:r w:rsidR="00607B78" w:rsidRPr="009C2953">
        <w:rPr>
          <w:color w:val="000000"/>
        </w:rPr>
        <w:t>modèles</w:t>
      </w:r>
      <w:r w:rsidR="00607B78" w:rsidRPr="009C2953">
        <w:rPr>
          <w:color w:val="000000"/>
          <w:vertAlign w:val="superscript"/>
        </w:rPr>
        <w:footnoteReference w:id="52"/>
      </w:r>
      <w:r w:rsidR="00607B78" w:rsidRPr="009C2953">
        <w:rPr>
          <w:color w:val="000000"/>
        </w:rPr>
        <w:t xml:space="preserve"> afin de faciliter</w:t>
      </w:r>
      <w:r w:rsidR="00F34644" w:rsidRPr="009C2953">
        <w:rPr>
          <w:color w:val="000000"/>
        </w:rPr>
        <w:t xml:space="preserve"> la </w:t>
      </w:r>
      <w:r w:rsidR="00607B78" w:rsidRPr="009C2953">
        <w:rPr>
          <w:color w:val="000000"/>
        </w:rPr>
        <w:t>fourniture de conseils à toutes</w:t>
      </w:r>
      <w:r w:rsidR="00F34644" w:rsidRPr="009C2953">
        <w:rPr>
          <w:color w:val="000000"/>
        </w:rPr>
        <w:t xml:space="preserve"> les </w:t>
      </w:r>
      <w:r w:rsidR="00607B78" w:rsidRPr="009C2953">
        <w:rPr>
          <w:color w:val="000000"/>
        </w:rPr>
        <w:t>équipes d</w:t>
      </w:r>
      <w:r w:rsidR="00EA2966" w:rsidRPr="009C2953">
        <w:rPr>
          <w:color w:val="000000"/>
        </w:rPr>
        <w:t>’</w:t>
      </w:r>
      <w:r w:rsidR="00607B78" w:rsidRPr="009C2953">
        <w:rPr>
          <w:color w:val="000000"/>
        </w:rPr>
        <w:t>expert(e)s, en particulier celles qui évaluent l</w:t>
      </w:r>
      <w:r w:rsidR="00EA2966" w:rsidRPr="009C2953">
        <w:rPr>
          <w:color w:val="000000"/>
        </w:rPr>
        <w:t>’</w:t>
      </w:r>
      <w:r w:rsidR="00607B78" w:rsidRPr="009C2953">
        <w:rPr>
          <w:color w:val="000000"/>
        </w:rPr>
        <w:t>utilisation de scénarios, et de faciliter</w:t>
      </w:r>
      <w:r w:rsidR="00F34644" w:rsidRPr="009C2953">
        <w:rPr>
          <w:color w:val="000000"/>
        </w:rPr>
        <w:t xml:space="preserve"> la </w:t>
      </w:r>
      <w:r w:rsidR="00607B78" w:rsidRPr="009C2953">
        <w:rPr>
          <w:color w:val="000000"/>
        </w:rPr>
        <w:t>poursuite du développement de scénarios et de modèles pour</w:t>
      </w:r>
      <w:r w:rsidR="00F34644" w:rsidRPr="009C2953">
        <w:rPr>
          <w:color w:val="000000"/>
        </w:rPr>
        <w:t xml:space="preserve"> les </w:t>
      </w:r>
      <w:r w:rsidR="00607B78" w:rsidRPr="009C2953">
        <w:rPr>
          <w:color w:val="000000"/>
        </w:rPr>
        <w:t>évaluations futures de</w:t>
      </w:r>
      <w:r w:rsidR="00F34644" w:rsidRPr="009C2953">
        <w:rPr>
          <w:color w:val="000000"/>
        </w:rPr>
        <w:t xml:space="preserve"> la </w:t>
      </w:r>
      <w:r w:rsidR="00607B78" w:rsidRPr="009C2953">
        <w:rPr>
          <w:color w:val="000000"/>
        </w:rPr>
        <w:t>Plateforme ;</w:t>
      </w:r>
    </w:p>
    <w:p w14:paraId="2988DA31" w14:textId="7D1C15CF" w:rsidR="00607B78" w:rsidRPr="009C2953" w:rsidRDefault="00446EE6" w:rsidP="00446EE6">
      <w:pPr>
        <w:pStyle w:val="NormalNonumber"/>
        <w:rPr>
          <w:color w:val="000000"/>
        </w:rPr>
      </w:pPr>
      <w:r w:rsidRPr="009C2953">
        <w:rPr>
          <w:color w:val="000000"/>
        </w:rPr>
        <w:tab/>
        <w:t>b)</w:t>
      </w:r>
      <w:r w:rsidRPr="009C2953">
        <w:rPr>
          <w:color w:val="000000"/>
        </w:rPr>
        <w:tab/>
      </w:r>
      <w:r w:rsidR="00607B78" w:rsidRPr="009C2953">
        <w:rPr>
          <w:color w:val="000000"/>
        </w:rPr>
        <w:t>Donne</w:t>
      </w:r>
      <w:r w:rsidR="004739A2" w:rsidRPr="009C2953">
        <w:rPr>
          <w:color w:val="000000"/>
        </w:rPr>
        <w:t>ra</w:t>
      </w:r>
      <w:r w:rsidR="00607B78" w:rsidRPr="009C2953">
        <w:rPr>
          <w:color w:val="000000"/>
        </w:rPr>
        <w:t xml:space="preserve"> au secrétariat,</w:t>
      </w:r>
      <w:r w:rsidR="00F34644" w:rsidRPr="009C2953">
        <w:rPr>
          <w:color w:val="000000"/>
        </w:rPr>
        <w:t xml:space="preserve"> y </w:t>
      </w:r>
      <w:r w:rsidR="00607B78" w:rsidRPr="009C2953">
        <w:rPr>
          <w:color w:val="000000"/>
        </w:rPr>
        <w:t>compris à</w:t>
      </w:r>
      <w:r w:rsidR="00F34644" w:rsidRPr="009C2953">
        <w:rPr>
          <w:color w:val="000000"/>
        </w:rPr>
        <w:t xml:space="preserve"> son </w:t>
      </w:r>
      <w:r w:rsidR="00607B78" w:rsidRPr="009C2953">
        <w:rPr>
          <w:color w:val="000000"/>
        </w:rPr>
        <w:t>groupe d</w:t>
      </w:r>
      <w:r w:rsidR="00EA2966" w:rsidRPr="009C2953">
        <w:rPr>
          <w:color w:val="000000"/>
        </w:rPr>
        <w:t>’</w:t>
      </w:r>
      <w:r w:rsidR="00607B78" w:rsidRPr="009C2953">
        <w:rPr>
          <w:color w:val="000000"/>
        </w:rPr>
        <w:t>appui technique dédié,</w:t>
      </w:r>
      <w:r w:rsidR="00D24DC1" w:rsidRPr="009C2953">
        <w:rPr>
          <w:color w:val="000000"/>
        </w:rPr>
        <w:t xml:space="preserve"> des </w:t>
      </w:r>
      <w:r w:rsidR="00607B78" w:rsidRPr="009C2953">
        <w:rPr>
          <w:color w:val="000000"/>
        </w:rPr>
        <w:t>orientations pour</w:t>
      </w:r>
      <w:r w:rsidR="00F34644" w:rsidRPr="009C2953">
        <w:rPr>
          <w:color w:val="000000"/>
        </w:rPr>
        <w:t xml:space="preserve"> la </w:t>
      </w:r>
      <w:r w:rsidR="00607B78" w:rsidRPr="009C2953">
        <w:rPr>
          <w:color w:val="000000"/>
        </w:rPr>
        <w:t>fourniture d</w:t>
      </w:r>
      <w:r w:rsidR="00EA2966" w:rsidRPr="009C2953">
        <w:rPr>
          <w:color w:val="000000"/>
        </w:rPr>
        <w:t>’</w:t>
      </w:r>
      <w:r w:rsidR="00607B78" w:rsidRPr="009C2953">
        <w:rPr>
          <w:color w:val="000000"/>
        </w:rPr>
        <w:t xml:space="preserve">un appui. </w:t>
      </w:r>
    </w:p>
    <w:p w14:paraId="0227418D" w14:textId="6B375299" w:rsidR="00607B78" w:rsidRPr="009C2953" w:rsidRDefault="00446EE6" w:rsidP="00C34592">
      <w:pPr>
        <w:pStyle w:val="NormalNonumber"/>
        <w:tabs>
          <w:tab w:val="clear" w:pos="1247"/>
          <w:tab w:val="clear" w:pos="1871"/>
          <w:tab w:val="clear" w:pos="2495"/>
          <w:tab w:val="clear" w:pos="3119"/>
          <w:tab w:val="clear" w:pos="3742"/>
          <w:tab w:val="clear" w:pos="4366"/>
          <w:tab w:val="left" w:pos="1848"/>
        </w:tabs>
        <w:rPr>
          <w:color w:val="000000"/>
        </w:rPr>
      </w:pPr>
      <w:r w:rsidRPr="009C2953">
        <w:t>3.</w:t>
      </w:r>
      <w:r w:rsidRPr="009C2953">
        <w:tab/>
      </w:r>
      <w:r w:rsidR="00607B78" w:rsidRPr="009C2953">
        <w:t>Le Groupe d</w:t>
      </w:r>
      <w:r w:rsidR="00EA2966" w:rsidRPr="009C2953">
        <w:t>’</w:t>
      </w:r>
      <w:r w:rsidR="00607B78" w:rsidRPr="009C2953">
        <w:t>experts multidisciplinaire et</w:t>
      </w:r>
      <w:r w:rsidR="00F34644" w:rsidRPr="009C2953">
        <w:t xml:space="preserve"> le </w:t>
      </w:r>
      <w:r w:rsidR="00607B78" w:rsidRPr="009C2953">
        <w:t>Bureau assure</w:t>
      </w:r>
      <w:r w:rsidR="004739A2" w:rsidRPr="009C2953">
        <w:t>ro</w:t>
      </w:r>
      <w:r w:rsidR="00607B78" w:rsidRPr="009C2953">
        <w:t>nt</w:t>
      </w:r>
      <w:r w:rsidR="00F34644" w:rsidRPr="009C2953">
        <w:t xml:space="preserve"> la </w:t>
      </w:r>
      <w:r w:rsidR="00607B78" w:rsidRPr="009C2953">
        <w:t>coordination</w:t>
      </w:r>
      <w:r w:rsidR="00D24DC1" w:rsidRPr="009C2953">
        <w:t xml:space="preserve"> des </w:t>
      </w:r>
      <w:r w:rsidR="00607B78" w:rsidRPr="009C2953">
        <w:t>activités et</w:t>
      </w:r>
      <w:r w:rsidRPr="009C2953">
        <w:t> </w:t>
      </w:r>
      <w:r w:rsidR="00D24DC1" w:rsidRPr="009C2953">
        <w:t>des </w:t>
      </w:r>
      <w:r w:rsidR="00607B78" w:rsidRPr="009C2953">
        <w:t>synergies entre toutes</w:t>
      </w:r>
      <w:r w:rsidR="00F34644" w:rsidRPr="009C2953">
        <w:t xml:space="preserve"> les </w:t>
      </w:r>
      <w:r w:rsidR="00607B78" w:rsidRPr="009C2953">
        <w:t>équipes spéciales et tous</w:t>
      </w:r>
      <w:r w:rsidR="00F34644" w:rsidRPr="009C2953">
        <w:t xml:space="preserve"> les </w:t>
      </w:r>
      <w:r w:rsidR="00607B78" w:rsidRPr="009C2953">
        <w:t>groupes d</w:t>
      </w:r>
      <w:r w:rsidR="00EA2966" w:rsidRPr="009C2953">
        <w:t>’</w:t>
      </w:r>
      <w:r w:rsidR="00607B78" w:rsidRPr="009C2953">
        <w:t>expert(e)s de l</w:t>
      </w:r>
      <w:r w:rsidR="00EA2966" w:rsidRPr="009C2953">
        <w:t>’</w:t>
      </w:r>
      <w:r w:rsidR="00607B78" w:rsidRPr="009C2953">
        <w:t>IPBES.</w:t>
      </w:r>
    </w:p>
    <w:p w14:paraId="370A7718" w14:textId="77777777" w:rsidR="00607B78" w:rsidRPr="009C2953" w:rsidRDefault="00607B78" w:rsidP="00607B78">
      <w:pPr>
        <w:pStyle w:val="CH1"/>
      </w:pPr>
      <w:r w:rsidRPr="009C2953">
        <w:tab/>
        <w:t>II.</w:t>
      </w:r>
      <w:r w:rsidRPr="009C2953">
        <w:tab/>
        <w:t>Composition</w:t>
      </w:r>
    </w:p>
    <w:p w14:paraId="2787A864" w14:textId="4C9CD7E6" w:rsidR="00607B78" w:rsidRPr="009C2953" w:rsidRDefault="001C69E2" w:rsidP="00755B2E">
      <w:pPr>
        <w:pStyle w:val="NormalNonumber"/>
        <w:rPr>
          <w:color w:val="000000"/>
        </w:rPr>
      </w:pPr>
      <w:r w:rsidRPr="009C2953">
        <w:t>4.</w:t>
      </w:r>
      <w:r w:rsidRPr="009C2953">
        <w:tab/>
      </w:r>
      <w:r w:rsidR="00607B78" w:rsidRPr="009C2953">
        <w:t>L</w:t>
      </w:r>
      <w:r w:rsidR="00EA2966" w:rsidRPr="009C2953">
        <w:t>’</w:t>
      </w:r>
      <w:r w:rsidR="00607B78" w:rsidRPr="009C2953">
        <w:t>équipe spéciale comprend</w:t>
      </w:r>
      <w:r w:rsidR="004739A2" w:rsidRPr="009C2953">
        <w:t>ra</w:t>
      </w:r>
      <w:r w:rsidR="00607B78" w:rsidRPr="009C2953">
        <w:t xml:space="preserve"> jusqu</w:t>
      </w:r>
      <w:r w:rsidR="00EA2966" w:rsidRPr="009C2953">
        <w:t>’</w:t>
      </w:r>
      <w:r w:rsidR="00607B78" w:rsidRPr="009C2953">
        <w:t>à 18 membres issus</w:t>
      </w:r>
      <w:r w:rsidR="00D24DC1" w:rsidRPr="009C2953">
        <w:t xml:space="preserve"> des </w:t>
      </w:r>
      <w:r w:rsidR="00607B78" w:rsidRPr="009C2953">
        <w:t>cinq régions de l</w:t>
      </w:r>
      <w:r w:rsidR="00EA2966" w:rsidRPr="009C2953">
        <w:t>’</w:t>
      </w:r>
      <w:r w:rsidR="00607B78" w:rsidRPr="009C2953">
        <w:t>ONU, dont</w:t>
      </w:r>
      <w:r w:rsidR="0000082A" w:rsidRPr="009C2953">
        <w:t> </w:t>
      </w:r>
      <w:r w:rsidR="00607B78" w:rsidRPr="009C2953">
        <w:t>jusqu</w:t>
      </w:r>
      <w:r w:rsidR="00EA2966" w:rsidRPr="009C2953">
        <w:t>’</w:t>
      </w:r>
      <w:r w:rsidR="00607B78" w:rsidRPr="009C2953">
        <w:t>à trois membres du Bureau et du Groupe d</w:t>
      </w:r>
      <w:r w:rsidR="00EA2966" w:rsidRPr="009C2953">
        <w:t>’</w:t>
      </w:r>
      <w:r w:rsidR="00607B78" w:rsidRPr="009C2953">
        <w:t>experts multidisciplinaire,</w:t>
      </w:r>
      <w:r w:rsidR="00F34644" w:rsidRPr="009C2953">
        <w:t xml:space="preserve"> les </w:t>
      </w:r>
      <w:r w:rsidR="00607B78" w:rsidRPr="009C2953">
        <w:t>autres membres étant</w:t>
      </w:r>
      <w:r w:rsidR="00D24DC1" w:rsidRPr="009C2953">
        <w:t xml:space="preserve"> des </w:t>
      </w:r>
      <w:r w:rsidR="00607B78" w:rsidRPr="009C2953">
        <w:t>expert(e)s en scénarios et modèles issu(e)s du domaine</w:t>
      </w:r>
      <w:r w:rsidR="00D24DC1" w:rsidRPr="009C2953">
        <w:t xml:space="preserve"> des </w:t>
      </w:r>
      <w:r w:rsidR="00607B78" w:rsidRPr="009C2953">
        <w:t>sciences naturelles,</w:t>
      </w:r>
      <w:r w:rsidR="00D24DC1" w:rsidRPr="009C2953">
        <w:t xml:space="preserve"> des </w:t>
      </w:r>
      <w:r w:rsidR="00607B78" w:rsidRPr="009C2953">
        <w:t>sciences sociales,</w:t>
      </w:r>
      <w:r w:rsidR="00D24DC1" w:rsidRPr="009C2953">
        <w:t xml:space="preserve"> des </w:t>
      </w:r>
      <w:r w:rsidR="00607B78" w:rsidRPr="009C2953">
        <w:t>sciences humaines et</w:t>
      </w:r>
      <w:r w:rsidR="00D24DC1" w:rsidRPr="009C2953">
        <w:t xml:space="preserve"> des </w:t>
      </w:r>
      <w:r w:rsidR="00607B78" w:rsidRPr="009C2953">
        <w:t>systèmes de savoirs autochtones et locaux</w:t>
      </w:r>
      <w:r w:rsidR="00607B78" w:rsidRPr="009C2953">
        <w:rPr>
          <w:color w:val="000000"/>
          <w:vertAlign w:val="superscript"/>
        </w:rPr>
        <w:footnoteReference w:id="53"/>
      </w:r>
      <w:r w:rsidR="00607B78" w:rsidRPr="009C2953">
        <w:t>, ainsi que</w:t>
      </w:r>
      <w:r w:rsidR="00D24DC1" w:rsidRPr="009C2953">
        <w:t xml:space="preserve"> des </w:t>
      </w:r>
      <w:r w:rsidR="00607B78" w:rsidRPr="009C2953">
        <w:t>expert(e)s en approches quantitatives et qualitatives</w:t>
      </w:r>
      <w:r w:rsidR="00D24DC1" w:rsidRPr="009C2953">
        <w:t xml:space="preserve"> des </w:t>
      </w:r>
      <w:r w:rsidR="00607B78" w:rsidRPr="009C2953">
        <w:t>scénarios.</w:t>
      </w:r>
      <w:r w:rsidR="00607B78" w:rsidRPr="009C2953">
        <w:rPr>
          <w:color w:val="000000"/>
        </w:rPr>
        <w:t xml:space="preserve"> L</w:t>
      </w:r>
      <w:r w:rsidR="00EA2966" w:rsidRPr="009C2953">
        <w:rPr>
          <w:color w:val="000000"/>
        </w:rPr>
        <w:t>’</w:t>
      </w:r>
      <w:r w:rsidR="00607B78" w:rsidRPr="009C2953">
        <w:rPr>
          <w:color w:val="000000"/>
        </w:rPr>
        <w:t>équipe spéciale mobilise</w:t>
      </w:r>
      <w:r w:rsidR="004739A2" w:rsidRPr="009C2953">
        <w:rPr>
          <w:color w:val="000000"/>
        </w:rPr>
        <w:t>ra</w:t>
      </w:r>
      <w:r w:rsidR="00F34644" w:rsidRPr="009C2953">
        <w:rPr>
          <w:color w:val="000000"/>
        </w:rPr>
        <w:t xml:space="preserve"> un </w:t>
      </w:r>
      <w:r w:rsidR="00607B78" w:rsidRPr="009C2953">
        <w:rPr>
          <w:color w:val="000000"/>
        </w:rPr>
        <w:t>large éventail de compétences afin d</w:t>
      </w:r>
      <w:r w:rsidR="00EA2966" w:rsidRPr="009C2953">
        <w:rPr>
          <w:color w:val="000000"/>
        </w:rPr>
        <w:t>’</w:t>
      </w:r>
      <w:r w:rsidR="00607B78" w:rsidRPr="009C2953">
        <w:rPr>
          <w:color w:val="000000"/>
        </w:rPr>
        <w:t>assurer</w:t>
      </w:r>
      <w:r w:rsidR="00F34644" w:rsidRPr="009C2953">
        <w:rPr>
          <w:color w:val="000000"/>
        </w:rPr>
        <w:t xml:space="preserve"> un </w:t>
      </w:r>
      <w:r w:rsidR="00607B78" w:rsidRPr="009C2953">
        <w:rPr>
          <w:color w:val="000000"/>
        </w:rPr>
        <w:t>dialogue efficace avec</w:t>
      </w:r>
      <w:r w:rsidR="00F34644" w:rsidRPr="009C2953">
        <w:rPr>
          <w:color w:val="000000"/>
        </w:rPr>
        <w:t xml:space="preserve"> les </w:t>
      </w:r>
      <w:r w:rsidR="00607B78" w:rsidRPr="009C2953">
        <w:rPr>
          <w:color w:val="000000"/>
        </w:rPr>
        <w:t>communautés de pratique sur</w:t>
      </w:r>
      <w:r w:rsidR="00F34644" w:rsidRPr="009C2953">
        <w:rPr>
          <w:color w:val="000000"/>
        </w:rPr>
        <w:t xml:space="preserve"> les </w:t>
      </w:r>
      <w:r w:rsidR="00607B78" w:rsidRPr="009C2953">
        <w:rPr>
          <w:color w:val="000000"/>
        </w:rPr>
        <w:t>scénarios et modèles et autres études prospectives.</w:t>
      </w:r>
    </w:p>
    <w:p w14:paraId="1A53D88D" w14:textId="3A6C2729" w:rsidR="00607B78" w:rsidRPr="009C2953" w:rsidRDefault="001C69E2" w:rsidP="00C34592">
      <w:pPr>
        <w:pStyle w:val="NormalNonumber"/>
        <w:tabs>
          <w:tab w:val="clear" w:pos="1247"/>
          <w:tab w:val="clear" w:pos="1871"/>
          <w:tab w:val="clear" w:pos="2495"/>
          <w:tab w:val="clear" w:pos="3119"/>
          <w:tab w:val="clear" w:pos="3742"/>
          <w:tab w:val="clear" w:pos="4366"/>
          <w:tab w:val="left" w:pos="1843"/>
        </w:tabs>
      </w:pPr>
      <w:r w:rsidRPr="009C2953">
        <w:t>5.</w:t>
      </w:r>
      <w:r w:rsidRPr="009C2953">
        <w:tab/>
      </w:r>
      <w:r w:rsidR="00607B78" w:rsidRPr="009C2953">
        <w:t>Les membres autres que ceux du Bureau et du Groupe d</w:t>
      </w:r>
      <w:r w:rsidR="00EA2966" w:rsidRPr="009C2953">
        <w:t>’</w:t>
      </w:r>
      <w:r w:rsidR="00607B78" w:rsidRPr="009C2953">
        <w:t>experts multidisciplinaire s</w:t>
      </w:r>
      <w:r w:rsidR="004739A2" w:rsidRPr="009C2953">
        <w:t>er</w:t>
      </w:r>
      <w:r w:rsidR="00607B78" w:rsidRPr="009C2953">
        <w:t>ont sélectionné(e)s conformément au processus de sélection décrit dans</w:t>
      </w:r>
      <w:r w:rsidR="00F34644" w:rsidRPr="009C2953">
        <w:t xml:space="preserve"> les </w:t>
      </w:r>
      <w:r w:rsidR="00607B78" w:rsidRPr="009C2953">
        <w:t>procédures d</w:t>
      </w:r>
      <w:r w:rsidR="00EA2966" w:rsidRPr="009C2953">
        <w:t>’</w:t>
      </w:r>
      <w:r w:rsidR="00607B78" w:rsidRPr="009C2953">
        <w:t>établissement</w:t>
      </w:r>
      <w:r w:rsidR="00D24DC1" w:rsidRPr="009C2953">
        <w:t xml:space="preserve"> des </w:t>
      </w:r>
      <w:r w:rsidR="00607B78" w:rsidRPr="009C2953">
        <w:t>produits de</w:t>
      </w:r>
      <w:r w:rsidR="00F34644" w:rsidRPr="009C2953">
        <w:t xml:space="preserve"> la </w:t>
      </w:r>
      <w:r w:rsidR="00607B78" w:rsidRPr="009C2953">
        <w:t>Plateforme</w:t>
      </w:r>
      <w:r w:rsidR="00607B78" w:rsidRPr="009C2953">
        <w:rPr>
          <w:vertAlign w:val="superscript"/>
        </w:rPr>
        <w:footnoteReference w:id="54"/>
      </w:r>
      <w:r w:rsidR="00607B78" w:rsidRPr="009C2953">
        <w:t>. Leur mandat expirera à</w:t>
      </w:r>
      <w:r w:rsidR="00F34644" w:rsidRPr="009C2953">
        <w:t xml:space="preserve"> la </w:t>
      </w:r>
      <w:r w:rsidR="00607B78" w:rsidRPr="009C2953">
        <w:t>clôture de</w:t>
      </w:r>
      <w:r w:rsidR="00F34644" w:rsidRPr="009C2953">
        <w:t xml:space="preserve"> la </w:t>
      </w:r>
      <w:r w:rsidR="00607B78" w:rsidRPr="009C2953">
        <w:t>troisième session de</w:t>
      </w:r>
      <w:r w:rsidR="00F34644" w:rsidRPr="009C2953">
        <w:t xml:space="preserve"> la </w:t>
      </w:r>
      <w:r w:rsidR="00607B78" w:rsidRPr="009C2953">
        <w:t>Plénière suivant</w:t>
      </w:r>
      <w:r w:rsidR="00F34644" w:rsidRPr="009C2953">
        <w:t xml:space="preserve"> leur </w:t>
      </w:r>
      <w:r w:rsidR="00607B78" w:rsidRPr="009C2953">
        <w:t>sélection, avec possibilité de réélection.</w:t>
      </w:r>
      <w:r w:rsidR="00F34644" w:rsidRPr="009C2953">
        <w:t xml:space="preserve"> La </w:t>
      </w:r>
      <w:r w:rsidR="00607B78" w:rsidRPr="009C2953">
        <w:t>sélection</w:t>
      </w:r>
      <w:r w:rsidR="00D24DC1" w:rsidRPr="009C2953">
        <w:t xml:space="preserve"> des </w:t>
      </w:r>
      <w:r w:rsidR="00607B78" w:rsidRPr="009C2953">
        <w:t>membres doit tenir compte de</w:t>
      </w:r>
      <w:r w:rsidR="00603A5E" w:rsidRPr="009C2953">
        <w:t xml:space="preserve"> </w:t>
      </w:r>
      <w:r w:rsidR="00F34644" w:rsidRPr="009C2953">
        <w:t>la </w:t>
      </w:r>
      <w:r w:rsidR="00607B78" w:rsidRPr="009C2953">
        <w:t>nécessité d</w:t>
      </w:r>
      <w:r w:rsidR="00EA2966" w:rsidRPr="009C2953">
        <w:t>’</w:t>
      </w:r>
      <w:r w:rsidR="00607B78" w:rsidRPr="009C2953">
        <w:t>assurer</w:t>
      </w:r>
      <w:r w:rsidR="00F34644" w:rsidRPr="009C2953">
        <w:t xml:space="preserve"> la </w:t>
      </w:r>
      <w:r w:rsidR="00607B78" w:rsidRPr="009C2953">
        <w:t>continuité</w:t>
      </w:r>
      <w:r w:rsidR="00D24DC1" w:rsidRPr="009C2953">
        <w:t xml:space="preserve"> des </w:t>
      </w:r>
      <w:r w:rsidR="00607B78" w:rsidRPr="009C2953">
        <w:t>travaux de l</w:t>
      </w:r>
      <w:r w:rsidR="00EA2966" w:rsidRPr="009C2953">
        <w:t>’</w:t>
      </w:r>
      <w:r w:rsidR="00607B78" w:rsidRPr="009C2953">
        <w:t>équipe spéciale.</w:t>
      </w:r>
    </w:p>
    <w:p w14:paraId="1DA752FF" w14:textId="46D365D4" w:rsidR="00607B78" w:rsidRPr="009C2953" w:rsidRDefault="001C69E2" w:rsidP="00C34592">
      <w:pPr>
        <w:pStyle w:val="NormalNonumber"/>
        <w:tabs>
          <w:tab w:val="clear" w:pos="1247"/>
          <w:tab w:val="clear" w:pos="1871"/>
          <w:tab w:val="clear" w:pos="2495"/>
          <w:tab w:val="clear" w:pos="3119"/>
          <w:tab w:val="clear" w:pos="3742"/>
          <w:tab w:val="clear" w:pos="4366"/>
          <w:tab w:val="left" w:pos="1843"/>
        </w:tabs>
        <w:rPr>
          <w:color w:val="000000"/>
        </w:rPr>
      </w:pPr>
      <w:r w:rsidRPr="009C2953">
        <w:t>6.</w:t>
      </w:r>
      <w:r w:rsidRPr="009C2953">
        <w:tab/>
      </w:r>
      <w:r w:rsidR="00607B78" w:rsidRPr="009C2953">
        <w:t>À</w:t>
      </w:r>
      <w:r w:rsidR="00F34644" w:rsidRPr="009C2953">
        <w:t xml:space="preserve"> la </w:t>
      </w:r>
      <w:r w:rsidR="00607B78" w:rsidRPr="009C2953">
        <w:t>discrétion de</w:t>
      </w:r>
      <w:r w:rsidR="00F34644" w:rsidRPr="009C2953">
        <w:t xml:space="preserve"> la </w:t>
      </w:r>
      <w:r w:rsidR="00607B78" w:rsidRPr="009C2953">
        <w:t>coprésidence de l</w:t>
      </w:r>
      <w:r w:rsidR="00EA2966" w:rsidRPr="009C2953">
        <w:t>’</w:t>
      </w:r>
      <w:r w:rsidR="00607B78" w:rsidRPr="009C2953">
        <w:t>équipe spéciale et après consultation du Bureau,</w:t>
      </w:r>
      <w:r w:rsidR="00F34644" w:rsidRPr="009C2953">
        <w:t xml:space="preserve"> un </w:t>
      </w:r>
      <w:r w:rsidR="00607B78" w:rsidRPr="009C2953">
        <w:t>nombre limité d</w:t>
      </w:r>
      <w:r w:rsidR="00EA2966" w:rsidRPr="009C2953">
        <w:t>’</w:t>
      </w:r>
      <w:r w:rsidR="00607B78" w:rsidRPr="009C2953">
        <w:t>expert(e)s supplémentaires en scénarios et modèles et de représentant(e)s d</w:t>
      </w:r>
      <w:r w:rsidR="00EA2966" w:rsidRPr="009C2953">
        <w:t>’</w:t>
      </w:r>
      <w:r w:rsidR="00607B78" w:rsidRPr="009C2953">
        <w:t>organisations autochtones et locales p</w:t>
      </w:r>
      <w:r w:rsidR="004739A2" w:rsidRPr="009C2953">
        <w:t>ourront</w:t>
      </w:r>
      <w:r w:rsidR="00607B78" w:rsidRPr="009C2953">
        <w:t xml:space="preserve"> également être invité(e)s à participer à l</w:t>
      </w:r>
      <w:r w:rsidR="00EA2966" w:rsidRPr="009C2953">
        <w:t>’</w:t>
      </w:r>
      <w:r w:rsidR="00607B78" w:rsidRPr="009C2953">
        <w:t>équipe spéciale en qualité de personnes-ressources.</w:t>
      </w:r>
    </w:p>
    <w:p w14:paraId="3727B5D6" w14:textId="77777777" w:rsidR="00607B78" w:rsidRPr="009C2953" w:rsidRDefault="00607B78" w:rsidP="00607B78">
      <w:pPr>
        <w:pStyle w:val="CH1"/>
      </w:pPr>
      <w:r w:rsidRPr="009C2953">
        <w:lastRenderedPageBreak/>
        <w:tab/>
        <w:t>III.</w:t>
      </w:r>
      <w:r w:rsidRPr="009C2953">
        <w:tab/>
        <w:t>Mode de fonctionnement</w:t>
      </w:r>
    </w:p>
    <w:p w14:paraId="0977AB3C" w14:textId="0E84EA5D" w:rsidR="00607B78" w:rsidRPr="009C2953" w:rsidRDefault="000D76B1" w:rsidP="00F57452">
      <w:pPr>
        <w:pStyle w:val="NormalNonumber"/>
        <w:tabs>
          <w:tab w:val="clear" w:pos="1247"/>
          <w:tab w:val="clear" w:pos="1871"/>
          <w:tab w:val="clear" w:pos="2495"/>
          <w:tab w:val="clear" w:pos="3119"/>
          <w:tab w:val="clear" w:pos="3742"/>
          <w:tab w:val="clear" w:pos="4366"/>
          <w:tab w:val="left" w:pos="1985"/>
        </w:tabs>
      </w:pPr>
      <w:r w:rsidRPr="009C2953">
        <w:rPr>
          <w:color w:val="000000"/>
        </w:rPr>
        <w:t>7.</w:t>
      </w:r>
      <w:r w:rsidRPr="009C2953">
        <w:rPr>
          <w:color w:val="000000"/>
        </w:rPr>
        <w:tab/>
      </w:r>
      <w:r w:rsidR="00607B78" w:rsidRPr="009C2953">
        <w:rPr>
          <w:color w:val="000000"/>
        </w:rPr>
        <w:t>L</w:t>
      </w:r>
      <w:r w:rsidR="00EA2966" w:rsidRPr="009C2953">
        <w:rPr>
          <w:color w:val="000000"/>
        </w:rPr>
        <w:t>’</w:t>
      </w:r>
      <w:r w:rsidR="00607B78" w:rsidRPr="009C2953">
        <w:rPr>
          <w:color w:val="000000"/>
        </w:rPr>
        <w:t xml:space="preserve">équipe spéciale </w:t>
      </w:r>
      <w:r w:rsidR="004739A2" w:rsidRPr="009C2953">
        <w:rPr>
          <w:color w:val="000000"/>
        </w:rPr>
        <w:t>sera</w:t>
      </w:r>
      <w:r w:rsidR="00607B78" w:rsidRPr="009C2953">
        <w:rPr>
          <w:color w:val="000000"/>
        </w:rPr>
        <w:t xml:space="preserve"> coprésidée par</w:t>
      </w:r>
      <w:r w:rsidR="00D24DC1" w:rsidRPr="009C2953">
        <w:rPr>
          <w:color w:val="000000"/>
        </w:rPr>
        <w:t xml:space="preserve"> des </w:t>
      </w:r>
      <w:r w:rsidR="00607B78" w:rsidRPr="009C2953">
        <w:rPr>
          <w:color w:val="000000"/>
        </w:rPr>
        <w:t>membres du Groupe d</w:t>
      </w:r>
      <w:r w:rsidR="00EA2966" w:rsidRPr="009C2953">
        <w:rPr>
          <w:color w:val="000000"/>
        </w:rPr>
        <w:t>’</w:t>
      </w:r>
      <w:r w:rsidR="00607B78" w:rsidRPr="009C2953">
        <w:rPr>
          <w:color w:val="000000"/>
        </w:rPr>
        <w:t xml:space="preserve">experts multidisciplinaire. </w:t>
      </w:r>
      <w:r w:rsidR="00607B78" w:rsidRPr="009C2953">
        <w:t>Elle travaille</w:t>
      </w:r>
      <w:r w:rsidR="004739A2" w:rsidRPr="009C2953">
        <w:t>ra</w:t>
      </w:r>
      <w:r w:rsidR="00607B78" w:rsidRPr="009C2953">
        <w:t xml:space="preserve"> dans</w:t>
      </w:r>
      <w:r w:rsidR="00F34644" w:rsidRPr="009C2953">
        <w:t xml:space="preserve"> le </w:t>
      </w:r>
      <w:r w:rsidR="00607B78" w:rsidRPr="009C2953">
        <w:t>cadre de réunions en présentiel, de réunions en ligne et d</w:t>
      </w:r>
      <w:r w:rsidR="00EA2966" w:rsidRPr="009C2953">
        <w:t>’</w:t>
      </w:r>
      <w:r w:rsidR="00607B78" w:rsidRPr="009C2953">
        <w:t>autres interactions par</w:t>
      </w:r>
      <w:r w:rsidR="0000082A" w:rsidRPr="009C2953">
        <w:t> </w:t>
      </w:r>
      <w:r w:rsidR="00607B78" w:rsidRPr="009C2953">
        <w:t>voie électronique.</w:t>
      </w:r>
      <w:r w:rsidR="00F34644" w:rsidRPr="009C2953">
        <w:rPr>
          <w:color w:val="000000"/>
        </w:rPr>
        <w:t xml:space="preserve"> Les </w:t>
      </w:r>
      <w:r w:rsidR="00607B78" w:rsidRPr="009C2953">
        <w:rPr>
          <w:color w:val="000000"/>
        </w:rPr>
        <w:t>produits de l</w:t>
      </w:r>
      <w:r w:rsidR="00EA2966" w:rsidRPr="009C2953">
        <w:rPr>
          <w:color w:val="000000"/>
        </w:rPr>
        <w:t>’</w:t>
      </w:r>
      <w:r w:rsidR="00607B78" w:rsidRPr="009C2953">
        <w:rPr>
          <w:color w:val="000000"/>
        </w:rPr>
        <w:t>équipe spéciale s</w:t>
      </w:r>
      <w:r w:rsidR="004739A2" w:rsidRPr="009C2953">
        <w:rPr>
          <w:color w:val="000000"/>
        </w:rPr>
        <w:t>er</w:t>
      </w:r>
      <w:r w:rsidR="00607B78" w:rsidRPr="009C2953">
        <w:rPr>
          <w:color w:val="000000"/>
        </w:rPr>
        <w:t>ont revus par</w:t>
      </w:r>
      <w:r w:rsidR="00F34644" w:rsidRPr="009C2953">
        <w:rPr>
          <w:color w:val="000000"/>
        </w:rPr>
        <w:t xml:space="preserve"> le </w:t>
      </w:r>
      <w:r w:rsidR="00607B78" w:rsidRPr="009C2953">
        <w:rPr>
          <w:color w:val="000000"/>
        </w:rPr>
        <w:t>Bureau et par</w:t>
      </w:r>
      <w:r w:rsidR="00F34644" w:rsidRPr="009C2953">
        <w:rPr>
          <w:color w:val="000000"/>
        </w:rPr>
        <w:t xml:space="preserve"> le </w:t>
      </w:r>
      <w:r w:rsidR="00607B78" w:rsidRPr="009C2953">
        <w:rPr>
          <w:color w:val="000000"/>
        </w:rPr>
        <w:t>Groupe d</w:t>
      </w:r>
      <w:r w:rsidR="00EA2966" w:rsidRPr="009C2953">
        <w:rPr>
          <w:color w:val="000000"/>
        </w:rPr>
        <w:t>’</w:t>
      </w:r>
      <w:r w:rsidR="00607B78" w:rsidRPr="009C2953">
        <w:rPr>
          <w:color w:val="000000"/>
        </w:rPr>
        <w:t>experts multidisciplinaire et transmis à</w:t>
      </w:r>
      <w:r w:rsidR="00F34644" w:rsidRPr="009C2953">
        <w:rPr>
          <w:color w:val="000000"/>
        </w:rPr>
        <w:t xml:space="preserve"> la </w:t>
      </w:r>
      <w:r w:rsidR="00607B78" w:rsidRPr="009C2953">
        <w:rPr>
          <w:color w:val="000000"/>
        </w:rPr>
        <w:t>Plénière pour information et examen, selon qu</w:t>
      </w:r>
      <w:r w:rsidR="00EA2966" w:rsidRPr="009C2953">
        <w:rPr>
          <w:color w:val="000000"/>
        </w:rPr>
        <w:t>’</w:t>
      </w:r>
      <w:r w:rsidR="00607B78" w:rsidRPr="009C2953">
        <w:rPr>
          <w:color w:val="000000"/>
        </w:rPr>
        <w:t>il</w:t>
      </w:r>
      <w:r w:rsidR="0000082A" w:rsidRPr="009C2953">
        <w:rPr>
          <w:color w:val="000000"/>
        </w:rPr>
        <w:t> </w:t>
      </w:r>
      <w:r w:rsidR="00607B78" w:rsidRPr="009C2953">
        <w:rPr>
          <w:color w:val="000000"/>
        </w:rPr>
        <w:t>convien</w:t>
      </w:r>
      <w:r w:rsidR="004739A2" w:rsidRPr="009C2953">
        <w:rPr>
          <w:color w:val="000000"/>
        </w:rPr>
        <w:t>dra</w:t>
      </w:r>
      <w:r w:rsidR="00607B78" w:rsidRPr="009C2953">
        <w:rPr>
          <w:color w:val="000000"/>
        </w:rPr>
        <w:t xml:space="preserve">. </w:t>
      </w:r>
      <w:r w:rsidR="00607B78" w:rsidRPr="009C2953">
        <w:t>L</w:t>
      </w:r>
      <w:r w:rsidR="00EA2966" w:rsidRPr="009C2953">
        <w:t>’</w:t>
      </w:r>
      <w:r w:rsidR="00607B78" w:rsidRPr="009C2953">
        <w:t>équipe spéciale, sous</w:t>
      </w:r>
      <w:r w:rsidR="00F34644" w:rsidRPr="009C2953">
        <w:t xml:space="preserve"> la </w:t>
      </w:r>
      <w:r w:rsidR="00607B78" w:rsidRPr="009C2953">
        <w:t>direction du Bureau, encourage</w:t>
      </w:r>
      <w:r w:rsidR="004739A2" w:rsidRPr="009C2953">
        <w:t>ra</w:t>
      </w:r>
      <w:r w:rsidR="00F34644" w:rsidRPr="009C2953">
        <w:t xml:space="preserve"> la </w:t>
      </w:r>
      <w:r w:rsidR="00607B78" w:rsidRPr="009C2953">
        <w:t>collaboration avec</w:t>
      </w:r>
      <w:r w:rsidR="00F34644" w:rsidRPr="009C2953">
        <w:t xml:space="preserve"> les </w:t>
      </w:r>
      <w:r w:rsidR="00607B78" w:rsidRPr="009C2953">
        <w:t>partenaires stratégiques et</w:t>
      </w:r>
      <w:r w:rsidR="00F34644" w:rsidRPr="009C2953">
        <w:t xml:space="preserve"> le </w:t>
      </w:r>
      <w:r w:rsidR="00607B78" w:rsidRPr="009C2953">
        <w:t>dialogue avec</w:t>
      </w:r>
      <w:r w:rsidR="00F34644" w:rsidRPr="009C2953">
        <w:t xml:space="preserve"> les </w:t>
      </w:r>
      <w:r w:rsidR="00607B78" w:rsidRPr="009C2953">
        <w:t>partenaires appuyant l</w:t>
      </w:r>
      <w:r w:rsidR="00EA2966" w:rsidRPr="009C2953">
        <w:t>’</w:t>
      </w:r>
      <w:r w:rsidR="00607B78" w:rsidRPr="009C2953">
        <w:t>initiative qui développent et</w:t>
      </w:r>
      <w:r w:rsidR="0000082A" w:rsidRPr="009C2953">
        <w:t> </w:t>
      </w:r>
      <w:r w:rsidR="00607B78" w:rsidRPr="009C2953">
        <w:t>appliquent</w:t>
      </w:r>
      <w:r w:rsidR="00D24DC1" w:rsidRPr="009C2953">
        <w:t xml:space="preserve"> des </w:t>
      </w:r>
      <w:r w:rsidR="00607B78" w:rsidRPr="009C2953">
        <w:t>scénarios et</w:t>
      </w:r>
      <w:r w:rsidR="00D24DC1" w:rsidRPr="009C2953">
        <w:t xml:space="preserve"> des </w:t>
      </w:r>
      <w:r w:rsidR="00607B78" w:rsidRPr="009C2953">
        <w:t xml:space="preserve">modèles pertinents. </w:t>
      </w:r>
    </w:p>
    <w:p w14:paraId="4EF0E421" w14:textId="3E8479B5" w:rsidR="00607B78" w:rsidRPr="009C2953" w:rsidRDefault="000D76B1" w:rsidP="00F57452">
      <w:pPr>
        <w:pStyle w:val="NormalNonumber"/>
        <w:tabs>
          <w:tab w:val="clear" w:pos="1247"/>
          <w:tab w:val="clear" w:pos="1871"/>
          <w:tab w:val="clear" w:pos="2495"/>
          <w:tab w:val="clear" w:pos="3119"/>
          <w:tab w:val="clear" w:pos="3742"/>
          <w:tab w:val="clear" w:pos="4366"/>
          <w:tab w:val="left" w:pos="1985"/>
        </w:tabs>
        <w:rPr>
          <w:color w:val="000000"/>
        </w:rPr>
      </w:pPr>
      <w:r w:rsidRPr="009C2953">
        <w:t>8.</w:t>
      </w:r>
      <w:r w:rsidRPr="009C2953">
        <w:tab/>
      </w:r>
      <w:r w:rsidR="00607B78" w:rsidRPr="009C2953">
        <w:t>L</w:t>
      </w:r>
      <w:r w:rsidR="00EA2966" w:rsidRPr="009C2953">
        <w:t>’</w:t>
      </w:r>
      <w:r w:rsidR="00607B78" w:rsidRPr="009C2953">
        <w:t xml:space="preserve">équipe spéciale </w:t>
      </w:r>
      <w:r w:rsidR="004739A2" w:rsidRPr="009C2953">
        <w:t>sera</w:t>
      </w:r>
      <w:r w:rsidR="00607B78" w:rsidRPr="009C2953">
        <w:t xml:space="preserve"> secondée par</w:t>
      </w:r>
      <w:r w:rsidR="00F34644" w:rsidRPr="009C2953">
        <w:t xml:space="preserve"> le </w:t>
      </w:r>
      <w:r w:rsidR="00607B78" w:rsidRPr="009C2953">
        <w:t>secrétariat, qui comprend</w:t>
      </w:r>
      <w:r w:rsidR="00F34644" w:rsidRPr="009C2953">
        <w:t xml:space="preserve"> un </w:t>
      </w:r>
      <w:r w:rsidR="00607B78" w:rsidRPr="009C2953">
        <w:t>groupe d</w:t>
      </w:r>
      <w:r w:rsidR="00EA2966" w:rsidRPr="009C2953">
        <w:t>’</w:t>
      </w:r>
      <w:r w:rsidR="00607B78" w:rsidRPr="009C2953">
        <w:t>appui technique</w:t>
      </w:r>
      <w:r w:rsidR="00603A5E" w:rsidRPr="009C2953">
        <w:t> </w:t>
      </w:r>
      <w:r w:rsidR="00607B78" w:rsidRPr="009C2953">
        <w:t>dédié.</w:t>
      </w:r>
    </w:p>
    <w:p w14:paraId="03C95EDD"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5F4902B3" w14:textId="7F4CF154" w:rsidR="00607B78" w:rsidRPr="009C2953" w:rsidRDefault="00607B78" w:rsidP="00607B78">
      <w:pPr>
        <w:pStyle w:val="CH1"/>
      </w:pPr>
      <w:r w:rsidRPr="009C2953">
        <w:lastRenderedPageBreak/>
        <w:tab/>
      </w:r>
      <w:r w:rsidRPr="009C2953">
        <w:tab/>
        <w:t>Décision IPBES-10/2 : Organisation</w:t>
      </w:r>
      <w:r w:rsidR="00D24DC1" w:rsidRPr="009C2953">
        <w:t xml:space="preserve"> des </w:t>
      </w:r>
      <w:r w:rsidRPr="009C2953">
        <w:t>travaux de</w:t>
      </w:r>
      <w:r w:rsidR="00F34644" w:rsidRPr="009C2953">
        <w:t xml:space="preserve"> la </w:t>
      </w:r>
      <w:r w:rsidRPr="009C2953">
        <w:t>Plénière et</w:t>
      </w:r>
      <w:r w:rsidR="007A4705" w:rsidRPr="009C2953">
        <w:t> </w:t>
      </w:r>
      <w:r w:rsidRPr="009C2953">
        <w:t xml:space="preserve">date et lieu de ses futures sessions </w:t>
      </w:r>
    </w:p>
    <w:p w14:paraId="0EF972A2" w14:textId="72A12CCB" w:rsidR="00607B78" w:rsidRPr="009C2953" w:rsidRDefault="000D47E2" w:rsidP="000D47E2">
      <w:pPr>
        <w:pStyle w:val="NormalNonumber"/>
        <w:rPr>
          <w:i/>
        </w:rPr>
      </w:pPr>
      <w:bookmarkStart w:id="24" w:name="_Hlk138321264"/>
      <w:r w:rsidRPr="009C2953">
        <w:rPr>
          <w:i/>
        </w:rPr>
        <w:tab/>
      </w:r>
      <w:r w:rsidR="00607B78" w:rsidRPr="009C2953">
        <w:rPr>
          <w:i/>
        </w:rPr>
        <w:t>La Plénière,</w:t>
      </w:r>
    </w:p>
    <w:p w14:paraId="12AF7005" w14:textId="7552A173" w:rsidR="00607B78" w:rsidRPr="009C2953" w:rsidRDefault="009619F8" w:rsidP="009619F8">
      <w:pPr>
        <w:pStyle w:val="NormalNonumber"/>
      </w:pPr>
      <w:r w:rsidRPr="009C2953">
        <w:rPr>
          <w:iCs/>
        </w:rPr>
        <w:tab/>
        <w:t>1.</w:t>
      </w:r>
      <w:r w:rsidRPr="009C2953">
        <w:rPr>
          <w:iCs/>
        </w:rPr>
        <w:tab/>
      </w:r>
      <w:r w:rsidR="00607B78" w:rsidRPr="009C2953">
        <w:rPr>
          <w:i/>
        </w:rPr>
        <w:t>Décide</w:t>
      </w:r>
      <w:r w:rsidR="00607B78" w:rsidRPr="009C2953">
        <w:t xml:space="preserve"> d</w:t>
      </w:r>
      <w:r w:rsidR="00EA2966" w:rsidRPr="009C2953">
        <w:t>’</w:t>
      </w:r>
      <w:r w:rsidR="00607B78" w:rsidRPr="009C2953">
        <w:t>accepter avec gratitude l</w:t>
      </w:r>
      <w:r w:rsidR="00EA2966" w:rsidRPr="009C2953">
        <w:t>’</w:t>
      </w:r>
      <w:r w:rsidR="00607B78" w:rsidRPr="009C2953">
        <w:t>offre du Gouvernement namibien d</w:t>
      </w:r>
      <w:r w:rsidR="00EA2966" w:rsidRPr="009C2953">
        <w:t>’</w:t>
      </w:r>
      <w:r w:rsidR="00607B78" w:rsidRPr="009C2953">
        <w:t>accueillir</w:t>
      </w:r>
      <w:r w:rsidR="00F34644" w:rsidRPr="009C2953">
        <w:t xml:space="preserve"> sa </w:t>
      </w:r>
      <w:r w:rsidR="00607B78" w:rsidRPr="009C2953">
        <w:t xml:space="preserve">onzième session du 10 au 16 décembre </w:t>
      </w:r>
      <w:r w:rsidR="006125FF" w:rsidRPr="009C2953">
        <w:t xml:space="preserve">2024 </w:t>
      </w:r>
      <w:r w:rsidR="00607B78" w:rsidRPr="009C2953">
        <w:t>à Windhoek, sous réserve qu</w:t>
      </w:r>
      <w:r w:rsidR="00EA2966" w:rsidRPr="009C2953">
        <w:t>’</w:t>
      </w:r>
      <w:r w:rsidR="00607B78" w:rsidRPr="009C2953">
        <w:t>un accord soit conclu à</w:t>
      </w:r>
      <w:r w:rsidR="007A4705" w:rsidRPr="009C2953">
        <w:t> </w:t>
      </w:r>
      <w:r w:rsidR="00607B78" w:rsidRPr="009C2953">
        <w:t>cet effet avec</w:t>
      </w:r>
      <w:r w:rsidR="00F34644" w:rsidRPr="009C2953">
        <w:t xml:space="preserve"> le </w:t>
      </w:r>
      <w:r w:rsidR="00607B78" w:rsidRPr="009C2953">
        <w:t xml:space="preserve">pays hôte ; </w:t>
      </w:r>
    </w:p>
    <w:p w14:paraId="6F692803" w14:textId="191CAE83" w:rsidR="00607B78" w:rsidRPr="009C2953" w:rsidRDefault="009619F8" w:rsidP="009619F8">
      <w:pPr>
        <w:pStyle w:val="NormalNonumber"/>
        <w:rPr>
          <w:color w:val="000000"/>
        </w:rPr>
      </w:pPr>
      <w:r w:rsidRPr="009C2953">
        <w:rPr>
          <w:iCs/>
        </w:rPr>
        <w:tab/>
        <w:t>2.</w:t>
      </w:r>
      <w:r w:rsidRPr="009C2953">
        <w:rPr>
          <w:iCs/>
        </w:rPr>
        <w:tab/>
      </w:r>
      <w:r w:rsidR="00607B78" w:rsidRPr="009C2953">
        <w:rPr>
          <w:i/>
        </w:rPr>
        <w:t>Prie</w:t>
      </w:r>
      <w:r w:rsidR="00F34644" w:rsidRPr="009C2953">
        <w:t xml:space="preserve"> la </w:t>
      </w:r>
      <w:r w:rsidR="00607B78" w:rsidRPr="009C2953">
        <w:t>Secrétaire exécutive de conclure et de signer dès que possible</w:t>
      </w:r>
      <w:r w:rsidR="00F34644" w:rsidRPr="009C2953">
        <w:t xml:space="preserve"> un </w:t>
      </w:r>
      <w:r w:rsidR="00607B78" w:rsidRPr="009C2953">
        <w:t>accord avec</w:t>
      </w:r>
      <w:r w:rsidR="00F34644" w:rsidRPr="009C2953">
        <w:t xml:space="preserve"> le </w:t>
      </w:r>
      <w:r w:rsidR="00607B78" w:rsidRPr="009C2953">
        <w:t>pays hôte dans</w:t>
      </w:r>
      <w:r w:rsidR="00F34644" w:rsidRPr="009C2953">
        <w:t xml:space="preserve"> la </w:t>
      </w:r>
      <w:r w:rsidR="00607B78" w:rsidRPr="009C2953">
        <w:t>perspective de</w:t>
      </w:r>
      <w:r w:rsidR="00F34644" w:rsidRPr="009C2953">
        <w:t xml:space="preserve"> sa </w:t>
      </w:r>
      <w:r w:rsidR="00607B78" w:rsidRPr="009C2953">
        <w:t>onzième session avec</w:t>
      </w:r>
      <w:r w:rsidR="00F34644" w:rsidRPr="009C2953">
        <w:t xml:space="preserve"> le </w:t>
      </w:r>
      <w:r w:rsidR="00607B78" w:rsidRPr="009C2953">
        <w:t>Gouvernement namibien</w:t>
      </w:r>
      <w:r w:rsidR="006125FF" w:rsidRPr="009C2953">
        <w:t>,</w:t>
      </w:r>
      <w:r w:rsidR="00607B78" w:rsidRPr="009C2953">
        <w:t xml:space="preserve"> conformément à</w:t>
      </w:r>
      <w:r w:rsidR="00F34644" w:rsidRPr="009C2953">
        <w:t xml:space="preserve"> la </w:t>
      </w:r>
      <w:r w:rsidR="00607B78" w:rsidRPr="009C2953">
        <w:t>résolution 40/243 de l</w:t>
      </w:r>
      <w:r w:rsidR="00EA2966" w:rsidRPr="009C2953">
        <w:t>’</w:t>
      </w:r>
      <w:r w:rsidR="00607B78" w:rsidRPr="009C2953">
        <w:t>Assemblée générale, en date du 18 décembre 1985, et</w:t>
      </w:r>
      <w:r w:rsidR="00F34644" w:rsidRPr="009C2953">
        <w:t xml:space="preserve"> aux </w:t>
      </w:r>
      <w:r w:rsidR="00607B78" w:rsidRPr="009C2953">
        <w:t>dispositions de l</w:t>
      </w:r>
      <w:r w:rsidR="00EA2966" w:rsidRPr="009C2953">
        <w:t>’</w:t>
      </w:r>
      <w:r w:rsidR="00607B78" w:rsidRPr="009C2953">
        <w:t>instruction administrative ST/AI/342 sur</w:t>
      </w:r>
      <w:r w:rsidR="00F34644" w:rsidRPr="009C2953">
        <w:t xml:space="preserve"> les </w:t>
      </w:r>
      <w:r w:rsidR="00607B78" w:rsidRPr="009C2953">
        <w:t>directives pour</w:t>
      </w:r>
      <w:r w:rsidR="00F34644" w:rsidRPr="009C2953">
        <w:t xml:space="preserve"> la </w:t>
      </w:r>
      <w:r w:rsidR="00607B78" w:rsidRPr="009C2953">
        <w:t>rédaction</w:t>
      </w:r>
      <w:r w:rsidR="00D24DC1" w:rsidRPr="009C2953">
        <w:t xml:space="preserve"> des </w:t>
      </w:r>
      <w:r w:rsidR="00607B78" w:rsidRPr="009C2953">
        <w:t>accords à conclure avec</w:t>
      </w:r>
      <w:r w:rsidR="00F34644" w:rsidRPr="009C2953">
        <w:t xml:space="preserve"> un </w:t>
      </w:r>
      <w:r w:rsidR="00607B78" w:rsidRPr="009C2953">
        <w:t>gouvernement hôte au titre de</w:t>
      </w:r>
      <w:r w:rsidR="00F34644" w:rsidRPr="009C2953">
        <w:t xml:space="preserve"> la </w:t>
      </w:r>
      <w:r w:rsidR="00607B78" w:rsidRPr="009C2953">
        <w:t>résolution 40/243 de l</w:t>
      </w:r>
      <w:r w:rsidR="00EA2966" w:rsidRPr="009C2953">
        <w:t>’</w:t>
      </w:r>
      <w:r w:rsidR="00607B78" w:rsidRPr="009C2953">
        <w:t>Assemblée générale</w:t>
      </w:r>
      <w:r w:rsidR="00607B78" w:rsidRPr="009C2953">
        <w:rPr>
          <w:rStyle w:val="FootnoteReference"/>
        </w:rPr>
        <w:footnoteReference w:id="55"/>
      </w:r>
      <w:r w:rsidR="00607B78" w:rsidRPr="009C2953">
        <w:t> ;</w:t>
      </w:r>
      <w:r w:rsidR="00607B78" w:rsidRPr="009C2953">
        <w:rPr>
          <w:color w:val="000000"/>
        </w:rPr>
        <w:t xml:space="preserve"> </w:t>
      </w:r>
    </w:p>
    <w:p w14:paraId="3030DDC6" w14:textId="79FF44CF" w:rsidR="00607B78" w:rsidRPr="009C2953" w:rsidRDefault="009619F8" w:rsidP="009619F8">
      <w:pPr>
        <w:pStyle w:val="NormalNonumber"/>
      </w:pPr>
      <w:r w:rsidRPr="009C2953">
        <w:rPr>
          <w:iCs/>
        </w:rPr>
        <w:tab/>
        <w:t>3.</w:t>
      </w:r>
      <w:r w:rsidRPr="009C2953">
        <w:rPr>
          <w:iCs/>
        </w:rPr>
        <w:tab/>
      </w:r>
      <w:r w:rsidR="00607B78" w:rsidRPr="009C2953">
        <w:rPr>
          <w:i/>
        </w:rPr>
        <w:t>Décide</w:t>
      </w:r>
      <w:r w:rsidR="00607B78" w:rsidRPr="009C2953">
        <w:t xml:space="preserve"> que</w:t>
      </w:r>
      <w:r w:rsidR="00F34644" w:rsidRPr="009C2953">
        <w:t xml:space="preserve"> la </w:t>
      </w:r>
      <w:r w:rsidR="00607B78" w:rsidRPr="009C2953">
        <w:t>douzième session de</w:t>
      </w:r>
      <w:r w:rsidR="00F34644" w:rsidRPr="009C2953">
        <w:t xml:space="preserve"> la </w:t>
      </w:r>
      <w:r w:rsidR="00607B78" w:rsidRPr="009C2953">
        <w:t>Plénière de</w:t>
      </w:r>
      <w:r w:rsidR="00F34644" w:rsidRPr="009C2953">
        <w:t xml:space="preserve"> la </w:t>
      </w:r>
      <w:r w:rsidR="00607B78" w:rsidRPr="009C2953">
        <w:t>Plateforme intergouvernementale scientifique et politique sur</w:t>
      </w:r>
      <w:r w:rsidR="00F34644" w:rsidRPr="009C2953">
        <w:t xml:space="preserve"> la </w:t>
      </w:r>
      <w:r w:rsidR="00607B78" w:rsidRPr="009C2953">
        <w:t>biodiversité et</w:t>
      </w:r>
      <w:r w:rsidR="00F34644" w:rsidRPr="009C2953">
        <w:t xml:space="preserve"> les </w:t>
      </w:r>
      <w:r w:rsidR="00607B78" w:rsidRPr="009C2953">
        <w:t>services écosystémiques se tiendra au cours du second semestre de 2025, en tenant compte du calendrier</w:t>
      </w:r>
      <w:r w:rsidR="00D24DC1" w:rsidRPr="009C2953">
        <w:t xml:space="preserve"> des </w:t>
      </w:r>
      <w:r w:rsidR="00607B78" w:rsidRPr="009C2953">
        <w:t>réunions internationales pertinentes ;</w:t>
      </w:r>
    </w:p>
    <w:p w14:paraId="5DB8B0F2" w14:textId="792A540D" w:rsidR="00607B78" w:rsidRPr="009C2953" w:rsidRDefault="009619F8" w:rsidP="009619F8">
      <w:pPr>
        <w:pStyle w:val="NormalNonumber"/>
      </w:pPr>
      <w:r w:rsidRPr="009C2953">
        <w:rPr>
          <w:iCs/>
        </w:rPr>
        <w:tab/>
        <w:t>4.</w:t>
      </w:r>
      <w:r w:rsidRPr="009C2953">
        <w:rPr>
          <w:iCs/>
        </w:rPr>
        <w:tab/>
      </w:r>
      <w:r w:rsidR="00607B78" w:rsidRPr="009C2953">
        <w:rPr>
          <w:i/>
        </w:rPr>
        <w:t>Invite</w:t>
      </w:r>
      <w:r w:rsidR="00F34644" w:rsidRPr="009C2953">
        <w:rPr>
          <w:i/>
        </w:rPr>
        <w:t xml:space="preserve"> les </w:t>
      </w:r>
      <w:r w:rsidR="00607B78" w:rsidRPr="009C2953">
        <w:t>membres de</w:t>
      </w:r>
      <w:r w:rsidR="00F34644" w:rsidRPr="009C2953">
        <w:t xml:space="preserve"> la </w:t>
      </w:r>
      <w:r w:rsidR="00607B78" w:rsidRPr="009C2953">
        <w:t>Plateforme en mesure de</w:t>
      </w:r>
      <w:r w:rsidR="00F34644" w:rsidRPr="009C2953">
        <w:t xml:space="preserve"> le </w:t>
      </w:r>
      <w:r w:rsidR="00607B78" w:rsidRPr="009C2953">
        <w:t>faire à envisager d</w:t>
      </w:r>
      <w:r w:rsidR="00EA2966" w:rsidRPr="009C2953">
        <w:t>’</w:t>
      </w:r>
      <w:r w:rsidR="00607B78" w:rsidRPr="009C2953">
        <w:t>accueillir</w:t>
      </w:r>
      <w:r w:rsidR="00F34644" w:rsidRPr="009C2953">
        <w:t xml:space="preserve"> sa </w:t>
      </w:r>
      <w:r w:rsidR="00607B78" w:rsidRPr="009C2953">
        <w:t>douzième session ;</w:t>
      </w:r>
    </w:p>
    <w:p w14:paraId="116920B7" w14:textId="33FE488A" w:rsidR="00607B78" w:rsidRPr="009C2953" w:rsidRDefault="009619F8" w:rsidP="009619F8">
      <w:pPr>
        <w:pStyle w:val="NormalNonumber"/>
      </w:pPr>
      <w:r w:rsidRPr="009C2953">
        <w:rPr>
          <w:iCs/>
        </w:rPr>
        <w:tab/>
        <w:t>5.</w:t>
      </w:r>
      <w:r w:rsidRPr="009C2953">
        <w:rPr>
          <w:iCs/>
        </w:rPr>
        <w:tab/>
      </w:r>
      <w:r w:rsidR="00607B78" w:rsidRPr="009C2953">
        <w:rPr>
          <w:i/>
        </w:rPr>
        <w:t>Prie</w:t>
      </w:r>
      <w:r w:rsidR="00F34644" w:rsidRPr="009C2953">
        <w:t xml:space="preserve"> le </w:t>
      </w:r>
      <w:r w:rsidR="00607B78" w:rsidRPr="009C2953">
        <w:t>Bureau, en consultation avec</w:t>
      </w:r>
      <w:r w:rsidR="00F34644" w:rsidRPr="009C2953">
        <w:t xml:space="preserve"> les </w:t>
      </w:r>
      <w:r w:rsidR="00607B78" w:rsidRPr="009C2953">
        <w:t>membres de</w:t>
      </w:r>
      <w:r w:rsidR="00F34644" w:rsidRPr="009C2953">
        <w:t xml:space="preserve"> la </w:t>
      </w:r>
      <w:r w:rsidR="00607B78" w:rsidRPr="009C2953">
        <w:t>Plateforme, d</w:t>
      </w:r>
      <w:r w:rsidR="00EA2966" w:rsidRPr="009C2953">
        <w:t>’</w:t>
      </w:r>
      <w:r w:rsidR="00607B78" w:rsidRPr="009C2953">
        <w:t>arrêter</w:t>
      </w:r>
      <w:r w:rsidR="00F34644" w:rsidRPr="009C2953">
        <w:t xml:space="preserve"> les </w:t>
      </w:r>
      <w:r w:rsidR="00607B78" w:rsidRPr="009C2953">
        <w:t>dates de</w:t>
      </w:r>
      <w:r w:rsidR="00F34644" w:rsidRPr="009C2953">
        <w:t xml:space="preserve"> sa </w:t>
      </w:r>
      <w:r w:rsidR="00607B78" w:rsidRPr="009C2953">
        <w:t>douzième session, en tenant compte du calendrier</w:t>
      </w:r>
      <w:r w:rsidR="00D24DC1" w:rsidRPr="009C2953">
        <w:t xml:space="preserve"> des </w:t>
      </w:r>
      <w:r w:rsidR="00607B78" w:rsidRPr="009C2953">
        <w:t>réunions intergouvernementales pertinentes ;</w:t>
      </w:r>
    </w:p>
    <w:p w14:paraId="0918B612" w14:textId="4A68CBF1" w:rsidR="00607B78" w:rsidRPr="009C2953" w:rsidRDefault="009619F8" w:rsidP="009619F8">
      <w:pPr>
        <w:pStyle w:val="NormalNonumber"/>
      </w:pPr>
      <w:r w:rsidRPr="009C2953">
        <w:rPr>
          <w:iCs/>
        </w:rPr>
        <w:tab/>
        <w:t>6.</w:t>
      </w:r>
      <w:r w:rsidRPr="009C2953">
        <w:rPr>
          <w:iCs/>
        </w:rPr>
        <w:tab/>
      </w:r>
      <w:r w:rsidR="00607B78" w:rsidRPr="009C2953">
        <w:rPr>
          <w:i/>
        </w:rPr>
        <w:t>Prie également</w:t>
      </w:r>
      <w:r w:rsidR="00F34644" w:rsidRPr="009C2953">
        <w:t xml:space="preserve"> le </w:t>
      </w:r>
      <w:r w:rsidR="00607B78" w:rsidRPr="009C2953">
        <w:t>Bureau, en consultation avec</w:t>
      </w:r>
      <w:r w:rsidR="00F34644" w:rsidRPr="009C2953">
        <w:t xml:space="preserve"> les </w:t>
      </w:r>
      <w:r w:rsidR="00607B78" w:rsidRPr="009C2953">
        <w:t>membres, de décider où se tiendra</w:t>
      </w:r>
      <w:r w:rsidR="00F34644" w:rsidRPr="009C2953">
        <w:t xml:space="preserve"> sa </w:t>
      </w:r>
      <w:r w:rsidR="00607B78" w:rsidRPr="009C2953">
        <w:t>douzième session, en tenant compte de toute offre</w:t>
      </w:r>
      <w:r w:rsidR="00D24DC1" w:rsidRPr="009C2953">
        <w:t xml:space="preserve"> des </w:t>
      </w:r>
      <w:r w:rsidR="00607B78" w:rsidRPr="009C2953">
        <w:t>membres d</w:t>
      </w:r>
      <w:r w:rsidR="00EA2966" w:rsidRPr="009C2953">
        <w:t>’</w:t>
      </w:r>
      <w:r w:rsidR="00607B78" w:rsidRPr="009C2953">
        <w:t>accueillir</w:t>
      </w:r>
      <w:r w:rsidR="00F34644" w:rsidRPr="009C2953">
        <w:t xml:space="preserve"> la </w:t>
      </w:r>
      <w:r w:rsidR="00607B78" w:rsidRPr="009C2953">
        <w:t>session, l</w:t>
      </w:r>
      <w:r w:rsidR="00EA2966" w:rsidRPr="009C2953">
        <w:t>’</w:t>
      </w:r>
      <w:r w:rsidR="00607B78" w:rsidRPr="009C2953">
        <w:t>offre devant être acceptée sous réserve qu</w:t>
      </w:r>
      <w:r w:rsidR="00EA2966" w:rsidRPr="009C2953">
        <w:t>’</w:t>
      </w:r>
      <w:r w:rsidR="00607B78" w:rsidRPr="009C2953">
        <w:t>un accord soit conclu à cet effet avec</w:t>
      </w:r>
      <w:r w:rsidR="00F34644" w:rsidRPr="009C2953">
        <w:t xml:space="preserve"> le </w:t>
      </w:r>
      <w:r w:rsidR="00607B78" w:rsidRPr="009C2953">
        <w:t>pays hôte ;</w:t>
      </w:r>
    </w:p>
    <w:p w14:paraId="140D7CC0" w14:textId="15C42EF7" w:rsidR="00607B78" w:rsidRPr="009C2953" w:rsidRDefault="009619F8" w:rsidP="009619F8">
      <w:pPr>
        <w:pStyle w:val="NormalNonumber"/>
      </w:pPr>
      <w:r w:rsidRPr="009C2953">
        <w:rPr>
          <w:iCs/>
        </w:rPr>
        <w:tab/>
        <w:t>7.</w:t>
      </w:r>
      <w:r w:rsidRPr="009C2953">
        <w:rPr>
          <w:iCs/>
        </w:rPr>
        <w:tab/>
      </w:r>
      <w:r w:rsidR="00607B78" w:rsidRPr="009C2953">
        <w:rPr>
          <w:i/>
        </w:rPr>
        <w:t>Prie</w:t>
      </w:r>
      <w:r w:rsidR="00F34644" w:rsidRPr="009C2953">
        <w:t xml:space="preserve"> la </w:t>
      </w:r>
      <w:r w:rsidR="00607B78" w:rsidRPr="009C2953">
        <w:t>Secrétaire exécutive, si</w:t>
      </w:r>
      <w:r w:rsidR="00F34644" w:rsidRPr="009C2953">
        <w:t xml:space="preserve"> le </w:t>
      </w:r>
      <w:r w:rsidR="00607B78" w:rsidRPr="009C2953">
        <w:t>Bureau décide d</w:t>
      </w:r>
      <w:r w:rsidR="00EA2966" w:rsidRPr="009C2953">
        <w:t>’</w:t>
      </w:r>
      <w:r w:rsidR="00607B78" w:rsidRPr="009C2953">
        <w:t>accepter l</w:t>
      </w:r>
      <w:r w:rsidR="00EA2966" w:rsidRPr="009C2953">
        <w:t>’</w:t>
      </w:r>
      <w:r w:rsidR="00607B78" w:rsidRPr="009C2953">
        <w:t>offre d</w:t>
      </w:r>
      <w:r w:rsidR="00EA2966" w:rsidRPr="009C2953">
        <w:t>’</w:t>
      </w:r>
      <w:r w:rsidR="00607B78" w:rsidRPr="009C2953">
        <w:t>un gouvernement hôte donné d</w:t>
      </w:r>
      <w:r w:rsidR="00EA2966" w:rsidRPr="009C2953">
        <w:t>’</w:t>
      </w:r>
      <w:r w:rsidR="00607B78" w:rsidRPr="009C2953">
        <w:t>accueillir</w:t>
      </w:r>
      <w:r w:rsidR="00F34644" w:rsidRPr="009C2953">
        <w:t xml:space="preserve"> sa </w:t>
      </w:r>
      <w:r w:rsidR="00607B78" w:rsidRPr="009C2953">
        <w:t>douzième session, de conclure et de signer dès que possible</w:t>
      </w:r>
      <w:r w:rsidR="00F34644" w:rsidRPr="009C2953">
        <w:t xml:space="preserve"> un </w:t>
      </w:r>
      <w:r w:rsidR="00607B78" w:rsidRPr="009C2953">
        <w:t>accord avec lui dans</w:t>
      </w:r>
      <w:r w:rsidR="00F34644" w:rsidRPr="009C2953">
        <w:t xml:space="preserve"> la </w:t>
      </w:r>
      <w:r w:rsidR="00607B78" w:rsidRPr="009C2953">
        <w:t>perspective de</w:t>
      </w:r>
      <w:r w:rsidR="00F34644" w:rsidRPr="009C2953">
        <w:t xml:space="preserve"> sa </w:t>
      </w:r>
      <w:r w:rsidR="00607B78" w:rsidRPr="009C2953">
        <w:t>douzième session, conformément à</w:t>
      </w:r>
      <w:r w:rsidR="00F34644" w:rsidRPr="009C2953">
        <w:t xml:space="preserve"> la </w:t>
      </w:r>
      <w:r w:rsidR="00607B78" w:rsidRPr="009C2953">
        <w:t>résolution 40/243 de l</w:t>
      </w:r>
      <w:r w:rsidR="00EA2966" w:rsidRPr="009C2953">
        <w:t>’</w:t>
      </w:r>
      <w:r w:rsidR="00607B78" w:rsidRPr="009C2953">
        <w:t>Assemblée générale, en date du 18 décembre 1985, et</w:t>
      </w:r>
      <w:r w:rsidR="00F34644" w:rsidRPr="009C2953">
        <w:t xml:space="preserve"> aux </w:t>
      </w:r>
      <w:r w:rsidR="00607B78" w:rsidRPr="009C2953">
        <w:t>dispositions de l</w:t>
      </w:r>
      <w:r w:rsidR="00EA2966" w:rsidRPr="009C2953">
        <w:t>’</w:t>
      </w:r>
      <w:r w:rsidR="00607B78" w:rsidRPr="009C2953">
        <w:t>instruction administrative sur</w:t>
      </w:r>
      <w:r w:rsidR="00F34644" w:rsidRPr="009C2953">
        <w:t xml:space="preserve"> les </w:t>
      </w:r>
      <w:r w:rsidR="00607B78" w:rsidRPr="009C2953">
        <w:t>directives pour</w:t>
      </w:r>
      <w:r w:rsidR="00F34644" w:rsidRPr="009C2953">
        <w:t xml:space="preserve"> la </w:t>
      </w:r>
      <w:r w:rsidR="00607B78" w:rsidRPr="009C2953">
        <w:t>rédaction</w:t>
      </w:r>
      <w:r w:rsidR="00D24DC1" w:rsidRPr="009C2953">
        <w:t xml:space="preserve"> des </w:t>
      </w:r>
      <w:r w:rsidR="00607B78" w:rsidRPr="009C2953">
        <w:t>accords à conclure avec</w:t>
      </w:r>
      <w:r w:rsidR="00F34644" w:rsidRPr="009C2953">
        <w:t xml:space="preserve"> un </w:t>
      </w:r>
      <w:r w:rsidR="00607B78" w:rsidRPr="009C2953">
        <w:t>gouvernement hôte au titre de</w:t>
      </w:r>
      <w:r w:rsidR="00F34644" w:rsidRPr="009C2953">
        <w:t xml:space="preserve"> la </w:t>
      </w:r>
      <w:r w:rsidR="00607B78" w:rsidRPr="009C2953">
        <w:t>résolution</w:t>
      </w:r>
      <w:r w:rsidR="007A4705" w:rsidRPr="009C2953">
        <w:t> </w:t>
      </w:r>
      <w:r w:rsidR="00607B78" w:rsidRPr="009C2953">
        <w:t>40/243 de l</w:t>
      </w:r>
      <w:r w:rsidR="00EA2966" w:rsidRPr="009C2953">
        <w:t>’</w:t>
      </w:r>
      <w:r w:rsidR="00607B78" w:rsidRPr="009C2953">
        <w:t xml:space="preserve">Assemblée générale ; </w:t>
      </w:r>
    </w:p>
    <w:p w14:paraId="64778BAB" w14:textId="32D30673" w:rsidR="00607B78" w:rsidRPr="009C2953" w:rsidRDefault="009619F8" w:rsidP="009619F8">
      <w:pPr>
        <w:pStyle w:val="NormalNonumber"/>
      </w:pPr>
      <w:r w:rsidRPr="009C2953">
        <w:rPr>
          <w:iCs/>
        </w:rPr>
        <w:tab/>
        <w:t>8.</w:t>
      </w:r>
      <w:r w:rsidRPr="009C2953">
        <w:rPr>
          <w:iCs/>
        </w:rPr>
        <w:tab/>
      </w:r>
      <w:r w:rsidR="00607B78" w:rsidRPr="009C2953">
        <w:rPr>
          <w:i/>
        </w:rPr>
        <w:t>Invite</w:t>
      </w:r>
      <w:r w:rsidR="00F34644" w:rsidRPr="009C2953">
        <w:rPr>
          <w:i/>
        </w:rPr>
        <w:t xml:space="preserve"> le </w:t>
      </w:r>
      <w:r w:rsidR="00607B78" w:rsidRPr="009C2953">
        <w:t>Bureau à tenir compte du calendrier</w:t>
      </w:r>
      <w:r w:rsidR="00D24DC1" w:rsidRPr="009C2953">
        <w:t xml:space="preserve"> des </w:t>
      </w:r>
      <w:r w:rsidR="00607B78" w:rsidRPr="009C2953">
        <w:t>évaluations de l</w:t>
      </w:r>
      <w:r w:rsidR="00EA2966" w:rsidRPr="009C2953">
        <w:t>’</w:t>
      </w:r>
      <w:r w:rsidR="00607B78" w:rsidRPr="009C2953">
        <w:t>IPBES lorsqu</w:t>
      </w:r>
      <w:r w:rsidR="00EA2966" w:rsidRPr="009C2953">
        <w:t>’</w:t>
      </w:r>
      <w:r w:rsidR="00607B78" w:rsidRPr="009C2953">
        <w:t>il se penchera sur</w:t>
      </w:r>
      <w:r w:rsidR="00F34644" w:rsidRPr="009C2953">
        <w:t xml:space="preserve"> les </w:t>
      </w:r>
      <w:r w:rsidR="00607B78" w:rsidRPr="009C2953">
        <w:t>dates</w:t>
      </w:r>
      <w:r w:rsidR="00D24DC1" w:rsidRPr="009C2953">
        <w:t xml:space="preserve"> des </w:t>
      </w:r>
      <w:r w:rsidR="00607B78" w:rsidRPr="009C2953">
        <w:t>futures sessions de</w:t>
      </w:r>
      <w:r w:rsidR="00F34644" w:rsidRPr="009C2953">
        <w:t xml:space="preserve"> la </w:t>
      </w:r>
      <w:r w:rsidR="00607B78" w:rsidRPr="009C2953">
        <w:t>plénière, de façon à permettre</w:t>
      </w:r>
      <w:r w:rsidR="00F34644" w:rsidRPr="009C2953">
        <w:t xml:space="preserve"> leur </w:t>
      </w:r>
      <w:r w:rsidR="00607B78" w:rsidRPr="009C2953">
        <w:t>examen en temps utile par</w:t>
      </w:r>
      <w:r w:rsidR="00F34644" w:rsidRPr="009C2953">
        <w:t xml:space="preserve"> les </w:t>
      </w:r>
      <w:r w:rsidR="00607B78" w:rsidRPr="009C2953">
        <w:t>organes compétents</w:t>
      </w:r>
      <w:r w:rsidR="00D24DC1" w:rsidRPr="009C2953">
        <w:t xml:space="preserve"> des </w:t>
      </w:r>
      <w:r w:rsidR="00607B78" w:rsidRPr="009C2953">
        <w:t>conventions relatives à</w:t>
      </w:r>
      <w:r w:rsidR="00F34644" w:rsidRPr="009C2953">
        <w:t xml:space="preserve"> la </w:t>
      </w:r>
      <w:r w:rsidR="00607B78" w:rsidRPr="009C2953">
        <w:t>biodiversité ;</w:t>
      </w:r>
    </w:p>
    <w:p w14:paraId="5936089E" w14:textId="151506B3" w:rsidR="00607B78" w:rsidRPr="009C2953" w:rsidRDefault="009619F8" w:rsidP="009619F8">
      <w:pPr>
        <w:pStyle w:val="NormalNonumber"/>
      </w:pPr>
      <w:r w:rsidRPr="009C2953">
        <w:rPr>
          <w:iCs/>
        </w:rPr>
        <w:tab/>
        <w:t>9.</w:t>
      </w:r>
      <w:r w:rsidRPr="009C2953">
        <w:rPr>
          <w:iCs/>
        </w:rPr>
        <w:tab/>
      </w:r>
      <w:r w:rsidR="00607B78" w:rsidRPr="009C2953">
        <w:rPr>
          <w:i/>
        </w:rPr>
        <w:t>Prend note</w:t>
      </w:r>
      <w:r w:rsidR="00D24DC1" w:rsidRPr="009C2953">
        <w:t xml:space="preserve"> des </w:t>
      </w:r>
      <w:r w:rsidR="00607B78" w:rsidRPr="009C2953">
        <w:t>projets d</w:t>
      </w:r>
      <w:r w:rsidR="00EA2966" w:rsidRPr="009C2953">
        <w:t>’</w:t>
      </w:r>
      <w:r w:rsidR="00607B78" w:rsidRPr="009C2953">
        <w:t>ordre du jour provisoire</w:t>
      </w:r>
      <w:r w:rsidR="00D24DC1" w:rsidRPr="009C2953">
        <w:t xml:space="preserve"> des </w:t>
      </w:r>
      <w:r w:rsidR="00607B78" w:rsidRPr="009C2953">
        <w:t xml:space="preserve">onzième et </w:t>
      </w:r>
      <w:proofErr w:type="gramStart"/>
      <w:r w:rsidR="00607B78" w:rsidRPr="009C2953">
        <w:t>douzième sessions</w:t>
      </w:r>
      <w:proofErr w:type="gramEnd"/>
      <w:r w:rsidR="00607B78" w:rsidRPr="009C2953">
        <w:t>, qui figurent respectivement dans</w:t>
      </w:r>
      <w:r w:rsidR="00F34644" w:rsidRPr="009C2953">
        <w:t xml:space="preserve"> les </w:t>
      </w:r>
      <w:r w:rsidR="00607B78" w:rsidRPr="009C2953">
        <w:t>annexes I et II de</w:t>
      </w:r>
      <w:r w:rsidR="00F34644" w:rsidRPr="009C2953">
        <w:t xml:space="preserve"> la </w:t>
      </w:r>
      <w:r w:rsidR="00607B78" w:rsidRPr="009C2953">
        <w:t>présente décision ;</w:t>
      </w:r>
    </w:p>
    <w:p w14:paraId="08F58C03" w14:textId="53D48047" w:rsidR="00607B78" w:rsidRPr="009C2953" w:rsidRDefault="009619F8" w:rsidP="009619F8">
      <w:pPr>
        <w:pStyle w:val="NormalNonumber"/>
        <w:rPr>
          <w:color w:val="000000"/>
        </w:rPr>
      </w:pPr>
      <w:r w:rsidRPr="009C2953">
        <w:rPr>
          <w:iCs/>
        </w:rPr>
        <w:tab/>
        <w:t>10.</w:t>
      </w:r>
      <w:r w:rsidRPr="009C2953">
        <w:rPr>
          <w:iCs/>
        </w:rPr>
        <w:tab/>
      </w:r>
      <w:r w:rsidR="00607B78" w:rsidRPr="009C2953">
        <w:rPr>
          <w:i/>
        </w:rPr>
        <w:t>Prie</w:t>
      </w:r>
      <w:r w:rsidR="00F34644" w:rsidRPr="009C2953">
        <w:t xml:space="preserve"> la </w:t>
      </w:r>
      <w:r w:rsidR="00607B78" w:rsidRPr="009C2953">
        <w:t>Secrétaire exécutive d</w:t>
      </w:r>
      <w:r w:rsidR="00EA2966" w:rsidRPr="009C2953">
        <w:t>’</w:t>
      </w:r>
      <w:r w:rsidR="00607B78" w:rsidRPr="009C2953">
        <w:t>inviter</w:t>
      </w:r>
      <w:r w:rsidR="00F34644" w:rsidRPr="009C2953">
        <w:t xml:space="preserve"> les </w:t>
      </w:r>
      <w:r w:rsidR="00607B78" w:rsidRPr="009C2953">
        <w:t>membres et</w:t>
      </w:r>
      <w:r w:rsidR="00F34644" w:rsidRPr="009C2953">
        <w:t xml:space="preserve"> les </w:t>
      </w:r>
      <w:r w:rsidR="00607B78" w:rsidRPr="009C2953">
        <w:t>observateurs qui sont l</w:t>
      </w:r>
      <w:r w:rsidR="00EA2966" w:rsidRPr="009C2953">
        <w:t>’</w:t>
      </w:r>
      <w:r w:rsidR="00607B78" w:rsidRPr="009C2953">
        <w:t>objet du mécanisme de participation renforcée prévu dans</w:t>
      </w:r>
      <w:r w:rsidR="00F34644" w:rsidRPr="009C2953">
        <w:t xml:space="preserve"> la </w:t>
      </w:r>
      <w:r w:rsidR="00607B78" w:rsidRPr="009C2953">
        <w:t>décision IPBES-5/4 à communiquer par écrit</w:t>
      </w:r>
      <w:r w:rsidR="00D24DC1" w:rsidRPr="009C2953">
        <w:t xml:space="preserve"> des </w:t>
      </w:r>
      <w:r w:rsidR="00607B78" w:rsidRPr="009C2953">
        <w:t>observations sur</w:t>
      </w:r>
      <w:r w:rsidR="00F34644" w:rsidRPr="009C2953">
        <w:t xml:space="preserve"> le </w:t>
      </w:r>
      <w:r w:rsidR="00607B78" w:rsidRPr="009C2953">
        <w:t>projet d</w:t>
      </w:r>
      <w:r w:rsidR="00EA2966" w:rsidRPr="009C2953">
        <w:t>’</w:t>
      </w:r>
      <w:r w:rsidR="00607B78" w:rsidRPr="009C2953">
        <w:t>organisation</w:t>
      </w:r>
      <w:r w:rsidR="00D24DC1" w:rsidRPr="009C2953">
        <w:t xml:space="preserve"> des </w:t>
      </w:r>
      <w:r w:rsidR="00607B78" w:rsidRPr="009C2953">
        <w:t>travaux de</w:t>
      </w:r>
      <w:r w:rsidR="00F34644" w:rsidRPr="009C2953">
        <w:t xml:space="preserve"> sa </w:t>
      </w:r>
      <w:r w:rsidR="00607B78" w:rsidRPr="009C2953">
        <w:t>onzième session ;</w:t>
      </w:r>
    </w:p>
    <w:p w14:paraId="2ACAC2C9" w14:textId="16728C8C" w:rsidR="00607B78" w:rsidRPr="009C2953" w:rsidRDefault="009619F8" w:rsidP="009619F8">
      <w:pPr>
        <w:pStyle w:val="NormalNonumber"/>
      </w:pPr>
      <w:r w:rsidRPr="009C2953">
        <w:rPr>
          <w:iCs/>
        </w:rPr>
        <w:tab/>
        <w:t>11.</w:t>
      </w:r>
      <w:r w:rsidRPr="009C2953">
        <w:rPr>
          <w:iCs/>
        </w:rPr>
        <w:tab/>
      </w:r>
      <w:r w:rsidR="00607B78" w:rsidRPr="009C2953">
        <w:rPr>
          <w:i/>
        </w:rPr>
        <w:t>Prie également</w:t>
      </w:r>
      <w:r w:rsidR="00F34644" w:rsidRPr="009C2953">
        <w:t xml:space="preserve"> la </w:t>
      </w:r>
      <w:r w:rsidR="00607B78" w:rsidRPr="009C2953">
        <w:t>Secrétaire exécutive d</w:t>
      </w:r>
      <w:r w:rsidR="00EA2966" w:rsidRPr="009C2953">
        <w:t>’</w:t>
      </w:r>
      <w:r w:rsidR="00607B78" w:rsidRPr="009C2953">
        <w:t>établir</w:t>
      </w:r>
      <w:r w:rsidR="00F34644" w:rsidRPr="009C2953">
        <w:t xml:space="preserve"> la </w:t>
      </w:r>
      <w:r w:rsidR="00607B78" w:rsidRPr="009C2953">
        <w:t>version définitive du projet d</w:t>
      </w:r>
      <w:r w:rsidR="00EA2966" w:rsidRPr="009C2953">
        <w:t>’</w:t>
      </w:r>
      <w:r w:rsidR="00607B78" w:rsidRPr="009C2953">
        <w:t>organisation</w:t>
      </w:r>
      <w:r w:rsidR="00D24DC1" w:rsidRPr="009C2953">
        <w:t xml:space="preserve"> des </w:t>
      </w:r>
      <w:r w:rsidR="00607B78" w:rsidRPr="009C2953">
        <w:t>travaux de</w:t>
      </w:r>
      <w:r w:rsidR="00F34644" w:rsidRPr="009C2953">
        <w:t xml:space="preserve"> sa </w:t>
      </w:r>
      <w:r w:rsidR="00607B78" w:rsidRPr="009C2953">
        <w:t>onzième session, à</w:t>
      </w:r>
      <w:r w:rsidR="00F34644" w:rsidRPr="009C2953">
        <w:t xml:space="preserve"> la </w:t>
      </w:r>
      <w:r w:rsidR="00607B78" w:rsidRPr="009C2953">
        <w:t>lumière</w:t>
      </w:r>
      <w:r w:rsidR="00D24DC1" w:rsidRPr="009C2953">
        <w:t xml:space="preserve"> des </w:t>
      </w:r>
      <w:r w:rsidR="00607B78" w:rsidRPr="009C2953">
        <w:t>observations reçues pendant</w:t>
      </w:r>
      <w:r w:rsidR="00F34644" w:rsidRPr="009C2953">
        <w:t xml:space="preserve"> sa </w:t>
      </w:r>
      <w:r w:rsidR="00607B78" w:rsidRPr="009C2953">
        <w:t xml:space="preserve">dixième session et de celles reçues par écrit comme </w:t>
      </w:r>
      <w:proofErr w:type="gramStart"/>
      <w:r w:rsidR="00607B78" w:rsidRPr="009C2953">
        <w:t>suite à</w:t>
      </w:r>
      <w:proofErr w:type="gramEnd"/>
      <w:r w:rsidR="00607B78" w:rsidRPr="009C2953">
        <w:t xml:space="preserve"> l</w:t>
      </w:r>
      <w:r w:rsidR="00EA2966" w:rsidRPr="009C2953">
        <w:t>’</w:t>
      </w:r>
      <w:r w:rsidR="00607B78" w:rsidRPr="009C2953">
        <w:t>invitation visée au paragraphe 10 de</w:t>
      </w:r>
      <w:r w:rsidR="005B0183" w:rsidRPr="009C2953">
        <w:t> </w:t>
      </w:r>
      <w:r w:rsidR="00F34644" w:rsidRPr="009C2953">
        <w:t>la </w:t>
      </w:r>
      <w:r w:rsidR="00607B78" w:rsidRPr="009C2953">
        <w:t>présente décision.</w:t>
      </w:r>
      <w:bookmarkEnd w:id="24"/>
    </w:p>
    <w:p w14:paraId="3F9F5DA7" w14:textId="77777777" w:rsidR="00607B78" w:rsidRPr="009C2953" w:rsidRDefault="00607B78" w:rsidP="00607B78">
      <w:pPr>
        <w:pStyle w:val="Normal-pool"/>
        <w:sectPr w:rsidR="00607B78" w:rsidRPr="009C2953" w:rsidSect="00603A5E">
          <w:footnotePr>
            <w:numRestart w:val="eachSect"/>
          </w:footnotePr>
          <w:pgSz w:w="11907" w:h="16839" w:code="9"/>
          <w:pgMar w:top="907" w:right="992" w:bottom="1418" w:left="1418" w:header="539" w:footer="975" w:gutter="0"/>
          <w:cols w:space="539"/>
          <w:docGrid w:linePitch="360"/>
        </w:sectPr>
      </w:pPr>
    </w:p>
    <w:p w14:paraId="5FD8B831" w14:textId="380B5969" w:rsidR="00607B78" w:rsidRPr="009C2953" w:rsidRDefault="00607B78" w:rsidP="00607B78">
      <w:pPr>
        <w:pStyle w:val="CH1"/>
      </w:pPr>
      <w:r w:rsidRPr="009C2953">
        <w:lastRenderedPageBreak/>
        <w:tab/>
      </w:r>
      <w:r w:rsidRPr="009C2953">
        <w:tab/>
        <w:t>Annexe I à</w:t>
      </w:r>
      <w:r w:rsidR="00F34644" w:rsidRPr="009C2953">
        <w:t xml:space="preserve"> la </w:t>
      </w:r>
      <w:r w:rsidRPr="009C2953">
        <w:t>décision IPBES-10/2</w:t>
      </w:r>
    </w:p>
    <w:p w14:paraId="181F188E" w14:textId="694D805B" w:rsidR="00607B78" w:rsidRPr="009C2953" w:rsidRDefault="00607B78" w:rsidP="00607B78">
      <w:pPr>
        <w:pStyle w:val="CH1"/>
      </w:pPr>
      <w:r w:rsidRPr="009C2953">
        <w:tab/>
      </w:r>
      <w:r w:rsidRPr="009C2953">
        <w:tab/>
        <w:t>Projet d</w:t>
      </w:r>
      <w:r w:rsidR="00EA2966" w:rsidRPr="009C2953">
        <w:t>’</w:t>
      </w:r>
      <w:r w:rsidRPr="009C2953">
        <w:t>ordre du jour provisoire de</w:t>
      </w:r>
      <w:r w:rsidR="00F34644" w:rsidRPr="009C2953">
        <w:t xml:space="preserve"> la </w:t>
      </w:r>
      <w:r w:rsidRPr="009C2953">
        <w:t>onzième session de</w:t>
      </w:r>
      <w:r w:rsidR="00F34644" w:rsidRPr="009C2953">
        <w:t xml:space="preserve"> la </w:t>
      </w:r>
      <w:r w:rsidRPr="009C2953">
        <w:t>Plateforme intergouvernementale scientifique et politique sur</w:t>
      </w:r>
      <w:r w:rsidR="005B0183" w:rsidRPr="009C2953">
        <w:t> </w:t>
      </w:r>
      <w:r w:rsidR="00F34644" w:rsidRPr="009C2953">
        <w:t>la </w:t>
      </w:r>
      <w:r w:rsidRPr="009C2953">
        <w:t>biodiversité et</w:t>
      </w:r>
      <w:r w:rsidR="00F34644" w:rsidRPr="009C2953">
        <w:t xml:space="preserve"> les </w:t>
      </w:r>
      <w:r w:rsidRPr="009C2953">
        <w:t>services écosystémiques</w:t>
      </w:r>
    </w:p>
    <w:p w14:paraId="7BFDB083" w14:textId="690F5DB3" w:rsidR="00607B78" w:rsidRPr="009C2953" w:rsidRDefault="001D42AB" w:rsidP="001D42AB">
      <w:pPr>
        <w:pStyle w:val="NormalNonumber"/>
      </w:pPr>
      <w:r w:rsidRPr="009C2953">
        <w:t>1.</w:t>
      </w:r>
      <w:r w:rsidRPr="009C2953">
        <w:tab/>
      </w:r>
      <w:r w:rsidR="00607B78" w:rsidRPr="009C2953">
        <w:t>Ouverture de</w:t>
      </w:r>
      <w:r w:rsidR="00F34644" w:rsidRPr="009C2953">
        <w:t xml:space="preserve"> la </w:t>
      </w:r>
      <w:r w:rsidR="00607B78" w:rsidRPr="009C2953">
        <w:t>session.</w:t>
      </w:r>
    </w:p>
    <w:p w14:paraId="4E6982E2" w14:textId="49AF1CC9" w:rsidR="00607B78" w:rsidRPr="009C2953" w:rsidRDefault="001D42AB" w:rsidP="001D42AB">
      <w:pPr>
        <w:pStyle w:val="NormalNonumber"/>
      </w:pPr>
      <w:r w:rsidRPr="009C2953">
        <w:t>2.</w:t>
      </w:r>
      <w:r w:rsidRPr="009C2953">
        <w:tab/>
      </w:r>
      <w:r w:rsidR="00607B78" w:rsidRPr="009C2953">
        <w:t>Questions d</w:t>
      </w:r>
      <w:r w:rsidR="00EA2966" w:rsidRPr="009C2953">
        <w:t>’</w:t>
      </w:r>
      <w:r w:rsidR="00607B78" w:rsidRPr="009C2953">
        <w:t>organisation :</w:t>
      </w:r>
    </w:p>
    <w:p w14:paraId="40CEE427" w14:textId="5EF4126A" w:rsidR="00607B78" w:rsidRPr="009C2953" w:rsidRDefault="001D42AB" w:rsidP="001D42AB">
      <w:pPr>
        <w:pStyle w:val="NormalNonumber"/>
      </w:pPr>
      <w:r w:rsidRPr="009C2953">
        <w:tab/>
        <w:t>a)</w:t>
      </w:r>
      <w:r w:rsidRPr="009C2953">
        <w:tab/>
      </w:r>
      <w:r w:rsidR="00607B78" w:rsidRPr="009C2953">
        <w:t>Adoption de l</w:t>
      </w:r>
      <w:r w:rsidR="00EA2966" w:rsidRPr="009C2953">
        <w:t>’</w:t>
      </w:r>
      <w:r w:rsidR="00607B78" w:rsidRPr="009C2953">
        <w:t>ordre du jour et organisation</w:t>
      </w:r>
      <w:r w:rsidR="00D24DC1" w:rsidRPr="009C2953">
        <w:t xml:space="preserve"> des </w:t>
      </w:r>
      <w:r w:rsidR="00607B78" w:rsidRPr="009C2953">
        <w:t>travaux ;</w:t>
      </w:r>
    </w:p>
    <w:p w14:paraId="5C139404" w14:textId="56B809EB" w:rsidR="00607B78" w:rsidRPr="009C2953" w:rsidRDefault="001D42AB" w:rsidP="001D42AB">
      <w:pPr>
        <w:pStyle w:val="NormalNonumber"/>
      </w:pPr>
      <w:r w:rsidRPr="009C2953">
        <w:tab/>
        <w:t>b)</w:t>
      </w:r>
      <w:r w:rsidRPr="009C2953">
        <w:tab/>
      </w:r>
      <w:r w:rsidR="00607B78" w:rsidRPr="009C2953">
        <w:t>Composition de</w:t>
      </w:r>
      <w:r w:rsidR="00F34644" w:rsidRPr="009C2953">
        <w:t xml:space="preserve"> la </w:t>
      </w:r>
      <w:r w:rsidR="00607B78" w:rsidRPr="009C2953">
        <w:t>Plateforme ;</w:t>
      </w:r>
    </w:p>
    <w:p w14:paraId="76225436" w14:textId="23C1E359" w:rsidR="00607B78" w:rsidRPr="009C2953" w:rsidRDefault="001D42AB" w:rsidP="001D42AB">
      <w:pPr>
        <w:pStyle w:val="NormalNonumber"/>
      </w:pPr>
      <w:r w:rsidRPr="009C2953">
        <w:tab/>
        <w:t>c)</w:t>
      </w:r>
      <w:r w:rsidRPr="009C2953">
        <w:tab/>
      </w:r>
      <w:r w:rsidR="00607B78" w:rsidRPr="009C2953">
        <w:t>Élection du bureau.</w:t>
      </w:r>
    </w:p>
    <w:p w14:paraId="1E059800" w14:textId="66FF6340" w:rsidR="00607B78" w:rsidRPr="009C2953" w:rsidRDefault="001D42AB" w:rsidP="001D42AB">
      <w:pPr>
        <w:pStyle w:val="NormalNonumber"/>
      </w:pPr>
      <w:r w:rsidRPr="009C2953">
        <w:t>3.</w:t>
      </w:r>
      <w:r w:rsidRPr="009C2953">
        <w:tab/>
      </w:r>
      <w:r w:rsidR="00607B78" w:rsidRPr="009C2953">
        <w:t>Admission d</w:t>
      </w:r>
      <w:r w:rsidR="00EA2966" w:rsidRPr="009C2953">
        <w:t>’</w:t>
      </w:r>
      <w:r w:rsidR="00607B78" w:rsidRPr="009C2953">
        <w:t>observateurs.</w:t>
      </w:r>
    </w:p>
    <w:p w14:paraId="57A4FF8E" w14:textId="09D849E4" w:rsidR="00607B78" w:rsidRPr="009C2953" w:rsidRDefault="001D42AB" w:rsidP="001D42AB">
      <w:pPr>
        <w:pStyle w:val="NormalNonumber"/>
      </w:pPr>
      <w:r w:rsidRPr="009C2953">
        <w:t>4.</w:t>
      </w:r>
      <w:r w:rsidRPr="009C2953">
        <w:tab/>
      </w:r>
      <w:r w:rsidR="00607B78" w:rsidRPr="009C2953">
        <w:t>Vérification</w:t>
      </w:r>
      <w:r w:rsidR="00D24DC1" w:rsidRPr="009C2953">
        <w:t xml:space="preserve"> des </w:t>
      </w:r>
      <w:r w:rsidR="00607B78" w:rsidRPr="009C2953">
        <w:t>pouvoirs</w:t>
      </w:r>
      <w:r w:rsidR="00D24DC1" w:rsidRPr="009C2953">
        <w:t xml:space="preserve"> des </w:t>
      </w:r>
      <w:r w:rsidR="00607B78" w:rsidRPr="009C2953">
        <w:t>représentantes et</w:t>
      </w:r>
      <w:r w:rsidR="00D24DC1" w:rsidRPr="009C2953">
        <w:t xml:space="preserve"> des </w:t>
      </w:r>
      <w:r w:rsidR="00607B78" w:rsidRPr="009C2953">
        <w:t>représentants.</w:t>
      </w:r>
    </w:p>
    <w:p w14:paraId="6FECD655" w14:textId="10F790BE" w:rsidR="00607B78" w:rsidRPr="009C2953" w:rsidRDefault="001D42AB" w:rsidP="000D47E2">
      <w:pPr>
        <w:pStyle w:val="NormalNonumber"/>
        <w:ind w:left="1871" w:hanging="624"/>
      </w:pPr>
      <w:r w:rsidRPr="009C2953">
        <w:t>5.</w:t>
      </w:r>
      <w:r w:rsidRPr="009C2953">
        <w:tab/>
      </w:r>
      <w:r w:rsidR="00607B78" w:rsidRPr="009C2953">
        <w:t>Rapport de</w:t>
      </w:r>
      <w:r w:rsidR="00F34644" w:rsidRPr="009C2953">
        <w:t xml:space="preserve"> la </w:t>
      </w:r>
      <w:r w:rsidR="00607B78" w:rsidRPr="009C2953">
        <w:t>Secrétaire exécutive sur</w:t>
      </w:r>
      <w:r w:rsidR="00F34644" w:rsidRPr="009C2953">
        <w:t xml:space="preserve"> les </w:t>
      </w:r>
      <w:r w:rsidR="00607B78" w:rsidRPr="009C2953">
        <w:t>progrès dans</w:t>
      </w:r>
      <w:r w:rsidR="00F34644" w:rsidRPr="009C2953">
        <w:t xml:space="preserve"> la </w:t>
      </w:r>
      <w:r w:rsidR="00607B78" w:rsidRPr="009C2953">
        <w:t>mise en œuvre du programme de</w:t>
      </w:r>
      <w:r w:rsidR="00330BA6" w:rsidRPr="009C2953">
        <w:t> </w:t>
      </w:r>
      <w:r w:rsidR="00607B78" w:rsidRPr="009C2953">
        <w:t>travail glissant pour</w:t>
      </w:r>
      <w:r w:rsidR="00F34644" w:rsidRPr="009C2953">
        <w:t xml:space="preserve"> la </w:t>
      </w:r>
      <w:r w:rsidR="00607B78" w:rsidRPr="009C2953">
        <w:t>période allant jusqu</w:t>
      </w:r>
      <w:r w:rsidR="00EA2966" w:rsidRPr="009C2953">
        <w:t>’</w:t>
      </w:r>
      <w:r w:rsidR="00607B78" w:rsidRPr="009C2953">
        <w:t>en 2030.</w:t>
      </w:r>
    </w:p>
    <w:p w14:paraId="6BE75C5C" w14:textId="384B4554" w:rsidR="00607B78" w:rsidRPr="009C2953" w:rsidRDefault="001D42AB" w:rsidP="001D42AB">
      <w:pPr>
        <w:pStyle w:val="NormalNonumber"/>
      </w:pPr>
      <w:r w:rsidRPr="009C2953">
        <w:t>6.</w:t>
      </w:r>
      <w:r w:rsidRPr="009C2953">
        <w:tab/>
      </w:r>
      <w:r w:rsidR="00607B78" w:rsidRPr="009C2953">
        <w:t>Dispositifs financiers et budgétaires pour</w:t>
      </w:r>
      <w:r w:rsidR="00F34644" w:rsidRPr="009C2953">
        <w:t xml:space="preserve"> la </w:t>
      </w:r>
      <w:r w:rsidR="00607B78" w:rsidRPr="009C2953">
        <w:t>Plateforme.</w:t>
      </w:r>
    </w:p>
    <w:p w14:paraId="25CF1B67" w14:textId="1BB00944" w:rsidR="00607B78" w:rsidRPr="009C2953" w:rsidRDefault="001D42AB" w:rsidP="001D42AB">
      <w:pPr>
        <w:pStyle w:val="NormalNonumber"/>
      </w:pPr>
      <w:r w:rsidRPr="009C2953">
        <w:t>7.</w:t>
      </w:r>
      <w:r w:rsidRPr="009C2953">
        <w:tab/>
      </w:r>
      <w:r w:rsidR="00607B78" w:rsidRPr="009C2953">
        <w:t>Évaluation</w:t>
      </w:r>
      <w:r w:rsidR="00D24DC1" w:rsidRPr="009C2953">
        <w:t xml:space="preserve"> des </w:t>
      </w:r>
      <w:r w:rsidR="00607B78" w:rsidRPr="009C2953">
        <w:t>connaissances :</w:t>
      </w:r>
    </w:p>
    <w:p w14:paraId="155AFA24" w14:textId="4094A147" w:rsidR="00607B78" w:rsidRPr="009C2953" w:rsidRDefault="000D47E2" w:rsidP="000D47E2">
      <w:pPr>
        <w:pStyle w:val="NormalNonumber"/>
        <w:ind w:left="2494" w:hanging="1247"/>
      </w:pPr>
      <w:r w:rsidRPr="009C2953">
        <w:tab/>
      </w:r>
      <w:r w:rsidR="001D42AB" w:rsidRPr="009C2953">
        <w:tab/>
        <w:t>a)</w:t>
      </w:r>
      <w:r w:rsidR="001D42AB" w:rsidRPr="009C2953">
        <w:tab/>
      </w:r>
      <w:r w:rsidR="00607B78" w:rsidRPr="009C2953">
        <w:t>Évaluation thématique</w:t>
      </w:r>
      <w:r w:rsidR="00D24DC1" w:rsidRPr="009C2953">
        <w:t xml:space="preserve"> des </w:t>
      </w:r>
      <w:r w:rsidR="00607B78" w:rsidRPr="009C2953">
        <w:t>liens d</w:t>
      </w:r>
      <w:r w:rsidR="00EA2966" w:rsidRPr="009C2953">
        <w:t>’</w:t>
      </w:r>
      <w:r w:rsidR="00607B78" w:rsidRPr="009C2953">
        <w:t>interdépendance entre</w:t>
      </w:r>
      <w:r w:rsidR="00F34644" w:rsidRPr="009C2953">
        <w:t xml:space="preserve"> la </w:t>
      </w:r>
      <w:r w:rsidR="00607B78" w:rsidRPr="009C2953">
        <w:t>biodiversité, l</w:t>
      </w:r>
      <w:r w:rsidR="00EA2966" w:rsidRPr="009C2953">
        <w:t>’</w:t>
      </w:r>
      <w:r w:rsidR="00607B78" w:rsidRPr="009C2953">
        <w:t>eau, l</w:t>
      </w:r>
      <w:r w:rsidR="00EA2966" w:rsidRPr="009C2953">
        <w:t>’</w:t>
      </w:r>
      <w:r w:rsidR="00607B78" w:rsidRPr="009C2953">
        <w:t>alimentation et</w:t>
      </w:r>
      <w:r w:rsidR="00F34644" w:rsidRPr="009C2953">
        <w:t xml:space="preserve"> la </w:t>
      </w:r>
      <w:r w:rsidR="00607B78" w:rsidRPr="009C2953">
        <w:t>santé ;</w:t>
      </w:r>
    </w:p>
    <w:p w14:paraId="5E3AE1A3" w14:textId="3B1DCE43" w:rsidR="00607B78" w:rsidRPr="009C2953" w:rsidRDefault="000D47E2" w:rsidP="000D47E2">
      <w:pPr>
        <w:pStyle w:val="NormalNonumber"/>
        <w:ind w:left="2494" w:hanging="1247"/>
      </w:pPr>
      <w:r w:rsidRPr="009C2953">
        <w:tab/>
      </w:r>
      <w:r w:rsidR="001D42AB" w:rsidRPr="009C2953">
        <w:tab/>
        <w:t>b)</w:t>
      </w:r>
      <w:r w:rsidR="001D42AB" w:rsidRPr="009C2953">
        <w:tab/>
      </w:r>
      <w:r w:rsidR="00607B78" w:rsidRPr="009C2953">
        <w:t>Évaluation thématique</w:t>
      </w:r>
      <w:r w:rsidR="00D24DC1" w:rsidRPr="009C2953">
        <w:t xml:space="preserve"> des </w:t>
      </w:r>
      <w:r w:rsidR="00607B78" w:rsidRPr="009C2953">
        <w:t>causes sous-jacentes de</w:t>
      </w:r>
      <w:r w:rsidR="00F34644" w:rsidRPr="009C2953">
        <w:t xml:space="preserve"> la </w:t>
      </w:r>
      <w:r w:rsidR="00607B78" w:rsidRPr="009C2953">
        <w:t>perte de biodiversité et</w:t>
      </w:r>
      <w:r w:rsidR="00D24DC1" w:rsidRPr="009C2953">
        <w:t xml:space="preserve"> des </w:t>
      </w:r>
      <w:r w:rsidR="00607B78" w:rsidRPr="009C2953">
        <w:t>déterminants du changement transformateur, ainsi que</w:t>
      </w:r>
      <w:r w:rsidR="00D24DC1" w:rsidRPr="009C2953">
        <w:t xml:space="preserve"> des </w:t>
      </w:r>
      <w:r w:rsidR="00607B78" w:rsidRPr="009C2953">
        <w:t>solutions possibles afin de</w:t>
      </w:r>
      <w:r w:rsidR="00330BA6" w:rsidRPr="009C2953">
        <w:t> </w:t>
      </w:r>
      <w:r w:rsidR="00607B78" w:rsidRPr="009C2953">
        <w:t>réaliser</w:t>
      </w:r>
      <w:r w:rsidR="00F34644" w:rsidRPr="009C2953">
        <w:t xml:space="preserve"> la </w:t>
      </w:r>
      <w:r w:rsidR="00607B78" w:rsidRPr="009C2953">
        <w:t>Vision 2050 pour</w:t>
      </w:r>
      <w:r w:rsidR="00F34644" w:rsidRPr="009C2953">
        <w:t xml:space="preserve"> la </w:t>
      </w:r>
      <w:r w:rsidR="00607B78" w:rsidRPr="009C2953">
        <w:t>biodiversité ;</w:t>
      </w:r>
    </w:p>
    <w:p w14:paraId="13EF0AA7" w14:textId="29B8C1DD" w:rsidR="00607B78" w:rsidRPr="009C2953" w:rsidRDefault="000D47E2" w:rsidP="000D47E2">
      <w:pPr>
        <w:pStyle w:val="NormalNonumber"/>
        <w:ind w:left="2494" w:hanging="1247"/>
      </w:pPr>
      <w:r w:rsidRPr="009C2953">
        <w:tab/>
      </w:r>
      <w:r w:rsidR="001D42AB" w:rsidRPr="009C2953">
        <w:tab/>
        <w:t>c)</w:t>
      </w:r>
      <w:r w:rsidR="001D42AB" w:rsidRPr="009C2953">
        <w:tab/>
      </w:r>
      <w:r w:rsidR="00607B78" w:rsidRPr="009C2953">
        <w:t>Rapport de cadrage pour</w:t>
      </w:r>
      <w:r w:rsidR="00F34644" w:rsidRPr="009C2953">
        <w:t xml:space="preserve"> une </w:t>
      </w:r>
      <w:r w:rsidR="00607B78" w:rsidRPr="009C2953">
        <w:t>deuxième évaluation mondiale de</w:t>
      </w:r>
      <w:r w:rsidR="00F34644" w:rsidRPr="009C2953">
        <w:t xml:space="preserve"> la </w:t>
      </w:r>
      <w:r w:rsidR="00607B78" w:rsidRPr="009C2953">
        <w:t>biodiversité et</w:t>
      </w:r>
      <w:r w:rsidR="00D24DC1" w:rsidRPr="009C2953">
        <w:t xml:space="preserve"> des </w:t>
      </w:r>
      <w:r w:rsidR="00607B78" w:rsidRPr="009C2953">
        <w:t xml:space="preserve">services écosystémiques ; </w:t>
      </w:r>
    </w:p>
    <w:p w14:paraId="54785360" w14:textId="05A170E9" w:rsidR="00607B78" w:rsidRPr="009C2953" w:rsidRDefault="000D47E2" w:rsidP="000D47E2">
      <w:pPr>
        <w:pStyle w:val="NormalNonumber"/>
        <w:ind w:left="2494" w:hanging="1247"/>
      </w:pPr>
      <w:r w:rsidRPr="009C2953">
        <w:tab/>
      </w:r>
      <w:r w:rsidR="001D42AB" w:rsidRPr="009C2953">
        <w:tab/>
        <w:t>d)</w:t>
      </w:r>
      <w:r w:rsidR="001D42AB" w:rsidRPr="009C2953">
        <w:tab/>
      </w:r>
      <w:r w:rsidR="00607B78" w:rsidRPr="009C2953">
        <w:t>Collaboration avec</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w:t>
      </w:r>
    </w:p>
    <w:p w14:paraId="2723783F" w14:textId="5DA4ECAA" w:rsidR="00607B78" w:rsidRPr="009C2953" w:rsidRDefault="001D42AB" w:rsidP="000D47E2">
      <w:pPr>
        <w:pStyle w:val="NormalNonumber"/>
        <w:ind w:left="1871" w:hanging="624"/>
      </w:pPr>
      <w:r w:rsidRPr="009C2953">
        <w:t>8.</w:t>
      </w:r>
      <w:r w:rsidRPr="009C2953">
        <w:tab/>
      </w:r>
      <w:r w:rsidR="00607B78" w:rsidRPr="009C2953">
        <w:t>Renforcement</w:t>
      </w:r>
      <w:r w:rsidR="00D24DC1" w:rsidRPr="009C2953">
        <w:t xml:space="preserve"> des </w:t>
      </w:r>
      <w:r w:rsidR="00607B78" w:rsidRPr="009C2953">
        <w:t>capacités, consolidation de</w:t>
      </w:r>
      <w:r w:rsidR="00F34644" w:rsidRPr="009C2953">
        <w:t xml:space="preserve"> la </w:t>
      </w:r>
      <w:r w:rsidR="00607B78" w:rsidRPr="009C2953">
        <w:t>base de connaissances et appui à l</w:t>
      </w:r>
      <w:r w:rsidR="00EA2966" w:rsidRPr="009C2953">
        <w:t>’</w:t>
      </w:r>
      <w:r w:rsidR="00607B78" w:rsidRPr="009C2953">
        <w:t>élaboration</w:t>
      </w:r>
      <w:r w:rsidR="00D24DC1" w:rsidRPr="009C2953">
        <w:t xml:space="preserve"> des </w:t>
      </w:r>
      <w:r w:rsidR="00607B78" w:rsidRPr="009C2953">
        <w:t>politiques.</w:t>
      </w:r>
    </w:p>
    <w:p w14:paraId="16C8D1B8" w14:textId="052C717B" w:rsidR="00607B78" w:rsidRPr="009C2953" w:rsidRDefault="001D42AB" w:rsidP="001D42AB">
      <w:pPr>
        <w:pStyle w:val="NormalNonumber"/>
      </w:pPr>
      <w:r w:rsidRPr="009C2953">
        <w:t>9.</w:t>
      </w:r>
      <w:r w:rsidRPr="009C2953">
        <w:tab/>
      </w:r>
      <w:r w:rsidR="00607B78" w:rsidRPr="009C2953">
        <w:t>Renforcement de l</w:t>
      </w:r>
      <w:r w:rsidR="00EA2966" w:rsidRPr="009C2953">
        <w:t>’</w:t>
      </w:r>
      <w:r w:rsidR="00607B78" w:rsidRPr="009C2953">
        <w:t>efficacité de</w:t>
      </w:r>
      <w:r w:rsidR="00F34644" w:rsidRPr="009C2953">
        <w:t xml:space="preserve"> la </w:t>
      </w:r>
      <w:r w:rsidR="00607B78" w:rsidRPr="009C2953">
        <w:t>Plateforme.</w:t>
      </w:r>
    </w:p>
    <w:p w14:paraId="3122489A" w14:textId="0C3075A8" w:rsidR="00607B78" w:rsidRPr="009C2953" w:rsidRDefault="001D42AB" w:rsidP="001D42AB">
      <w:pPr>
        <w:pStyle w:val="NormalNonumber"/>
      </w:pPr>
      <w:r w:rsidRPr="009C2953">
        <w:t>10.</w:t>
      </w:r>
      <w:r w:rsidRPr="009C2953">
        <w:tab/>
      </w:r>
      <w:r w:rsidR="00607B78" w:rsidRPr="009C2953">
        <w:t>Organisation</w:t>
      </w:r>
      <w:r w:rsidR="00D24DC1" w:rsidRPr="009C2953">
        <w:t xml:space="preserve"> des </w:t>
      </w:r>
      <w:r w:rsidR="00607B78" w:rsidRPr="009C2953">
        <w:t>travaux de</w:t>
      </w:r>
      <w:r w:rsidR="00F34644" w:rsidRPr="009C2953">
        <w:t xml:space="preserve"> la </w:t>
      </w:r>
      <w:r w:rsidR="00607B78" w:rsidRPr="009C2953">
        <w:t>Plénière et date et lieu de ses futures sessions</w:t>
      </w:r>
    </w:p>
    <w:p w14:paraId="0B47FDBC" w14:textId="3919DAB6" w:rsidR="00607B78" w:rsidRPr="009C2953" w:rsidRDefault="001D42AB" w:rsidP="000D47E2">
      <w:pPr>
        <w:pStyle w:val="NormalNonumber"/>
        <w:ind w:left="1871" w:hanging="624"/>
      </w:pPr>
      <w:r w:rsidRPr="009C2953">
        <w:t>11.</w:t>
      </w:r>
      <w:r w:rsidRPr="009C2953">
        <w:tab/>
      </w:r>
      <w:r w:rsidR="00607B78" w:rsidRPr="009C2953">
        <w:t>Dispositions institutionnelles : dispositions concernant</w:t>
      </w:r>
      <w:r w:rsidR="00F34644" w:rsidRPr="009C2953">
        <w:t xml:space="preserve"> les </w:t>
      </w:r>
      <w:r w:rsidR="00607B78" w:rsidRPr="009C2953">
        <w:t>partenariats de collaboration</w:t>
      </w:r>
      <w:r w:rsidR="00D24DC1" w:rsidRPr="009C2953">
        <w:t xml:space="preserve"> des </w:t>
      </w:r>
      <w:r w:rsidR="00607B78" w:rsidRPr="009C2953">
        <w:t>Nations Unies pour</w:t>
      </w:r>
      <w:r w:rsidR="00F34644" w:rsidRPr="009C2953">
        <w:t xml:space="preserve"> les </w:t>
      </w:r>
      <w:r w:rsidR="00607B78" w:rsidRPr="009C2953">
        <w:t>travaux de</w:t>
      </w:r>
      <w:r w:rsidR="00F34644" w:rsidRPr="009C2953">
        <w:t xml:space="preserve"> la </w:t>
      </w:r>
      <w:r w:rsidR="00607B78" w:rsidRPr="009C2953">
        <w:t>Plateforme et de</w:t>
      </w:r>
      <w:r w:rsidR="00F34644" w:rsidRPr="009C2953">
        <w:t xml:space="preserve"> son </w:t>
      </w:r>
      <w:r w:rsidR="00607B78" w:rsidRPr="009C2953">
        <w:t>secrétariat.</w:t>
      </w:r>
    </w:p>
    <w:p w14:paraId="63DDDB34" w14:textId="47980F10" w:rsidR="00607B78" w:rsidRPr="009C2953" w:rsidRDefault="001D42AB" w:rsidP="001D42AB">
      <w:pPr>
        <w:pStyle w:val="NormalNonumber"/>
      </w:pPr>
      <w:r w:rsidRPr="009C2953">
        <w:t>12.</w:t>
      </w:r>
      <w:r w:rsidRPr="009C2953">
        <w:tab/>
      </w:r>
      <w:r w:rsidR="00607B78" w:rsidRPr="009C2953">
        <w:t>Adoption</w:t>
      </w:r>
      <w:r w:rsidR="00D24DC1" w:rsidRPr="009C2953">
        <w:t xml:space="preserve"> des </w:t>
      </w:r>
      <w:r w:rsidR="00607B78" w:rsidRPr="009C2953">
        <w:t>décisions et du rapport sur</w:t>
      </w:r>
      <w:r w:rsidR="00F34644" w:rsidRPr="009C2953">
        <w:t xml:space="preserve"> les </w:t>
      </w:r>
      <w:r w:rsidR="00607B78" w:rsidRPr="009C2953">
        <w:t>travaux de</w:t>
      </w:r>
      <w:r w:rsidR="00F34644" w:rsidRPr="009C2953">
        <w:t xml:space="preserve"> la </w:t>
      </w:r>
      <w:r w:rsidR="00607B78" w:rsidRPr="009C2953">
        <w:t>session.</w:t>
      </w:r>
    </w:p>
    <w:p w14:paraId="7CE3E958" w14:textId="732830B1" w:rsidR="00607B78" w:rsidRPr="009C2953" w:rsidRDefault="001D42AB" w:rsidP="001D42AB">
      <w:pPr>
        <w:pStyle w:val="NormalNonumber"/>
        <w:sectPr w:rsidR="00607B78" w:rsidRPr="009C2953" w:rsidSect="00603A5E">
          <w:headerReference w:type="first" r:id="rId20"/>
          <w:footerReference w:type="first" r:id="rId21"/>
          <w:footnotePr>
            <w:numRestart w:val="eachSect"/>
          </w:footnotePr>
          <w:pgSz w:w="11907" w:h="16839" w:code="9"/>
          <w:pgMar w:top="907" w:right="992" w:bottom="1418" w:left="1418" w:header="539" w:footer="975" w:gutter="0"/>
          <w:cols w:space="539"/>
          <w:docGrid w:linePitch="360"/>
        </w:sectPr>
      </w:pPr>
      <w:r w:rsidRPr="009C2953">
        <w:t>13.</w:t>
      </w:r>
      <w:r w:rsidRPr="009C2953">
        <w:tab/>
      </w:r>
      <w:r w:rsidR="00607B78" w:rsidRPr="009C2953">
        <w:t>Clôture de</w:t>
      </w:r>
      <w:r w:rsidR="00F34644" w:rsidRPr="009C2953">
        <w:t xml:space="preserve"> la </w:t>
      </w:r>
      <w:r w:rsidR="00607B78" w:rsidRPr="009C2953">
        <w:t xml:space="preserve">session. </w:t>
      </w:r>
    </w:p>
    <w:p w14:paraId="4E7BD71E" w14:textId="5591B704" w:rsidR="00607B78" w:rsidRPr="009C2953" w:rsidRDefault="00607B78" w:rsidP="00607B78">
      <w:pPr>
        <w:pStyle w:val="CH1"/>
      </w:pPr>
      <w:r w:rsidRPr="009C2953">
        <w:lastRenderedPageBreak/>
        <w:tab/>
      </w:r>
      <w:r w:rsidRPr="009C2953">
        <w:tab/>
        <w:t>Annexe II à</w:t>
      </w:r>
      <w:r w:rsidR="00F34644" w:rsidRPr="009C2953">
        <w:t xml:space="preserve"> la </w:t>
      </w:r>
      <w:r w:rsidRPr="009C2953">
        <w:t>décision IPBES-10/2</w:t>
      </w:r>
    </w:p>
    <w:p w14:paraId="7FF8875D" w14:textId="44B9F2CE" w:rsidR="00607B78" w:rsidRPr="009C2953" w:rsidRDefault="00607B78" w:rsidP="00607B78">
      <w:pPr>
        <w:pStyle w:val="CH1"/>
      </w:pPr>
      <w:r w:rsidRPr="009C2953">
        <w:tab/>
      </w:r>
      <w:r w:rsidRPr="009C2953">
        <w:tab/>
        <w:t>Projet d</w:t>
      </w:r>
      <w:r w:rsidR="00EA2966" w:rsidRPr="009C2953">
        <w:t>’</w:t>
      </w:r>
      <w:r w:rsidRPr="009C2953">
        <w:t>ordre du jour provisoire de</w:t>
      </w:r>
      <w:r w:rsidR="00F34644" w:rsidRPr="009C2953">
        <w:t xml:space="preserve"> la </w:t>
      </w:r>
      <w:r w:rsidRPr="009C2953">
        <w:t>douzième session de</w:t>
      </w:r>
      <w:r w:rsidR="00F34644" w:rsidRPr="009C2953">
        <w:t xml:space="preserve"> la </w:t>
      </w:r>
      <w:r w:rsidRPr="009C2953">
        <w:t>Plateforme intergouvernementale scientifique et politique sur</w:t>
      </w:r>
      <w:r w:rsidR="00300C45" w:rsidRPr="009C2953">
        <w:t> </w:t>
      </w:r>
      <w:r w:rsidR="00F34644" w:rsidRPr="009C2953">
        <w:t>la </w:t>
      </w:r>
      <w:r w:rsidRPr="009C2953">
        <w:t>biodiversité et</w:t>
      </w:r>
      <w:r w:rsidR="00F34644" w:rsidRPr="009C2953">
        <w:t xml:space="preserve"> les </w:t>
      </w:r>
      <w:r w:rsidRPr="009C2953">
        <w:t>services écosystémiques</w:t>
      </w:r>
    </w:p>
    <w:p w14:paraId="7C6E0972" w14:textId="37C8138C" w:rsidR="00607B78" w:rsidRPr="009C2953" w:rsidRDefault="00300C45" w:rsidP="00300C45">
      <w:pPr>
        <w:pStyle w:val="NormalNonumber"/>
      </w:pPr>
      <w:r w:rsidRPr="009C2953">
        <w:t>1.</w:t>
      </w:r>
      <w:r w:rsidRPr="009C2953">
        <w:tab/>
      </w:r>
      <w:r w:rsidR="00607B78" w:rsidRPr="009C2953">
        <w:t>Ouverture de</w:t>
      </w:r>
      <w:r w:rsidR="00F34644" w:rsidRPr="009C2953">
        <w:t xml:space="preserve"> la </w:t>
      </w:r>
      <w:r w:rsidR="00607B78" w:rsidRPr="009C2953">
        <w:t>session.</w:t>
      </w:r>
    </w:p>
    <w:p w14:paraId="246D54A0" w14:textId="437A5317" w:rsidR="00607B78" w:rsidRPr="009C2953" w:rsidRDefault="00300C45" w:rsidP="00300C45">
      <w:pPr>
        <w:pStyle w:val="NormalNonumber"/>
      </w:pPr>
      <w:r w:rsidRPr="009C2953">
        <w:t>2.</w:t>
      </w:r>
      <w:r w:rsidRPr="009C2953">
        <w:tab/>
      </w:r>
      <w:r w:rsidR="00607B78" w:rsidRPr="009C2953">
        <w:t>Questions d</w:t>
      </w:r>
      <w:r w:rsidR="00EA2966" w:rsidRPr="009C2953">
        <w:t>’</w:t>
      </w:r>
      <w:r w:rsidR="00607B78" w:rsidRPr="009C2953">
        <w:t>organisation :</w:t>
      </w:r>
    </w:p>
    <w:p w14:paraId="11543B7F" w14:textId="0F97B980" w:rsidR="00607B78" w:rsidRPr="009C2953" w:rsidRDefault="00300C45" w:rsidP="00300C45">
      <w:pPr>
        <w:pStyle w:val="NormalNonumber"/>
      </w:pPr>
      <w:r w:rsidRPr="009C2953">
        <w:tab/>
        <w:t>a)</w:t>
      </w:r>
      <w:r w:rsidRPr="009C2953">
        <w:tab/>
      </w:r>
      <w:r w:rsidR="00607B78" w:rsidRPr="009C2953">
        <w:t>Adoption de l</w:t>
      </w:r>
      <w:r w:rsidR="00EA2966" w:rsidRPr="009C2953">
        <w:t>’</w:t>
      </w:r>
      <w:r w:rsidR="00607B78" w:rsidRPr="009C2953">
        <w:t>ordre du jour et organisation</w:t>
      </w:r>
      <w:r w:rsidR="00D24DC1" w:rsidRPr="009C2953">
        <w:t xml:space="preserve"> des </w:t>
      </w:r>
      <w:r w:rsidR="00607B78" w:rsidRPr="009C2953">
        <w:t>travaux ;</w:t>
      </w:r>
    </w:p>
    <w:p w14:paraId="677B218B" w14:textId="08424AFB" w:rsidR="00607B78" w:rsidRPr="009C2953" w:rsidRDefault="00300C45" w:rsidP="00300C45">
      <w:pPr>
        <w:pStyle w:val="NormalNonumber"/>
      </w:pPr>
      <w:r w:rsidRPr="009C2953">
        <w:tab/>
        <w:t>b)</w:t>
      </w:r>
      <w:r w:rsidRPr="009C2953">
        <w:tab/>
      </w:r>
      <w:r w:rsidR="00607B78" w:rsidRPr="009C2953">
        <w:t>Composition de</w:t>
      </w:r>
      <w:r w:rsidR="00F34644" w:rsidRPr="009C2953">
        <w:t xml:space="preserve"> la </w:t>
      </w:r>
      <w:r w:rsidR="00607B78" w:rsidRPr="009C2953">
        <w:t xml:space="preserve">Plateforme ; </w:t>
      </w:r>
    </w:p>
    <w:p w14:paraId="79C2CA5A" w14:textId="3E5B5AF6" w:rsidR="00607B78" w:rsidRPr="009C2953" w:rsidRDefault="00300C45" w:rsidP="00300C45">
      <w:pPr>
        <w:pStyle w:val="NormalNonumber"/>
      </w:pPr>
      <w:r w:rsidRPr="009C2953">
        <w:tab/>
        <w:t>c)</w:t>
      </w:r>
      <w:r w:rsidRPr="009C2953">
        <w:tab/>
      </w:r>
      <w:r w:rsidR="00607B78" w:rsidRPr="009C2953">
        <w:t>Élection du bureau.</w:t>
      </w:r>
    </w:p>
    <w:p w14:paraId="40D9DE60" w14:textId="789A953B" w:rsidR="00607B78" w:rsidRPr="009C2953" w:rsidRDefault="00300C45" w:rsidP="00300C45">
      <w:pPr>
        <w:pStyle w:val="NormalNonumber"/>
      </w:pPr>
      <w:r w:rsidRPr="009C2953">
        <w:t>3.</w:t>
      </w:r>
      <w:r w:rsidRPr="009C2953">
        <w:tab/>
      </w:r>
      <w:r w:rsidR="00607B78" w:rsidRPr="009C2953">
        <w:t>Admission d</w:t>
      </w:r>
      <w:r w:rsidR="00EA2966" w:rsidRPr="009C2953">
        <w:t>’</w:t>
      </w:r>
      <w:r w:rsidR="00607B78" w:rsidRPr="009C2953">
        <w:t>observateurs.</w:t>
      </w:r>
    </w:p>
    <w:p w14:paraId="0134D023" w14:textId="0E2BC97A" w:rsidR="00607B78" w:rsidRPr="009C2953" w:rsidRDefault="00300C45" w:rsidP="00300C45">
      <w:pPr>
        <w:pStyle w:val="NormalNonumber"/>
      </w:pPr>
      <w:r w:rsidRPr="009C2953">
        <w:t>4.</w:t>
      </w:r>
      <w:r w:rsidRPr="009C2953">
        <w:tab/>
      </w:r>
      <w:r w:rsidR="00607B78" w:rsidRPr="009C2953">
        <w:t>Vérification</w:t>
      </w:r>
      <w:r w:rsidR="00D24DC1" w:rsidRPr="009C2953">
        <w:t xml:space="preserve"> des </w:t>
      </w:r>
      <w:r w:rsidR="00607B78" w:rsidRPr="009C2953">
        <w:t>pouvoirs</w:t>
      </w:r>
      <w:r w:rsidR="00D24DC1" w:rsidRPr="009C2953">
        <w:t xml:space="preserve"> des </w:t>
      </w:r>
      <w:r w:rsidR="00607B78" w:rsidRPr="009C2953">
        <w:t>représentantes et</w:t>
      </w:r>
      <w:r w:rsidR="00D24DC1" w:rsidRPr="009C2953">
        <w:t xml:space="preserve"> des </w:t>
      </w:r>
      <w:r w:rsidR="00607B78" w:rsidRPr="009C2953">
        <w:t>représentants.</w:t>
      </w:r>
    </w:p>
    <w:p w14:paraId="62217839" w14:textId="2DB74772" w:rsidR="00607B78" w:rsidRPr="009C2953" w:rsidRDefault="00300C45" w:rsidP="000D47E2">
      <w:pPr>
        <w:pStyle w:val="NormalNonumber"/>
        <w:ind w:left="1871" w:hanging="624"/>
      </w:pPr>
      <w:r w:rsidRPr="009C2953">
        <w:t>5.</w:t>
      </w:r>
      <w:r w:rsidRPr="009C2953">
        <w:tab/>
      </w:r>
      <w:r w:rsidR="00607B78" w:rsidRPr="009C2953">
        <w:t>Rapport de</w:t>
      </w:r>
      <w:r w:rsidR="00F34644" w:rsidRPr="009C2953">
        <w:t xml:space="preserve"> la </w:t>
      </w:r>
      <w:r w:rsidR="00607B78" w:rsidRPr="009C2953">
        <w:t>Secrétaire exécutive sur</w:t>
      </w:r>
      <w:r w:rsidR="00F34644" w:rsidRPr="009C2953">
        <w:t xml:space="preserve"> les </w:t>
      </w:r>
      <w:r w:rsidR="00607B78" w:rsidRPr="009C2953">
        <w:t>progrès dans</w:t>
      </w:r>
      <w:r w:rsidR="00F34644" w:rsidRPr="009C2953">
        <w:t xml:space="preserve"> la </w:t>
      </w:r>
      <w:r w:rsidR="00607B78" w:rsidRPr="009C2953">
        <w:t>mise en œuvre du programme de</w:t>
      </w:r>
      <w:r w:rsidR="002E6973" w:rsidRPr="009C2953">
        <w:t> </w:t>
      </w:r>
      <w:r w:rsidR="00607B78" w:rsidRPr="009C2953">
        <w:t>travail glissant pour</w:t>
      </w:r>
      <w:r w:rsidR="00F34644" w:rsidRPr="009C2953">
        <w:t xml:space="preserve"> la </w:t>
      </w:r>
      <w:r w:rsidR="00607B78" w:rsidRPr="009C2953">
        <w:t>période allant jusqu</w:t>
      </w:r>
      <w:r w:rsidR="00EA2966" w:rsidRPr="009C2953">
        <w:t>’</w:t>
      </w:r>
      <w:r w:rsidR="00607B78" w:rsidRPr="009C2953">
        <w:t>en 2030.</w:t>
      </w:r>
    </w:p>
    <w:p w14:paraId="390E14AD" w14:textId="6A3BAFB4" w:rsidR="00607B78" w:rsidRPr="009C2953" w:rsidRDefault="00300C45" w:rsidP="00300C45">
      <w:pPr>
        <w:pStyle w:val="NormalNonumber"/>
      </w:pPr>
      <w:r w:rsidRPr="009C2953">
        <w:t>6.</w:t>
      </w:r>
      <w:r w:rsidRPr="009C2953">
        <w:tab/>
      </w:r>
      <w:r w:rsidR="00607B78" w:rsidRPr="009C2953">
        <w:t>Dispositifs financiers et budgétaires pour</w:t>
      </w:r>
      <w:r w:rsidR="00F34644" w:rsidRPr="009C2953">
        <w:t xml:space="preserve"> la </w:t>
      </w:r>
      <w:r w:rsidR="00607B78" w:rsidRPr="009C2953">
        <w:t>Plateforme.</w:t>
      </w:r>
    </w:p>
    <w:p w14:paraId="6C3BFA5A" w14:textId="5DEB0605" w:rsidR="00607B78" w:rsidRPr="009C2953" w:rsidRDefault="00300C45" w:rsidP="00300C45">
      <w:pPr>
        <w:pStyle w:val="NormalNonumber"/>
      </w:pPr>
      <w:r w:rsidRPr="009C2953">
        <w:t>7.</w:t>
      </w:r>
      <w:r w:rsidRPr="009C2953">
        <w:tab/>
      </w:r>
      <w:r w:rsidR="00607B78" w:rsidRPr="009C2953">
        <w:t>Évaluation</w:t>
      </w:r>
      <w:r w:rsidR="00D24DC1" w:rsidRPr="009C2953">
        <w:t xml:space="preserve"> des </w:t>
      </w:r>
      <w:r w:rsidR="00607B78" w:rsidRPr="009C2953">
        <w:t>connaissances :</w:t>
      </w:r>
    </w:p>
    <w:p w14:paraId="54002FCD" w14:textId="48152D27" w:rsidR="00607B78" w:rsidRPr="009C2953" w:rsidRDefault="000D47E2" w:rsidP="000D47E2">
      <w:pPr>
        <w:pStyle w:val="NormalNonumber"/>
        <w:ind w:left="2494" w:hanging="1247"/>
      </w:pPr>
      <w:r w:rsidRPr="009C2953">
        <w:tab/>
      </w:r>
      <w:r w:rsidR="00300C45" w:rsidRPr="009C2953">
        <w:tab/>
        <w:t>a)</w:t>
      </w:r>
      <w:r w:rsidR="00300C45" w:rsidRPr="009C2953">
        <w:tab/>
      </w:r>
      <w:r w:rsidR="00607B78" w:rsidRPr="009C2953">
        <w:t>Évaluation méthodologique</w:t>
      </w:r>
      <w:r w:rsidR="00D24DC1" w:rsidRPr="009C2953">
        <w:t xml:space="preserve"> des </w:t>
      </w:r>
      <w:r w:rsidR="00607B78" w:rsidRPr="009C2953">
        <w:t>conséquences de l</w:t>
      </w:r>
      <w:r w:rsidR="00EA2966" w:rsidRPr="009C2953">
        <w:t>’</w:t>
      </w:r>
      <w:r w:rsidR="00607B78" w:rsidRPr="009C2953">
        <w:t>activité</w:t>
      </w:r>
      <w:r w:rsidR="00D24DC1" w:rsidRPr="009C2953">
        <w:t xml:space="preserve"> des </w:t>
      </w:r>
      <w:r w:rsidR="00607B78" w:rsidRPr="009C2953">
        <w:t>entreprises sur</w:t>
      </w:r>
      <w:r w:rsidR="00F34644" w:rsidRPr="009C2953">
        <w:t xml:space="preserve"> la </w:t>
      </w:r>
      <w:r w:rsidR="00607B78" w:rsidRPr="009C2953">
        <w:t>biodiversité et sur</w:t>
      </w:r>
      <w:r w:rsidR="00F34644" w:rsidRPr="009C2953">
        <w:t xml:space="preserve"> les </w:t>
      </w:r>
      <w:r w:rsidR="00607B78" w:rsidRPr="009C2953">
        <w:t>contributions de</w:t>
      </w:r>
      <w:r w:rsidR="00F34644" w:rsidRPr="009C2953">
        <w:t xml:space="preserve"> la </w:t>
      </w:r>
      <w:r w:rsidR="00607B78" w:rsidRPr="009C2953">
        <w:t>nature</w:t>
      </w:r>
      <w:r w:rsidR="00F34644" w:rsidRPr="009C2953">
        <w:t xml:space="preserve"> aux </w:t>
      </w:r>
      <w:r w:rsidR="00607B78" w:rsidRPr="009C2953">
        <w:t>populations et de</w:t>
      </w:r>
      <w:r w:rsidR="00F34644" w:rsidRPr="009C2953">
        <w:t xml:space="preserve"> la </w:t>
      </w:r>
      <w:r w:rsidR="00607B78" w:rsidRPr="009C2953">
        <w:t>dépendance</w:t>
      </w:r>
      <w:r w:rsidR="00D24DC1" w:rsidRPr="009C2953">
        <w:t xml:space="preserve"> des </w:t>
      </w:r>
      <w:r w:rsidR="00607B78" w:rsidRPr="009C2953">
        <w:t>entreprises à</w:t>
      </w:r>
      <w:r w:rsidR="00F34644" w:rsidRPr="009C2953">
        <w:t xml:space="preserve"> leur </w:t>
      </w:r>
      <w:r w:rsidR="00607B78" w:rsidRPr="009C2953">
        <w:t>égard ;</w:t>
      </w:r>
    </w:p>
    <w:p w14:paraId="2636B4E6" w14:textId="7E6FFEE7" w:rsidR="00607B78" w:rsidRPr="009C2953" w:rsidRDefault="00300C45" w:rsidP="00300C45">
      <w:pPr>
        <w:pStyle w:val="NormalNonumber"/>
      </w:pPr>
      <w:r w:rsidRPr="009C2953">
        <w:tab/>
        <w:t>b)</w:t>
      </w:r>
      <w:r w:rsidRPr="009C2953">
        <w:tab/>
      </w:r>
      <w:r w:rsidR="00607B78" w:rsidRPr="009C2953">
        <w:t>Collaboration avec</w:t>
      </w:r>
      <w:r w:rsidR="00F34644" w:rsidRPr="009C2953">
        <w:t xml:space="preserve"> le </w:t>
      </w:r>
      <w:r w:rsidR="00607B78" w:rsidRPr="009C2953">
        <w:t>Groupe d</w:t>
      </w:r>
      <w:r w:rsidR="00EA2966" w:rsidRPr="009C2953">
        <w:t>’</w:t>
      </w:r>
      <w:r w:rsidR="00607B78" w:rsidRPr="009C2953">
        <w:t>experts intergouvernemental sur l</w:t>
      </w:r>
      <w:r w:rsidR="00EA2966" w:rsidRPr="009C2953">
        <w:t>’</w:t>
      </w:r>
      <w:r w:rsidR="00607B78" w:rsidRPr="009C2953">
        <w:t>évolution du climat.</w:t>
      </w:r>
    </w:p>
    <w:p w14:paraId="1BC6A4D6" w14:textId="03B945D7" w:rsidR="00607B78" w:rsidRPr="009C2953" w:rsidRDefault="00300C45" w:rsidP="000D47E2">
      <w:pPr>
        <w:pStyle w:val="NormalNonumber"/>
        <w:ind w:left="1871" w:hanging="624"/>
      </w:pPr>
      <w:r w:rsidRPr="009C2953">
        <w:t>8.</w:t>
      </w:r>
      <w:r w:rsidRPr="009C2953">
        <w:tab/>
      </w:r>
      <w:r w:rsidR="00607B78" w:rsidRPr="009C2953">
        <w:t>Renforcement</w:t>
      </w:r>
      <w:r w:rsidR="00D24DC1" w:rsidRPr="009C2953">
        <w:t xml:space="preserve"> des </w:t>
      </w:r>
      <w:r w:rsidR="00607B78" w:rsidRPr="009C2953">
        <w:t>capacités, consolidation de</w:t>
      </w:r>
      <w:r w:rsidR="00F34644" w:rsidRPr="009C2953">
        <w:t xml:space="preserve"> la </w:t>
      </w:r>
      <w:r w:rsidR="00607B78" w:rsidRPr="009C2953">
        <w:t>base de connaissances et appui à l</w:t>
      </w:r>
      <w:r w:rsidR="00EA2966" w:rsidRPr="009C2953">
        <w:t>’</w:t>
      </w:r>
      <w:r w:rsidR="00607B78" w:rsidRPr="009C2953">
        <w:t>élaboration</w:t>
      </w:r>
      <w:r w:rsidR="00D24DC1" w:rsidRPr="009C2953">
        <w:t xml:space="preserve"> des </w:t>
      </w:r>
      <w:r w:rsidR="00607B78" w:rsidRPr="009C2953">
        <w:t>politiques.</w:t>
      </w:r>
    </w:p>
    <w:p w14:paraId="2EAE71F2" w14:textId="5403DA35" w:rsidR="00607B78" w:rsidRPr="009C2953" w:rsidRDefault="00300C45" w:rsidP="00300C45">
      <w:pPr>
        <w:pStyle w:val="NormalNonumber"/>
      </w:pPr>
      <w:r w:rsidRPr="009C2953">
        <w:t>9.</w:t>
      </w:r>
      <w:r w:rsidRPr="009C2953">
        <w:tab/>
      </w:r>
      <w:r w:rsidR="00607B78" w:rsidRPr="009C2953">
        <w:t>Renforcement de l</w:t>
      </w:r>
      <w:r w:rsidR="00EA2966" w:rsidRPr="009C2953">
        <w:t>’</w:t>
      </w:r>
      <w:r w:rsidR="00607B78" w:rsidRPr="009C2953">
        <w:t>efficacité de</w:t>
      </w:r>
      <w:r w:rsidR="00F34644" w:rsidRPr="009C2953">
        <w:t xml:space="preserve"> la </w:t>
      </w:r>
      <w:r w:rsidR="00607B78" w:rsidRPr="009C2953">
        <w:t>Plateforme.</w:t>
      </w:r>
    </w:p>
    <w:p w14:paraId="75562056" w14:textId="2F1626BD" w:rsidR="00607B78" w:rsidRPr="009C2953" w:rsidRDefault="00300C45" w:rsidP="00300C45">
      <w:pPr>
        <w:pStyle w:val="NormalNonumber"/>
      </w:pPr>
      <w:r w:rsidRPr="009C2953">
        <w:t>10.</w:t>
      </w:r>
      <w:r w:rsidRPr="009C2953">
        <w:tab/>
      </w:r>
      <w:r w:rsidR="00607B78" w:rsidRPr="009C2953">
        <w:t>Organisation</w:t>
      </w:r>
      <w:r w:rsidR="00D24DC1" w:rsidRPr="009C2953">
        <w:t xml:space="preserve"> des </w:t>
      </w:r>
      <w:r w:rsidR="00607B78" w:rsidRPr="009C2953">
        <w:t>travaux de</w:t>
      </w:r>
      <w:r w:rsidR="00F34644" w:rsidRPr="009C2953">
        <w:t xml:space="preserve"> la </w:t>
      </w:r>
      <w:r w:rsidR="00607B78" w:rsidRPr="009C2953">
        <w:t>Plénière et date et lieu de ses futures sessions</w:t>
      </w:r>
    </w:p>
    <w:p w14:paraId="042371C4" w14:textId="76065083" w:rsidR="00607B78" w:rsidRPr="009C2953" w:rsidRDefault="00300C45" w:rsidP="000D47E2">
      <w:pPr>
        <w:pStyle w:val="NormalNonumber"/>
        <w:ind w:left="1871" w:hanging="624"/>
      </w:pPr>
      <w:r w:rsidRPr="009C2953">
        <w:t>11.</w:t>
      </w:r>
      <w:r w:rsidRPr="009C2953">
        <w:tab/>
      </w:r>
      <w:r w:rsidR="00607B78" w:rsidRPr="009C2953">
        <w:t>Dispositions institutionnelles : dispositions concernant</w:t>
      </w:r>
      <w:r w:rsidR="00F34644" w:rsidRPr="009C2953">
        <w:t xml:space="preserve"> les </w:t>
      </w:r>
      <w:r w:rsidR="00607B78" w:rsidRPr="009C2953">
        <w:t>partenariats de collaboration</w:t>
      </w:r>
      <w:r w:rsidR="00D24DC1" w:rsidRPr="009C2953">
        <w:t xml:space="preserve"> des </w:t>
      </w:r>
      <w:r w:rsidR="00607B78" w:rsidRPr="009C2953">
        <w:t>Nations Unies pour</w:t>
      </w:r>
      <w:r w:rsidR="00F34644" w:rsidRPr="009C2953">
        <w:t xml:space="preserve"> les </w:t>
      </w:r>
      <w:r w:rsidR="00607B78" w:rsidRPr="009C2953">
        <w:t>travaux de</w:t>
      </w:r>
      <w:r w:rsidR="00F34644" w:rsidRPr="009C2953">
        <w:t xml:space="preserve"> la </w:t>
      </w:r>
      <w:r w:rsidR="00607B78" w:rsidRPr="009C2953">
        <w:t>Plateforme et de</w:t>
      </w:r>
      <w:r w:rsidR="00F34644" w:rsidRPr="009C2953">
        <w:t xml:space="preserve"> son </w:t>
      </w:r>
      <w:r w:rsidR="00607B78" w:rsidRPr="009C2953">
        <w:t>secrétariat.</w:t>
      </w:r>
    </w:p>
    <w:p w14:paraId="5ED01CAE" w14:textId="24A1DBA8" w:rsidR="00607B78" w:rsidRPr="009C2953" w:rsidRDefault="00300C45" w:rsidP="00300C45">
      <w:pPr>
        <w:pStyle w:val="NormalNonumber"/>
      </w:pPr>
      <w:r w:rsidRPr="009C2953">
        <w:t>12.</w:t>
      </w:r>
      <w:r w:rsidRPr="009C2953">
        <w:tab/>
      </w:r>
      <w:r w:rsidR="00607B78" w:rsidRPr="009C2953">
        <w:t>Adoption</w:t>
      </w:r>
      <w:r w:rsidR="00D24DC1" w:rsidRPr="009C2953">
        <w:t xml:space="preserve"> des </w:t>
      </w:r>
      <w:r w:rsidR="00607B78" w:rsidRPr="009C2953">
        <w:t>décisions et du rapport sur</w:t>
      </w:r>
      <w:r w:rsidR="00F34644" w:rsidRPr="009C2953">
        <w:t xml:space="preserve"> les </w:t>
      </w:r>
      <w:r w:rsidR="00607B78" w:rsidRPr="009C2953">
        <w:t>travaux de</w:t>
      </w:r>
      <w:r w:rsidR="00F34644" w:rsidRPr="009C2953">
        <w:t xml:space="preserve"> la </w:t>
      </w:r>
      <w:r w:rsidR="00607B78" w:rsidRPr="009C2953">
        <w:t>session.</w:t>
      </w:r>
    </w:p>
    <w:p w14:paraId="097B41F7" w14:textId="624A60AA" w:rsidR="00607B78" w:rsidRPr="009C2953" w:rsidRDefault="00300C45" w:rsidP="00300C45">
      <w:pPr>
        <w:pStyle w:val="NormalNonumber"/>
        <w:sectPr w:rsidR="00607B78" w:rsidRPr="009C2953" w:rsidSect="00603A5E">
          <w:footnotePr>
            <w:numRestart w:val="eachSect"/>
          </w:footnotePr>
          <w:pgSz w:w="11907" w:h="16839"/>
          <w:pgMar w:top="907" w:right="992" w:bottom="1418" w:left="1418" w:header="539" w:footer="975" w:gutter="0"/>
          <w:cols w:space="720"/>
          <w:docGrid w:linePitch="272"/>
        </w:sectPr>
      </w:pPr>
      <w:r w:rsidRPr="009C2953">
        <w:t>13.</w:t>
      </w:r>
      <w:r w:rsidRPr="009C2953">
        <w:tab/>
      </w:r>
      <w:r w:rsidR="00607B78" w:rsidRPr="009C2953">
        <w:t>Clôture de</w:t>
      </w:r>
      <w:r w:rsidR="00F34644" w:rsidRPr="009C2953">
        <w:t xml:space="preserve"> la </w:t>
      </w:r>
      <w:r w:rsidR="00607B78" w:rsidRPr="009C2953">
        <w:t>session.</w:t>
      </w:r>
    </w:p>
    <w:p w14:paraId="589E66DD" w14:textId="41338495" w:rsidR="00607B78" w:rsidRPr="009C2953" w:rsidRDefault="00607B78" w:rsidP="00607B78">
      <w:pPr>
        <w:pStyle w:val="CH1"/>
      </w:pPr>
      <w:r w:rsidRPr="009C2953">
        <w:lastRenderedPageBreak/>
        <w:tab/>
      </w:r>
      <w:r w:rsidRPr="009C2953">
        <w:tab/>
        <w:t>Décision IPBES-10/3 : Dispositifs financiers et budgétaires pour</w:t>
      </w:r>
      <w:r w:rsidR="00472003" w:rsidRPr="009C2953">
        <w:t> </w:t>
      </w:r>
      <w:r w:rsidR="00F34644" w:rsidRPr="009C2953">
        <w:t>la </w:t>
      </w:r>
      <w:r w:rsidRPr="009C2953">
        <w:t>Plateforme</w:t>
      </w:r>
    </w:p>
    <w:p w14:paraId="4FDD06B9" w14:textId="578AE0BA" w:rsidR="00607B78" w:rsidRPr="009C2953" w:rsidRDefault="000D47E2" w:rsidP="000D47E2">
      <w:pPr>
        <w:pStyle w:val="NormalNonumber"/>
        <w:rPr>
          <w:i/>
          <w:iCs/>
        </w:rPr>
      </w:pPr>
      <w:r w:rsidRPr="009C2953">
        <w:rPr>
          <w:i/>
        </w:rPr>
        <w:tab/>
      </w:r>
      <w:r w:rsidR="00607B78" w:rsidRPr="009C2953">
        <w:rPr>
          <w:i/>
        </w:rPr>
        <w:t>La Plénière,</w:t>
      </w:r>
    </w:p>
    <w:p w14:paraId="6D57CA43" w14:textId="097B814E" w:rsidR="00607B78" w:rsidRPr="009C2953" w:rsidRDefault="000D47E2" w:rsidP="000D47E2">
      <w:pPr>
        <w:pStyle w:val="NormalNonumber"/>
      </w:pPr>
      <w:r w:rsidRPr="009C2953">
        <w:rPr>
          <w:i/>
        </w:rPr>
        <w:tab/>
      </w:r>
      <w:r w:rsidR="00607B78" w:rsidRPr="009C2953">
        <w:rPr>
          <w:i/>
        </w:rPr>
        <w:t>Se félicitant</w:t>
      </w:r>
      <w:r w:rsidR="00D24DC1" w:rsidRPr="009C2953">
        <w:t xml:space="preserve"> des </w:t>
      </w:r>
      <w:r w:rsidR="00607B78" w:rsidRPr="009C2953">
        <w:t>contributions en espèces et en nature reçues depuis</w:t>
      </w:r>
      <w:r w:rsidR="00F34644" w:rsidRPr="009C2953">
        <w:t xml:space="preserve"> sa </w:t>
      </w:r>
      <w:r w:rsidR="00607B78" w:rsidRPr="009C2953">
        <w:t>neuvième session,</w:t>
      </w:r>
    </w:p>
    <w:p w14:paraId="5BF74B1F" w14:textId="56EEF9A7" w:rsidR="00607B78" w:rsidRPr="009C2953" w:rsidRDefault="000D47E2" w:rsidP="000D47E2">
      <w:pPr>
        <w:pStyle w:val="NormalNonumber"/>
      </w:pPr>
      <w:r w:rsidRPr="009C2953">
        <w:rPr>
          <w:i/>
        </w:rPr>
        <w:tab/>
      </w:r>
      <w:r w:rsidR="00607B78" w:rsidRPr="009C2953">
        <w:rPr>
          <w:i/>
        </w:rPr>
        <w:t xml:space="preserve">Prenant note </w:t>
      </w:r>
      <w:r w:rsidR="00607B78" w:rsidRPr="009C2953">
        <w:t>de l</w:t>
      </w:r>
      <w:r w:rsidR="00EA2966" w:rsidRPr="009C2953">
        <w:t>’</w:t>
      </w:r>
      <w:r w:rsidR="00607B78" w:rsidRPr="009C2953">
        <w:t>état</w:t>
      </w:r>
      <w:r w:rsidR="00D24DC1" w:rsidRPr="009C2953">
        <w:t xml:space="preserve"> des </w:t>
      </w:r>
      <w:r w:rsidR="00607B78" w:rsidRPr="009C2953">
        <w:t>contributions en espèces et en nature reçues à ce jour, qui figure dans</w:t>
      </w:r>
      <w:r w:rsidR="00F34644" w:rsidRPr="009C2953">
        <w:t xml:space="preserve"> les </w:t>
      </w:r>
      <w:r w:rsidR="00607B78" w:rsidRPr="009C2953">
        <w:t>tableaux 1, 2 et 3 de l</w:t>
      </w:r>
      <w:r w:rsidR="00EA2966" w:rsidRPr="009C2953">
        <w:t>’</w:t>
      </w:r>
      <w:r w:rsidR="00607B78" w:rsidRPr="009C2953">
        <w:t>annexe à</w:t>
      </w:r>
      <w:r w:rsidR="00F34644" w:rsidRPr="009C2953">
        <w:t xml:space="preserve"> la </w:t>
      </w:r>
      <w:r w:rsidR="00607B78" w:rsidRPr="009C2953">
        <w:t>présente décision,</w:t>
      </w:r>
    </w:p>
    <w:p w14:paraId="3909DBEC" w14:textId="3F94D382" w:rsidR="00607B78" w:rsidRPr="009C2953" w:rsidRDefault="000D47E2" w:rsidP="000D47E2">
      <w:pPr>
        <w:pStyle w:val="NormalNonumber"/>
      </w:pPr>
      <w:r w:rsidRPr="009C2953">
        <w:rPr>
          <w:i/>
        </w:rPr>
        <w:tab/>
      </w:r>
      <w:r w:rsidR="00607B78" w:rsidRPr="009C2953">
        <w:rPr>
          <w:i/>
        </w:rPr>
        <w:t>Prenant également note</w:t>
      </w:r>
      <w:r w:rsidR="00D24DC1" w:rsidRPr="009C2953">
        <w:t xml:space="preserve"> des </w:t>
      </w:r>
      <w:r w:rsidR="00607B78" w:rsidRPr="009C2953">
        <w:t>contributions annoncées pour</w:t>
      </w:r>
      <w:r w:rsidR="00F34644" w:rsidRPr="009C2953">
        <w:t xml:space="preserve"> la </w:t>
      </w:r>
      <w:r w:rsidR="00607B78" w:rsidRPr="009C2953">
        <w:t>période allant au-delà de 2023,</w:t>
      </w:r>
    </w:p>
    <w:p w14:paraId="4A46C9A5" w14:textId="1588B7C3" w:rsidR="00607B78" w:rsidRPr="009C2953" w:rsidRDefault="000D47E2" w:rsidP="000D47E2">
      <w:pPr>
        <w:pStyle w:val="NormalNonumber"/>
      </w:pPr>
      <w:r w:rsidRPr="009C2953">
        <w:rPr>
          <w:i/>
        </w:rPr>
        <w:tab/>
      </w:r>
      <w:r w:rsidR="00607B78" w:rsidRPr="009C2953">
        <w:rPr>
          <w:i/>
        </w:rPr>
        <w:t>Prenant note avec préoccupation</w:t>
      </w:r>
      <w:r w:rsidR="00607B78" w:rsidRPr="009C2953">
        <w:t xml:space="preserve"> du nombre limité de membres de</w:t>
      </w:r>
      <w:r w:rsidR="00F34644" w:rsidRPr="009C2953">
        <w:t xml:space="preserve"> la </w:t>
      </w:r>
      <w:r w:rsidR="00607B78" w:rsidRPr="009C2953">
        <w:t>Plateforme qui contribuent à</w:t>
      </w:r>
      <w:r w:rsidR="00F34644" w:rsidRPr="009C2953">
        <w:t xml:space="preserve"> son </w:t>
      </w:r>
      <w:r w:rsidR="00607B78" w:rsidRPr="009C2953">
        <w:t>fonds d</w:t>
      </w:r>
      <w:r w:rsidR="00EA2966" w:rsidRPr="009C2953">
        <w:t>’</w:t>
      </w:r>
      <w:r w:rsidR="00607B78" w:rsidRPr="009C2953">
        <w:t>affectation spéciale,</w:t>
      </w:r>
    </w:p>
    <w:p w14:paraId="18B2A1C6" w14:textId="613072B4" w:rsidR="00607B78" w:rsidRPr="009C2953" w:rsidRDefault="000D47E2" w:rsidP="000D47E2">
      <w:pPr>
        <w:pStyle w:val="NormalNonumber"/>
      </w:pPr>
      <w:r w:rsidRPr="009C2953">
        <w:rPr>
          <w:i/>
        </w:rPr>
        <w:tab/>
      </w:r>
      <w:r w:rsidR="00607B78" w:rsidRPr="009C2953">
        <w:rPr>
          <w:i/>
        </w:rPr>
        <w:t>Notant</w:t>
      </w:r>
      <w:r w:rsidR="00607B78" w:rsidRPr="009C2953">
        <w:t xml:space="preserve"> qu</w:t>
      </w:r>
      <w:r w:rsidR="00EA2966" w:rsidRPr="009C2953">
        <w:t>’</w:t>
      </w:r>
      <w:r w:rsidR="00607B78" w:rsidRPr="009C2953">
        <w:t>il est nécessaire d</w:t>
      </w:r>
      <w:r w:rsidR="00EA2966" w:rsidRPr="009C2953">
        <w:t>’</w:t>
      </w:r>
      <w:r w:rsidR="00607B78" w:rsidRPr="009C2953">
        <w:t>augmenter</w:t>
      </w:r>
      <w:r w:rsidR="00F34644" w:rsidRPr="009C2953">
        <w:t xml:space="preserve"> le </w:t>
      </w:r>
      <w:r w:rsidR="00607B78" w:rsidRPr="009C2953">
        <w:t>montant</w:t>
      </w:r>
      <w:r w:rsidR="00D24DC1" w:rsidRPr="009C2953">
        <w:t xml:space="preserve"> des </w:t>
      </w:r>
      <w:r w:rsidR="00607B78" w:rsidRPr="009C2953">
        <w:t>fonds collectés pour mettre en œuvre</w:t>
      </w:r>
      <w:r w:rsidR="00F34644" w:rsidRPr="009C2953">
        <w:t xml:space="preserve"> le </w:t>
      </w:r>
      <w:r w:rsidR="00607B78" w:rsidRPr="009C2953">
        <w:t>programme de travail glissant pour</w:t>
      </w:r>
      <w:r w:rsidR="00F34644" w:rsidRPr="009C2953">
        <w:t xml:space="preserve"> la </w:t>
      </w:r>
      <w:r w:rsidR="00607B78" w:rsidRPr="009C2953">
        <w:t>période allant jusqu</w:t>
      </w:r>
      <w:r w:rsidR="00EA2966" w:rsidRPr="009C2953">
        <w:t>’</w:t>
      </w:r>
      <w:r w:rsidR="00607B78" w:rsidRPr="009C2953">
        <w:t>en 2030 et pour assurer</w:t>
      </w:r>
      <w:r w:rsidR="00F34644" w:rsidRPr="009C2953">
        <w:t xml:space="preserve"> la </w:t>
      </w:r>
      <w:r w:rsidR="00607B78" w:rsidRPr="009C2953">
        <w:t xml:space="preserve">viabilité du fonds </w:t>
      </w:r>
      <w:r w:rsidR="009F05BE" w:rsidRPr="009C2953">
        <w:t>d</w:t>
      </w:r>
      <w:r w:rsidR="00EA2966" w:rsidRPr="009C2953">
        <w:t>’</w:t>
      </w:r>
      <w:r w:rsidR="009F05BE" w:rsidRPr="009C2953">
        <w:t>affectation spéciale</w:t>
      </w:r>
      <w:r w:rsidR="00607B78" w:rsidRPr="009C2953">
        <w:t>,</w:t>
      </w:r>
    </w:p>
    <w:p w14:paraId="17F4F2D0" w14:textId="5F65365F" w:rsidR="00607B78" w:rsidRPr="009C2953" w:rsidRDefault="000D47E2" w:rsidP="000D47E2">
      <w:pPr>
        <w:pStyle w:val="NormalNonumber"/>
      </w:pPr>
      <w:r w:rsidRPr="009C2953">
        <w:rPr>
          <w:i/>
        </w:rPr>
        <w:tab/>
      </w:r>
      <w:r w:rsidR="00607B78" w:rsidRPr="009C2953">
        <w:rPr>
          <w:i/>
        </w:rPr>
        <w:t xml:space="preserve">Prenant note </w:t>
      </w:r>
      <w:r w:rsidR="00607B78" w:rsidRPr="009C2953">
        <w:t>de l</w:t>
      </w:r>
      <w:r w:rsidR="00EA2966" w:rsidRPr="009C2953">
        <w:t>’</w:t>
      </w:r>
      <w:r w:rsidR="00607B78" w:rsidRPr="009C2953">
        <w:t>état</w:t>
      </w:r>
      <w:r w:rsidR="00D24DC1" w:rsidRPr="009C2953">
        <w:t xml:space="preserve"> des </w:t>
      </w:r>
      <w:r w:rsidR="00607B78" w:rsidRPr="009C2953">
        <w:t>dépenses en 2022, qui est présenté dans</w:t>
      </w:r>
      <w:r w:rsidR="00F34644" w:rsidRPr="009C2953">
        <w:t xml:space="preserve"> le </w:t>
      </w:r>
      <w:r w:rsidR="00607B78" w:rsidRPr="009C2953">
        <w:t>tableau 5 de l</w:t>
      </w:r>
      <w:r w:rsidR="00EA2966" w:rsidRPr="009C2953">
        <w:t>’</w:t>
      </w:r>
      <w:r w:rsidR="00607B78" w:rsidRPr="009C2953">
        <w:t>annexe à</w:t>
      </w:r>
      <w:r w:rsidR="00F34644" w:rsidRPr="009C2953">
        <w:t xml:space="preserve"> la </w:t>
      </w:r>
      <w:r w:rsidR="00607B78" w:rsidRPr="009C2953">
        <w:t>présente décision,</w:t>
      </w:r>
    </w:p>
    <w:p w14:paraId="2B13CCC9" w14:textId="6579CB66" w:rsidR="00607B78" w:rsidRPr="009C2953" w:rsidRDefault="000D47E2" w:rsidP="000D47E2">
      <w:pPr>
        <w:pStyle w:val="NormalNonumber"/>
        <w:rPr>
          <w:color w:val="000000"/>
        </w:rPr>
      </w:pPr>
      <w:r w:rsidRPr="009C2953">
        <w:rPr>
          <w:i/>
          <w:color w:val="000000"/>
        </w:rPr>
        <w:tab/>
      </w:r>
      <w:r w:rsidR="00607B78" w:rsidRPr="009C2953">
        <w:rPr>
          <w:i/>
          <w:color w:val="000000"/>
        </w:rPr>
        <w:t>Rappelant</w:t>
      </w:r>
      <w:r w:rsidR="00F34644" w:rsidRPr="009C2953">
        <w:rPr>
          <w:color w:val="000000"/>
        </w:rPr>
        <w:t xml:space="preserve"> les </w:t>
      </w:r>
      <w:r w:rsidR="00607B78" w:rsidRPr="009C2953">
        <w:rPr>
          <w:color w:val="000000"/>
        </w:rPr>
        <w:t>procédures financières pour</w:t>
      </w:r>
      <w:r w:rsidR="00F34644" w:rsidRPr="009C2953">
        <w:rPr>
          <w:color w:val="000000"/>
        </w:rPr>
        <w:t xml:space="preserve"> la </w:t>
      </w:r>
      <w:r w:rsidR="00607B78" w:rsidRPr="009C2953">
        <w:rPr>
          <w:color w:val="000000"/>
        </w:rPr>
        <w:t>Plateforme adoptées dans</w:t>
      </w:r>
      <w:r w:rsidR="00F34644" w:rsidRPr="009C2953">
        <w:rPr>
          <w:color w:val="000000"/>
        </w:rPr>
        <w:t xml:space="preserve"> la </w:t>
      </w:r>
      <w:r w:rsidR="00607B78" w:rsidRPr="009C2953">
        <w:rPr>
          <w:color w:val="000000"/>
        </w:rPr>
        <w:t>décision IPBES-2/7 et modifiées dans</w:t>
      </w:r>
      <w:r w:rsidR="00F34644" w:rsidRPr="009C2953">
        <w:rPr>
          <w:color w:val="000000"/>
        </w:rPr>
        <w:t xml:space="preserve"> la </w:t>
      </w:r>
      <w:r w:rsidR="00607B78" w:rsidRPr="009C2953">
        <w:rPr>
          <w:color w:val="000000"/>
        </w:rPr>
        <w:t>décision IPBES-3/2, en particulier</w:t>
      </w:r>
      <w:r w:rsidR="00F34644" w:rsidRPr="009C2953">
        <w:rPr>
          <w:color w:val="000000"/>
        </w:rPr>
        <w:t xml:space="preserve"> les </w:t>
      </w:r>
      <w:r w:rsidR="00607B78" w:rsidRPr="009C2953">
        <w:rPr>
          <w:color w:val="000000"/>
        </w:rPr>
        <w:t>articles 4, 5 et 10,</w:t>
      </w:r>
    </w:p>
    <w:p w14:paraId="31A40FD7" w14:textId="1029AEF0" w:rsidR="00607B78" w:rsidRPr="009C2953" w:rsidRDefault="00472003" w:rsidP="00472003">
      <w:pPr>
        <w:pStyle w:val="NormalNonumber"/>
      </w:pPr>
      <w:r w:rsidRPr="009C2953">
        <w:rPr>
          <w:iCs/>
        </w:rPr>
        <w:tab/>
        <w:t>1.</w:t>
      </w:r>
      <w:r w:rsidRPr="009C2953">
        <w:rPr>
          <w:iCs/>
        </w:rPr>
        <w:tab/>
      </w:r>
      <w:r w:rsidR="00607B78" w:rsidRPr="009C2953">
        <w:rPr>
          <w:i/>
        </w:rPr>
        <w:t>Se félicite</w:t>
      </w:r>
      <w:r w:rsidR="00D24DC1" w:rsidRPr="009C2953">
        <w:t xml:space="preserve"> des </w:t>
      </w:r>
      <w:r w:rsidR="00607B78" w:rsidRPr="009C2953">
        <w:t>efforts de collecte de fonds entrepris par</w:t>
      </w:r>
      <w:r w:rsidR="00F34644" w:rsidRPr="009C2953">
        <w:t xml:space="preserve"> la </w:t>
      </w:r>
      <w:r w:rsidR="00607B78" w:rsidRPr="009C2953">
        <w:t xml:space="preserve">Secrétaire exécutive comme </w:t>
      </w:r>
      <w:proofErr w:type="gramStart"/>
      <w:r w:rsidR="00607B78" w:rsidRPr="009C2953">
        <w:t>suite à</w:t>
      </w:r>
      <w:proofErr w:type="gramEnd"/>
      <w:r w:rsidR="00F34644" w:rsidRPr="009C2953">
        <w:t xml:space="preserve"> la </w:t>
      </w:r>
      <w:r w:rsidR="00607B78" w:rsidRPr="009C2953">
        <w:t>décision IPBES-9/3 ;</w:t>
      </w:r>
    </w:p>
    <w:p w14:paraId="7E007641" w14:textId="61829AA8" w:rsidR="00607B78" w:rsidRPr="009C2953" w:rsidRDefault="00472003" w:rsidP="00472003">
      <w:pPr>
        <w:pStyle w:val="NormalNonumber"/>
      </w:pPr>
      <w:r w:rsidRPr="009C2953">
        <w:rPr>
          <w:iCs/>
        </w:rPr>
        <w:tab/>
        <w:t>2.</w:t>
      </w:r>
      <w:r w:rsidRPr="009C2953">
        <w:rPr>
          <w:iCs/>
        </w:rPr>
        <w:tab/>
      </w:r>
      <w:r w:rsidR="009F05BE" w:rsidRPr="009C2953">
        <w:rPr>
          <w:i/>
        </w:rPr>
        <w:t xml:space="preserve">Exhorte </w:t>
      </w:r>
      <w:r w:rsidR="00607B78" w:rsidRPr="009C2953">
        <w:t>les gouvernements en mesure de</w:t>
      </w:r>
      <w:r w:rsidR="00F34644" w:rsidRPr="009C2953">
        <w:t xml:space="preserve"> le </w:t>
      </w:r>
      <w:r w:rsidR="00607B78" w:rsidRPr="009C2953">
        <w:t>faire, notamment</w:t>
      </w:r>
      <w:r w:rsidR="00F34644" w:rsidRPr="009C2953">
        <w:t xml:space="preserve"> les </w:t>
      </w:r>
      <w:r w:rsidR="00607B78" w:rsidRPr="009C2953">
        <w:t>organisations d</w:t>
      </w:r>
      <w:r w:rsidR="00EA2966" w:rsidRPr="009C2953">
        <w:t>’</w:t>
      </w:r>
      <w:r w:rsidR="00607B78" w:rsidRPr="009C2953">
        <w:t>intégration économique régionale, à annoncer et verser</w:t>
      </w:r>
      <w:r w:rsidR="00D24DC1" w:rsidRPr="009C2953">
        <w:t xml:space="preserve"> des </w:t>
      </w:r>
      <w:r w:rsidR="00607B78" w:rsidRPr="009C2953">
        <w:t>contributions au fonds d</w:t>
      </w:r>
      <w:r w:rsidR="00EA2966" w:rsidRPr="009C2953">
        <w:t>’</w:t>
      </w:r>
      <w:r w:rsidR="00607B78" w:rsidRPr="009C2953">
        <w:t>affectation de</w:t>
      </w:r>
      <w:r w:rsidRPr="009C2953">
        <w:t> </w:t>
      </w:r>
      <w:r w:rsidR="00F34644" w:rsidRPr="009C2953">
        <w:t>la </w:t>
      </w:r>
      <w:r w:rsidR="00607B78" w:rsidRPr="009C2953">
        <w:t>Plateforme, et à apporter</w:t>
      </w:r>
      <w:r w:rsidR="00D24DC1" w:rsidRPr="009C2953">
        <w:t xml:space="preserve"> des </w:t>
      </w:r>
      <w:r w:rsidR="00607B78" w:rsidRPr="009C2953">
        <w:t>contributions en nature à l</w:t>
      </w:r>
      <w:r w:rsidR="00EA2966" w:rsidRPr="009C2953">
        <w:t>’</w:t>
      </w:r>
      <w:r w:rsidR="00607B78" w:rsidRPr="009C2953">
        <w:t>appui de ses activités ;</w:t>
      </w:r>
    </w:p>
    <w:p w14:paraId="72C5A2EE" w14:textId="76CFDC50" w:rsidR="00607B78" w:rsidRPr="009C2953" w:rsidRDefault="00472003" w:rsidP="00472003">
      <w:pPr>
        <w:pStyle w:val="NormalNonumber"/>
      </w:pPr>
      <w:r w:rsidRPr="009C2953">
        <w:rPr>
          <w:iCs/>
        </w:rPr>
        <w:tab/>
        <w:t>3.</w:t>
      </w:r>
      <w:r w:rsidRPr="009C2953">
        <w:rPr>
          <w:iCs/>
        </w:rPr>
        <w:tab/>
      </w:r>
      <w:r w:rsidR="00607B78" w:rsidRPr="009C2953">
        <w:rPr>
          <w:i/>
        </w:rPr>
        <w:t>Invite</w:t>
      </w:r>
      <w:r w:rsidR="00F34644" w:rsidRPr="009C2953">
        <w:t xml:space="preserve"> les </w:t>
      </w:r>
      <w:r w:rsidR="00607B78" w:rsidRPr="009C2953">
        <w:t>organismes</w:t>
      </w:r>
      <w:r w:rsidR="00D24DC1" w:rsidRPr="009C2953">
        <w:t xml:space="preserve"> des </w:t>
      </w:r>
      <w:r w:rsidR="00607B78" w:rsidRPr="009C2953">
        <w:t>Nations Unies,</w:t>
      </w:r>
      <w:r w:rsidR="00F34644" w:rsidRPr="009C2953">
        <w:t xml:space="preserve"> le </w:t>
      </w:r>
      <w:r w:rsidR="00607B78" w:rsidRPr="009C2953">
        <w:t>Fonds pour l</w:t>
      </w:r>
      <w:r w:rsidR="00EA2966" w:rsidRPr="009C2953">
        <w:t>’</w:t>
      </w:r>
      <w:r w:rsidR="00607B78" w:rsidRPr="009C2953">
        <w:t>environnement mondial, d</w:t>
      </w:r>
      <w:r w:rsidR="00EA2966" w:rsidRPr="009C2953">
        <w:t>’</w:t>
      </w:r>
      <w:r w:rsidR="00607B78" w:rsidRPr="009C2953">
        <w:t>autres organisations intergouvernementales,</w:t>
      </w:r>
      <w:r w:rsidR="00F34644" w:rsidRPr="009C2953">
        <w:t xml:space="preserve"> le </w:t>
      </w:r>
      <w:r w:rsidR="00607B78" w:rsidRPr="009C2953">
        <w:t>secteur privé,</w:t>
      </w:r>
      <w:r w:rsidR="00F34644" w:rsidRPr="009C2953">
        <w:t xml:space="preserve"> les </w:t>
      </w:r>
      <w:r w:rsidR="00607B78" w:rsidRPr="009C2953">
        <w:t>fondations,</w:t>
      </w:r>
      <w:r w:rsidR="00F34644" w:rsidRPr="009C2953">
        <w:t xml:space="preserve"> les </w:t>
      </w:r>
      <w:r w:rsidR="00607B78" w:rsidRPr="009C2953">
        <w:t>parties prenantes et autres entités en mesure de</w:t>
      </w:r>
      <w:r w:rsidR="00F34644" w:rsidRPr="009C2953">
        <w:t xml:space="preserve"> le </w:t>
      </w:r>
      <w:r w:rsidR="00607B78" w:rsidRPr="009C2953">
        <w:t>faire à soutenir</w:t>
      </w:r>
      <w:r w:rsidR="00F34644" w:rsidRPr="009C2953">
        <w:t xml:space="preserve"> les </w:t>
      </w:r>
      <w:r w:rsidR="00607B78" w:rsidRPr="009C2953">
        <w:t>travaux de</w:t>
      </w:r>
      <w:r w:rsidR="00F34644" w:rsidRPr="009C2953">
        <w:t xml:space="preserve"> la </w:t>
      </w:r>
      <w:r w:rsidR="00607B78" w:rsidRPr="009C2953">
        <w:t>Plateforme, notamment en contribuant au fonds d</w:t>
      </w:r>
      <w:r w:rsidR="00EA2966" w:rsidRPr="009C2953">
        <w:t>’</w:t>
      </w:r>
      <w:r w:rsidR="00607B78" w:rsidRPr="009C2953">
        <w:t>affectation spéciale ;</w:t>
      </w:r>
    </w:p>
    <w:p w14:paraId="23088677" w14:textId="36C03866" w:rsidR="00607B78" w:rsidRPr="009C2953" w:rsidRDefault="00472003" w:rsidP="00472003">
      <w:pPr>
        <w:pStyle w:val="NormalNonumber"/>
        <w:rPr>
          <w:i/>
        </w:rPr>
      </w:pPr>
      <w:r w:rsidRPr="009C2953">
        <w:rPr>
          <w:iCs/>
        </w:rPr>
        <w:tab/>
        <w:t>4.</w:t>
      </w:r>
      <w:r w:rsidRPr="009C2953">
        <w:rPr>
          <w:i/>
        </w:rPr>
        <w:tab/>
      </w:r>
      <w:r w:rsidR="00607B78" w:rsidRPr="009C2953">
        <w:rPr>
          <w:i/>
        </w:rPr>
        <w:t>Prie</w:t>
      </w:r>
      <w:r w:rsidR="00F34644" w:rsidRPr="009C2953">
        <w:rPr>
          <w:i/>
        </w:rPr>
        <w:t xml:space="preserve"> la </w:t>
      </w:r>
      <w:r w:rsidR="00607B78" w:rsidRPr="009C2953">
        <w:t>Secrétaire exécutive, sous</w:t>
      </w:r>
      <w:r w:rsidR="00F34644" w:rsidRPr="009C2953">
        <w:t xml:space="preserve"> la </w:t>
      </w:r>
      <w:r w:rsidR="00607B78" w:rsidRPr="009C2953">
        <w:t>direction du Bureau, de redoubler d</w:t>
      </w:r>
      <w:r w:rsidR="00EA2966" w:rsidRPr="009C2953">
        <w:t>’</w:t>
      </w:r>
      <w:r w:rsidR="00607B78" w:rsidRPr="009C2953">
        <w:t>efforts pour</w:t>
      </w:r>
      <w:r w:rsidR="00FC5508" w:rsidRPr="009C2953">
        <w:t> </w:t>
      </w:r>
      <w:r w:rsidR="00607B78" w:rsidRPr="009C2953">
        <w:t>encourager davantage</w:t>
      </w:r>
      <w:r w:rsidR="00F34644" w:rsidRPr="009C2953">
        <w:t xml:space="preserve"> les </w:t>
      </w:r>
      <w:r w:rsidR="00607B78" w:rsidRPr="009C2953">
        <w:t>membres à s</w:t>
      </w:r>
      <w:r w:rsidR="00EA2966" w:rsidRPr="009C2953">
        <w:t>’</w:t>
      </w:r>
      <w:r w:rsidR="00607B78" w:rsidRPr="009C2953">
        <w:t>approprier</w:t>
      </w:r>
      <w:r w:rsidR="00F34644" w:rsidRPr="009C2953">
        <w:t xml:space="preserve"> la </w:t>
      </w:r>
      <w:r w:rsidR="00607B78" w:rsidRPr="009C2953">
        <w:t>Plateforme en versant</w:t>
      </w:r>
      <w:r w:rsidR="00D24DC1" w:rsidRPr="009C2953">
        <w:t xml:space="preserve"> des </w:t>
      </w:r>
      <w:r w:rsidR="00607B78" w:rsidRPr="009C2953">
        <w:t xml:space="preserve">contributions </w:t>
      </w:r>
      <w:r w:rsidR="009F05BE" w:rsidRPr="009C2953">
        <w:t>à</w:t>
      </w:r>
      <w:r w:rsidR="00F34644" w:rsidRPr="009C2953">
        <w:t xml:space="preserve"> son </w:t>
      </w:r>
      <w:r w:rsidR="00607B78" w:rsidRPr="009C2953">
        <w:t>fonds d</w:t>
      </w:r>
      <w:r w:rsidR="00EA2966" w:rsidRPr="009C2953">
        <w:t>’</w:t>
      </w:r>
      <w:r w:rsidR="00607B78" w:rsidRPr="009C2953">
        <w:t>affectation spéciale, ainsi qu</w:t>
      </w:r>
      <w:r w:rsidR="00EA2966" w:rsidRPr="009C2953">
        <w:t>’</w:t>
      </w:r>
      <w:r w:rsidR="00607B78" w:rsidRPr="009C2953">
        <w:t>en apportant</w:t>
      </w:r>
      <w:r w:rsidR="00D24DC1" w:rsidRPr="009C2953">
        <w:t xml:space="preserve"> des </w:t>
      </w:r>
      <w:r w:rsidR="00607B78" w:rsidRPr="009C2953">
        <w:t>contributions en nature, en vue d</w:t>
      </w:r>
      <w:r w:rsidR="00EA2966" w:rsidRPr="009C2953">
        <w:t>’</w:t>
      </w:r>
      <w:r w:rsidR="00607B78" w:rsidRPr="009C2953">
        <w:t>élargir</w:t>
      </w:r>
      <w:r w:rsidR="00F34644" w:rsidRPr="009C2953">
        <w:t xml:space="preserve"> la </w:t>
      </w:r>
      <w:r w:rsidR="00607B78" w:rsidRPr="009C2953">
        <w:t>base</w:t>
      </w:r>
      <w:r w:rsidR="00D24DC1" w:rsidRPr="009C2953">
        <w:t xml:space="preserve"> des </w:t>
      </w:r>
      <w:r w:rsidR="00607B78" w:rsidRPr="009C2953">
        <w:t>donateurs ;</w:t>
      </w:r>
    </w:p>
    <w:p w14:paraId="191B3C67" w14:textId="097326DB" w:rsidR="00607B78" w:rsidRPr="009C2953" w:rsidRDefault="00472003" w:rsidP="00472003">
      <w:pPr>
        <w:pStyle w:val="NormalNonumber"/>
      </w:pPr>
      <w:r w:rsidRPr="009C2953">
        <w:tab/>
        <w:t>5.</w:t>
      </w:r>
      <w:r w:rsidRPr="009C2953">
        <w:tab/>
      </w:r>
      <w:r w:rsidR="00607B78" w:rsidRPr="009C2953">
        <w:t>Prie</w:t>
      </w:r>
      <w:r w:rsidR="00F34644" w:rsidRPr="009C2953">
        <w:t xml:space="preserve"> la </w:t>
      </w:r>
      <w:r w:rsidR="00607B78" w:rsidRPr="009C2953">
        <w:t>Secrétaire exécutive, sous</w:t>
      </w:r>
      <w:r w:rsidR="00F34644" w:rsidRPr="009C2953">
        <w:t xml:space="preserve"> la </w:t>
      </w:r>
      <w:r w:rsidR="00607B78" w:rsidRPr="009C2953">
        <w:t>direction du Bureau, de repenser</w:t>
      </w:r>
      <w:r w:rsidR="00F34644" w:rsidRPr="009C2953">
        <w:t xml:space="preserve"> la </w:t>
      </w:r>
      <w:r w:rsidR="00607B78" w:rsidRPr="009C2953">
        <w:t>stratégie de collecte de fonds,</w:t>
      </w:r>
      <w:r w:rsidR="00F34644" w:rsidRPr="009C2953">
        <w:t xml:space="preserve"> y </w:t>
      </w:r>
      <w:r w:rsidR="00607B78" w:rsidRPr="009C2953">
        <w:t>compris</w:t>
      </w:r>
      <w:r w:rsidR="00F34644" w:rsidRPr="009C2953">
        <w:t xml:space="preserve"> les </w:t>
      </w:r>
      <w:r w:rsidR="00607B78" w:rsidRPr="009C2953">
        <w:t>recommandations visant à en améliorer l</w:t>
      </w:r>
      <w:r w:rsidR="00EA2966" w:rsidRPr="009C2953">
        <w:t>’</w:t>
      </w:r>
      <w:r w:rsidR="00607B78" w:rsidRPr="009C2953">
        <w:t>impact, et de lui présenter</w:t>
      </w:r>
      <w:r w:rsidR="00D24DC1" w:rsidRPr="009C2953">
        <w:t xml:space="preserve"> des </w:t>
      </w:r>
      <w:r w:rsidR="00607B78" w:rsidRPr="009C2953">
        <w:t>recommandations pour examen à</w:t>
      </w:r>
      <w:r w:rsidR="00F34644" w:rsidRPr="009C2953">
        <w:t xml:space="preserve"> sa </w:t>
      </w:r>
      <w:r w:rsidR="00607B78" w:rsidRPr="009C2953">
        <w:t>onzième session ;</w:t>
      </w:r>
    </w:p>
    <w:p w14:paraId="44E90599" w14:textId="2D94A432" w:rsidR="00607B78" w:rsidRPr="009C2953" w:rsidRDefault="00472003" w:rsidP="00472003">
      <w:pPr>
        <w:pStyle w:val="NormalNonumber"/>
      </w:pPr>
      <w:r w:rsidRPr="009C2953">
        <w:rPr>
          <w:iCs/>
        </w:rPr>
        <w:tab/>
        <w:t>6.</w:t>
      </w:r>
      <w:r w:rsidRPr="009C2953">
        <w:rPr>
          <w:iCs/>
        </w:rPr>
        <w:tab/>
      </w:r>
      <w:r w:rsidR="00607B78" w:rsidRPr="009C2953">
        <w:rPr>
          <w:i/>
        </w:rPr>
        <w:t>Prie</w:t>
      </w:r>
      <w:r w:rsidR="00F34644" w:rsidRPr="009C2953">
        <w:rPr>
          <w:i/>
        </w:rPr>
        <w:t xml:space="preserve"> la </w:t>
      </w:r>
      <w:r w:rsidR="00607B78" w:rsidRPr="009C2953">
        <w:t>Secrétaire exécutive de lui rendre compte à</w:t>
      </w:r>
      <w:r w:rsidR="00F34644" w:rsidRPr="009C2953">
        <w:t xml:space="preserve"> sa </w:t>
      </w:r>
      <w:r w:rsidR="00607B78" w:rsidRPr="009C2953">
        <w:t>onzième session</w:t>
      </w:r>
      <w:r w:rsidR="00D24DC1" w:rsidRPr="009C2953">
        <w:t xml:space="preserve"> des </w:t>
      </w:r>
      <w:r w:rsidR="00607B78" w:rsidRPr="009C2953">
        <w:t>dépenses de</w:t>
      </w:r>
      <w:r w:rsidR="00FC5508" w:rsidRPr="009C2953">
        <w:t> </w:t>
      </w:r>
      <w:r w:rsidR="00607B78" w:rsidRPr="009C2953">
        <w:t>2023 ;</w:t>
      </w:r>
    </w:p>
    <w:p w14:paraId="3A8891AE" w14:textId="5AAEE10C" w:rsidR="00607B78" w:rsidRPr="009C2953" w:rsidRDefault="00472003" w:rsidP="00472003">
      <w:pPr>
        <w:pStyle w:val="NormalNonumber"/>
      </w:pPr>
      <w:r w:rsidRPr="009C2953">
        <w:rPr>
          <w:iCs/>
        </w:rPr>
        <w:tab/>
        <w:t>7.</w:t>
      </w:r>
      <w:r w:rsidRPr="009C2953">
        <w:rPr>
          <w:iCs/>
        </w:rPr>
        <w:tab/>
      </w:r>
      <w:r w:rsidR="00607B78" w:rsidRPr="009C2953">
        <w:rPr>
          <w:i/>
        </w:rPr>
        <w:t xml:space="preserve">Invite </w:t>
      </w:r>
      <w:r w:rsidR="00607B78" w:rsidRPr="009C2953">
        <w:t>celles et ceux en mesure de</w:t>
      </w:r>
      <w:r w:rsidR="00F34644" w:rsidRPr="009C2953">
        <w:t xml:space="preserve"> le </w:t>
      </w:r>
      <w:r w:rsidR="00607B78" w:rsidRPr="009C2953">
        <w:t>faire à financer</w:t>
      </w:r>
      <w:r w:rsidR="00F34644" w:rsidRPr="009C2953">
        <w:t xml:space="preserve"> le </w:t>
      </w:r>
      <w:r w:rsidR="00607B78" w:rsidRPr="009C2953">
        <w:t>recrutement d</w:t>
      </w:r>
      <w:r w:rsidR="00EA2966" w:rsidRPr="009C2953">
        <w:t>’</w:t>
      </w:r>
      <w:r w:rsidR="00607B78" w:rsidRPr="009C2953">
        <w:t>une personne détachée ou d</w:t>
      </w:r>
      <w:r w:rsidR="00EA2966" w:rsidRPr="009C2953">
        <w:t>’</w:t>
      </w:r>
      <w:r w:rsidR="00607B78" w:rsidRPr="009C2953">
        <w:t>un(e) administrateur(</w:t>
      </w:r>
      <w:proofErr w:type="spellStart"/>
      <w:r w:rsidR="00607B78" w:rsidRPr="009C2953">
        <w:t>rice</w:t>
      </w:r>
      <w:proofErr w:type="spellEnd"/>
      <w:r w:rsidR="00607B78" w:rsidRPr="009C2953">
        <w:t>) auxiliaire afin d</w:t>
      </w:r>
      <w:r w:rsidR="00EA2966" w:rsidRPr="009C2953">
        <w:t>’</w:t>
      </w:r>
      <w:r w:rsidR="00607B78" w:rsidRPr="009C2953">
        <w:t>améliorer</w:t>
      </w:r>
      <w:r w:rsidR="00F34644" w:rsidRPr="009C2953">
        <w:t xml:space="preserve"> le </w:t>
      </w:r>
      <w:r w:rsidR="00607B78" w:rsidRPr="009C2953">
        <w:t>fonctionnement du secrétariat de</w:t>
      </w:r>
      <w:r w:rsidR="008A3A46" w:rsidRPr="009C2953">
        <w:t> </w:t>
      </w:r>
      <w:r w:rsidR="00F34644" w:rsidRPr="009C2953">
        <w:t>la </w:t>
      </w:r>
      <w:r w:rsidR="00607B78" w:rsidRPr="009C2953">
        <w:t>Plateforme ;</w:t>
      </w:r>
    </w:p>
    <w:p w14:paraId="2449848C" w14:textId="1308C0AB" w:rsidR="00607B78" w:rsidRPr="009C2953" w:rsidRDefault="00472003" w:rsidP="00472003">
      <w:pPr>
        <w:pStyle w:val="NormalNonumber"/>
      </w:pPr>
      <w:r w:rsidRPr="009C2953">
        <w:rPr>
          <w:iCs/>
        </w:rPr>
        <w:tab/>
        <w:t>8.</w:t>
      </w:r>
      <w:r w:rsidRPr="009C2953">
        <w:rPr>
          <w:iCs/>
        </w:rPr>
        <w:tab/>
      </w:r>
      <w:r w:rsidR="00607B78" w:rsidRPr="009C2953">
        <w:rPr>
          <w:i/>
        </w:rPr>
        <w:t xml:space="preserve">Prie instamment </w:t>
      </w:r>
      <w:r w:rsidR="00607B78" w:rsidRPr="009C2953">
        <w:t>celles et ceux en mesure de</w:t>
      </w:r>
      <w:r w:rsidR="00F34644" w:rsidRPr="009C2953">
        <w:t xml:space="preserve"> le </w:t>
      </w:r>
      <w:r w:rsidR="00607B78" w:rsidRPr="009C2953">
        <w:t>faire de fournir</w:t>
      </w:r>
      <w:r w:rsidR="00F34644" w:rsidRPr="009C2953">
        <w:t xml:space="preserve"> un </w:t>
      </w:r>
      <w:r w:rsidR="00607B78" w:rsidRPr="009C2953">
        <w:t>financement</w:t>
      </w:r>
      <w:r w:rsidR="00F34644" w:rsidRPr="009C2953">
        <w:t xml:space="preserve"> aux </w:t>
      </w:r>
      <w:r w:rsidR="00607B78" w:rsidRPr="009C2953">
        <w:t>peuples autochtones,</w:t>
      </w:r>
      <w:r w:rsidR="00F34644" w:rsidRPr="009C2953">
        <w:t xml:space="preserve"> aux </w:t>
      </w:r>
      <w:r w:rsidR="00607B78" w:rsidRPr="009C2953">
        <w:t>communautés locales et</w:t>
      </w:r>
      <w:r w:rsidR="00F34644" w:rsidRPr="009C2953">
        <w:t xml:space="preserve"> aux </w:t>
      </w:r>
      <w:r w:rsidR="00607B78" w:rsidRPr="009C2953">
        <w:t>représentant(e)s</w:t>
      </w:r>
      <w:r w:rsidR="00D24DC1" w:rsidRPr="009C2953">
        <w:t xml:space="preserve"> des </w:t>
      </w:r>
      <w:r w:rsidR="00607B78" w:rsidRPr="009C2953">
        <w:t>jeunes afin d</w:t>
      </w:r>
      <w:r w:rsidR="00EA2966" w:rsidRPr="009C2953">
        <w:t>’</w:t>
      </w:r>
      <w:r w:rsidR="00607B78" w:rsidRPr="009C2953">
        <w:t>accroître</w:t>
      </w:r>
      <w:r w:rsidR="00F34644" w:rsidRPr="009C2953">
        <w:t xml:space="preserve"> leur </w:t>
      </w:r>
      <w:r w:rsidR="00607B78" w:rsidRPr="009C2953">
        <w:t>participation à l</w:t>
      </w:r>
      <w:r w:rsidR="00EA2966" w:rsidRPr="009C2953">
        <w:t>’</w:t>
      </w:r>
      <w:r w:rsidR="00607B78" w:rsidRPr="009C2953">
        <w:t>ensemble</w:t>
      </w:r>
      <w:r w:rsidR="00D24DC1" w:rsidRPr="009C2953">
        <w:t xml:space="preserve"> des </w:t>
      </w:r>
      <w:r w:rsidR="00607B78" w:rsidRPr="009C2953">
        <w:t>activités de</w:t>
      </w:r>
      <w:r w:rsidR="00F34644" w:rsidRPr="009C2953">
        <w:t xml:space="preserve"> la </w:t>
      </w:r>
      <w:r w:rsidR="00607B78" w:rsidRPr="009C2953">
        <w:t>Plateforme ;</w:t>
      </w:r>
    </w:p>
    <w:p w14:paraId="336EBB83" w14:textId="4282642A" w:rsidR="00607B78" w:rsidRPr="009C2953" w:rsidRDefault="00472003" w:rsidP="00472003">
      <w:pPr>
        <w:pStyle w:val="NormalNonumber"/>
      </w:pPr>
      <w:r w:rsidRPr="009C2953">
        <w:rPr>
          <w:iCs/>
        </w:rPr>
        <w:tab/>
        <w:t>9.</w:t>
      </w:r>
      <w:r w:rsidRPr="009C2953">
        <w:rPr>
          <w:iCs/>
        </w:rPr>
        <w:tab/>
      </w:r>
      <w:r w:rsidR="00607B78" w:rsidRPr="009C2953">
        <w:rPr>
          <w:i/>
        </w:rPr>
        <w:t>Prie</w:t>
      </w:r>
      <w:r w:rsidR="00F34644" w:rsidRPr="009C2953">
        <w:rPr>
          <w:i/>
        </w:rPr>
        <w:t xml:space="preserve"> le </w:t>
      </w:r>
      <w:r w:rsidR="00607B78" w:rsidRPr="009C2953">
        <w:t>secrétariat de proposer et d</w:t>
      </w:r>
      <w:r w:rsidR="00EA2966" w:rsidRPr="009C2953">
        <w:t>’</w:t>
      </w:r>
      <w:r w:rsidR="00607B78" w:rsidRPr="009C2953">
        <w:t>étudier</w:t>
      </w:r>
      <w:r w:rsidR="00D24DC1" w:rsidRPr="009C2953">
        <w:t xml:space="preserve"> des </w:t>
      </w:r>
      <w:r w:rsidR="00607B78" w:rsidRPr="009C2953">
        <w:t>solutions permettant de financer</w:t>
      </w:r>
      <w:r w:rsidR="00F34644" w:rsidRPr="009C2953">
        <w:t xml:space="preserve"> la </w:t>
      </w:r>
      <w:r w:rsidR="00607B78" w:rsidRPr="009C2953">
        <w:t>participation</w:t>
      </w:r>
      <w:r w:rsidR="00D24DC1" w:rsidRPr="009C2953">
        <w:t xml:space="preserve"> des </w:t>
      </w:r>
      <w:r w:rsidR="00607B78" w:rsidRPr="009C2953">
        <w:t>peuples autochtones,</w:t>
      </w:r>
      <w:r w:rsidR="00D24DC1" w:rsidRPr="009C2953">
        <w:t xml:space="preserve"> des </w:t>
      </w:r>
      <w:r w:rsidR="00607B78" w:rsidRPr="009C2953">
        <w:t>communautés locales et</w:t>
      </w:r>
      <w:r w:rsidR="00D24DC1" w:rsidRPr="009C2953">
        <w:t xml:space="preserve"> des </w:t>
      </w:r>
      <w:r w:rsidR="00607B78" w:rsidRPr="009C2953">
        <w:t>jeunes à l</w:t>
      </w:r>
      <w:r w:rsidR="00EA2966" w:rsidRPr="009C2953">
        <w:t>’</w:t>
      </w:r>
      <w:r w:rsidR="00607B78" w:rsidRPr="009C2953">
        <w:t>ensemble</w:t>
      </w:r>
      <w:r w:rsidR="00D24DC1" w:rsidRPr="009C2953">
        <w:t xml:space="preserve"> des </w:t>
      </w:r>
      <w:r w:rsidR="00607B78" w:rsidRPr="009C2953">
        <w:t>activités de</w:t>
      </w:r>
      <w:r w:rsidR="00F34644" w:rsidRPr="009C2953">
        <w:t xml:space="preserve"> la </w:t>
      </w:r>
      <w:r w:rsidR="00607B78" w:rsidRPr="009C2953">
        <w:t>Plateforme afin de garantir que</w:t>
      </w:r>
      <w:r w:rsidR="00F34644" w:rsidRPr="009C2953">
        <w:t xml:space="preserve"> leur </w:t>
      </w:r>
      <w:r w:rsidR="00607B78" w:rsidRPr="009C2953">
        <w:t>point de vue, jusqu</w:t>
      </w:r>
      <w:r w:rsidR="00EA2966" w:rsidRPr="009C2953">
        <w:t>’</w:t>
      </w:r>
      <w:r w:rsidR="00607B78" w:rsidRPr="009C2953">
        <w:t>à présent sous-représenté, soit mieux pris en compte, pour examen par</w:t>
      </w:r>
      <w:r w:rsidR="00F34644" w:rsidRPr="009C2953">
        <w:t xml:space="preserve"> la </w:t>
      </w:r>
      <w:r w:rsidR="00607B78" w:rsidRPr="009C2953">
        <w:t>Plénière à</w:t>
      </w:r>
      <w:r w:rsidR="00F34644" w:rsidRPr="009C2953">
        <w:t xml:space="preserve"> sa </w:t>
      </w:r>
      <w:r w:rsidR="00607B78" w:rsidRPr="009C2953">
        <w:t>onzième session ;</w:t>
      </w:r>
    </w:p>
    <w:p w14:paraId="3A1C6376" w14:textId="12B1A45F" w:rsidR="00607B78" w:rsidRPr="009C2953" w:rsidRDefault="00472003" w:rsidP="00472003">
      <w:pPr>
        <w:pStyle w:val="NormalNonumber"/>
      </w:pPr>
      <w:r w:rsidRPr="009C2953">
        <w:rPr>
          <w:iCs/>
        </w:rPr>
        <w:tab/>
        <w:t>10.</w:t>
      </w:r>
      <w:r w:rsidRPr="009C2953">
        <w:rPr>
          <w:iCs/>
        </w:rPr>
        <w:tab/>
      </w:r>
      <w:r w:rsidR="00607B78" w:rsidRPr="009C2953">
        <w:rPr>
          <w:i/>
        </w:rPr>
        <w:t>Adopte</w:t>
      </w:r>
      <w:r w:rsidR="00F34644" w:rsidRPr="009C2953">
        <w:rPr>
          <w:i/>
        </w:rPr>
        <w:t xml:space="preserve"> le </w:t>
      </w:r>
      <w:r w:rsidR="00607B78" w:rsidRPr="009C2953">
        <w:t>budget révisé pour 2023, d</w:t>
      </w:r>
      <w:r w:rsidR="00EA2966" w:rsidRPr="009C2953">
        <w:t>’</w:t>
      </w:r>
      <w:r w:rsidR="00607B78" w:rsidRPr="009C2953">
        <w:t>un montant de 9 071 593 dollars, présenté dans</w:t>
      </w:r>
      <w:r w:rsidR="00F34644" w:rsidRPr="009C2953">
        <w:t xml:space="preserve"> le </w:t>
      </w:r>
      <w:r w:rsidR="00607B78" w:rsidRPr="009C2953">
        <w:t>tableau 6 de l</w:t>
      </w:r>
      <w:r w:rsidR="00EA2966" w:rsidRPr="009C2953">
        <w:t>’</w:t>
      </w:r>
      <w:r w:rsidR="00607B78" w:rsidRPr="009C2953">
        <w:t>annexe de</w:t>
      </w:r>
      <w:r w:rsidR="00F34644" w:rsidRPr="009C2953">
        <w:t xml:space="preserve"> la </w:t>
      </w:r>
      <w:r w:rsidR="00607B78" w:rsidRPr="009C2953">
        <w:t xml:space="preserve">présente décision ; </w:t>
      </w:r>
    </w:p>
    <w:p w14:paraId="6E207BA8" w14:textId="3015FC7C" w:rsidR="00607B78" w:rsidRPr="009C2953" w:rsidRDefault="00472003" w:rsidP="00472003">
      <w:pPr>
        <w:pStyle w:val="NormalNonumber"/>
      </w:pPr>
      <w:r w:rsidRPr="009C2953">
        <w:rPr>
          <w:iCs/>
        </w:rPr>
        <w:tab/>
        <w:t>11.</w:t>
      </w:r>
      <w:r w:rsidRPr="009C2953">
        <w:rPr>
          <w:iCs/>
        </w:rPr>
        <w:tab/>
      </w:r>
      <w:r w:rsidR="00607B78" w:rsidRPr="009C2953">
        <w:rPr>
          <w:i/>
        </w:rPr>
        <w:t>Adopte également</w:t>
      </w:r>
      <w:r w:rsidR="00F34644" w:rsidRPr="009C2953">
        <w:rPr>
          <w:i/>
        </w:rPr>
        <w:t xml:space="preserve"> le </w:t>
      </w:r>
      <w:r w:rsidR="00607B78" w:rsidRPr="009C2953">
        <w:t>budget de 2024, d</w:t>
      </w:r>
      <w:r w:rsidR="00EA2966" w:rsidRPr="009C2953">
        <w:t>’</w:t>
      </w:r>
      <w:r w:rsidR="00607B78" w:rsidRPr="009C2953">
        <w:t>un montant de 10 455 858 dollars, présenté dans</w:t>
      </w:r>
      <w:r w:rsidR="00F34644" w:rsidRPr="009C2953">
        <w:t xml:space="preserve"> le </w:t>
      </w:r>
      <w:r w:rsidR="00607B78" w:rsidRPr="009C2953">
        <w:t>tableau 7 de l</w:t>
      </w:r>
      <w:r w:rsidR="00EA2966" w:rsidRPr="009C2953">
        <w:t>’</w:t>
      </w:r>
      <w:r w:rsidR="00607B78" w:rsidRPr="009C2953">
        <w:t>annexe de</w:t>
      </w:r>
      <w:r w:rsidR="00F34644" w:rsidRPr="009C2953">
        <w:t xml:space="preserve"> la </w:t>
      </w:r>
      <w:r w:rsidR="00607B78" w:rsidRPr="009C2953">
        <w:t>présente décision ;</w:t>
      </w:r>
    </w:p>
    <w:p w14:paraId="6CAB3742" w14:textId="3F9EBE04" w:rsidR="00607B78" w:rsidRPr="009C2953" w:rsidRDefault="00472003" w:rsidP="00472003">
      <w:pPr>
        <w:pStyle w:val="NormalNonumber"/>
        <w:sectPr w:rsidR="00607B78" w:rsidRPr="009C2953" w:rsidSect="00603A5E">
          <w:footnotePr>
            <w:numRestart w:val="eachSect"/>
          </w:footnotePr>
          <w:pgSz w:w="11907" w:h="16839"/>
          <w:pgMar w:top="907" w:right="992" w:bottom="1418" w:left="1418" w:header="539" w:footer="975" w:gutter="0"/>
          <w:cols w:space="720"/>
          <w:docGrid w:linePitch="272"/>
        </w:sectPr>
      </w:pPr>
      <w:r w:rsidRPr="009C2953">
        <w:rPr>
          <w:iCs/>
        </w:rPr>
        <w:tab/>
        <w:t>12.</w:t>
      </w:r>
      <w:r w:rsidRPr="009C2953">
        <w:rPr>
          <w:iCs/>
        </w:rPr>
        <w:tab/>
      </w:r>
      <w:r w:rsidR="00607B78" w:rsidRPr="009C2953">
        <w:rPr>
          <w:i/>
        </w:rPr>
        <w:t>Adopte en outre</w:t>
      </w:r>
      <w:r w:rsidR="00F34644" w:rsidRPr="009C2953">
        <w:rPr>
          <w:i/>
        </w:rPr>
        <w:t xml:space="preserve"> le </w:t>
      </w:r>
      <w:r w:rsidR="00607B78" w:rsidRPr="009C2953">
        <w:rPr>
          <w:iCs/>
        </w:rPr>
        <w:t>budget</w:t>
      </w:r>
      <w:r w:rsidR="00607B78" w:rsidRPr="009C2953">
        <w:t xml:space="preserve"> provisoire pour 2025, d</w:t>
      </w:r>
      <w:r w:rsidR="00EA2966" w:rsidRPr="009C2953">
        <w:t>’</w:t>
      </w:r>
      <w:r w:rsidR="00607B78" w:rsidRPr="009C2953">
        <w:t>un montant de 10 202 992 dollars, présenté dans</w:t>
      </w:r>
      <w:r w:rsidR="00F34644" w:rsidRPr="009C2953">
        <w:t xml:space="preserve"> le </w:t>
      </w:r>
      <w:r w:rsidR="00607B78" w:rsidRPr="009C2953">
        <w:t>tableau 8 de l</w:t>
      </w:r>
      <w:r w:rsidR="00EA2966" w:rsidRPr="009C2953">
        <w:t>’</w:t>
      </w:r>
      <w:r w:rsidR="00607B78" w:rsidRPr="009C2953">
        <w:t>annexe de</w:t>
      </w:r>
      <w:r w:rsidR="00F34644" w:rsidRPr="009C2953">
        <w:t xml:space="preserve"> la </w:t>
      </w:r>
      <w:r w:rsidR="00607B78" w:rsidRPr="009C2953">
        <w:t xml:space="preserve">présente décision. </w:t>
      </w:r>
    </w:p>
    <w:p w14:paraId="7F73D669" w14:textId="1DC283DE" w:rsidR="00607B78" w:rsidRPr="009C2953" w:rsidRDefault="00607B78" w:rsidP="00607B78">
      <w:pPr>
        <w:pStyle w:val="CH1"/>
      </w:pPr>
      <w:r w:rsidRPr="009C2953">
        <w:lastRenderedPageBreak/>
        <w:tab/>
      </w:r>
      <w:r w:rsidRPr="009C2953">
        <w:tab/>
        <w:t>Annexe à</w:t>
      </w:r>
      <w:r w:rsidR="00F34644" w:rsidRPr="009C2953">
        <w:t xml:space="preserve"> la </w:t>
      </w:r>
      <w:r w:rsidRPr="009C2953">
        <w:t>décision IPBES-10/3</w:t>
      </w:r>
    </w:p>
    <w:p w14:paraId="19F568AB" w14:textId="6D3252B6" w:rsidR="00607B78" w:rsidRPr="009C2953" w:rsidRDefault="00607B78" w:rsidP="00607B78">
      <w:pPr>
        <w:pStyle w:val="CH1"/>
        <w:rPr>
          <w:rFonts w:eastAsia="Yu Mincho"/>
        </w:rPr>
      </w:pPr>
      <w:r w:rsidRPr="009C2953">
        <w:tab/>
        <w:t>I.</w:t>
      </w:r>
      <w:r w:rsidRPr="009C2953">
        <w:tab/>
        <w:t>État</w:t>
      </w:r>
      <w:r w:rsidR="00D24DC1" w:rsidRPr="009C2953">
        <w:t xml:space="preserve"> des </w:t>
      </w:r>
      <w:r w:rsidRPr="009C2953">
        <w:t>contributions en espèces et en nature reçues par</w:t>
      </w:r>
      <w:r w:rsidR="00F34644" w:rsidRPr="009C2953">
        <w:t xml:space="preserve"> la </w:t>
      </w:r>
      <w:r w:rsidRPr="009C2953">
        <w:t>Plateforme intergouvernementale scientifique et</w:t>
      </w:r>
      <w:r w:rsidR="003D028C" w:rsidRPr="009C2953">
        <w:t> </w:t>
      </w:r>
      <w:r w:rsidRPr="009C2953">
        <w:t>politique sur</w:t>
      </w:r>
      <w:r w:rsidR="00F34644" w:rsidRPr="009C2953">
        <w:t xml:space="preserve"> la </w:t>
      </w:r>
      <w:r w:rsidRPr="009C2953">
        <w:t>biodiversité et</w:t>
      </w:r>
      <w:r w:rsidR="00F34644" w:rsidRPr="009C2953">
        <w:t xml:space="preserve"> les </w:t>
      </w:r>
      <w:r w:rsidRPr="009C2953">
        <w:t>services écosystémiques</w:t>
      </w:r>
    </w:p>
    <w:p w14:paraId="76BD1899" w14:textId="1FFBCBF3" w:rsidR="00607B78" w:rsidRPr="009C2953" w:rsidRDefault="00607B78" w:rsidP="00607B78">
      <w:pPr>
        <w:pStyle w:val="Titletable"/>
      </w:pPr>
      <w:r w:rsidRPr="009C2953">
        <w:rPr>
          <w:b w:val="0"/>
        </w:rPr>
        <w:t>Tableau 1</w:t>
      </w:r>
      <w:r w:rsidRPr="009C2953">
        <w:t xml:space="preserve"> </w:t>
      </w:r>
      <w:r w:rsidRPr="009C2953">
        <w:br/>
        <w:t>État</w:t>
      </w:r>
      <w:r w:rsidR="00D24DC1" w:rsidRPr="009C2953">
        <w:t xml:space="preserve"> des </w:t>
      </w:r>
      <w:r w:rsidRPr="009C2953">
        <w:t>contributions reçues ou annoncées pour</w:t>
      </w:r>
      <w:r w:rsidR="00F34644" w:rsidRPr="009C2953">
        <w:t xml:space="preserve"> la </w:t>
      </w:r>
      <w:r w:rsidRPr="009C2953">
        <w:t>période allant du 1</w:t>
      </w:r>
      <w:r w:rsidRPr="009C2953">
        <w:rPr>
          <w:vertAlign w:val="superscript"/>
        </w:rPr>
        <w:t>er</w:t>
      </w:r>
      <w:r w:rsidRPr="009C2953">
        <w:t> janvier 2018 au 31 décembre 2024 (au 30 août 2023)</w:t>
      </w:r>
    </w:p>
    <w:p w14:paraId="4F65936D" w14:textId="3C6EA780" w:rsidR="00607B78" w:rsidRPr="009C2953" w:rsidRDefault="00607B78" w:rsidP="00607B78">
      <w:pPr>
        <w:pStyle w:val="Titletable"/>
        <w:rPr>
          <w:b w:val="0"/>
          <w:bCs w:val="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00" w:firstRow="0" w:lastRow="0" w:firstColumn="0" w:lastColumn="0" w:noHBand="0" w:noVBand="1"/>
      </w:tblPr>
      <w:tblGrid>
        <w:gridCol w:w="2836"/>
        <w:gridCol w:w="993"/>
        <w:gridCol w:w="992"/>
        <w:gridCol w:w="1086"/>
        <w:gridCol w:w="1213"/>
        <w:gridCol w:w="1213"/>
        <w:gridCol w:w="1166"/>
        <w:gridCol w:w="1293"/>
        <w:gridCol w:w="1166"/>
        <w:gridCol w:w="1072"/>
        <w:gridCol w:w="1399"/>
      </w:tblGrid>
      <w:tr w:rsidR="00607B78" w:rsidRPr="009C2953" w14:paraId="7C4F09CB" w14:textId="77777777" w:rsidTr="00C35A2B">
        <w:trPr>
          <w:trHeight w:val="57"/>
          <w:tblHeader/>
          <w:jc w:val="right"/>
        </w:trPr>
        <w:tc>
          <w:tcPr>
            <w:tcW w:w="2836" w:type="dxa"/>
            <w:vMerge w:val="restart"/>
            <w:tcBorders>
              <w:top w:val="single" w:sz="4" w:space="0" w:color="000000"/>
              <w:left w:val="nil"/>
              <w:bottom w:val="single" w:sz="12" w:space="0" w:color="auto"/>
              <w:right w:val="nil"/>
            </w:tcBorders>
          </w:tcPr>
          <w:p w14:paraId="06D5A188" w14:textId="77777777" w:rsidR="00607B78" w:rsidRPr="009C2953" w:rsidRDefault="00607B78" w:rsidP="00A068F8">
            <w:pPr>
              <w:pStyle w:val="Normal-pool"/>
              <w:spacing w:before="40" w:after="40"/>
              <w:rPr>
                <w:sz w:val="18"/>
                <w:szCs w:val="18"/>
              </w:rPr>
            </w:pPr>
          </w:p>
        </w:tc>
        <w:tc>
          <w:tcPr>
            <w:tcW w:w="6663" w:type="dxa"/>
            <w:gridSpan w:val="6"/>
            <w:tcBorders>
              <w:top w:val="single" w:sz="4" w:space="0" w:color="000000"/>
              <w:left w:val="nil"/>
              <w:bottom w:val="single" w:sz="4" w:space="0" w:color="000000"/>
              <w:right w:val="single" w:sz="4" w:space="0" w:color="000000"/>
            </w:tcBorders>
            <w:hideMark/>
          </w:tcPr>
          <w:p w14:paraId="4CA28538" w14:textId="77777777" w:rsidR="00607B78" w:rsidRPr="009C2953" w:rsidRDefault="00607B78" w:rsidP="00A068F8">
            <w:pPr>
              <w:pStyle w:val="Normal-pool"/>
              <w:spacing w:before="40" w:after="40"/>
              <w:jc w:val="center"/>
              <w:rPr>
                <w:i/>
                <w:sz w:val="18"/>
                <w:szCs w:val="18"/>
              </w:rPr>
            </w:pPr>
            <w:r w:rsidRPr="009C2953">
              <w:rPr>
                <w:i/>
                <w:sz w:val="18"/>
              </w:rPr>
              <w:t>Contributions reçues</w:t>
            </w:r>
          </w:p>
        </w:tc>
        <w:tc>
          <w:tcPr>
            <w:tcW w:w="4930" w:type="dxa"/>
            <w:gridSpan w:val="4"/>
            <w:tcBorders>
              <w:top w:val="single" w:sz="4" w:space="0" w:color="000000"/>
              <w:left w:val="single" w:sz="4" w:space="0" w:color="000000"/>
              <w:bottom w:val="single" w:sz="4" w:space="0" w:color="000000"/>
              <w:right w:val="nil"/>
            </w:tcBorders>
            <w:hideMark/>
          </w:tcPr>
          <w:p w14:paraId="11DD92A2" w14:textId="77777777" w:rsidR="00607B78" w:rsidRPr="009C2953" w:rsidRDefault="00607B78" w:rsidP="00A068F8">
            <w:pPr>
              <w:pStyle w:val="Normal-pool"/>
              <w:spacing w:before="40" w:after="40"/>
              <w:jc w:val="center"/>
              <w:rPr>
                <w:i/>
                <w:sz w:val="18"/>
                <w:szCs w:val="18"/>
              </w:rPr>
            </w:pPr>
            <w:r w:rsidRPr="009C2953">
              <w:rPr>
                <w:i/>
                <w:sz w:val="18"/>
              </w:rPr>
              <w:t>Contributions annoncées</w:t>
            </w:r>
          </w:p>
        </w:tc>
      </w:tr>
      <w:tr w:rsidR="00607B78" w:rsidRPr="009C2953" w14:paraId="7A8A1E27" w14:textId="77777777" w:rsidTr="00C35A2B">
        <w:trPr>
          <w:trHeight w:val="57"/>
          <w:tblHeader/>
          <w:jc w:val="right"/>
        </w:trPr>
        <w:tc>
          <w:tcPr>
            <w:tcW w:w="2836" w:type="dxa"/>
            <w:vMerge/>
            <w:tcBorders>
              <w:top w:val="single" w:sz="4" w:space="0" w:color="auto"/>
              <w:left w:val="nil"/>
              <w:bottom w:val="single" w:sz="12" w:space="0" w:color="auto"/>
              <w:right w:val="nil"/>
            </w:tcBorders>
            <w:vAlign w:val="center"/>
            <w:hideMark/>
          </w:tcPr>
          <w:p w14:paraId="7F37B2BE" w14:textId="77777777" w:rsidR="00607B78" w:rsidRPr="009C2953" w:rsidRDefault="00607B78" w:rsidP="00A068F8">
            <w:pPr>
              <w:rPr>
                <w:sz w:val="18"/>
                <w:szCs w:val="18"/>
                <w:lang w:val="fr-FR"/>
              </w:rPr>
            </w:pPr>
          </w:p>
        </w:tc>
        <w:tc>
          <w:tcPr>
            <w:tcW w:w="993" w:type="dxa"/>
            <w:tcBorders>
              <w:top w:val="single" w:sz="4" w:space="0" w:color="000000"/>
              <w:left w:val="nil"/>
              <w:bottom w:val="single" w:sz="12" w:space="0" w:color="000000"/>
              <w:right w:val="nil"/>
            </w:tcBorders>
            <w:hideMark/>
          </w:tcPr>
          <w:p w14:paraId="16D128EC" w14:textId="77777777" w:rsidR="00607B78" w:rsidRPr="009C2953" w:rsidRDefault="00607B78" w:rsidP="00A068F8">
            <w:pPr>
              <w:pStyle w:val="Normal-pool"/>
              <w:spacing w:before="40" w:after="40"/>
              <w:jc w:val="right"/>
              <w:rPr>
                <w:i/>
                <w:sz w:val="18"/>
                <w:szCs w:val="18"/>
              </w:rPr>
            </w:pPr>
            <w:r w:rsidRPr="009C2953">
              <w:rPr>
                <w:i/>
                <w:sz w:val="18"/>
              </w:rPr>
              <w:t>2018</w:t>
            </w:r>
          </w:p>
        </w:tc>
        <w:tc>
          <w:tcPr>
            <w:tcW w:w="992" w:type="dxa"/>
            <w:tcBorders>
              <w:top w:val="single" w:sz="4" w:space="0" w:color="000000"/>
              <w:left w:val="nil"/>
              <w:bottom w:val="single" w:sz="12" w:space="0" w:color="000000"/>
              <w:right w:val="nil"/>
            </w:tcBorders>
            <w:hideMark/>
          </w:tcPr>
          <w:p w14:paraId="711BAFFC" w14:textId="77777777" w:rsidR="00607B78" w:rsidRPr="009C2953" w:rsidRDefault="00607B78" w:rsidP="00A068F8">
            <w:pPr>
              <w:pStyle w:val="Normal-pool"/>
              <w:spacing w:before="40" w:after="40"/>
              <w:jc w:val="right"/>
              <w:rPr>
                <w:i/>
                <w:sz w:val="18"/>
                <w:szCs w:val="18"/>
              </w:rPr>
            </w:pPr>
            <w:r w:rsidRPr="009C2953">
              <w:rPr>
                <w:i/>
                <w:sz w:val="18"/>
              </w:rPr>
              <w:t>2019</w:t>
            </w:r>
          </w:p>
        </w:tc>
        <w:tc>
          <w:tcPr>
            <w:tcW w:w="1086" w:type="dxa"/>
            <w:tcBorders>
              <w:top w:val="single" w:sz="4" w:space="0" w:color="000000"/>
              <w:left w:val="nil"/>
              <w:bottom w:val="single" w:sz="12" w:space="0" w:color="000000"/>
              <w:right w:val="nil"/>
            </w:tcBorders>
            <w:hideMark/>
          </w:tcPr>
          <w:p w14:paraId="4E3B56F9" w14:textId="77777777" w:rsidR="00607B78" w:rsidRPr="009C2953" w:rsidRDefault="00607B78" w:rsidP="00A068F8">
            <w:pPr>
              <w:pStyle w:val="Normal-pool"/>
              <w:spacing w:before="40" w:after="40"/>
              <w:jc w:val="right"/>
              <w:rPr>
                <w:i/>
                <w:sz w:val="18"/>
                <w:szCs w:val="18"/>
              </w:rPr>
            </w:pPr>
            <w:r w:rsidRPr="009C2953">
              <w:rPr>
                <w:i/>
                <w:sz w:val="18"/>
              </w:rPr>
              <w:t>2020</w:t>
            </w:r>
          </w:p>
        </w:tc>
        <w:tc>
          <w:tcPr>
            <w:tcW w:w="1213" w:type="dxa"/>
            <w:tcBorders>
              <w:top w:val="single" w:sz="4" w:space="0" w:color="000000"/>
              <w:left w:val="nil"/>
              <w:bottom w:val="single" w:sz="12" w:space="0" w:color="000000"/>
              <w:right w:val="nil"/>
            </w:tcBorders>
            <w:hideMark/>
          </w:tcPr>
          <w:p w14:paraId="5584752F" w14:textId="77777777" w:rsidR="00607B78" w:rsidRPr="009C2953" w:rsidRDefault="00607B78" w:rsidP="00A068F8">
            <w:pPr>
              <w:pStyle w:val="Normal-pool"/>
              <w:spacing w:before="40" w:after="40"/>
              <w:jc w:val="right"/>
              <w:rPr>
                <w:i/>
                <w:sz w:val="18"/>
                <w:szCs w:val="18"/>
              </w:rPr>
            </w:pPr>
            <w:r w:rsidRPr="009C2953">
              <w:rPr>
                <w:i/>
                <w:sz w:val="18"/>
              </w:rPr>
              <w:t>2021</w:t>
            </w:r>
          </w:p>
        </w:tc>
        <w:tc>
          <w:tcPr>
            <w:tcW w:w="1213" w:type="dxa"/>
            <w:tcBorders>
              <w:top w:val="single" w:sz="4" w:space="0" w:color="000000"/>
              <w:left w:val="nil"/>
              <w:bottom w:val="single" w:sz="12" w:space="0" w:color="000000"/>
              <w:right w:val="nil"/>
            </w:tcBorders>
            <w:hideMark/>
          </w:tcPr>
          <w:p w14:paraId="55906709" w14:textId="77777777" w:rsidR="00607B78" w:rsidRPr="009C2953" w:rsidRDefault="00607B78" w:rsidP="00A068F8">
            <w:pPr>
              <w:pStyle w:val="Normal-pool"/>
              <w:spacing w:before="40" w:after="40"/>
              <w:jc w:val="right"/>
              <w:rPr>
                <w:i/>
                <w:sz w:val="18"/>
                <w:szCs w:val="18"/>
              </w:rPr>
            </w:pPr>
            <w:r w:rsidRPr="009C2953">
              <w:rPr>
                <w:i/>
                <w:sz w:val="18"/>
              </w:rPr>
              <w:t>2022</w:t>
            </w:r>
          </w:p>
        </w:tc>
        <w:tc>
          <w:tcPr>
            <w:tcW w:w="1166" w:type="dxa"/>
            <w:tcBorders>
              <w:top w:val="single" w:sz="4" w:space="0" w:color="000000"/>
              <w:left w:val="nil"/>
              <w:bottom w:val="single" w:sz="12" w:space="0" w:color="000000"/>
              <w:right w:val="single" w:sz="4" w:space="0" w:color="000000"/>
            </w:tcBorders>
            <w:hideMark/>
          </w:tcPr>
          <w:p w14:paraId="1FCDB1BE" w14:textId="77777777" w:rsidR="00607B78" w:rsidRPr="009C2953" w:rsidRDefault="00607B78" w:rsidP="00A068F8">
            <w:pPr>
              <w:pStyle w:val="Normal-pool"/>
              <w:spacing w:before="40" w:after="40"/>
              <w:jc w:val="right"/>
              <w:rPr>
                <w:i/>
                <w:sz w:val="18"/>
                <w:szCs w:val="18"/>
              </w:rPr>
            </w:pPr>
            <w:r w:rsidRPr="009C2953">
              <w:rPr>
                <w:i/>
                <w:sz w:val="18"/>
              </w:rPr>
              <w:t>2023</w:t>
            </w:r>
          </w:p>
        </w:tc>
        <w:tc>
          <w:tcPr>
            <w:tcW w:w="1293" w:type="dxa"/>
            <w:tcBorders>
              <w:top w:val="single" w:sz="4" w:space="0" w:color="000000"/>
              <w:left w:val="single" w:sz="4" w:space="0" w:color="000000"/>
              <w:bottom w:val="single" w:sz="12" w:space="0" w:color="000000"/>
              <w:right w:val="nil"/>
            </w:tcBorders>
            <w:hideMark/>
          </w:tcPr>
          <w:p w14:paraId="312887F6" w14:textId="77777777" w:rsidR="00607B78" w:rsidRPr="009C2953" w:rsidRDefault="00607B78" w:rsidP="00A068F8">
            <w:pPr>
              <w:pStyle w:val="Normal-pool"/>
              <w:spacing w:before="40" w:after="40"/>
              <w:jc w:val="right"/>
              <w:rPr>
                <w:i/>
                <w:sz w:val="18"/>
                <w:szCs w:val="18"/>
              </w:rPr>
            </w:pPr>
            <w:r w:rsidRPr="009C2953">
              <w:rPr>
                <w:i/>
                <w:sz w:val="18"/>
              </w:rPr>
              <w:t>2023</w:t>
            </w:r>
          </w:p>
        </w:tc>
        <w:tc>
          <w:tcPr>
            <w:tcW w:w="1166" w:type="dxa"/>
            <w:tcBorders>
              <w:top w:val="single" w:sz="4" w:space="0" w:color="000000"/>
              <w:left w:val="nil"/>
              <w:bottom w:val="single" w:sz="12" w:space="0" w:color="000000"/>
              <w:right w:val="nil"/>
            </w:tcBorders>
            <w:hideMark/>
          </w:tcPr>
          <w:p w14:paraId="7AF4BC35" w14:textId="77777777" w:rsidR="00607B78" w:rsidRPr="009C2953" w:rsidRDefault="00607B78" w:rsidP="00A068F8">
            <w:pPr>
              <w:pStyle w:val="Normal-pool"/>
              <w:spacing w:before="40" w:after="40"/>
              <w:jc w:val="right"/>
              <w:rPr>
                <w:i/>
                <w:sz w:val="18"/>
                <w:szCs w:val="18"/>
              </w:rPr>
            </w:pPr>
            <w:r w:rsidRPr="009C2953">
              <w:rPr>
                <w:i/>
                <w:sz w:val="18"/>
              </w:rPr>
              <w:t>2024</w:t>
            </w:r>
          </w:p>
        </w:tc>
        <w:tc>
          <w:tcPr>
            <w:tcW w:w="1072" w:type="dxa"/>
            <w:tcBorders>
              <w:top w:val="single" w:sz="4" w:space="0" w:color="000000"/>
              <w:left w:val="nil"/>
              <w:bottom w:val="single" w:sz="12" w:space="0" w:color="000000"/>
              <w:right w:val="nil"/>
            </w:tcBorders>
            <w:hideMark/>
          </w:tcPr>
          <w:p w14:paraId="19E54746" w14:textId="77777777" w:rsidR="00607B78" w:rsidRPr="009C2953" w:rsidRDefault="00607B78" w:rsidP="00A068F8">
            <w:pPr>
              <w:pStyle w:val="Normal-pool"/>
              <w:spacing w:before="40" w:after="40"/>
              <w:jc w:val="right"/>
              <w:rPr>
                <w:i/>
                <w:sz w:val="18"/>
                <w:szCs w:val="18"/>
              </w:rPr>
            </w:pPr>
            <w:r w:rsidRPr="009C2953">
              <w:rPr>
                <w:i/>
                <w:sz w:val="18"/>
              </w:rPr>
              <w:t>2025</w:t>
            </w:r>
          </w:p>
        </w:tc>
        <w:tc>
          <w:tcPr>
            <w:tcW w:w="1399" w:type="dxa"/>
            <w:tcBorders>
              <w:top w:val="single" w:sz="4" w:space="0" w:color="000000"/>
              <w:left w:val="nil"/>
              <w:bottom w:val="single" w:sz="12" w:space="0" w:color="000000"/>
              <w:right w:val="nil"/>
            </w:tcBorders>
            <w:hideMark/>
          </w:tcPr>
          <w:p w14:paraId="0BEC1263" w14:textId="09D68304" w:rsidR="00607B78" w:rsidRPr="009C2953" w:rsidRDefault="00607B78" w:rsidP="00A068F8">
            <w:pPr>
              <w:pStyle w:val="Normal-pool"/>
              <w:spacing w:before="40" w:after="40"/>
              <w:jc w:val="right"/>
              <w:rPr>
                <w:i/>
                <w:sz w:val="18"/>
                <w:szCs w:val="18"/>
              </w:rPr>
            </w:pPr>
            <w:r w:rsidRPr="009C2953">
              <w:rPr>
                <w:i/>
                <w:sz w:val="18"/>
              </w:rPr>
              <w:t>Total</w:t>
            </w:r>
            <w:r w:rsidR="00D24DC1" w:rsidRPr="009C2953">
              <w:rPr>
                <w:i/>
                <w:sz w:val="18"/>
              </w:rPr>
              <w:t xml:space="preserve"> des</w:t>
            </w:r>
            <w:r w:rsidR="00BD4464" w:rsidRPr="009C2953">
              <w:rPr>
                <w:i/>
                <w:sz w:val="18"/>
              </w:rPr>
              <w:t xml:space="preserve"> </w:t>
            </w:r>
            <w:r w:rsidRPr="009C2953">
              <w:rPr>
                <w:i/>
                <w:sz w:val="18"/>
              </w:rPr>
              <w:t>contributions annoncées</w:t>
            </w:r>
          </w:p>
        </w:tc>
      </w:tr>
      <w:tr w:rsidR="00607B78" w:rsidRPr="009C2953" w14:paraId="4D5A8C61" w14:textId="77777777" w:rsidTr="00C35A2B">
        <w:trPr>
          <w:trHeight w:val="57"/>
          <w:jc w:val="right"/>
        </w:trPr>
        <w:tc>
          <w:tcPr>
            <w:tcW w:w="2836" w:type="dxa"/>
            <w:tcBorders>
              <w:top w:val="single" w:sz="12" w:space="0" w:color="auto"/>
              <w:left w:val="nil"/>
              <w:bottom w:val="nil"/>
              <w:right w:val="nil"/>
            </w:tcBorders>
            <w:hideMark/>
          </w:tcPr>
          <w:p w14:paraId="1FB3B53B" w14:textId="77777777" w:rsidR="00607B78" w:rsidRPr="009C2953" w:rsidRDefault="00607B78" w:rsidP="00A068F8">
            <w:pPr>
              <w:pStyle w:val="Normal-pool"/>
              <w:tabs>
                <w:tab w:val="left" w:pos="174"/>
              </w:tabs>
              <w:spacing w:before="40" w:after="40"/>
              <w:rPr>
                <w:b/>
                <w:bCs/>
                <w:sz w:val="18"/>
                <w:szCs w:val="18"/>
              </w:rPr>
            </w:pPr>
            <w:r w:rsidRPr="009C2953">
              <w:rPr>
                <w:b/>
                <w:sz w:val="18"/>
              </w:rPr>
              <w:t>1.</w:t>
            </w:r>
            <w:r w:rsidRPr="009C2953">
              <w:rPr>
                <w:b/>
                <w:sz w:val="18"/>
              </w:rPr>
              <w:tab/>
              <w:t>Gouvernements</w:t>
            </w:r>
          </w:p>
        </w:tc>
        <w:tc>
          <w:tcPr>
            <w:tcW w:w="993" w:type="dxa"/>
            <w:tcBorders>
              <w:top w:val="single" w:sz="12" w:space="0" w:color="000000"/>
              <w:left w:val="nil"/>
              <w:bottom w:val="nil"/>
              <w:right w:val="nil"/>
            </w:tcBorders>
            <w:vAlign w:val="bottom"/>
          </w:tcPr>
          <w:p w14:paraId="4C3C6409" w14:textId="77777777" w:rsidR="00607B78" w:rsidRPr="009C2953" w:rsidRDefault="00607B78" w:rsidP="00A068F8">
            <w:pPr>
              <w:pStyle w:val="Normal-pool"/>
              <w:spacing w:before="40" w:after="40"/>
              <w:jc w:val="right"/>
              <w:rPr>
                <w:sz w:val="18"/>
                <w:szCs w:val="18"/>
              </w:rPr>
            </w:pPr>
          </w:p>
        </w:tc>
        <w:tc>
          <w:tcPr>
            <w:tcW w:w="992" w:type="dxa"/>
            <w:tcBorders>
              <w:top w:val="single" w:sz="12" w:space="0" w:color="000000"/>
              <w:left w:val="nil"/>
              <w:bottom w:val="nil"/>
              <w:right w:val="nil"/>
            </w:tcBorders>
            <w:vAlign w:val="bottom"/>
          </w:tcPr>
          <w:p w14:paraId="43D691AC" w14:textId="77777777" w:rsidR="00607B78" w:rsidRPr="009C2953" w:rsidRDefault="00607B78" w:rsidP="00A068F8">
            <w:pPr>
              <w:pStyle w:val="Normal-pool"/>
              <w:spacing w:before="40" w:after="40"/>
              <w:jc w:val="right"/>
              <w:rPr>
                <w:sz w:val="18"/>
                <w:szCs w:val="18"/>
              </w:rPr>
            </w:pPr>
          </w:p>
        </w:tc>
        <w:tc>
          <w:tcPr>
            <w:tcW w:w="1086" w:type="dxa"/>
            <w:tcBorders>
              <w:top w:val="single" w:sz="12" w:space="0" w:color="000000"/>
              <w:left w:val="nil"/>
              <w:bottom w:val="nil"/>
              <w:right w:val="nil"/>
            </w:tcBorders>
            <w:vAlign w:val="bottom"/>
          </w:tcPr>
          <w:p w14:paraId="199F5C9D" w14:textId="77777777" w:rsidR="00607B78" w:rsidRPr="009C2953" w:rsidRDefault="00607B78" w:rsidP="00A068F8">
            <w:pPr>
              <w:pStyle w:val="Normal-pool"/>
              <w:spacing w:before="40" w:after="40"/>
              <w:jc w:val="right"/>
              <w:rPr>
                <w:sz w:val="18"/>
                <w:szCs w:val="18"/>
              </w:rPr>
            </w:pPr>
          </w:p>
        </w:tc>
        <w:tc>
          <w:tcPr>
            <w:tcW w:w="1213" w:type="dxa"/>
            <w:tcBorders>
              <w:top w:val="single" w:sz="12" w:space="0" w:color="000000"/>
              <w:left w:val="nil"/>
              <w:bottom w:val="nil"/>
              <w:right w:val="nil"/>
            </w:tcBorders>
            <w:vAlign w:val="bottom"/>
          </w:tcPr>
          <w:p w14:paraId="11B0A072" w14:textId="77777777" w:rsidR="00607B78" w:rsidRPr="009C2953" w:rsidRDefault="00607B78" w:rsidP="00A068F8">
            <w:pPr>
              <w:pStyle w:val="Normal-pool"/>
              <w:spacing w:before="40" w:after="40"/>
              <w:jc w:val="right"/>
              <w:rPr>
                <w:sz w:val="18"/>
                <w:szCs w:val="18"/>
              </w:rPr>
            </w:pPr>
          </w:p>
        </w:tc>
        <w:tc>
          <w:tcPr>
            <w:tcW w:w="1213" w:type="dxa"/>
            <w:tcBorders>
              <w:top w:val="single" w:sz="12" w:space="0" w:color="000000"/>
              <w:left w:val="nil"/>
              <w:bottom w:val="nil"/>
              <w:right w:val="nil"/>
            </w:tcBorders>
            <w:vAlign w:val="bottom"/>
          </w:tcPr>
          <w:p w14:paraId="4007EBBD" w14:textId="77777777" w:rsidR="00607B78" w:rsidRPr="009C2953" w:rsidRDefault="00607B78" w:rsidP="00A068F8">
            <w:pPr>
              <w:pStyle w:val="Normal-pool"/>
              <w:spacing w:before="40" w:after="40"/>
              <w:jc w:val="right"/>
              <w:rPr>
                <w:sz w:val="18"/>
                <w:szCs w:val="18"/>
              </w:rPr>
            </w:pPr>
          </w:p>
        </w:tc>
        <w:tc>
          <w:tcPr>
            <w:tcW w:w="1166" w:type="dxa"/>
            <w:tcBorders>
              <w:top w:val="single" w:sz="12" w:space="0" w:color="000000"/>
              <w:left w:val="nil"/>
              <w:bottom w:val="nil"/>
              <w:right w:val="single" w:sz="4" w:space="0" w:color="000000"/>
            </w:tcBorders>
            <w:vAlign w:val="bottom"/>
          </w:tcPr>
          <w:p w14:paraId="0AEB7F97" w14:textId="77777777" w:rsidR="00607B78" w:rsidRPr="009C2953" w:rsidRDefault="00607B78" w:rsidP="00A068F8">
            <w:pPr>
              <w:pStyle w:val="Normal-pool"/>
              <w:spacing w:before="40" w:after="40"/>
              <w:jc w:val="right"/>
              <w:rPr>
                <w:sz w:val="18"/>
                <w:szCs w:val="18"/>
              </w:rPr>
            </w:pPr>
          </w:p>
        </w:tc>
        <w:tc>
          <w:tcPr>
            <w:tcW w:w="1293" w:type="dxa"/>
            <w:tcBorders>
              <w:top w:val="single" w:sz="12" w:space="0" w:color="000000"/>
              <w:left w:val="single" w:sz="4" w:space="0" w:color="000000"/>
              <w:bottom w:val="nil"/>
              <w:right w:val="nil"/>
            </w:tcBorders>
            <w:vAlign w:val="bottom"/>
          </w:tcPr>
          <w:p w14:paraId="078A73BD" w14:textId="77777777" w:rsidR="00607B78" w:rsidRPr="009C2953" w:rsidRDefault="00607B78" w:rsidP="00A068F8">
            <w:pPr>
              <w:pStyle w:val="Normal-pool"/>
              <w:spacing w:before="40" w:after="40"/>
              <w:jc w:val="right"/>
              <w:rPr>
                <w:sz w:val="18"/>
                <w:szCs w:val="18"/>
              </w:rPr>
            </w:pPr>
          </w:p>
        </w:tc>
        <w:tc>
          <w:tcPr>
            <w:tcW w:w="1166" w:type="dxa"/>
            <w:tcBorders>
              <w:top w:val="single" w:sz="12" w:space="0" w:color="000000"/>
              <w:left w:val="nil"/>
              <w:bottom w:val="nil"/>
              <w:right w:val="nil"/>
            </w:tcBorders>
            <w:vAlign w:val="bottom"/>
          </w:tcPr>
          <w:p w14:paraId="6586CFC2" w14:textId="77777777" w:rsidR="00607B78" w:rsidRPr="009C2953" w:rsidRDefault="00607B78" w:rsidP="00A068F8">
            <w:pPr>
              <w:pStyle w:val="Normal-pool"/>
              <w:spacing w:before="40" w:after="40"/>
              <w:jc w:val="right"/>
              <w:rPr>
                <w:sz w:val="18"/>
                <w:szCs w:val="18"/>
              </w:rPr>
            </w:pPr>
          </w:p>
        </w:tc>
        <w:tc>
          <w:tcPr>
            <w:tcW w:w="1072" w:type="dxa"/>
            <w:tcBorders>
              <w:top w:val="single" w:sz="12" w:space="0" w:color="000000"/>
              <w:left w:val="nil"/>
              <w:bottom w:val="nil"/>
              <w:right w:val="nil"/>
            </w:tcBorders>
            <w:vAlign w:val="bottom"/>
          </w:tcPr>
          <w:p w14:paraId="7FDD24DB" w14:textId="77777777" w:rsidR="00607B78" w:rsidRPr="009C2953" w:rsidRDefault="00607B78" w:rsidP="00A068F8">
            <w:pPr>
              <w:pStyle w:val="Normal-pool"/>
              <w:spacing w:before="40" w:after="40"/>
              <w:jc w:val="right"/>
              <w:rPr>
                <w:sz w:val="18"/>
                <w:szCs w:val="18"/>
              </w:rPr>
            </w:pPr>
          </w:p>
        </w:tc>
        <w:tc>
          <w:tcPr>
            <w:tcW w:w="1399" w:type="dxa"/>
            <w:tcBorders>
              <w:top w:val="single" w:sz="12" w:space="0" w:color="000000"/>
              <w:left w:val="nil"/>
              <w:bottom w:val="nil"/>
              <w:right w:val="nil"/>
            </w:tcBorders>
            <w:vAlign w:val="bottom"/>
          </w:tcPr>
          <w:p w14:paraId="61DBEE87" w14:textId="77777777" w:rsidR="00607B78" w:rsidRPr="009C2953" w:rsidRDefault="00607B78" w:rsidP="00A068F8">
            <w:pPr>
              <w:pStyle w:val="Normal-pool"/>
              <w:spacing w:before="40" w:after="40"/>
              <w:jc w:val="right"/>
              <w:rPr>
                <w:sz w:val="18"/>
                <w:szCs w:val="18"/>
              </w:rPr>
            </w:pPr>
          </w:p>
        </w:tc>
      </w:tr>
      <w:tr w:rsidR="00C35A2B" w:rsidRPr="009C2953" w14:paraId="2BE7FFF9" w14:textId="77777777" w:rsidTr="00C35A2B">
        <w:trPr>
          <w:trHeight w:val="57"/>
          <w:jc w:val="right"/>
        </w:trPr>
        <w:tc>
          <w:tcPr>
            <w:tcW w:w="2836" w:type="dxa"/>
            <w:tcBorders>
              <w:top w:val="nil"/>
              <w:left w:val="nil"/>
              <w:bottom w:val="nil"/>
              <w:right w:val="nil"/>
            </w:tcBorders>
          </w:tcPr>
          <w:p w14:paraId="674C9643" w14:textId="446A7977" w:rsidR="00C35A2B" w:rsidRPr="009C2953" w:rsidRDefault="00C35A2B" w:rsidP="00C35A2B">
            <w:pPr>
              <w:pStyle w:val="Normal-pool"/>
              <w:spacing w:before="40" w:after="40"/>
              <w:ind w:left="174"/>
              <w:rPr>
                <w:sz w:val="18"/>
              </w:rPr>
            </w:pPr>
            <w:r w:rsidRPr="009C2953">
              <w:rPr>
                <w:sz w:val="18"/>
              </w:rPr>
              <w:t>Allemagne</w:t>
            </w:r>
          </w:p>
        </w:tc>
        <w:tc>
          <w:tcPr>
            <w:tcW w:w="993" w:type="dxa"/>
            <w:tcBorders>
              <w:top w:val="nil"/>
              <w:left w:val="nil"/>
              <w:bottom w:val="nil"/>
              <w:right w:val="nil"/>
            </w:tcBorders>
            <w:vAlign w:val="bottom"/>
          </w:tcPr>
          <w:p w14:paraId="002D7AFC" w14:textId="385626FD" w:rsidR="00C35A2B" w:rsidRPr="009C2953" w:rsidRDefault="00C35A2B" w:rsidP="00C35A2B">
            <w:pPr>
              <w:pStyle w:val="Normal-pool"/>
              <w:spacing w:before="40" w:after="40"/>
              <w:jc w:val="right"/>
              <w:rPr>
                <w:sz w:val="18"/>
              </w:rPr>
            </w:pPr>
            <w:r w:rsidRPr="009C2953">
              <w:rPr>
                <w:sz w:val="18"/>
              </w:rPr>
              <w:t>1 457 267</w:t>
            </w:r>
          </w:p>
        </w:tc>
        <w:tc>
          <w:tcPr>
            <w:tcW w:w="992" w:type="dxa"/>
            <w:tcBorders>
              <w:top w:val="nil"/>
              <w:left w:val="nil"/>
              <w:bottom w:val="nil"/>
              <w:right w:val="nil"/>
            </w:tcBorders>
            <w:vAlign w:val="bottom"/>
          </w:tcPr>
          <w:p w14:paraId="6BD3C593" w14:textId="5C22798C" w:rsidR="00C35A2B" w:rsidRPr="009C2953" w:rsidRDefault="00C35A2B" w:rsidP="00C35A2B">
            <w:pPr>
              <w:pStyle w:val="Normal-pool"/>
              <w:spacing w:before="40" w:after="40"/>
              <w:jc w:val="right"/>
              <w:rPr>
                <w:sz w:val="18"/>
              </w:rPr>
            </w:pPr>
            <w:r w:rsidRPr="009C2953">
              <w:rPr>
                <w:sz w:val="18"/>
              </w:rPr>
              <w:t>1 242 916</w:t>
            </w:r>
          </w:p>
        </w:tc>
        <w:tc>
          <w:tcPr>
            <w:tcW w:w="1086" w:type="dxa"/>
            <w:tcBorders>
              <w:top w:val="nil"/>
              <w:left w:val="nil"/>
              <w:bottom w:val="nil"/>
              <w:right w:val="nil"/>
            </w:tcBorders>
            <w:vAlign w:val="bottom"/>
          </w:tcPr>
          <w:p w14:paraId="364F82CE" w14:textId="319DCE32" w:rsidR="00C35A2B" w:rsidRPr="009C2953" w:rsidRDefault="00C35A2B" w:rsidP="00C35A2B">
            <w:pPr>
              <w:pStyle w:val="Normal-pool"/>
              <w:spacing w:before="40" w:after="40"/>
              <w:jc w:val="right"/>
              <w:rPr>
                <w:sz w:val="18"/>
              </w:rPr>
            </w:pPr>
            <w:r w:rsidRPr="009C2953">
              <w:rPr>
                <w:sz w:val="18"/>
              </w:rPr>
              <w:t>1 109 361</w:t>
            </w:r>
          </w:p>
        </w:tc>
        <w:tc>
          <w:tcPr>
            <w:tcW w:w="1213" w:type="dxa"/>
            <w:tcBorders>
              <w:top w:val="nil"/>
              <w:left w:val="nil"/>
              <w:bottom w:val="nil"/>
              <w:right w:val="nil"/>
            </w:tcBorders>
            <w:vAlign w:val="bottom"/>
          </w:tcPr>
          <w:p w14:paraId="2359D801" w14:textId="0DFC21F1" w:rsidR="00C35A2B" w:rsidRPr="009C2953" w:rsidRDefault="00C35A2B" w:rsidP="00C35A2B">
            <w:pPr>
              <w:pStyle w:val="Normal-pool"/>
              <w:spacing w:before="40" w:after="40"/>
              <w:jc w:val="right"/>
              <w:rPr>
                <w:sz w:val="18"/>
              </w:rPr>
            </w:pPr>
            <w:r w:rsidRPr="009C2953">
              <w:rPr>
                <w:sz w:val="18"/>
              </w:rPr>
              <w:t>1 266 363</w:t>
            </w:r>
          </w:p>
        </w:tc>
        <w:tc>
          <w:tcPr>
            <w:tcW w:w="1213" w:type="dxa"/>
            <w:tcBorders>
              <w:top w:val="nil"/>
              <w:left w:val="nil"/>
              <w:bottom w:val="nil"/>
              <w:right w:val="nil"/>
            </w:tcBorders>
            <w:vAlign w:val="bottom"/>
          </w:tcPr>
          <w:p w14:paraId="48C0568F" w14:textId="1CAEE2DC" w:rsidR="00C35A2B" w:rsidRPr="009C2953" w:rsidRDefault="00C35A2B" w:rsidP="00C35A2B">
            <w:pPr>
              <w:pStyle w:val="Normal-pool"/>
              <w:spacing w:before="40" w:after="40"/>
              <w:jc w:val="right"/>
              <w:rPr>
                <w:sz w:val="18"/>
              </w:rPr>
            </w:pPr>
            <w:r w:rsidRPr="009C2953">
              <w:rPr>
                <w:sz w:val="18"/>
              </w:rPr>
              <w:t>1 293 674</w:t>
            </w:r>
          </w:p>
        </w:tc>
        <w:tc>
          <w:tcPr>
            <w:tcW w:w="1166" w:type="dxa"/>
            <w:tcBorders>
              <w:top w:val="nil"/>
              <w:left w:val="nil"/>
              <w:bottom w:val="nil"/>
              <w:right w:val="single" w:sz="4" w:space="0" w:color="000000"/>
            </w:tcBorders>
            <w:vAlign w:val="bottom"/>
          </w:tcPr>
          <w:p w14:paraId="15C58EA2" w14:textId="7C41D042" w:rsidR="00C35A2B" w:rsidRPr="009C2953" w:rsidRDefault="00C35A2B" w:rsidP="00C35A2B">
            <w:pPr>
              <w:pStyle w:val="Normal-pool"/>
              <w:spacing w:before="40" w:after="40"/>
              <w:jc w:val="right"/>
              <w:rPr>
                <w:sz w:val="18"/>
              </w:rPr>
            </w:pPr>
            <w:r w:rsidRPr="009C2953">
              <w:rPr>
                <w:sz w:val="18"/>
              </w:rPr>
              <w:t xml:space="preserve">1 108 647 </w:t>
            </w:r>
          </w:p>
        </w:tc>
        <w:tc>
          <w:tcPr>
            <w:tcW w:w="1293" w:type="dxa"/>
            <w:tcBorders>
              <w:top w:val="nil"/>
              <w:left w:val="single" w:sz="4" w:space="0" w:color="000000"/>
              <w:bottom w:val="nil"/>
              <w:right w:val="nil"/>
            </w:tcBorders>
            <w:vAlign w:val="bottom"/>
          </w:tcPr>
          <w:p w14:paraId="56FD98CB" w14:textId="03DF78FA" w:rsidR="00C35A2B" w:rsidRPr="009C2953" w:rsidRDefault="00C35A2B" w:rsidP="00C35A2B">
            <w:pPr>
              <w:pStyle w:val="Normal-pool"/>
              <w:spacing w:before="40" w:after="40"/>
              <w:jc w:val="right"/>
              <w:rPr>
                <w:sz w:val="18"/>
              </w:rPr>
            </w:pPr>
            <w:r w:rsidRPr="009C2953">
              <w:rPr>
                <w:sz w:val="18"/>
              </w:rPr>
              <w:t>–</w:t>
            </w:r>
          </w:p>
        </w:tc>
        <w:tc>
          <w:tcPr>
            <w:tcW w:w="1166" w:type="dxa"/>
            <w:tcBorders>
              <w:top w:val="nil"/>
              <w:left w:val="nil"/>
              <w:bottom w:val="nil"/>
              <w:right w:val="nil"/>
            </w:tcBorders>
            <w:vAlign w:val="bottom"/>
          </w:tcPr>
          <w:p w14:paraId="59DB8993" w14:textId="2F30D22F" w:rsidR="00C35A2B" w:rsidRPr="009C2953" w:rsidRDefault="00C35A2B" w:rsidP="00C35A2B">
            <w:pPr>
              <w:pStyle w:val="Normal-pool"/>
              <w:spacing w:before="40" w:after="40"/>
              <w:jc w:val="right"/>
              <w:rPr>
                <w:sz w:val="18"/>
              </w:rPr>
            </w:pPr>
            <w:r w:rsidRPr="009C2953">
              <w:rPr>
                <w:sz w:val="18"/>
              </w:rPr>
              <w:t>1 100 110</w:t>
            </w:r>
          </w:p>
        </w:tc>
        <w:tc>
          <w:tcPr>
            <w:tcW w:w="1072" w:type="dxa"/>
            <w:tcBorders>
              <w:top w:val="nil"/>
              <w:left w:val="nil"/>
              <w:bottom w:val="nil"/>
              <w:right w:val="nil"/>
            </w:tcBorders>
            <w:vAlign w:val="bottom"/>
          </w:tcPr>
          <w:p w14:paraId="5639A079" w14:textId="7EFC13DC" w:rsidR="00C35A2B" w:rsidRPr="009C2953" w:rsidRDefault="00C35A2B" w:rsidP="00C35A2B">
            <w:pPr>
              <w:pStyle w:val="Normal-pool"/>
              <w:spacing w:before="40" w:after="40"/>
              <w:jc w:val="right"/>
              <w:rPr>
                <w:sz w:val="18"/>
              </w:rPr>
            </w:pPr>
            <w:r w:rsidRPr="009C2953">
              <w:rPr>
                <w:sz w:val="18"/>
              </w:rPr>
              <w:t>1 100 110</w:t>
            </w:r>
          </w:p>
        </w:tc>
        <w:tc>
          <w:tcPr>
            <w:tcW w:w="1399" w:type="dxa"/>
            <w:tcBorders>
              <w:top w:val="nil"/>
              <w:left w:val="nil"/>
              <w:bottom w:val="nil"/>
              <w:right w:val="nil"/>
            </w:tcBorders>
            <w:vAlign w:val="bottom"/>
          </w:tcPr>
          <w:p w14:paraId="7BCE1426" w14:textId="2792E75E" w:rsidR="00C35A2B" w:rsidRPr="009C2953" w:rsidRDefault="00C35A2B" w:rsidP="00C35A2B">
            <w:pPr>
              <w:pStyle w:val="Normal-pool"/>
              <w:spacing w:before="40" w:after="40"/>
              <w:jc w:val="right"/>
              <w:rPr>
                <w:sz w:val="18"/>
              </w:rPr>
            </w:pPr>
            <w:r w:rsidRPr="009C2953">
              <w:rPr>
                <w:sz w:val="18"/>
              </w:rPr>
              <w:t>2 200 220</w:t>
            </w:r>
          </w:p>
        </w:tc>
      </w:tr>
      <w:tr w:rsidR="00C35A2B" w:rsidRPr="009C2953" w14:paraId="20291854" w14:textId="77777777" w:rsidTr="00C35A2B">
        <w:trPr>
          <w:trHeight w:val="57"/>
          <w:jc w:val="right"/>
        </w:trPr>
        <w:tc>
          <w:tcPr>
            <w:tcW w:w="2836" w:type="dxa"/>
            <w:tcBorders>
              <w:top w:val="nil"/>
              <w:left w:val="nil"/>
              <w:bottom w:val="nil"/>
              <w:right w:val="nil"/>
            </w:tcBorders>
            <w:hideMark/>
          </w:tcPr>
          <w:p w14:paraId="25C84F30" w14:textId="77777777" w:rsidR="00C35A2B" w:rsidRPr="009C2953" w:rsidRDefault="00C35A2B" w:rsidP="00C35A2B">
            <w:pPr>
              <w:pStyle w:val="Normal-pool"/>
              <w:spacing w:before="40" w:after="40"/>
              <w:ind w:left="174"/>
              <w:rPr>
                <w:sz w:val="18"/>
                <w:szCs w:val="18"/>
              </w:rPr>
            </w:pPr>
            <w:r w:rsidRPr="009C2953">
              <w:rPr>
                <w:sz w:val="18"/>
              </w:rPr>
              <w:t>Australie</w:t>
            </w:r>
          </w:p>
        </w:tc>
        <w:tc>
          <w:tcPr>
            <w:tcW w:w="993" w:type="dxa"/>
            <w:tcBorders>
              <w:top w:val="nil"/>
              <w:left w:val="nil"/>
              <w:bottom w:val="nil"/>
              <w:right w:val="nil"/>
            </w:tcBorders>
            <w:vAlign w:val="bottom"/>
            <w:hideMark/>
          </w:tcPr>
          <w:p w14:paraId="1092B823"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67AEC611"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36F17296"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67C5BA5C" w14:textId="77777777" w:rsidR="00C35A2B" w:rsidRPr="009C2953" w:rsidRDefault="00C35A2B" w:rsidP="00C35A2B">
            <w:pPr>
              <w:pStyle w:val="Normal-pool"/>
              <w:spacing w:before="40" w:after="40"/>
              <w:jc w:val="right"/>
              <w:rPr>
                <w:sz w:val="18"/>
                <w:szCs w:val="18"/>
              </w:rPr>
            </w:pPr>
            <w:r w:rsidRPr="009C2953">
              <w:rPr>
                <w:sz w:val="18"/>
              </w:rPr>
              <w:t>30 000</w:t>
            </w:r>
          </w:p>
        </w:tc>
        <w:tc>
          <w:tcPr>
            <w:tcW w:w="1213" w:type="dxa"/>
            <w:tcBorders>
              <w:top w:val="nil"/>
              <w:left w:val="nil"/>
              <w:bottom w:val="nil"/>
              <w:right w:val="nil"/>
            </w:tcBorders>
            <w:vAlign w:val="bottom"/>
            <w:hideMark/>
          </w:tcPr>
          <w:p w14:paraId="278B3B68" w14:textId="77777777" w:rsidR="00C35A2B" w:rsidRPr="009C2953" w:rsidRDefault="00C35A2B" w:rsidP="00C35A2B">
            <w:pPr>
              <w:pStyle w:val="Normal-pool"/>
              <w:spacing w:before="40" w:after="40"/>
              <w:jc w:val="right"/>
              <w:rPr>
                <w:sz w:val="18"/>
                <w:szCs w:val="18"/>
              </w:rPr>
            </w:pPr>
            <w:r w:rsidRPr="009C2953">
              <w:rPr>
                <w:sz w:val="18"/>
              </w:rPr>
              <w:t>69 140</w:t>
            </w:r>
          </w:p>
        </w:tc>
        <w:tc>
          <w:tcPr>
            <w:tcW w:w="1166" w:type="dxa"/>
            <w:tcBorders>
              <w:top w:val="nil"/>
              <w:left w:val="nil"/>
              <w:bottom w:val="nil"/>
              <w:right w:val="single" w:sz="4" w:space="0" w:color="000000"/>
            </w:tcBorders>
            <w:vAlign w:val="bottom"/>
            <w:hideMark/>
          </w:tcPr>
          <w:p w14:paraId="2372D269" w14:textId="77777777" w:rsidR="00C35A2B" w:rsidRPr="009C2953" w:rsidRDefault="00C35A2B" w:rsidP="00C35A2B">
            <w:pPr>
              <w:pStyle w:val="Normal-pool"/>
              <w:spacing w:before="40" w:after="40"/>
              <w:jc w:val="right"/>
              <w:rPr>
                <w:sz w:val="18"/>
                <w:szCs w:val="18"/>
              </w:rPr>
            </w:pPr>
            <w:r w:rsidRPr="009C2953">
              <w:rPr>
                <w:sz w:val="18"/>
              </w:rPr>
              <w:t>68 630</w:t>
            </w:r>
          </w:p>
        </w:tc>
        <w:tc>
          <w:tcPr>
            <w:tcW w:w="1293" w:type="dxa"/>
            <w:tcBorders>
              <w:top w:val="nil"/>
              <w:left w:val="single" w:sz="4" w:space="0" w:color="000000"/>
              <w:bottom w:val="nil"/>
              <w:right w:val="nil"/>
            </w:tcBorders>
            <w:vAlign w:val="bottom"/>
            <w:hideMark/>
          </w:tcPr>
          <w:p w14:paraId="06FEC084"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762C4E88"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1CCDBBA8"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1BA4E670"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03DE261B" w14:textId="77777777" w:rsidTr="00C35A2B">
        <w:trPr>
          <w:trHeight w:val="57"/>
          <w:jc w:val="right"/>
        </w:trPr>
        <w:tc>
          <w:tcPr>
            <w:tcW w:w="2836" w:type="dxa"/>
            <w:tcBorders>
              <w:top w:val="nil"/>
              <w:left w:val="nil"/>
              <w:bottom w:val="nil"/>
              <w:right w:val="nil"/>
            </w:tcBorders>
            <w:hideMark/>
          </w:tcPr>
          <w:p w14:paraId="6397067C" w14:textId="77777777" w:rsidR="00C35A2B" w:rsidRPr="009C2953" w:rsidRDefault="00C35A2B" w:rsidP="00C35A2B">
            <w:pPr>
              <w:pStyle w:val="Normal-pool"/>
              <w:spacing w:before="40" w:after="40"/>
              <w:ind w:left="174"/>
              <w:rPr>
                <w:sz w:val="18"/>
                <w:szCs w:val="18"/>
              </w:rPr>
            </w:pPr>
            <w:r w:rsidRPr="009C2953">
              <w:rPr>
                <w:sz w:val="18"/>
              </w:rPr>
              <w:t>Autriche</w:t>
            </w:r>
          </w:p>
        </w:tc>
        <w:tc>
          <w:tcPr>
            <w:tcW w:w="993" w:type="dxa"/>
            <w:tcBorders>
              <w:top w:val="nil"/>
              <w:left w:val="nil"/>
              <w:bottom w:val="nil"/>
              <w:right w:val="nil"/>
            </w:tcBorders>
            <w:vAlign w:val="bottom"/>
            <w:hideMark/>
          </w:tcPr>
          <w:p w14:paraId="33E0B730" w14:textId="77777777" w:rsidR="00C35A2B" w:rsidRPr="009C2953" w:rsidRDefault="00C35A2B" w:rsidP="00C35A2B">
            <w:pPr>
              <w:pStyle w:val="Normal-pool"/>
              <w:spacing w:before="40" w:after="40"/>
              <w:jc w:val="right"/>
              <w:rPr>
                <w:sz w:val="18"/>
                <w:szCs w:val="18"/>
              </w:rPr>
            </w:pPr>
            <w:r w:rsidRPr="009C2953">
              <w:rPr>
                <w:sz w:val="18"/>
              </w:rPr>
              <w:t>17 123</w:t>
            </w:r>
          </w:p>
        </w:tc>
        <w:tc>
          <w:tcPr>
            <w:tcW w:w="992" w:type="dxa"/>
            <w:tcBorders>
              <w:top w:val="nil"/>
              <w:left w:val="nil"/>
              <w:bottom w:val="nil"/>
              <w:right w:val="nil"/>
            </w:tcBorders>
            <w:vAlign w:val="bottom"/>
            <w:hideMark/>
          </w:tcPr>
          <w:p w14:paraId="4EE074BE"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13EB81BB" w14:textId="77777777" w:rsidR="00C35A2B" w:rsidRPr="009C2953" w:rsidRDefault="00C35A2B" w:rsidP="00C35A2B">
            <w:pPr>
              <w:pStyle w:val="Normal-pool"/>
              <w:spacing w:before="40" w:after="40"/>
              <w:jc w:val="right"/>
              <w:rPr>
                <w:sz w:val="18"/>
                <w:szCs w:val="18"/>
              </w:rPr>
            </w:pPr>
            <w:r w:rsidRPr="009C2953">
              <w:rPr>
                <w:sz w:val="18"/>
              </w:rPr>
              <w:t>22 222</w:t>
            </w:r>
          </w:p>
        </w:tc>
        <w:tc>
          <w:tcPr>
            <w:tcW w:w="1213" w:type="dxa"/>
            <w:tcBorders>
              <w:top w:val="nil"/>
              <w:left w:val="nil"/>
              <w:bottom w:val="nil"/>
              <w:right w:val="nil"/>
            </w:tcBorders>
            <w:vAlign w:val="bottom"/>
            <w:hideMark/>
          </w:tcPr>
          <w:p w14:paraId="4CDC9B34" w14:textId="77777777" w:rsidR="00C35A2B" w:rsidRPr="009C2953" w:rsidRDefault="00C35A2B" w:rsidP="00C35A2B">
            <w:pPr>
              <w:pStyle w:val="Normal-pool"/>
              <w:spacing w:before="40" w:after="40"/>
              <w:jc w:val="right"/>
              <w:rPr>
                <w:sz w:val="18"/>
                <w:szCs w:val="18"/>
              </w:rPr>
            </w:pPr>
            <w:r w:rsidRPr="009C2953">
              <w:rPr>
                <w:sz w:val="18"/>
              </w:rPr>
              <w:t>16 892</w:t>
            </w:r>
          </w:p>
        </w:tc>
        <w:tc>
          <w:tcPr>
            <w:tcW w:w="1213" w:type="dxa"/>
            <w:tcBorders>
              <w:top w:val="nil"/>
              <w:left w:val="nil"/>
              <w:bottom w:val="nil"/>
              <w:right w:val="nil"/>
            </w:tcBorders>
            <w:vAlign w:val="bottom"/>
            <w:hideMark/>
          </w:tcPr>
          <w:p w14:paraId="463B038A"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6103A351"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639D40A0"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2C5310A"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1F70A3A"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7D501262"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3BB6480A" w14:textId="77777777" w:rsidTr="00C35A2B">
        <w:trPr>
          <w:trHeight w:val="57"/>
          <w:jc w:val="right"/>
        </w:trPr>
        <w:tc>
          <w:tcPr>
            <w:tcW w:w="2836" w:type="dxa"/>
            <w:tcBorders>
              <w:top w:val="nil"/>
              <w:left w:val="nil"/>
              <w:bottom w:val="nil"/>
              <w:right w:val="nil"/>
            </w:tcBorders>
            <w:hideMark/>
          </w:tcPr>
          <w:p w14:paraId="7C687E98" w14:textId="77777777" w:rsidR="00C35A2B" w:rsidRPr="009C2953" w:rsidRDefault="00C35A2B" w:rsidP="00C35A2B">
            <w:pPr>
              <w:pStyle w:val="Normal-pool"/>
              <w:spacing w:before="40" w:after="40"/>
              <w:ind w:left="174"/>
              <w:rPr>
                <w:sz w:val="18"/>
                <w:szCs w:val="18"/>
              </w:rPr>
            </w:pPr>
            <w:r w:rsidRPr="009C2953">
              <w:rPr>
                <w:sz w:val="18"/>
              </w:rPr>
              <w:t>Belgique</w:t>
            </w:r>
          </w:p>
        </w:tc>
        <w:tc>
          <w:tcPr>
            <w:tcW w:w="993" w:type="dxa"/>
            <w:tcBorders>
              <w:top w:val="nil"/>
              <w:left w:val="nil"/>
              <w:bottom w:val="nil"/>
              <w:right w:val="nil"/>
            </w:tcBorders>
            <w:vAlign w:val="bottom"/>
            <w:hideMark/>
          </w:tcPr>
          <w:p w14:paraId="4FCD948A" w14:textId="77777777" w:rsidR="00C35A2B" w:rsidRPr="009C2953" w:rsidRDefault="00C35A2B" w:rsidP="00C35A2B">
            <w:pPr>
              <w:pStyle w:val="Normal-pool"/>
              <w:spacing w:before="40" w:after="40"/>
              <w:jc w:val="right"/>
              <w:rPr>
                <w:sz w:val="18"/>
                <w:szCs w:val="18"/>
              </w:rPr>
            </w:pPr>
            <w:r w:rsidRPr="009C2953">
              <w:rPr>
                <w:sz w:val="18"/>
              </w:rPr>
              <w:t>77 193</w:t>
            </w:r>
          </w:p>
        </w:tc>
        <w:tc>
          <w:tcPr>
            <w:tcW w:w="992" w:type="dxa"/>
            <w:tcBorders>
              <w:top w:val="nil"/>
              <w:left w:val="nil"/>
              <w:bottom w:val="nil"/>
              <w:right w:val="nil"/>
            </w:tcBorders>
            <w:vAlign w:val="bottom"/>
            <w:hideMark/>
          </w:tcPr>
          <w:p w14:paraId="1CC84DC6" w14:textId="77777777" w:rsidR="00C35A2B" w:rsidRPr="009C2953" w:rsidRDefault="00C35A2B" w:rsidP="00C35A2B">
            <w:pPr>
              <w:pStyle w:val="Normal-pool"/>
              <w:spacing w:before="40" w:after="40"/>
              <w:jc w:val="right"/>
              <w:rPr>
                <w:sz w:val="18"/>
                <w:szCs w:val="18"/>
              </w:rPr>
            </w:pPr>
            <w:r w:rsidRPr="009C2953">
              <w:rPr>
                <w:sz w:val="18"/>
              </w:rPr>
              <w:t>73 661</w:t>
            </w:r>
          </w:p>
        </w:tc>
        <w:tc>
          <w:tcPr>
            <w:tcW w:w="1086" w:type="dxa"/>
            <w:tcBorders>
              <w:top w:val="nil"/>
              <w:left w:val="nil"/>
              <w:bottom w:val="nil"/>
              <w:right w:val="nil"/>
            </w:tcBorders>
            <w:vAlign w:val="bottom"/>
            <w:hideMark/>
          </w:tcPr>
          <w:p w14:paraId="4B5C5E06" w14:textId="77777777" w:rsidR="00C35A2B" w:rsidRPr="009C2953" w:rsidRDefault="00C35A2B" w:rsidP="00C35A2B">
            <w:pPr>
              <w:pStyle w:val="Normal-pool"/>
              <w:spacing w:before="40" w:after="40"/>
              <w:jc w:val="right"/>
              <w:rPr>
                <w:sz w:val="18"/>
                <w:szCs w:val="18"/>
              </w:rPr>
            </w:pPr>
            <w:r w:rsidRPr="009C2953">
              <w:rPr>
                <w:sz w:val="18"/>
              </w:rPr>
              <w:t>73 853</w:t>
            </w:r>
          </w:p>
        </w:tc>
        <w:tc>
          <w:tcPr>
            <w:tcW w:w="1213" w:type="dxa"/>
            <w:tcBorders>
              <w:top w:val="nil"/>
              <w:left w:val="nil"/>
              <w:bottom w:val="nil"/>
              <w:right w:val="nil"/>
            </w:tcBorders>
            <w:vAlign w:val="bottom"/>
            <w:hideMark/>
          </w:tcPr>
          <w:p w14:paraId="318FF5C1" w14:textId="77777777" w:rsidR="00C35A2B" w:rsidRPr="009C2953" w:rsidRDefault="00C35A2B" w:rsidP="00C35A2B">
            <w:pPr>
              <w:pStyle w:val="Normal-pool"/>
              <w:spacing w:before="40" w:after="40"/>
              <w:jc w:val="right"/>
              <w:rPr>
                <w:sz w:val="18"/>
                <w:szCs w:val="18"/>
              </w:rPr>
            </w:pPr>
            <w:r w:rsidRPr="009C2953">
              <w:rPr>
                <w:sz w:val="18"/>
              </w:rPr>
              <w:t>74 324</w:t>
            </w:r>
          </w:p>
        </w:tc>
        <w:tc>
          <w:tcPr>
            <w:tcW w:w="1213" w:type="dxa"/>
            <w:tcBorders>
              <w:top w:val="nil"/>
              <w:left w:val="nil"/>
              <w:bottom w:val="nil"/>
              <w:right w:val="nil"/>
            </w:tcBorders>
            <w:vAlign w:val="bottom"/>
            <w:hideMark/>
          </w:tcPr>
          <w:p w14:paraId="7AD3C454" w14:textId="77777777" w:rsidR="00C35A2B" w:rsidRPr="009C2953" w:rsidRDefault="00C35A2B" w:rsidP="00C35A2B">
            <w:pPr>
              <w:pStyle w:val="Normal-pool"/>
              <w:spacing w:before="40" w:after="40"/>
              <w:jc w:val="right"/>
              <w:rPr>
                <w:sz w:val="18"/>
                <w:szCs w:val="18"/>
              </w:rPr>
            </w:pPr>
            <w:r w:rsidRPr="009C2953">
              <w:rPr>
                <w:sz w:val="18"/>
              </w:rPr>
              <w:t>70 288</w:t>
            </w:r>
          </w:p>
        </w:tc>
        <w:tc>
          <w:tcPr>
            <w:tcW w:w="1166" w:type="dxa"/>
            <w:tcBorders>
              <w:top w:val="nil"/>
              <w:left w:val="nil"/>
              <w:bottom w:val="nil"/>
              <w:right w:val="single" w:sz="4" w:space="0" w:color="000000"/>
            </w:tcBorders>
            <w:vAlign w:val="bottom"/>
            <w:hideMark/>
          </w:tcPr>
          <w:p w14:paraId="291FB4D7"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40696C5B" w14:textId="77777777" w:rsidR="00C35A2B" w:rsidRPr="009C2953" w:rsidRDefault="00C35A2B" w:rsidP="00C35A2B">
            <w:pPr>
              <w:pStyle w:val="Normal-pool"/>
              <w:spacing w:before="40" w:after="40"/>
              <w:jc w:val="right"/>
              <w:rPr>
                <w:sz w:val="18"/>
                <w:szCs w:val="18"/>
              </w:rPr>
            </w:pPr>
            <w:r w:rsidRPr="009C2953">
              <w:rPr>
                <w:sz w:val="18"/>
              </w:rPr>
              <w:t>72 607</w:t>
            </w:r>
          </w:p>
        </w:tc>
        <w:tc>
          <w:tcPr>
            <w:tcW w:w="1166" w:type="dxa"/>
            <w:tcBorders>
              <w:top w:val="nil"/>
              <w:left w:val="nil"/>
              <w:bottom w:val="nil"/>
              <w:right w:val="nil"/>
            </w:tcBorders>
            <w:vAlign w:val="bottom"/>
            <w:hideMark/>
          </w:tcPr>
          <w:p w14:paraId="276EA724"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5B0EDFE0"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64AF7F5F" w14:textId="77777777" w:rsidR="00C35A2B" w:rsidRPr="009C2953" w:rsidRDefault="00C35A2B" w:rsidP="00C35A2B">
            <w:pPr>
              <w:pStyle w:val="Normal-pool"/>
              <w:spacing w:before="40" w:after="40"/>
              <w:jc w:val="right"/>
              <w:rPr>
                <w:sz w:val="18"/>
                <w:szCs w:val="18"/>
              </w:rPr>
            </w:pPr>
            <w:r w:rsidRPr="009C2953">
              <w:rPr>
                <w:sz w:val="18"/>
              </w:rPr>
              <w:t>72 607</w:t>
            </w:r>
          </w:p>
        </w:tc>
      </w:tr>
      <w:tr w:rsidR="00C35A2B" w:rsidRPr="009C2953" w14:paraId="39DB5400" w14:textId="77777777" w:rsidTr="00C35A2B">
        <w:trPr>
          <w:trHeight w:val="57"/>
          <w:jc w:val="right"/>
        </w:trPr>
        <w:tc>
          <w:tcPr>
            <w:tcW w:w="2836" w:type="dxa"/>
            <w:tcBorders>
              <w:top w:val="nil"/>
              <w:left w:val="nil"/>
              <w:bottom w:val="nil"/>
              <w:right w:val="nil"/>
            </w:tcBorders>
            <w:hideMark/>
          </w:tcPr>
          <w:p w14:paraId="5AF66A05" w14:textId="77777777" w:rsidR="00C35A2B" w:rsidRPr="009C2953" w:rsidRDefault="00C35A2B" w:rsidP="00C35A2B">
            <w:pPr>
              <w:pStyle w:val="Normal-pool"/>
              <w:spacing w:before="40" w:after="40"/>
              <w:ind w:left="174"/>
              <w:rPr>
                <w:sz w:val="18"/>
                <w:szCs w:val="18"/>
              </w:rPr>
            </w:pPr>
            <w:r w:rsidRPr="009C2953">
              <w:rPr>
                <w:sz w:val="18"/>
              </w:rPr>
              <w:t>Bulgarie</w:t>
            </w:r>
          </w:p>
        </w:tc>
        <w:tc>
          <w:tcPr>
            <w:tcW w:w="993" w:type="dxa"/>
            <w:tcBorders>
              <w:top w:val="nil"/>
              <w:left w:val="nil"/>
              <w:bottom w:val="nil"/>
              <w:right w:val="nil"/>
            </w:tcBorders>
            <w:vAlign w:val="bottom"/>
            <w:hideMark/>
          </w:tcPr>
          <w:p w14:paraId="3A4E191C" w14:textId="3C7C7758"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323</w:t>
            </w:r>
          </w:p>
        </w:tc>
        <w:tc>
          <w:tcPr>
            <w:tcW w:w="992" w:type="dxa"/>
            <w:tcBorders>
              <w:top w:val="nil"/>
              <w:left w:val="nil"/>
              <w:bottom w:val="nil"/>
              <w:right w:val="nil"/>
            </w:tcBorders>
            <w:vAlign w:val="bottom"/>
            <w:hideMark/>
          </w:tcPr>
          <w:p w14:paraId="61261219" w14:textId="66C345C1"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273</w:t>
            </w:r>
          </w:p>
        </w:tc>
        <w:tc>
          <w:tcPr>
            <w:tcW w:w="1086" w:type="dxa"/>
            <w:tcBorders>
              <w:top w:val="nil"/>
              <w:left w:val="nil"/>
              <w:bottom w:val="nil"/>
              <w:right w:val="nil"/>
            </w:tcBorders>
            <w:vAlign w:val="bottom"/>
            <w:hideMark/>
          </w:tcPr>
          <w:p w14:paraId="0C913B80" w14:textId="4FD6C6AC"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198</w:t>
            </w:r>
          </w:p>
        </w:tc>
        <w:tc>
          <w:tcPr>
            <w:tcW w:w="1213" w:type="dxa"/>
            <w:tcBorders>
              <w:top w:val="nil"/>
              <w:left w:val="nil"/>
              <w:bottom w:val="nil"/>
              <w:right w:val="nil"/>
            </w:tcBorders>
            <w:vAlign w:val="bottom"/>
            <w:hideMark/>
          </w:tcPr>
          <w:p w14:paraId="3AA45EFD" w14:textId="525BD2C5"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427</w:t>
            </w:r>
          </w:p>
        </w:tc>
        <w:tc>
          <w:tcPr>
            <w:tcW w:w="1213" w:type="dxa"/>
            <w:tcBorders>
              <w:top w:val="nil"/>
              <w:left w:val="nil"/>
              <w:bottom w:val="nil"/>
              <w:right w:val="nil"/>
            </w:tcBorders>
            <w:vAlign w:val="bottom"/>
            <w:hideMark/>
          </w:tcPr>
          <w:p w14:paraId="4EDCE04F" w14:textId="07CD9805"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068</w:t>
            </w:r>
          </w:p>
        </w:tc>
        <w:tc>
          <w:tcPr>
            <w:tcW w:w="1166" w:type="dxa"/>
            <w:tcBorders>
              <w:top w:val="nil"/>
              <w:left w:val="nil"/>
              <w:bottom w:val="nil"/>
              <w:right w:val="single" w:sz="4" w:space="0" w:color="000000"/>
            </w:tcBorders>
            <w:vAlign w:val="bottom"/>
            <w:hideMark/>
          </w:tcPr>
          <w:p w14:paraId="0A960CB8" w14:textId="5C625651"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127</w:t>
            </w:r>
          </w:p>
        </w:tc>
        <w:tc>
          <w:tcPr>
            <w:tcW w:w="1293" w:type="dxa"/>
            <w:tcBorders>
              <w:top w:val="nil"/>
              <w:left w:val="single" w:sz="4" w:space="0" w:color="000000"/>
              <w:bottom w:val="nil"/>
              <w:right w:val="nil"/>
            </w:tcBorders>
            <w:vAlign w:val="bottom"/>
            <w:hideMark/>
          </w:tcPr>
          <w:p w14:paraId="3972B667"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00CC52CE"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399163F5"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19B46D8C"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68DC0CBD" w14:textId="77777777" w:rsidTr="00C35A2B">
        <w:trPr>
          <w:trHeight w:val="57"/>
          <w:jc w:val="right"/>
        </w:trPr>
        <w:tc>
          <w:tcPr>
            <w:tcW w:w="2836" w:type="dxa"/>
            <w:tcBorders>
              <w:top w:val="nil"/>
              <w:left w:val="nil"/>
              <w:bottom w:val="nil"/>
              <w:right w:val="nil"/>
            </w:tcBorders>
            <w:hideMark/>
          </w:tcPr>
          <w:p w14:paraId="2E324A0F" w14:textId="77777777" w:rsidR="00C35A2B" w:rsidRPr="009C2953" w:rsidRDefault="00C35A2B" w:rsidP="00C35A2B">
            <w:pPr>
              <w:pStyle w:val="Normal-pool"/>
              <w:spacing w:before="40" w:after="40"/>
              <w:ind w:left="174"/>
              <w:rPr>
                <w:sz w:val="18"/>
                <w:szCs w:val="18"/>
              </w:rPr>
            </w:pPr>
            <w:proofErr w:type="spellStart"/>
            <w:r w:rsidRPr="009C2953">
              <w:rPr>
                <w:sz w:val="18"/>
              </w:rPr>
              <w:t>Canada</w:t>
            </w:r>
            <w:r w:rsidRPr="009C2953">
              <w:rPr>
                <w:sz w:val="18"/>
                <w:vertAlign w:val="superscript"/>
              </w:rPr>
              <w:t>a</w:t>
            </w:r>
            <w:proofErr w:type="spellEnd"/>
            <w:r w:rsidRPr="009C2953">
              <w:rPr>
                <w:sz w:val="18"/>
              </w:rPr>
              <w:t xml:space="preserve"> </w:t>
            </w:r>
          </w:p>
        </w:tc>
        <w:tc>
          <w:tcPr>
            <w:tcW w:w="993" w:type="dxa"/>
            <w:tcBorders>
              <w:top w:val="nil"/>
              <w:left w:val="nil"/>
              <w:bottom w:val="nil"/>
              <w:right w:val="nil"/>
            </w:tcBorders>
            <w:vAlign w:val="bottom"/>
            <w:hideMark/>
          </w:tcPr>
          <w:p w14:paraId="5A4FF4EB" w14:textId="77777777" w:rsidR="00C35A2B" w:rsidRPr="009C2953" w:rsidRDefault="00C35A2B" w:rsidP="00C35A2B">
            <w:pPr>
              <w:pStyle w:val="Normal-pool"/>
              <w:spacing w:before="40" w:after="40"/>
              <w:jc w:val="right"/>
              <w:rPr>
                <w:sz w:val="18"/>
                <w:szCs w:val="18"/>
              </w:rPr>
            </w:pPr>
            <w:r w:rsidRPr="009C2953">
              <w:rPr>
                <w:sz w:val="18"/>
              </w:rPr>
              <w:t>25 583</w:t>
            </w:r>
          </w:p>
        </w:tc>
        <w:tc>
          <w:tcPr>
            <w:tcW w:w="992" w:type="dxa"/>
            <w:tcBorders>
              <w:top w:val="nil"/>
              <w:left w:val="nil"/>
              <w:bottom w:val="nil"/>
              <w:right w:val="nil"/>
            </w:tcBorders>
            <w:vAlign w:val="bottom"/>
            <w:hideMark/>
          </w:tcPr>
          <w:p w14:paraId="4873C28C" w14:textId="77777777" w:rsidR="00C35A2B" w:rsidRPr="009C2953" w:rsidRDefault="00C35A2B" w:rsidP="00C35A2B">
            <w:pPr>
              <w:pStyle w:val="Normal-pool"/>
              <w:spacing w:before="40" w:after="40"/>
              <w:jc w:val="right"/>
              <w:rPr>
                <w:sz w:val="18"/>
                <w:szCs w:val="18"/>
              </w:rPr>
            </w:pPr>
            <w:r w:rsidRPr="009C2953">
              <w:rPr>
                <w:sz w:val="18"/>
              </w:rPr>
              <w:t>30 312</w:t>
            </w:r>
          </w:p>
        </w:tc>
        <w:tc>
          <w:tcPr>
            <w:tcW w:w="1086" w:type="dxa"/>
            <w:tcBorders>
              <w:top w:val="nil"/>
              <w:left w:val="nil"/>
              <w:bottom w:val="nil"/>
              <w:right w:val="nil"/>
            </w:tcBorders>
            <w:vAlign w:val="bottom"/>
            <w:hideMark/>
          </w:tcPr>
          <w:p w14:paraId="1BFB5346" w14:textId="77777777" w:rsidR="00C35A2B" w:rsidRPr="009C2953" w:rsidRDefault="00C35A2B" w:rsidP="00C35A2B">
            <w:pPr>
              <w:pStyle w:val="Normal-pool"/>
              <w:spacing w:before="40" w:after="40"/>
              <w:jc w:val="right"/>
              <w:rPr>
                <w:sz w:val="18"/>
                <w:szCs w:val="18"/>
              </w:rPr>
            </w:pPr>
            <w:r w:rsidRPr="009C2953">
              <w:rPr>
                <w:sz w:val="18"/>
              </w:rPr>
              <w:t>31 260</w:t>
            </w:r>
          </w:p>
        </w:tc>
        <w:tc>
          <w:tcPr>
            <w:tcW w:w="1213" w:type="dxa"/>
            <w:tcBorders>
              <w:top w:val="nil"/>
              <w:left w:val="nil"/>
              <w:bottom w:val="nil"/>
              <w:right w:val="nil"/>
            </w:tcBorders>
            <w:vAlign w:val="bottom"/>
            <w:hideMark/>
          </w:tcPr>
          <w:p w14:paraId="13B652D0" w14:textId="77777777" w:rsidR="00C35A2B" w:rsidRPr="009C2953" w:rsidRDefault="00C35A2B" w:rsidP="00C35A2B">
            <w:pPr>
              <w:pStyle w:val="Normal-pool"/>
              <w:spacing w:before="40" w:after="40"/>
              <w:jc w:val="right"/>
              <w:rPr>
                <w:sz w:val="18"/>
                <w:szCs w:val="18"/>
              </w:rPr>
            </w:pPr>
            <w:r w:rsidRPr="009C2953">
              <w:rPr>
                <w:sz w:val="18"/>
              </w:rPr>
              <w:t>31 216</w:t>
            </w:r>
          </w:p>
        </w:tc>
        <w:tc>
          <w:tcPr>
            <w:tcW w:w="1213" w:type="dxa"/>
            <w:tcBorders>
              <w:top w:val="nil"/>
              <w:left w:val="nil"/>
              <w:bottom w:val="nil"/>
              <w:right w:val="nil"/>
            </w:tcBorders>
            <w:vAlign w:val="bottom"/>
            <w:hideMark/>
          </w:tcPr>
          <w:p w14:paraId="5493B9BF" w14:textId="77777777" w:rsidR="00C35A2B" w:rsidRPr="009C2953" w:rsidRDefault="00C35A2B" w:rsidP="00C35A2B">
            <w:pPr>
              <w:pStyle w:val="Normal-pool"/>
              <w:spacing w:before="40" w:after="40"/>
              <w:jc w:val="right"/>
              <w:rPr>
                <w:sz w:val="18"/>
                <w:szCs w:val="18"/>
              </w:rPr>
            </w:pPr>
            <w:r w:rsidRPr="009C2953">
              <w:rPr>
                <w:sz w:val="18"/>
              </w:rPr>
              <w:t>31 119</w:t>
            </w:r>
          </w:p>
        </w:tc>
        <w:tc>
          <w:tcPr>
            <w:tcW w:w="1166" w:type="dxa"/>
            <w:tcBorders>
              <w:top w:val="nil"/>
              <w:left w:val="nil"/>
              <w:bottom w:val="nil"/>
              <w:right w:val="single" w:sz="4" w:space="0" w:color="000000"/>
            </w:tcBorders>
            <w:vAlign w:val="bottom"/>
            <w:hideMark/>
          </w:tcPr>
          <w:p w14:paraId="4249B977" w14:textId="77777777" w:rsidR="00C35A2B" w:rsidRPr="009C2953" w:rsidRDefault="00C35A2B" w:rsidP="00C35A2B">
            <w:pPr>
              <w:pStyle w:val="Normal-pool"/>
              <w:spacing w:before="40" w:after="40"/>
              <w:jc w:val="right"/>
              <w:rPr>
                <w:sz w:val="18"/>
                <w:szCs w:val="18"/>
              </w:rPr>
            </w:pPr>
            <w:r w:rsidRPr="009C2953">
              <w:rPr>
                <w:sz w:val="18"/>
              </w:rPr>
              <w:t>29 577</w:t>
            </w:r>
          </w:p>
        </w:tc>
        <w:tc>
          <w:tcPr>
            <w:tcW w:w="1293" w:type="dxa"/>
            <w:tcBorders>
              <w:top w:val="nil"/>
              <w:left w:val="single" w:sz="4" w:space="0" w:color="000000"/>
              <w:bottom w:val="nil"/>
              <w:right w:val="nil"/>
            </w:tcBorders>
            <w:vAlign w:val="bottom"/>
            <w:hideMark/>
          </w:tcPr>
          <w:p w14:paraId="215CE558"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03D73604" w14:textId="77777777" w:rsidR="00C35A2B" w:rsidRPr="009C2953" w:rsidRDefault="00C35A2B" w:rsidP="00C35A2B">
            <w:pPr>
              <w:pStyle w:val="Normal-pool"/>
              <w:spacing w:before="40" w:after="40"/>
              <w:jc w:val="right"/>
              <w:rPr>
                <w:sz w:val="18"/>
                <w:szCs w:val="18"/>
              </w:rPr>
            </w:pPr>
            <w:r w:rsidRPr="009C2953">
              <w:rPr>
                <w:sz w:val="18"/>
              </w:rPr>
              <w:t>31 397</w:t>
            </w:r>
          </w:p>
        </w:tc>
        <w:tc>
          <w:tcPr>
            <w:tcW w:w="1072" w:type="dxa"/>
            <w:tcBorders>
              <w:top w:val="nil"/>
              <w:left w:val="nil"/>
              <w:bottom w:val="nil"/>
              <w:right w:val="nil"/>
            </w:tcBorders>
            <w:vAlign w:val="bottom"/>
            <w:hideMark/>
          </w:tcPr>
          <w:p w14:paraId="723FF125"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1A131367" w14:textId="77777777" w:rsidR="00C35A2B" w:rsidRPr="009C2953" w:rsidRDefault="00C35A2B" w:rsidP="00C35A2B">
            <w:pPr>
              <w:pStyle w:val="Normal-pool"/>
              <w:spacing w:before="40" w:after="40"/>
              <w:jc w:val="right"/>
              <w:rPr>
                <w:sz w:val="18"/>
                <w:szCs w:val="18"/>
              </w:rPr>
            </w:pPr>
            <w:r w:rsidRPr="009C2953">
              <w:rPr>
                <w:sz w:val="18"/>
              </w:rPr>
              <w:t>31 397</w:t>
            </w:r>
          </w:p>
        </w:tc>
      </w:tr>
      <w:tr w:rsidR="00C35A2B" w:rsidRPr="009C2953" w14:paraId="07326EDA" w14:textId="77777777" w:rsidTr="00C35A2B">
        <w:trPr>
          <w:trHeight w:val="57"/>
          <w:jc w:val="right"/>
        </w:trPr>
        <w:tc>
          <w:tcPr>
            <w:tcW w:w="2836" w:type="dxa"/>
            <w:tcBorders>
              <w:top w:val="nil"/>
              <w:left w:val="nil"/>
              <w:bottom w:val="nil"/>
              <w:right w:val="nil"/>
            </w:tcBorders>
            <w:hideMark/>
          </w:tcPr>
          <w:p w14:paraId="5CE1A2F3" w14:textId="77777777" w:rsidR="00C35A2B" w:rsidRPr="009C2953" w:rsidRDefault="00C35A2B" w:rsidP="00C35A2B">
            <w:pPr>
              <w:pStyle w:val="Normal-pool"/>
              <w:spacing w:before="40" w:after="40"/>
              <w:ind w:left="174"/>
              <w:rPr>
                <w:sz w:val="18"/>
                <w:szCs w:val="18"/>
              </w:rPr>
            </w:pPr>
            <w:r w:rsidRPr="009C2953">
              <w:rPr>
                <w:sz w:val="18"/>
              </w:rPr>
              <w:t>Chili</w:t>
            </w:r>
          </w:p>
        </w:tc>
        <w:tc>
          <w:tcPr>
            <w:tcW w:w="993" w:type="dxa"/>
            <w:tcBorders>
              <w:top w:val="nil"/>
              <w:left w:val="nil"/>
              <w:bottom w:val="nil"/>
              <w:right w:val="nil"/>
            </w:tcBorders>
            <w:vAlign w:val="bottom"/>
            <w:hideMark/>
          </w:tcPr>
          <w:p w14:paraId="57351A85" w14:textId="77777777" w:rsidR="00C35A2B" w:rsidRPr="009C2953" w:rsidRDefault="00C35A2B" w:rsidP="00C35A2B">
            <w:pPr>
              <w:pStyle w:val="Normal-pool"/>
              <w:spacing w:before="40" w:after="40"/>
              <w:jc w:val="right"/>
              <w:rPr>
                <w:sz w:val="18"/>
                <w:szCs w:val="18"/>
              </w:rPr>
            </w:pPr>
            <w:r w:rsidRPr="009C2953">
              <w:rPr>
                <w:sz w:val="18"/>
              </w:rPr>
              <w:t>13 000</w:t>
            </w:r>
          </w:p>
        </w:tc>
        <w:tc>
          <w:tcPr>
            <w:tcW w:w="992" w:type="dxa"/>
            <w:tcBorders>
              <w:top w:val="nil"/>
              <w:left w:val="nil"/>
              <w:bottom w:val="nil"/>
              <w:right w:val="nil"/>
            </w:tcBorders>
            <w:vAlign w:val="bottom"/>
            <w:hideMark/>
          </w:tcPr>
          <w:p w14:paraId="2B473CC8" w14:textId="77777777" w:rsidR="00C35A2B" w:rsidRPr="009C2953" w:rsidRDefault="00C35A2B" w:rsidP="00C35A2B">
            <w:pPr>
              <w:pStyle w:val="Normal-pool"/>
              <w:spacing w:before="40" w:after="40"/>
              <w:jc w:val="right"/>
              <w:rPr>
                <w:sz w:val="18"/>
                <w:szCs w:val="18"/>
              </w:rPr>
            </w:pPr>
            <w:r w:rsidRPr="009C2953">
              <w:rPr>
                <w:sz w:val="18"/>
              </w:rPr>
              <w:t>12 751</w:t>
            </w:r>
          </w:p>
        </w:tc>
        <w:tc>
          <w:tcPr>
            <w:tcW w:w="1086" w:type="dxa"/>
            <w:tcBorders>
              <w:top w:val="nil"/>
              <w:left w:val="nil"/>
              <w:bottom w:val="nil"/>
              <w:right w:val="nil"/>
            </w:tcBorders>
            <w:vAlign w:val="bottom"/>
            <w:hideMark/>
          </w:tcPr>
          <w:p w14:paraId="66F37DAD" w14:textId="77777777" w:rsidR="00C35A2B" w:rsidRPr="009C2953" w:rsidRDefault="00C35A2B" w:rsidP="00C35A2B">
            <w:pPr>
              <w:pStyle w:val="Normal-pool"/>
              <w:spacing w:before="40" w:after="40"/>
              <w:jc w:val="right"/>
              <w:rPr>
                <w:sz w:val="18"/>
                <w:szCs w:val="18"/>
              </w:rPr>
            </w:pPr>
            <w:r w:rsidRPr="009C2953">
              <w:rPr>
                <w:sz w:val="18"/>
              </w:rPr>
              <w:t>11 000</w:t>
            </w:r>
          </w:p>
        </w:tc>
        <w:tc>
          <w:tcPr>
            <w:tcW w:w="1213" w:type="dxa"/>
            <w:tcBorders>
              <w:top w:val="nil"/>
              <w:left w:val="nil"/>
              <w:bottom w:val="nil"/>
              <w:right w:val="nil"/>
            </w:tcBorders>
            <w:vAlign w:val="bottom"/>
            <w:hideMark/>
          </w:tcPr>
          <w:p w14:paraId="26293875" w14:textId="77777777" w:rsidR="00C35A2B" w:rsidRPr="009C2953" w:rsidRDefault="00C35A2B" w:rsidP="00C35A2B">
            <w:pPr>
              <w:pStyle w:val="Normal-pool"/>
              <w:spacing w:before="40" w:after="40"/>
              <w:jc w:val="right"/>
              <w:rPr>
                <w:sz w:val="18"/>
                <w:szCs w:val="18"/>
              </w:rPr>
            </w:pPr>
            <w:r w:rsidRPr="009C2953">
              <w:rPr>
                <w:sz w:val="18"/>
              </w:rPr>
              <w:t>12 053</w:t>
            </w:r>
          </w:p>
        </w:tc>
        <w:tc>
          <w:tcPr>
            <w:tcW w:w="1213" w:type="dxa"/>
            <w:tcBorders>
              <w:top w:val="nil"/>
              <w:left w:val="nil"/>
              <w:bottom w:val="nil"/>
              <w:right w:val="nil"/>
            </w:tcBorders>
            <w:vAlign w:val="bottom"/>
            <w:hideMark/>
          </w:tcPr>
          <w:p w14:paraId="1667957B" w14:textId="77777777" w:rsidR="00C35A2B" w:rsidRPr="009C2953" w:rsidRDefault="00C35A2B" w:rsidP="00C35A2B">
            <w:pPr>
              <w:pStyle w:val="Normal-pool"/>
              <w:spacing w:before="40" w:after="40"/>
              <w:jc w:val="right"/>
              <w:rPr>
                <w:sz w:val="18"/>
                <w:szCs w:val="18"/>
              </w:rPr>
            </w:pPr>
            <w:r w:rsidRPr="009C2953">
              <w:rPr>
                <w:sz w:val="18"/>
              </w:rPr>
              <w:t>10 850</w:t>
            </w:r>
          </w:p>
        </w:tc>
        <w:tc>
          <w:tcPr>
            <w:tcW w:w="1166" w:type="dxa"/>
            <w:tcBorders>
              <w:top w:val="nil"/>
              <w:left w:val="nil"/>
              <w:bottom w:val="nil"/>
              <w:right w:val="single" w:sz="4" w:space="0" w:color="000000"/>
            </w:tcBorders>
            <w:vAlign w:val="bottom"/>
            <w:hideMark/>
          </w:tcPr>
          <w:p w14:paraId="1EDE5345" w14:textId="77777777" w:rsidR="00C35A2B" w:rsidRPr="009C2953" w:rsidRDefault="00C35A2B" w:rsidP="00C35A2B">
            <w:pPr>
              <w:pStyle w:val="Normal-pool"/>
              <w:spacing w:before="40" w:after="40"/>
              <w:jc w:val="right"/>
              <w:rPr>
                <w:sz w:val="18"/>
                <w:szCs w:val="18"/>
              </w:rPr>
            </w:pPr>
            <w:r w:rsidRPr="009C2953">
              <w:rPr>
                <w:sz w:val="18"/>
              </w:rPr>
              <w:t>11 349</w:t>
            </w:r>
          </w:p>
        </w:tc>
        <w:tc>
          <w:tcPr>
            <w:tcW w:w="1293" w:type="dxa"/>
            <w:tcBorders>
              <w:top w:val="nil"/>
              <w:left w:val="single" w:sz="4" w:space="0" w:color="000000"/>
              <w:bottom w:val="nil"/>
              <w:right w:val="nil"/>
            </w:tcBorders>
            <w:vAlign w:val="bottom"/>
            <w:hideMark/>
          </w:tcPr>
          <w:p w14:paraId="522D51C3"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FA67B8F"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20DEEEFF"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23838282"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62888D7E" w14:textId="77777777" w:rsidTr="00C35A2B">
        <w:trPr>
          <w:trHeight w:val="57"/>
          <w:jc w:val="right"/>
        </w:trPr>
        <w:tc>
          <w:tcPr>
            <w:tcW w:w="2836" w:type="dxa"/>
            <w:tcBorders>
              <w:top w:val="nil"/>
              <w:left w:val="nil"/>
              <w:bottom w:val="nil"/>
              <w:right w:val="nil"/>
            </w:tcBorders>
            <w:hideMark/>
          </w:tcPr>
          <w:p w14:paraId="34D34875" w14:textId="77777777" w:rsidR="00C35A2B" w:rsidRPr="009C2953" w:rsidRDefault="00C35A2B" w:rsidP="00C35A2B">
            <w:pPr>
              <w:pStyle w:val="Normal-pool"/>
              <w:spacing w:before="40" w:after="40"/>
              <w:ind w:left="174"/>
              <w:rPr>
                <w:sz w:val="18"/>
                <w:szCs w:val="18"/>
              </w:rPr>
            </w:pPr>
            <w:r w:rsidRPr="009C2953">
              <w:rPr>
                <w:sz w:val="18"/>
              </w:rPr>
              <w:t>Chine</w:t>
            </w:r>
          </w:p>
        </w:tc>
        <w:tc>
          <w:tcPr>
            <w:tcW w:w="993" w:type="dxa"/>
            <w:tcBorders>
              <w:top w:val="nil"/>
              <w:left w:val="nil"/>
              <w:bottom w:val="nil"/>
              <w:right w:val="nil"/>
            </w:tcBorders>
            <w:vAlign w:val="bottom"/>
            <w:hideMark/>
          </w:tcPr>
          <w:p w14:paraId="288F913D" w14:textId="77777777" w:rsidR="00C35A2B" w:rsidRPr="009C2953" w:rsidRDefault="00C35A2B" w:rsidP="00C35A2B">
            <w:pPr>
              <w:pStyle w:val="Normal-pool"/>
              <w:spacing w:before="40" w:after="40"/>
              <w:jc w:val="right"/>
              <w:rPr>
                <w:sz w:val="18"/>
                <w:szCs w:val="18"/>
              </w:rPr>
            </w:pPr>
            <w:r w:rsidRPr="009C2953">
              <w:rPr>
                <w:sz w:val="18"/>
              </w:rPr>
              <w:t>200 000</w:t>
            </w:r>
          </w:p>
        </w:tc>
        <w:tc>
          <w:tcPr>
            <w:tcW w:w="992" w:type="dxa"/>
            <w:tcBorders>
              <w:top w:val="nil"/>
              <w:left w:val="nil"/>
              <w:bottom w:val="nil"/>
              <w:right w:val="nil"/>
            </w:tcBorders>
            <w:vAlign w:val="bottom"/>
            <w:hideMark/>
          </w:tcPr>
          <w:p w14:paraId="26C397BF" w14:textId="77777777" w:rsidR="00C35A2B" w:rsidRPr="009C2953" w:rsidRDefault="00C35A2B" w:rsidP="00C35A2B">
            <w:pPr>
              <w:pStyle w:val="Normal-pool"/>
              <w:spacing w:before="40" w:after="40"/>
              <w:jc w:val="right"/>
              <w:rPr>
                <w:sz w:val="18"/>
                <w:szCs w:val="18"/>
              </w:rPr>
            </w:pPr>
            <w:r w:rsidRPr="009C2953">
              <w:rPr>
                <w:sz w:val="18"/>
              </w:rPr>
              <w:t>200 000</w:t>
            </w:r>
          </w:p>
        </w:tc>
        <w:tc>
          <w:tcPr>
            <w:tcW w:w="1086" w:type="dxa"/>
            <w:tcBorders>
              <w:top w:val="nil"/>
              <w:left w:val="nil"/>
              <w:bottom w:val="nil"/>
              <w:right w:val="nil"/>
            </w:tcBorders>
            <w:vAlign w:val="bottom"/>
            <w:hideMark/>
          </w:tcPr>
          <w:p w14:paraId="38A131E9" w14:textId="77777777" w:rsidR="00C35A2B" w:rsidRPr="009C2953" w:rsidRDefault="00C35A2B" w:rsidP="00C35A2B">
            <w:pPr>
              <w:pStyle w:val="Normal-pool"/>
              <w:spacing w:before="40" w:after="40"/>
              <w:jc w:val="right"/>
              <w:rPr>
                <w:sz w:val="18"/>
                <w:szCs w:val="18"/>
              </w:rPr>
            </w:pPr>
            <w:r w:rsidRPr="009C2953">
              <w:rPr>
                <w:sz w:val="18"/>
              </w:rPr>
              <w:t>180 000</w:t>
            </w:r>
          </w:p>
        </w:tc>
        <w:tc>
          <w:tcPr>
            <w:tcW w:w="1213" w:type="dxa"/>
            <w:tcBorders>
              <w:top w:val="nil"/>
              <w:left w:val="nil"/>
              <w:bottom w:val="nil"/>
              <w:right w:val="nil"/>
            </w:tcBorders>
            <w:vAlign w:val="bottom"/>
            <w:hideMark/>
          </w:tcPr>
          <w:p w14:paraId="1B0481FA" w14:textId="77777777" w:rsidR="00C35A2B" w:rsidRPr="009C2953" w:rsidRDefault="00C35A2B" w:rsidP="00C35A2B">
            <w:pPr>
              <w:pStyle w:val="Normal-pool"/>
              <w:spacing w:before="40" w:after="40"/>
              <w:jc w:val="right"/>
              <w:rPr>
                <w:sz w:val="18"/>
                <w:szCs w:val="18"/>
              </w:rPr>
            </w:pPr>
            <w:r w:rsidRPr="009C2953">
              <w:rPr>
                <w:sz w:val="18"/>
              </w:rPr>
              <w:t>180 000</w:t>
            </w:r>
          </w:p>
        </w:tc>
        <w:tc>
          <w:tcPr>
            <w:tcW w:w="1213" w:type="dxa"/>
            <w:tcBorders>
              <w:top w:val="nil"/>
              <w:left w:val="nil"/>
              <w:bottom w:val="nil"/>
              <w:right w:val="nil"/>
            </w:tcBorders>
            <w:vAlign w:val="bottom"/>
            <w:hideMark/>
          </w:tcPr>
          <w:p w14:paraId="16FB0E7E" w14:textId="77777777" w:rsidR="00C35A2B" w:rsidRPr="009C2953" w:rsidRDefault="00C35A2B" w:rsidP="00C35A2B">
            <w:pPr>
              <w:pStyle w:val="Normal-pool"/>
              <w:spacing w:before="40" w:after="40"/>
              <w:jc w:val="right"/>
              <w:rPr>
                <w:sz w:val="18"/>
                <w:szCs w:val="18"/>
              </w:rPr>
            </w:pPr>
            <w:r w:rsidRPr="009C2953">
              <w:rPr>
                <w:sz w:val="18"/>
              </w:rPr>
              <w:t>180 000</w:t>
            </w:r>
          </w:p>
        </w:tc>
        <w:tc>
          <w:tcPr>
            <w:tcW w:w="1166" w:type="dxa"/>
            <w:tcBorders>
              <w:top w:val="nil"/>
              <w:left w:val="nil"/>
              <w:bottom w:val="nil"/>
              <w:right w:val="single" w:sz="4" w:space="0" w:color="000000"/>
            </w:tcBorders>
            <w:vAlign w:val="bottom"/>
            <w:hideMark/>
          </w:tcPr>
          <w:p w14:paraId="3867B3DE" w14:textId="77777777" w:rsidR="00C35A2B" w:rsidRPr="009C2953" w:rsidRDefault="00C35A2B" w:rsidP="00C35A2B">
            <w:pPr>
              <w:pStyle w:val="Normal-pool"/>
              <w:spacing w:before="40" w:after="40"/>
              <w:jc w:val="right"/>
              <w:rPr>
                <w:sz w:val="18"/>
                <w:szCs w:val="18"/>
              </w:rPr>
            </w:pPr>
            <w:r w:rsidRPr="009C2953">
              <w:rPr>
                <w:sz w:val="18"/>
              </w:rPr>
              <w:t>180 000</w:t>
            </w:r>
          </w:p>
        </w:tc>
        <w:tc>
          <w:tcPr>
            <w:tcW w:w="1293" w:type="dxa"/>
            <w:tcBorders>
              <w:top w:val="nil"/>
              <w:left w:val="single" w:sz="4" w:space="0" w:color="000000"/>
              <w:bottom w:val="nil"/>
              <w:right w:val="nil"/>
            </w:tcBorders>
            <w:vAlign w:val="bottom"/>
            <w:hideMark/>
          </w:tcPr>
          <w:p w14:paraId="7D6C190C"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3709D38D"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F059B2C"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651E9D61"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0197DC9B" w14:textId="77777777" w:rsidTr="00C35A2B">
        <w:trPr>
          <w:trHeight w:val="57"/>
          <w:jc w:val="right"/>
        </w:trPr>
        <w:tc>
          <w:tcPr>
            <w:tcW w:w="2836" w:type="dxa"/>
            <w:tcBorders>
              <w:top w:val="nil"/>
              <w:left w:val="nil"/>
              <w:bottom w:val="nil"/>
              <w:right w:val="nil"/>
            </w:tcBorders>
            <w:hideMark/>
          </w:tcPr>
          <w:p w14:paraId="2BA91342" w14:textId="77777777" w:rsidR="00C35A2B" w:rsidRPr="009C2953" w:rsidRDefault="00C35A2B" w:rsidP="00C35A2B">
            <w:pPr>
              <w:pStyle w:val="Normal-pool"/>
              <w:spacing w:before="40" w:after="40"/>
              <w:ind w:left="174"/>
              <w:rPr>
                <w:sz w:val="18"/>
                <w:szCs w:val="18"/>
              </w:rPr>
            </w:pPr>
            <w:r w:rsidRPr="009C2953">
              <w:rPr>
                <w:sz w:val="18"/>
              </w:rPr>
              <w:t>Danemark</w:t>
            </w:r>
          </w:p>
        </w:tc>
        <w:tc>
          <w:tcPr>
            <w:tcW w:w="993" w:type="dxa"/>
            <w:tcBorders>
              <w:top w:val="nil"/>
              <w:left w:val="nil"/>
              <w:bottom w:val="nil"/>
              <w:right w:val="nil"/>
            </w:tcBorders>
            <w:vAlign w:val="bottom"/>
            <w:hideMark/>
          </w:tcPr>
          <w:p w14:paraId="1054A7D1"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1AB6B26D" w14:textId="77777777" w:rsidR="00C35A2B" w:rsidRPr="009C2953" w:rsidRDefault="00C35A2B" w:rsidP="00C35A2B">
            <w:pPr>
              <w:pStyle w:val="Normal-pool"/>
              <w:spacing w:before="40" w:after="40"/>
              <w:jc w:val="right"/>
              <w:rPr>
                <w:sz w:val="18"/>
                <w:szCs w:val="18"/>
              </w:rPr>
            </w:pPr>
            <w:r w:rsidRPr="009C2953">
              <w:rPr>
                <w:sz w:val="18"/>
              </w:rPr>
              <w:t>29 908</w:t>
            </w:r>
          </w:p>
        </w:tc>
        <w:tc>
          <w:tcPr>
            <w:tcW w:w="1086" w:type="dxa"/>
            <w:tcBorders>
              <w:top w:val="nil"/>
              <w:left w:val="nil"/>
              <w:bottom w:val="nil"/>
              <w:right w:val="nil"/>
            </w:tcBorders>
            <w:vAlign w:val="bottom"/>
            <w:hideMark/>
          </w:tcPr>
          <w:p w14:paraId="6DE7CD98"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70C743CA"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27809B17"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0BCA7AD4"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71D6D6B4"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59F7A05D"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BCFFC0F"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450590FC"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034B0C43" w14:textId="77777777" w:rsidTr="00C35A2B">
        <w:trPr>
          <w:trHeight w:val="57"/>
          <w:jc w:val="right"/>
        </w:trPr>
        <w:tc>
          <w:tcPr>
            <w:tcW w:w="2836" w:type="dxa"/>
            <w:tcBorders>
              <w:top w:val="nil"/>
              <w:left w:val="nil"/>
              <w:bottom w:val="nil"/>
              <w:right w:val="nil"/>
            </w:tcBorders>
          </w:tcPr>
          <w:p w14:paraId="5C5F2889" w14:textId="2E8FB462" w:rsidR="00C35A2B" w:rsidRPr="009C2953" w:rsidRDefault="00C35A2B" w:rsidP="00C35A2B">
            <w:pPr>
              <w:pStyle w:val="Normal-pool"/>
              <w:spacing w:before="40" w:after="40"/>
              <w:ind w:left="174"/>
              <w:rPr>
                <w:sz w:val="18"/>
              </w:rPr>
            </w:pPr>
            <w:r w:rsidRPr="009C2953">
              <w:rPr>
                <w:sz w:val="18"/>
              </w:rPr>
              <w:t>Espagne</w:t>
            </w:r>
          </w:p>
        </w:tc>
        <w:tc>
          <w:tcPr>
            <w:tcW w:w="993" w:type="dxa"/>
            <w:tcBorders>
              <w:top w:val="nil"/>
              <w:left w:val="nil"/>
              <w:bottom w:val="nil"/>
              <w:right w:val="nil"/>
            </w:tcBorders>
            <w:vAlign w:val="bottom"/>
          </w:tcPr>
          <w:p w14:paraId="49A2F080" w14:textId="27692543" w:rsidR="00C35A2B" w:rsidRPr="009C2953" w:rsidRDefault="00C35A2B" w:rsidP="00C35A2B">
            <w:pPr>
              <w:pStyle w:val="Normal-pool"/>
              <w:spacing w:before="40" w:after="40"/>
              <w:jc w:val="right"/>
              <w:rPr>
                <w:sz w:val="18"/>
              </w:rPr>
            </w:pPr>
            <w:r w:rsidRPr="009C2953">
              <w:rPr>
                <w:sz w:val="18"/>
              </w:rPr>
              <w:t>–</w:t>
            </w:r>
          </w:p>
        </w:tc>
        <w:tc>
          <w:tcPr>
            <w:tcW w:w="992" w:type="dxa"/>
            <w:tcBorders>
              <w:top w:val="nil"/>
              <w:left w:val="nil"/>
              <w:bottom w:val="nil"/>
              <w:right w:val="nil"/>
            </w:tcBorders>
            <w:vAlign w:val="bottom"/>
          </w:tcPr>
          <w:p w14:paraId="0AF14B73" w14:textId="07C73D5B" w:rsidR="00C35A2B" w:rsidRPr="009C2953" w:rsidRDefault="00C35A2B" w:rsidP="00C35A2B">
            <w:pPr>
              <w:pStyle w:val="Normal-pool"/>
              <w:spacing w:before="40" w:after="40"/>
              <w:jc w:val="right"/>
              <w:rPr>
                <w:sz w:val="18"/>
              </w:rPr>
            </w:pPr>
            <w:r w:rsidRPr="009C2953">
              <w:rPr>
                <w:sz w:val="18"/>
              </w:rPr>
              <w:t>–</w:t>
            </w:r>
          </w:p>
        </w:tc>
        <w:tc>
          <w:tcPr>
            <w:tcW w:w="1086" w:type="dxa"/>
            <w:tcBorders>
              <w:top w:val="nil"/>
              <w:left w:val="nil"/>
              <w:bottom w:val="nil"/>
              <w:right w:val="nil"/>
            </w:tcBorders>
            <w:vAlign w:val="bottom"/>
          </w:tcPr>
          <w:p w14:paraId="65E8324C" w14:textId="01898083" w:rsidR="00C35A2B" w:rsidRPr="009C2953" w:rsidRDefault="00C35A2B" w:rsidP="00C35A2B">
            <w:pPr>
              <w:pStyle w:val="Normal-pool"/>
              <w:spacing w:before="40" w:after="40"/>
              <w:jc w:val="right"/>
              <w:rPr>
                <w:sz w:val="18"/>
              </w:rPr>
            </w:pPr>
            <w:r w:rsidRPr="009C2953">
              <w:rPr>
                <w:sz w:val="18"/>
              </w:rPr>
              <w:t>–</w:t>
            </w:r>
          </w:p>
        </w:tc>
        <w:tc>
          <w:tcPr>
            <w:tcW w:w="1213" w:type="dxa"/>
            <w:tcBorders>
              <w:top w:val="nil"/>
              <w:left w:val="nil"/>
              <w:bottom w:val="nil"/>
              <w:right w:val="nil"/>
            </w:tcBorders>
            <w:vAlign w:val="bottom"/>
          </w:tcPr>
          <w:p w14:paraId="17DE7E4E" w14:textId="1313DAC3" w:rsidR="00C35A2B" w:rsidRPr="009C2953" w:rsidRDefault="00C35A2B" w:rsidP="00C35A2B">
            <w:pPr>
              <w:pStyle w:val="Normal-pool"/>
              <w:spacing w:before="40" w:after="40"/>
              <w:jc w:val="right"/>
              <w:rPr>
                <w:sz w:val="18"/>
              </w:rPr>
            </w:pPr>
            <w:r w:rsidRPr="009C2953">
              <w:rPr>
                <w:sz w:val="18"/>
              </w:rPr>
              <w:t>93 826</w:t>
            </w:r>
          </w:p>
        </w:tc>
        <w:tc>
          <w:tcPr>
            <w:tcW w:w="1213" w:type="dxa"/>
            <w:tcBorders>
              <w:top w:val="nil"/>
              <w:left w:val="nil"/>
              <w:bottom w:val="nil"/>
              <w:right w:val="nil"/>
            </w:tcBorders>
            <w:vAlign w:val="bottom"/>
          </w:tcPr>
          <w:p w14:paraId="4DA03101" w14:textId="7BBC3504" w:rsidR="00C35A2B" w:rsidRPr="009C2953" w:rsidRDefault="00C35A2B" w:rsidP="00C35A2B">
            <w:pPr>
              <w:pStyle w:val="Normal-pool"/>
              <w:spacing w:before="40" w:after="40"/>
              <w:jc w:val="right"/>
              <w:rPr>
                <w:sz w:val="18"/>
              </w:rPr>
            </w:pPr>
            <w:r w:rsidRPr="009C2953">
              <w:rPr>
                <w:sz w:val="18"/>
              </w:rPr>
              <w:t>42 239</w:t>
            </w:r>
          </w:p>
        </w:tc>
        <w:tc>
          <w:tcPr>
            <w:tcW w:w="1166" w:type="dxa"/>
            <w:tcBorders>
              <w:top w:val="nil"/>
              <w:left w:val="nil"/>
              <w:bottom w:val="nil"/>
              <w:right w:val="single" w:sz="4" w:space="0" w:color="000000"/>
            </w:tcBorders>
            <w:vAlign w:val="bottom"/>
          </w:tcPr>
          <w:p w14:paraId="1584D5D2" w14:textId="7E4ADF69" w:rsidR="00C35A2B" w:rsidRPr="009C2953" w:rsidRDefault="00C35A2B" w:rsidP="00C35A2B">
            <w:pPr>
              <w:pStyle w:val="Normal-pool"/>
              <w:spacing w:before="40" w:after="40"/>
              <w:jc w:val="right"/>
              <w:rPr>
                <w:sz w:val="18"/>
              </w:rPr>
            </w:pPr>
            <w:r w:rsidRPr="009C2953">
              <w:rPr>
                <w:sz w:val="18"/>
              </w:rPr>
              <w:t>43 621</w:t>
            </w:r>
          </w:p>
        </w:tc>
        <w:tc>
          <w:tcPr>
            <w:tcW w:w="1293" w:type="dxa"/>
            <w:tcBorders>
              <w:top w:val="nil"/>
              <w:left w:val="single" w:sz="4" w:space="0" w:color="000000"/>
              <w:bottom w:val="nil"/>
              <w:right w:val="nil"/>
            </w:tcBorders>
            <w:vAlign w:val="bottom"/>
          </w:tcPr>
          <w:p w14:paraId="240BA6B1" w14:textId="1969B89B" w:rsidR="00C35A2B" w:rsidRPr="009C2953" w:rsidRDefault="00C35A2B" w:rsidP="00C35A2B">
            <w:pPr>
              <w:pStyle w:val="Normal-pool"/>
              <w:spacing w:before="40" w:after="40"/>
              <w:jc w:val="right"/>
              <w:rPr>
                <w:sz w:val="18"/>
              </w:rPr>
            </w:pPr>
            <w:r w:rsidRPr="009C2953">
              <w:rPr>
                <w:sz w:val="18"/>
              </w:rPr>
              <w:t>–</w:t>
            </w:r>
          </w:p>
        </w:tc>
        <w:tc>
          <w:tcPr>
            <w:tcW w:w="1166" w:type="dxa"/>
            <w:tcBorders>
              <w:top w:val="nil"/>
              <w:left w:val="nil"/>
              <w:bottom w:val="nil"/>
              <w:right w:val="nil"/>
            </w:tcBorders>
            <w:vAlign w:val="bottom"/>
          </w:tcPr>
          <w:p w14:paraId="6E06A020" w14:textId="07DBD6B9" w:rsidR="00C35A2B" w:rsidRPr="009C2953" w:rsidRDefault="00C35A2B" w:rsidP="00C35A2B">
            <w:pPr>
              <w:pStyle w:val="Normal-pool"/>
              <w:spacing w:before="40" w:after="40"/>
              <w:jc w:val="right"/>
              <w:rPr>
                <w:sz w:val="18"/>
              </w:rPr>
            </w:pPr>
            <w:r w:rsidRPr="009C2953">
              <w:rPr>
                <w:sz w:val="18"/>
              </w:rPr>
              <w:t>–</w:t>
            </w:r>
          </w:p>
        </w:tc>
        <w:tc>
          <w:tcPr>
            <w:tcW w:w="1072" w:type="dxa"/>
            <w:tcBorders>
              <w:top w:val="nil"/>
              <w:left w:val="nil"/>
              <w:bottom w:val="nil"/>
              <w:right w:val="nil"/>
            </w:tcBorders>
            <w:vAlign w:val="bottom"/>
          </w:tcPr>
          <w:p w14:paraId="0F39E4F0" w14:textId="17C92477" w:rsidR="00C35A2B" w:rsidRPr="009C2953" w:rsidRDefault="00C35A2B" w:rsidP="00C35A2B">
            <w:pPr>
              <w:pStyle w:val="Normal-pool"/>
              <w:spacing w:before="40" w:after="40"/>
              <w:jc w:val="right"/>
              <w:rPr>
                <w:sz w:val="18"/>
              </w:rPr>
            </w:pPr>
            <w:r w:rsidRPr="009C2953">
              <w:rPr>
                <w:sz w:val="18"/>
              </w:rPr>
              <w:t>–</w:t>
            </w:r>
          </w:p>
        </w:tc>
        <w:tc>
          <w:tcPr>
            <w:tcW w:w="1399" w:type="dxa"/>
            <w:tcBorders>
              <w:top w:val="nil"/>
              <w:left w:val="nil"/>
              <w:bottom w:val="nil"/>
              <w:right w:val="nil"/>
            </w:tcBorders>
            <w:vAlign w:val="bottom"/>
          </w:tcPr>
          <w:p w14:paraId="3B1081A9" w14:textId="1A88B7FC" w:rsidR="00C35A2B" w:rsidRPr="009C2953" w:rsidRDefault="00C35A2B" w:rsidP="00C35A2B">
            <w:pPr>
              <w:pStyle w:val="Normal-pool"/>
              <w:spacing w:before="40" w:after="40"/>
              <w:jc w:val="right"/>
              <w:rPr>
                <w:sz w:val="18"/>
              </w:rPr>
            </w:pPr>
            <w:r w:rsidRPr="009C2953">
              <w:rPr>
                <w:sz w:val="18"/>
              </w:rPr>
              <w:t>–</w:t>
            </w:r>
          </w:p>
        </w:tc>
      </w:tr>
      <w:tr w:rsidR="00C35A2B" w:rsidRPr="009C2953" w14:paraId="47C55622" w14:textId="77777777" w:rsidTr="00C35A2B">
        <w:trPr>
          <w:trHeight w:val="57"/>
          <w:jc w:val="right"/>
        </w:trPr>
        <w:tc>
          <w:tcPr>
            <w:tcW w:w="2836" w:type="dxa"/>
            <w:tcBorders>
              <w:top w:val="nil"/>
              <w:left w:val="nil"/>
              <w:bottom w:val="nil"/>
              <w:right w:val="nil"/>
            </w:tcBorders>
            <w:hideMark/>
          </w:tcPr>
          <w:p w14:paraId="39F6DD9B" w14:textId="77777777" w:rsidR="00C35A2B" w:rsidRPr="009C2953" w:rsidRDefault="00C35A2B" w:rsidP="00C35A2B">
            <w:pPr>
              <w:pStyle w:val="Normal-pool"/>
              <w:spacing w:before="40" w:after="40"/>
              <w:ind w:left="174"/>
              <w:rPr>
                <w:sz w:val="18"/>
                <w:szCs w:val="18"/>
              </w:rPr>
            </w:pPr>
            <w:r w:rsidRPr="009C2953">
              <w:rPr>
                <w:sz w:val="18"/>
              </w:rPr>
              <w:t>Estonie</w:t>
            </w:r>
          </w:p>
        </w:tc>
        <w:tc>
          <w:tcPr>
            <w:tcW w:w="993" w:type="dxa"/>
            <w:tcBorders>
              <w:top w:val="nil"/>
              <w:left w:val="nil"/>
              <w:bottom w:val="nil"/>
              <w:right w:val="nil"/>
            </w:tcBorders>
            <w:vAlign w:val="bottom"/>
            <w:hideMark/>
          </w:tcPr>
          <w:p w14:paraId="4EA05F19"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796D1493" w14:textId="444079D6" w:rsidR="00C35A2B" w:rsidRPr="009C2953" w:rsidRDefault="00C35A2B" w:rsidP="00C35A2B">
            <w:pPr>
              <w:pStyle w:val="Normal-pool"/>
              <w:spacing w:before="40" w:after="40"/>
              <w:jc w:val="right"/>
              <w:rPr>
                <w:sz w:val="18"/>
                <w:szCs w:val="18"/>
              </w:rPr>
            </w:pPr>
            <w:r w:rsidRPr="009C2953">
              <w:rPr>
                <w:sz w:val="18"/>
              </w:rPr>
              <w:t>5</w:t>
            </w:r>
            <w:r w:rsidR="00EE771C" w:rsidRPr="009C2953">
              <w:rPr>
                <w:sz w:val="18"/>
              </w:rPr>
              <w:t> </w:t>
            </w:r>
            <w:r w:rsidRPr="009C2953">
              <w:rPr>
                <w:sz w:val="18"/>
              </w:rPr>
              <w:t>044</w:t>
            </w:r>
          </w:p>
        </w:tc>
        <w:tc>
          <w:tcPr>
            <w:tcW w:w="1086" w:type="dxa"/>
            <w:tcBorders>
              <w:top w:val="nil"/>
              <w:left w:val="nil"/>
              <w:bottom w:val="nil"/>
              <w:right w:val="nil"/>
            </w:tcBorders>
            <w:vAlign w:val="bottom"/>
            <w:hideMark/>
          </w:tcPr>
          <w:p w14:paraId="68BB4B14" w14:textId="45BD28BD"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389</w:t>
            </w:r>
          </w:p>
        </w:tc>
        <w:tc>
          <w:tcPr>
            <w:tcW w:w="1213" w:type="dxa"/>
            <w:tcBorders>
              <w:top w:val="nil"/>
              <w:left w:val="nil"/>
              <w:bottom w:val="nil"/>
              <w:right w:val="nil"/>
            </w:tcBorders>
            <w:vAlign w:val="bottom"/>
            <w:hideMark/>
          </w:tcPr>
          <w:p w14:paraId="743C2BE2" w14:textId="63E6F47F"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326</w:t>
            </w:r>
          </w:p>
        </w:tc>
        <w:tc>
          <w:tcPr>
            <w:tcW w:w="1213" w:type="dxa"/>
            <w:tcBorders>
              <w:top w:val="nil"/>
              <w:left w:val="nil"/>
              <w:bottom w:val="nil"/>
              <w:right w:val="nil"/>
            </w:tcBorders>
            <w:vAlign w:val="bottom"/>
            <w:hideMark/>
          </w:tcPr>
          <w:p w14:paraId="436C7357"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32919C5C"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17284167" w14:textId="518DFEAE"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750</w:t>
            </w:r>
          </w:p>
        </w:tc>
        <w:tc>
          <w:tcPr>
            <w:tcW w:w="1166" w:type="dxa"/>
            <w:tcBorders>
              <w:top w:val="nil"/>
              <w:left w:val="nil"/>
              <w:bottom w:val="nil"/>
              <w:right w:val="nil"/>
            </w:tcBorders>
            <w:vAlign w:val="bottom"/>
            <w:hideMark/>
          </w:tcPr>
          <w:p w14:paraId="7E61C6EF"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819B9B6"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5DF62A65" w14:textId="46E6408B" w:rsidR="00C35A2B" w:rsidRPr="009C2953" w:rsidRDefault="00C35A2B" w:rsidP="00C35A2B">
            <w:pPr>
              <w:pStyle w:val="Normal-pool"/>
              <w:spacing w:before="40" w:after="40"/>
              <w:jc w:val="right"/>
              <w:rPr>
                <w:sz w:val="18"/>
                <w:szCs w:val="18"/>
              </w:rPr>
            </w:pPr>
            <w:r w:rsidRPr="009C2953">
              <w:rPr>
                <w:sz w:val="18"/>
              </w:rPr>
              <w:t>2</w:t>
            </w:r>
            <w:r w:rsidR="00EE771C" w:rsidRPr="009C2953">
              <w:rPr>
                <w:sz w:val="18"/>
              </w:rPr>
              <w:t> </w:t>
            </w:r>
            <w:r w:rsidRPr="009C2953">
              <w:rPr>
                <w:sz w:val="18"/>
              </w:rPr>
              <w:t>750</w:t>
            </w:r>
          </w:p>
        </w:tc>
      </w:tr>
      <w:tr w:rsidR="00C35A2B" w:rsidRPr="009C2953" w14:paraId="4FA62542" w14:textId="77777777" w:rsidTr="00C35A2B">
        <w:trPr>
          <w:trHeight w:val="57"/>
          <w:jc w:val="right"/>
        </w:trPr>
        <w:tc>
          <w:tcPr>
            <w:tcW w:w="2836" w:type="dxa"/>
            <w:tcBorders>
              <w:top w:val="nil"/>
              <w:left w:val="nil"/>
              <w:bottom w:val="nil"/>
              <w:right w:val="nil"/>
            </w:tcBorders>
          </w:tcPr>
          <w:p w14:paraId="675EA31D" w14:textId="54D690D9" w:rsidR="00C35A2B" w:rsidRPr="009C2953" w:rsidRDefault="00C35A2B" w:rsidP="00C35A2B">
            <w:pPr>
              <w:pStyle w:val="Normal-pool"/>
              <w:spacing w:before="40" w:after="40"/>
              <w:ind w:left="174"/>
              <w:rPr>
                <w:sz w:val="18"/>
              </w:rPr>
            </w:pPr>
            <w:r w:rsidRPr="009C2953">
              <w:rPr>
                <w:sz w:val="18"/>
              </w:rPr>
              <w:t>États-Unis d</w:t>
            </w:r>
            <w:r w:rsidR="00EA2966" w:rsidRPr="009C2953">
              <w:rPr>
                <w:sz w:val="18"/>
              </w:rPr>
              <w:t>’</w:t>
            </w:r>
            <w:r w:rsidRPr="009C2953">
              <w:rPr>
                <w:sz w:val="18"/>
              </w:rPr>
              <w:t>Amérique</w:t>
            </w:r>
          </w:p>
        </w:tc>
        <w:tc>
          <w:tcPr>
            <w:tcW w:w="993" w:type="dxa"/>
            <w:tcBorders>
              <w:top w:val="nil"/>
              <w:left w:val="nil"/>
              <w:bottom w:val="nil"/>
              <w:right w:val="nil"/>
            </w:tcBorders>
            <w:vAlign w:val="bottom"/>
          </w:tcPr>
          <w:p w14:paraId="34A48CAB" w14:textId="03D28B03" w:rsidR="00C35A2B" w:rsidRPr="009C2953" w:rsidRDefault="00C35A2B" w:rsidP="00C35A2B">
            <w:pPr>
              <w:pStyle w:val="Normal-pool"/>
              <w:spacing w:before="40" w:after="40"/>
              <w:jc w:val="right"/>
              <w:rPr>
                <w:sz w:val="18"/>
              </w:rPr>
            </w:pPr>
            <w:r w:rsidRPr="009C2953">
              <w:rPr>
                <w:sz w:val="18"/>
              </w:rPr>
              <w:t>495 000</w:t>
            </w:r>
          </w:p>
        </w:tc>
        <w:tc>
          <w:tcPr>
            <w:tcW w:w="992" w:type="dxa"/>
            <w:tcBorders>
              <w:top w:val="nil"/>
              <w:left w:val="nil"/>
              <w:bottom w:val="nil"/>
              <w:right w:val="nil"/>
            </w:tcBorders>
            <w:vAlign w:val="bottom"/>
          </w:tcPr>
          <w:p w14:paraId="27B53CA3" w14:textId="3F2BADA9" w:rsidR="00C35A2B" w:rsidRPr="009C2953" w:rsidRDefault="00C35A2B" w:rsidP="00C35A2B">
            <w:pPr>
              <w:pStyle w:val="Normal-pool"/>
              <w:spacing w:before="40" w:after="40"/>
              <w:jc w:val="right"/>
              <w:rPr>
                <w:sz w:val="18"/>
              </w:rPr>
            </w:pPr>
            <w:r w:rsidRPr="009C2953">
              <w:rPr>
                <w:sz w:val="18"/>
              </w:rPr>
              <w:t>497 759</w:t>
            </w:r>
          </w:p>
        </w:tc>
        <w:tc>
          <w:tcPr>
            <w:tcW w:w="1086" w:type="dxa"/>
            <w:tcBorders>
              <w:top w:val="nil"/>
              <w:left w:val="nil"/>
              <w:bottom w:val="nil"/>
              <w:right w:val="nil"/>
            </w:tcBorders>
            <w:vAlign w:val="bottom"/>
          </w:tcPr>
          <w:p w14:paraId="6EE3FBC0" w14:textId="09B1EF62" w:rsidR="00C35A2B" w:rsidRPr="009C2953" w:rsidRDefault="00C35A2B" w:rsidP="00C35A2B">
            <w:pPr>
              <w:pStyle w:val="Normal-pool"/>
              <w:spacing w:before="40" w:after="40"/>
              <w:jc w:val="right"/>
              <w:rPr>
                <w:sz w:val="18"/>
              </w:rPr>
            </w:pPr>
            <w:r w:rsidRPr="009C2953">
              <w:rPr>
                <w:sz w:val="18"/>
              </w:rPr>
              <w:t>497 000</w:t>
            </w:r>
          </w:p>
        </w:tc>
        <w:tc>
          <w:tcPr>
            <w:tcW w:w="1213" w:type="dxa"/>
            <w:tcBorders>
              <w:top w:val="nil"/>
              <w:left w:val="nil"/>
              <w:bottom w:val="nil"/>
              <w:right w:val="nil"/>
            </w:tcBorders>
            <w:vAlign w:val="bottom"/>
          </w:tcPr>
          <w:p w14:paraId="3B3DD9FB" w14:textId="0A3944EB" w:rsidR="00C35A2B" w:rsidRPr="009C2953" w:rsidRDefault="00C35A2B" w:rsidP="00C35A2B">
            <w:pPr>
              <w:pStyle w:val="Normal-pool"/>
              <w:spacing w:before="40" w:after="40"/>
              <w:jc w:val="right"/>
              <w:rPr>
                <w:sz w:val="18"/>
              </w:rPr>
            </w:pPr>
            <w:r w:rsidRPr="009C2953">
              <w:rPr>
                <w:sz w:val="18"/>
              </w:rPr>
              <w:t>750 000</w:t>
            </w:r>
          </w:p>
        </w:tc>
        <w:tc>
          <w:tcPr>
            <w:tcW w:w="1213" w:type="dxa"/>
            <w:tcBorders>
              <w:top w:val="nil"/>
              <w:left w:val="nil"/>
              <w:bottom w:val="nil"/>
              <w:right w:val="nil"/>
            </w:tcBorders>
            <w:vAlign w:val="bottom"/>
          </w:tcPr>
          <w:p w14:paraId="4EE034F2" w14:textId="52159555" w:rsidR="00C35A2B" w:rsidRPr="009C2953" w:rsidRDefault="00C35A2B" w:rsidP="00C35A2B">
            <w:pPr>
              <w:pStyle w:val="Normal-pool"/>
              <w:spacing w:before="40" w:after="40"/>
              <w:jc w:val="right"/>
              <w:rPr>
                <w:sz w:val="18"/>
              </w:rPr>
            </w:pPr>
            <w:r w:rsidRPr="009C2953">
              <w:rPr>
                <w:sz w:val="18"/>
              </w:rPr>
              <w:t>–</w:t>
            </w:r>
          </w:p>
        </w:tc>
        <w:tc>
          <w:tcPr>
            <w:tcW w:w="1166" w:type="dxa"/>
            <w:tcBorders>
              <w:top w:val="nil"/>
              <w:left w:val="nil"/>
              <w:bottom w:val="nil"/>
              <w:right w:val="single" w:sz="4" w:space="0" w:color="000000"/>
            </w:tcBorders>
            <w:vAlign w:val="bottom"/>
          </w:tcPr>
          <w:p w14:paraId="0A5BFBB0" w14:textId="210EACEE" w:rsidR="00C35A2B" w:rsidRPr="009C2953" w:rsidRDefault="00C35A2B" w:rsidP="00C35A2B">
            <w:pPr>
              <w:pStyle w:val="Normal-pool"/>
              <w:spacing w:before="40" w:after="40"/>
              <w:jc w:val="right"/>
              <w:rPr>
                <w:sz w:val="18"/>
              </w:rPr>
            </w:pPr>
            <w:r w:rsidRPr="009C2953">
              <w:rPr>
                <w:sz w:val="18"/>
              </w:rPr>
              <w:t>–</w:t>
            </w:r>
          </w:p>
        </w:tc>
        <w:tc>
          <w:tcPr>
            <w:tcW w:w="1293" w:type="dxa"/>
            <w:tcBorders>
              <w:top w:val="nil"/>
              <w:left w:val="single" w:sz="4" w:space="0" w:color="000000"/>
              <w:bottom w:val="nil"/>
              <w:right w:val="nil"/>
            </w:tcBorders>
            <w:vAlign w:val="bottom"/>
          </w:tcPr>
          <w:p w14:paraId="05D34544" w14:textId="4B0CF223" w:rsidR="00C35A2B" w:rsidRPr="009C2953" w:rsidRDefault="00C35A2B" w:rsidP="00C35A2B">
            <w:pPr>
              <w:pStyle w:val="Normal-pool"/>
              <w:spacing w:before="40" w:after="40"/>
              <w:jc w:val="right"/>
              <w:rPr>
                <w:sz w:val="18"/>
              </w:rPr>
            </w:pPr>
            <w:r w:rsidRPr="009C2953">
              <w:rPr>
                <w:sz w:val="18"/>
              </w:rPr>
              <w:t>1 200 000</w:t>
            </w:r>
          </w:p>
        </w:tc>
        <w:tc>
          <w:tcPr>
            <w:tcW w:w="1166" w:type="dxa"/>
            <w:tcBorders>
              <w:top w:val="nil"/>
              <w:left w:val="nil"/>
              <w:bottom w:val="nil"/>
              <w:right w:val="nil"/>
            </w:tcBorders>
            <w:vAlign w:val="bottom"/>
          </w:tcPr>
          <w:p w14:paraId="1514E945" w14:textId="4AB21416" w:rsidR="00C35A2B" w:rsidRPr="009C2953" w:rsidRDefault="00C35A2B" w:rsidP="00C35A2B">
            <w:pPr>
              <w:pStyle w:val="Normal-pool"/>
              <w:spacing w:before="40" w:after="40"/>
              <w:jc w:val="right"/>
              <w:rPr>
                <w:sz w:val="18"/>
              </w:rPr>
            </w:pPr>
            <w:r w:rsidRPr="009C2953">
              <w:rPr>
                <w:sz w:val="18"/>
              </w:rPr>
              <w:t>–</w:t>
            </w:r>
          </w:p>
        </w:tc>
        <w:tc>
          <w:tcPr>
            <w:tcW w:w="1072" w:type="dxa"/>
            <w:tcBorders>
              <w:top w:val="nil"/>
              <w:left w:val="nil"/>
              <w:bottom w:val="nil"/>
              <w:right w:val="nil"/>
            </w:tcBorders>
            <w:vAlign w:val="bottom"/>
          </w:tcPr>
          <w:p w14:paraId="5E45ABF2" w14:textId="2CB974FF" w:rsidR="00C35A2B" w:rsidRPr="009C2953" w:rsidRDefault="00C35A2B" w:rsidP="00C35A2B">
            <w:pPr>
              <w:pStyle w:val="Normal-pool"/>
              <w:spacing w:before="40" w:after="40"/>
              <w:jc w:val="right"/>
              <w:rPr>
                <w:sz w:val="18"/>
              </w:rPr>
            </w:pPr>
            <w:r w:rsidRPr="009C2953">
              <w:rPr>
                <w:sz w:val="18"/>
              </w:rPr>
              <w:t>–</w:t>
            </w:r>
          </w:p>
        </w:tc>
        <w:tc>
          <w:tcPr>
            <w:tcW w:w="1399" w:type="dxa"/>
            <w:tcBorders>
              <w:top w:val="nil"/>
              <w:left w:val="nil"/>
              <w:bottom w:val="nil"/>
              <w:right w:val="nil"/>
            </w:tcBorders>
            <w:vAlign w:val="bottom"/>
          </w:tcPr>
          <w:p w14:paraId="31E23F60" w14:textId="61CA2EC8" w:rsidR="00C35A2B" w:rsidRPr="009C2953" w:rsidRDefault="00C35A2B" w:rsidP="00C35A2B">
            <w:pPr>
              <w:pStyle w:val="Normal-pool"/>
              <w:spacing w:before="40" w:after="40"/>
              <w:jc w:val="right"/>
              <w:rPr>
                <w:sz w:val="18"/>
              </w:rPr>
            </w:pPr>
            <w:r w:rsidRPr="009C2953">
              <w:rPr>
                <w:sz w:val="18"/>
              </w:rPr>
              <w:t>1 200 000</w:t>
            </w:r>
          </w:p>
        </w:tc>
      </w:tr>
      <w:tr w:rsidR="00C35A2B" w:rsidRPr="009C2953" w14:paraId="3F3D8011" w14:textId="77777777" w:rsidTr="00C35A2B">
        <w:trPr>
          <w:trHeight w:val="57"/>
          <w:jc w:val="right"/>
        </w:trPr>
        <w:tc>
          <w:tcPr>
            <w:tcW w:w="2836" w:type="dxa"/>
            <w:tcBorders>
              <w:top w:val="nil"/>
              <w:left w:val="nil"/>
              <w:bottom w:val="nil"/>
              <w:right w:val="nil"/>
            </w:tcBorders>
            <w:hideMark/>
          </w:tcPr>
          <w:p w14:paraId="78863056" w14:textId="77777777" w:rsidR="00C35A2B" w:rsidRPr="009C2953" w:rsidRDefault="00C35A2B" w:rsidP="00C35A2B">
            <w:pPr>
              <w:pStyle w:val="Normal-pool"/>
              <w:spacing w:before="40" w:after="40"/>
              <w:ind w:left="174"/>
              <w:rPr>
                <w:sz w:val="18"/>
                <w:szCs w:val="18"/>
              </w:rPr>
            </w:pPr>
            <w:r w:rsidRPr="009C2953">
              <w:rPr>
                <w:sz w:val="18"/>
              </w:rPr>
              <w:t>Union européenne</w:t>
            </w:r>
          </w:p>
        </w:tc>
        <w:tc>
          <w:tcPr>
            <w:tcW w:w="993" w:type="dxa"/>
            <w:tcBorders>
              <w:top w:val="nil"/>
              <w:left w:val="nil"/>
              <w:bottom w:val="nil"/>
              <w:right w:val="nil"/>
            </w:tcBorders>
            <w:vAlign w:val="bottom"/>
            <w:hideMark/>
          </w:tcPr>
          <w:p w14:paraId="4EF95937"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4EE06421" w14:textId="77777777" w:rsidR="00C35A2B" w:rsidRPr="009C2953" w:rsidRDefault="00C35A2B" w:rsidP="00C35A2B">
            <w:pPr>
              <w:pStyle w:val="Normal-pool"/>
              <w:spacing w:before="40" w:after="40"/>
              <w:jc w:val="right"/>
              <w:rPr>
                <w:sz w:val="18"/>
                <w:szCs w:val="18"/>
              </w:rPr>
            </w:pPr>
            <w:r w:rsidRPr="009C2953">
              <w:rPr>
                <w:sz w:val="18"/>
              </w:rPr>
              <w:t>2 155 333</w:t>
            </w:r>
          </w:p>
        </w:tc>
        <w:tc>
          <w:tcPr>
            <w:tcW w:w="1086" w:type="dxa"/>
            <w:tcBorders>
              <w:top w:val="nil"/>
              <w:left w:val="nil"/>
              <w:bottom w:val="nil"/>
              <w:right w:val="nil"/>
            </w:tcBorders>
            <w:vAlign w:val="bottom"/>
            <w:hideMark/>
          </w:tcPr>
          <w:p w14:paraId="116E14F7"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47270C71" w14:textId="77777777" w:rsidR="00C35A2B" w:rsidRPr="009C2953" w:rsidRDefault="00C35A2B" w:rsidP="00C35A2B">
            <w:pPr>
              <w:pStyle w:val="Normal-pool"/>
              <w:spacing w:before="40" w:after="40"/>
              <w:jc w:val="right"/>
              <w:rPr>
                <w:sz w:val="18"/>
                <w:szCs w:val="18"/>
              </w:rPr>
            </w:pPr>
            <w:r w:rsidRPr="009C2953">
              <w:rPr>
                <w:sz w:val="18"/>
              </w:rPr>
              <w:t>1 223 321</w:t>
            </w:r>
          </w:p>
        </w:tc>
        <w:tc>
          <w:tcPr>
            <w:tcW w:w="1213" w:type="dxa"/>
            <w:tcBorders>
              <w:top w:val="nil"/>
              <w:left w:val="nil"/>
              <w:bottom w:val="nil"/>
              <w:right w:val="nil"/>
            </w:tcBorders>
            <w:vAlign w:val="bottom"/>
            <w:hideMark/>
          </w:tcPr>
          <w:p w14:paraId="4015142E" w14:textId="77777777" w:rsidR="00C35A2B" w:rsidRPr="009C2953" w:rsidRDefault="00C35A2B" w:rsidP="00C35A2B">
            <w:pPr>
              <w:pStyle w:val="Normal-pool"/>
              <w:spacing w:before="40" w:after="40"/>
              <w:jc w:val="right"/>
              <w:rPr>
                <w:sz w:val="18"/>
                <w:szCs w:val="18"/>
              </w:rPr>
            </w:pPr>
            <w:r w:rsidRPr="009C2953">
              <w:rPr>
                <w:sz w:val="18"/>
              </w:rPr>
              <w:t>411 451</w:t>
            </w:r>
          </w:p>
        </w:tc>
        <w:tc>
          <w:tcPr>
            <w:tcW w:w="1166" w:type="dxa"/>
            <w:tcBorders>
              <w:top w:val="nil"/>
              <w:left w:val="nil"/>
              <w:bottom w:val="nil"/>
              <w:right w:val="single" w:sz="4" w:space="0" w:color="000000"/>
            </w:tcBorders>
            <w:vAlign w:val="bottom"/>
            <w:hideMark/>
          </w:tcPr>
          <w:p w14:paraId="03B40D58" w14:textId="77777777" w:rsidR="00C35A2B" w:rsidRPr="009C2953" w:rsidRDefault="00C35A2B" w:rsidP="00C35A2B">
            <w:pPr>
              <w:pStyle w:val="Normal-pool"/>
              <w:spacing w:before="40" w:after="40"/>
              <w:jc w:val="right"/>
              <w:rPr>
                <w:sz w:val="18"/>
                <w:szCs w:val="18"/>
              </w:rPr>
            </w:pPr>
            <w:r w:rsidRPr="009C2953">
              <w:rPr>
                <w:sz w:val="18"/>
              </w:rPr>
              <w:t>1 940 133</w:t>
            </w:r>
          </w:p>
        </w:tc>
        <w:tc>
          <w:tcPr>
            <w:tcW w:w="1293" w:type="dxa"/>
            <w:tcBorders>
              <w:top w:val="nil"/>
              <w:left w:val="single" w:sz="4" w:space="0" w:color="000000"/>
              <w:bottom w:val="nil"/>
              <w:right w:val="nil"/>
            </w:tcBorders>
            <w:vAlign w:val="bottom"/>
            <w:hideMark/>
          </w:tcPr>
          <w:p w14:paraId="2D709A46" w14:textId="77777777" w:rsidR="00C35A2B" w:rsidRPr="009C2953" w:rsidRDefault="00C35A2B" w:rsidP="00C35A2B">
            <w:pPr>
              <w:pStyle w:val="Normal-pool"/>
              <w:spacing w:before="40" w:after="40"/>
              <w:jc w:val="right"/>
              <w:rPr>
                <w:sz w:val="18"/>
                <w:szCs w:val="18"/>
              </w:rPr>
            </w:pPr>
            <w:r w:rsidRPr="009C2953">
              <w:rPr>
                <w:sz w:val="18"/>
              </w:rPr>
              <w:t>660 066</w:t>
            </w:r>
          </w:p>
        </w:tc>
        <w:tc>
          <w:tcPr>
            <w:tcW w:w="1166" w:type="dxa"/>
            <w:tcBorders>
              <w:top w:val="nil"/>
              <w:left w:val="nil"/>
              <w:bottom w:val="nil"/>
              <w:right w:val="nil"/>
            </w:tcBorders>
            <w:vAlign w:val="bottom"/>
            <w:hideMark/>
          </w:tcPr>
          <w:p w14:paraId="53DB36D6"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1BD38D8E" w14:textId="77777777" w:rsidR="00C35A2B" w:rsidRPr="009C2953" w:rsidRDefault="00C35A2B" w:rsidP="00C35A2B">
            <w:pPr>
              <w:pStyle w:val="Normal-pool"/>
              <w:spacing w:before="40" w:after="40"/>
              <w:jc w:val="right"/>
              <w:rPr>
                <w:sz w:val="18"/>
                <w:szCs w:val="18"/>
              </w:rPr>
            </w:pPr>
            <w:r w:rsidRPr="009C2953">
              <w:rPr>
                <w:sz w:val="18"/>
              </w:rPr>
              <w:t>1 925 193</w:t>
            </w:r>
          </w:p>
        </w:tc>
        <w:tc>
          <w:tcPr>
            <w:tcW w:w="1399" w:type="dxa"/>
            <w:tcBorders>
              <w:top w:val="nil"/>
              <w:left w:val="nil"/>
              <w:bottom w:val="nil"/>
              <w:right w:val="nil"/>
            </w:tcBorders>
            <w:vAlign w:val="bottom"/>
            <w:hideMark/>
          </w:tcPr>
          <w:p w14:paraId="1DEA43F3" w14:textId="77777777" w:rsidR="00C35A2B" w:rsidRPr="009C2953" w:rsidRDefault="00C35A2B" w:rsidP="00C35A2B">
            <w:pPr>
              <w:pStyle w:val="Normal-pool"/>
              <w:spacing w:before="40" w:after="40"/>
              <w:jc w:val="right"/>
              <w:rPr>
                <w:sz w:val="18"/>
                <w:szCs w:val="18"/>
              </w:rPr>
            </w:pPr>
            <w:r w:rsidRPr="009C2953">
              <w:rPr>
                <w:sz w:val="18"/>
              </w:rPr>
              <w:t>2 585 259</w:t>
            </w:r>
          </w:p>
        </w:tc>
      </w:tr>
      <w:tr w:rsidR="00C35A2B" w:rsidRPr="009C2953" w14:paraId="551D4EFB" w14:textId="77777777" w:rsidTr="00C35A2B">
        <w:trPr>
          <w:trHeight w:val="57"/>
          <w:jc w:val="right"/>
        </w:trPr>
        <w:tc>
          <w:tcPr>
            <w:tcW w:w="2836" w:type="dxa"/>
            <w:tcBorders>
              <w:top w:val="nil"/>
              <w:left w:val="nil"/>
              <w:bottom w:val="nil"/>
              <w:right w:val="nil"/>
            </w:tcBorders>
            <w:hideMark/>
          </w:tcPr>
          <w:p w14:paraId="3566EE42" w14:textId="77777777" w:rsidR="00C35A2B" w:rsidRPr="009C2953" w:rsidRDefault="00C35A2B" w:rsidP="00C35A2B">
            <w:pPr>
              <w:pStyle w:val="Normal-pool"/>
              <w:spacing w:before="40" w:after="40"/>
              <w:ind w:left="174"/>
              <w:rPr>
                <w:sz w:val="18"/>
                <w:szCs w:val="18"/>
              </w:rPr>
            </w:pPr>
            <w:proofErr w:type="spellStart"/>
            <w:r w:rsidRPr="009C2953">
              <w:rPr>
                <w:sz w:val="18"/>
              </w:rPr>
              <w:t>Finlande</w:t>
            </w:r>
            <w:r w:rsidRPr="009C2953">
              <w:rPr>
                <w:sz w:val="18"/>
                <w:vertAlign w:val="superscript"/>
              </w:rPr>
              <w:t>a</w:t>
            </w:r>
            <w:proofErr w:type="spellEnd"/>
          </w:p>
        </w:tc>
        <w:tc>
          <w:tcPr>
            <w:tcW w:w="993" w:type="dxa"/>
            <w:tcBorders>
              <w:top w:val="nil"/>
              <w:left w:val="nil"/>
              <w:bottom w:val="nil"/>
              <w:right w:val="nil"/>
            </w:tcBorders>
            <w:vAlign w:val="bottom"/>
            <w:hideMark/>
          </w:tcPr>
          <w:p w14:paraId="48CF2AE6" w14:textId="5575EC37" w:rsidR="00C35A2B" w:rsidRPr="009C2953" w:rsidRDefault="00C35A2B" w:rsidP="00C35A2B">
            <w:pPr>
              <w:pStyle w:val="Normal-pool"/>
              <w:spacing w:before="40" w:after="40"/>
              <w:jc w:val="right"/>
              <w:rPr>
                <w:sz w:val="18"/>
                <w:szCs w:val="18"/>
              </w:rPr>
            </w:pPr>
            <w:r w:rsidRPr="009C2953">
              <w:rPr>
                <w:sz w:val="18"/>
              </w:rPr>
              <w:t>11</w:t>
            </w:r>
            <w:r w:rsidR="00EE771C" w:rsidRPr="009C2953">
              <w:rPr>
                <w:sz w:val="18"/>
              </w:rPr>
              <w:t> </w:t>
            </w:r>
            <w:r w:rsidRPr="009C2953">
              <w:rPr>
                <w:sz w:val="18"/>
              </w:rPr>
              <w:t>696</w:t>
            </w:r>
          </w:p>
        </w:tc>
        <w:tc>
          <w:tcPr>
            <w:tcW w:w="992" w:type="dxa"/>
            <w:tcBorders>
              <w:top w:val="nil"/>
              <w:left w:val="nil"/>
              <w:bottom w:val="nil"/>
              <w:right w:val="nil"/>
            </w:tcBorders>
            <w:vAlign w:val="bottom"/>
            <w:hideMark/>
          </w:tcPr>
          <w:p w14:paraId="4EAD99FD" w14:textId="4D7045FC" w:rsidR="00C35A2B" w:rsidRPr="009C2953" w:rsidRDefault="00C35A2B" w:rsidP="00C35A2B">
            <w:pPr>
              <w:pStyle w:val="Normal-pool"/>
              <w:spacing w:before="40" w:after="40"/>
              <w:jc w:val="right"/>
              <w:rPr>
                <w:sz w:val="18"/>
                <w:szCs w:val="18"/>
              </w:rPr>
            </w:pPr>
            <w:r w:rsidRPr="009C2953">
              <w:rPr>
                <w:sz w:val="18"/>
              </w:rPr>
              <w:t>22</w:t>
            </w:r>
            <w:r w:rsidR="00EE771C" w:rsidRPr="009C2953">
              <w:rPr>
                <w:sz w:val="18"/>
              </w:rPr>
              <w:t> </w:t>
            </w:r>
            <w:r w:rsidRPr="009C2953">
              <w:rPr>
                <w:sz w:val="18"/>
              </w:rPr>
              <w:t>727</w:t>
            </w:r>
          </w:p>
        </w:tc>
        <w:tc>
          <w:tcPr>
            <w:tcW w:w="1086" w:type="dxa"/>
            <w:tcBorders>
              <w:top w:val="nil"/>
              <w:left w:val="nil"/>
              <w:bottom w:val="nil"/>
              <w:right w:val="nil"/>
            </w:tcBorders>
            <w:vAlign w:val="bottom"/>
            <w:hideMark/>
          </w:tcPr>
          <w:p w14:paraId="74F94FFB" w14:textId="2CEEA3F7" w:rsidR="00C35A2B" w:rsidRPr="009C2953" w:rsidRDefault="00C35A2B" w:rsidP="00C35A2B">
            <w:pPr>
              <w:pStyle w:val="Normal-pool"/>
              <w:spacing w:before="40" w:after="40"/>
              <w:jc w:val="right"/>
              <w:rPr>
                <w:sz w:val="18"/>
                <w:szCs w:val="18"/>
              </w:rPr>
            </w:pPr>
            <w:r w:rsidRPr="009C2953">
              <w:rPr>
                <w:sz w:val="18"/>
              </w:rPr>
              <w:t>23</w:t>
            </w:r>
            <w:r w:rsidR="00EE771C" w:rsidRPr="009C2953">
              <w:rPr>
                <w:sz w:val="18"/>
              </w:rPr>
              <w:t> </w:t>
            </w:r>
            <w:r w:rsidRPr="009C2953">
              <w:rPr>
                <w:sz w:val="18"/>
              </w:rPr>
              <w:t>697</w:t>
            </w:r>
          </w:p>
        </w:tc>
        <w:tc>
          <w:tcPr>
            <w:tcW w:w="1213" w:type="dxa"/>
            <w:tcBorders>
              <w:top w:val="nil"/>
              <w:left w:val="nil"/>
              <w:bottom w:val="nil"/>
              <w:right w:val="nil"/>
            </w:tcBorders>
            <w:vAlign w:val="bottom"/>
            <w:hideMark/>
          </w:tcPr>
          <w:p w14:paraId="1B7E3E8E" w14:textId="6078E23C" w:rsidR="00C35A2B" w:rsidRPr="009C2953" w:rsidRDefault="00C35A2B" w:rsidP="00C35A2B">
            <w:pPr>
              <w:pStyle w:val="Normal-pool"/>
              <w:spacing w:before="40" w:after="40"/>
              <w:jc w:val="right"/>
              <w:rPr>
                <w:sz w:val="18"/>
                <w:szCs w:val="18"/>
              </w:rPr>
            </w:pPr>
            <w:r w:rsidRPr="009C2953">
              <w:rPr>
                <w:sz w:val="18"/>
              </w:rPr>
              <w:t>23</w:t>
            </w:r>
            <w:r w:rsidR="00EE771C" w:rsidRPr="009C2953">
              <w:rPr>
                <w:sz w:val="18"/>
              </w:rPr>
              <w:t> </w:t>
            </w:r>
            <w:r w:rsidRPr="009C2953">
              <w:rPr>
                <w:sz w:val="18"/>
              </w:rPr>
              <w:t>866</w:t>
            </w:r>
          </w:p>
        </w:tc>
        <w:tc>
          <w:tcPr>
            <w:tcW w:w="1213" w:type="dxa"/>
            <w:tcBorders>
              <w:top w:val="nil"/>
              <w:left w:val="nil"/>
              <w:bottom w:val="nil"/>
              <w:right w:val="nil"/>
            </w:tcBorders>
            <w:vAlign w:val="bottom"/>
            <w:hideMark/>
          </w:tcPr>
          <w:p w14:paraId="5532967D" w14:textId="5D6130CC" w:rsidR="00C35A2B" w:rsidRPr="009C2953" w:rsidRDefault="00C35A2B" w:rsidP="00C35A2B">
            <w:pPr>
              <w:pStyle w:val="Normal-pool"/>
              <w:spacing w:before="40" w:after="40"/>
              <w:jc w:val="right"/>
              <w:rPr>
                <w:sz w:val="18"/>
                <w:szCs w:val="18"/>
              </w:rPr>
            </w:pPr>
            <w:r w:rsidRPr="009C2953">
              <w:rPr>
                <w:sz w:val="18"/>
              </w:rPr>
              <w:t>30</w:t>
            </w:r>
            <w:r w:rsidR="00EE771C" w:rsidRPr="009C2953">
              <w:rPr>
                <w:sz w:val="18"/>
              </w:rPr>
              <w:t> </w:t>
            </w:r>
            <w:r w:rsidRPr="009C2953">
              <w:rPr>
                <w:sz w:val="18"/>
              </w:rPr>
              <w:t>060</w:t>
            </w:r>
          </w:p>
        </w:tc>
        <w:tc>
          <w:tcPr>
            <w:tcW w:w="1166" w:type="dxa"/>
            <w:tcBorders>
              <w:top w:val="nil"/>
              <w:left w:val="nil"/>
              <w:bottom w:val="nil"/>
              <w:right w:val="single" w:sz="4" w:space="0" w:color="000000"/>
            </w:tcBorders>
            <w:vAlign w:val="bottom"/>
            <w:hideMark/>
          </w:tcPr>
          <w:p w14:paraId="10C42F80"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515EFF2A" w14:textId="3040238F" w:rsidR="00C35A2B" w:rsidRPr="009C2953" w:rsidRDefault="00C35A2B" w:rsidP="00C35A2B">
            <w:pPr>
              <w:pStyle w:val="Normal-pool"/>
              <w:spacing w:before="40" w:after="40"/>
              <w:jc w:val="right"/>
              <w:rPr>
                <w:sz w:val="18"/>
                <w:szCs w:val="18"/>
              </w:rPr>
            </w:pPr>
            <w:r w:rsidRPr="009C2953">
              <w:rPr>
                <w:sz w:val="18"/>
              </w:rPr>
              <w:t>38</w:t>
            </w:r>
            <w:r w:rsidR="00EE771C" w:rsidRPr="009C2953">
              <w:rPr>
                <w:sz w:val="18"/>
              </w:rPr>
              <w:t> </w:t>
            </w:r>
            <w:r w:rsidRPr="009C2953">
              <w:rPr>
                <w:sz w:val="18"/>
              </w:rPr>
              <w:t>504</w:t>
            </w:r>
          </w:p>
        </w:tc>
        <w:tc>
          <w:tcPr>
            <w:tcW w:w="1166" w:type="dxa"/>
            <w:tcBorders>
              <w:top w:val="nil"/>
              <w:left w:val="nil"/>
              <w:bottom w:val="nil"/>
              <w:right w:val="nil"/>
            </w:tcBorders>
            <w:vAlign w:val="bottom"/>
            <w:hideMark/>
          </w:tcPr>
          <w:p w14:paraId="446FDAE7"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122DB84C"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7F03F00E" w14:textId="24EC23C9" w:rsidR="00C35A2B" w:rsidRPr="009C2953" w:rsidRDefault="00C35A2B" w:rsidP="00C35A2B">
            <w:pPr>
              <w:pStyle w:val="Normal-pool"/>
              <w:spacing w:before="40" w:after="40"/>
              <w:jc w:val="right"/>
              <w:rPr>
                <w:sz w:val="18"/>
                <w:szCs w:val="18"/>
              </w:rPr>
            </w:pPr>
            <w:r w:rsidRPr="009C2953">
              <w:rPr>
                <w:sz w:val="18"/>
              </w:rPr>
              <w:t>38</w:t>
            </w:r>
            <w:r w:rsidR="00EE771C" w:rsidRPr="009C2953">
              <w:rPr>
                <w:sz w:val="18"/>
              </w:rPr>
              <w:t> </w:t>
            </w:r>
            <w:r w:rsidRPr="009C2953">
              <w:rPr>
                <w:sz w:val="18"/>
              </w:rPr>
              <w:t>504</w:t>
            </w:r>
          </w:p>
        </w:tc>
      </w:tr>
      <w:tr w:rsidR="00C35A2B" w:rsidRPr="009C2953" w14:paraId="6BC4D768" w14:textId="77777777" w:rsidTr="00C35A2B">
        <w:trPr>
          <w:trHeight w:val="57"/>
          <w:jc w:val="right"/>
        </w:trPr>
        <w:tc>
          <w:tcPr>
            <w:tcW w:w="2836" w:type="dxa"/>
            <w:tcBorders>
              <w:top w:val="nil"/>
              <w:left w:val="nil"/>
              <w:bottom w:val="nil"/>
              <w:right w:val="nil"/>
            </w:tcBorders>
            <w:hideMark/>
          </w:tcPr>
          <w:p w14:paraId="606BE3CD" w14:textId="77777777" w:rsidR="00C35A2B" w:rsidRPr="009C2953" w:rsidRDefault="00C35A2B" w:rsidP="00C35A2B">
            <w:pPr>
              <w:pStyle w:val="Normal-pool"/>
              <w:spacing w:before="40" w:after="40"/>
              <w:ind w:left="174"/>
              <w:rPr>
                <w:sz w:val="18"/>
                <w:szCs w:val="18"/>
              </w:rPr>
            </w:pPr>
            <w:proofErr w:type="spellStart"/>
            <w:r w:rsidRPr="009C2953">
              <w:rPr>
                <w:sz w:val="18"/>
              </w:rPr>
              <w:t>France</w:t>
            </w:r>
            <w:r w:rsidRPr="009C2953">
              <w:rPr>
                <w:sz w:val="18"/>
                <w:vertAlign w:val="superscript"/>
              </w:rPr>
              <w:t>a</w:t>
            </w:r>
            <w:proofErr w:type="spellEnd"/>
          </w:p>
        </w:tc>
        <w:tc>
          <w:tcPr>
            <w:tcW w:w="993" w:type="dxa"/>
            <w:tcBorders>
              <w:top w:val="nil"/>
              <w:left w:val="nil"/>
              <w:bottom w:val="nil"/>
              <w:right w:val="nil"/>
            </w:tcBorders>
            <w:vAlign w:val="bottom"/>
            <w:hideMark/>
          </w:tcPr>
          <w:p w14:paraId="260F098A" w14:textId="562BEDA3" w:rsidR="00C35A2B" w:rsidRPr="009C2953" w:rsidRDefault="00C35A2B" w:rsidP="00C35A2B">
            <w:pPr>
              <w:pStyle w:val="Normal-pool"/>
              <w:spacing w:before="40" w:after="40"/>
              <w:jc w:val="right"/>
              <w:rPr>
                <w:sz w:val="18"/>
                <w:szCs w:val="18"/>
              </w:rPr>
            </w:pPr>
            <w:r w:rsidRPr="009C2953">
              <w:rPr>
                <w:sz w:val="18"/>
              </w:rPr>
              <w:t>844</w:t>
            </w:r>
            <w:r w:rsidR="00EE771C" w:rsidRPr="009C2953">
              <w:rPr>
                <w:sz w:val="18"/>
              </w:rPr>
              <w:t> </w:t>
            </w:r>
            <w:r w:rsidRPr="009C2953">
              <w:rPr>
                <w:sz w:val="18"/>
              </w:rPr>
              <w:t>838</w:t>
            </w:r>
          </w:p>
        </w:tc>
        <w:tc>
          <w:tcPr>
            <w:tcW w:w="992" w:type="dxa"/>
            <w:tcBorders>
              <w:top w:val="nil"/>
              <w:left w:val="nil"/>
              <w:bottom w:val="nil"/>
              <w:right w:val="nil"/>
            </w:tcBorders>
            <w:vAlign w:val="bottom"/>
            <w:hideMark/>
          </w:tcPr>
          <w:p w14:paraId="29EDB359" w14:textId="250A13F6" w:rsidR="00C35A2B" w:rsidRPr="009C2953" w:rsidRDefault="00C35A2B" w:rsidP="00C35A2B">
            <w:pPr>
              <w:pStyle w:val="Normal-pool"/>
              <w:spacing w:before="40" w:after="40"/>
              <w:jc w:val="right"/>
              <w:rPr>
                <w:sz w:val="18"/>
                <w:szCs w:val="18"/>
              </w:rPr>
            </w:pPr>
            <w:r w:rsidRPr="009C2953">
              <w:rPr>
                <w:sz w:val="18"/>
              </w:rPr>
              <w:t>416</w:t>
            </w:r>
            <w:r w:rsidR="00EE771C" w:rsidRPr="009C2953">
              <w:rPr>
                <w:sz w:val="18"/>
              </w:rPr>
              <w:t> </w:t>
            </w:r>
            <w:r w:rsidRPr="009C2953">
              <w:rPr>
                <w:sz w:val="18"/>
              </w:rPr>
              <w:t>343</w:t>
            </w:r>
          </w:p>
        </w:tc>
        <w:tc>
          <w:tcPr>
            <w:tcW w:w="1086" w:type="dxa"/>
            <w:tcBorders>
              <w:top w:val="nil"/>
              <w:left w:val="nil"/>
              <w:bottom w:val="nil"/>
              <w:right w:val="nil"/>
            </w:tcBorders>
            <w:vAlign w:val="bottom"/>
            <w:hideMark/>
          </w:tcPr>
          <w:p w14:paraId="1F062A5C" w14:textId="57C86FB2" w:rsidR="00C35A2B" w:rsidRPr="009C2953" w:rsidRDefault="00C35A2B" w:rsidP="00C35A2B">
            <w:pPr>
              <w:pStyle w:val="Normal-pool"/>
              <w:spacing w:before="40" w:after="40"/>
              <w:jc w:val="right"/>
              <w:rPr>
                <w:sz w:val="18"/>
                <w:szCs w:val="18"/>
              </w:rPr>
            </w:pPr>
            <w:r w:rsidRPr="009C2953">
              <w:rPr>
                <w:sz w:val="18"/>
              </w:rPr>
              <w:t>503</w:t>
            </w:r>
            <w:r w:rsidR="00EE771C" w:rsidRPr="009C2953">
              <w:rPr>
                <w:sz w:val="18"/>
              </w:rPr>
              <w:t> </w:t>
            </w:r>
            <w:r w:rsidRPr="009C2953">
              <w:rPr>
                <w:sz w:val="18"/>
              </w:rPr>
              <w:t>897</w:t>
            </w:r>
          </w:p>
        </w:tc>
        <w:tc>
          <w:tcPr>
            <w:tcW w:w="1213" w:type="dxa"/>
            <w:tcBorders>
              <w:top w:val="nil"/>
              <w:left w:val="nil"/>
              <w:bottom w:val="nil"/>
              <w:right w:val="nil"/>
            </w:tcBorders>
            <w:vAlign w:val="bottom"/>
            <w:hideMark/>
          </w:tcPr>
          <w:p w14:paraId="4A93DAC5" w14:textId="5AC161B4" w:rsidR="00C35A2B" w:rsidRPr="009C2953" w:rsidRDefault="00C35A2B" w:rsidP="00C35A2B">
            <w:pPr>
              <w:pStyle w:val="Normal-pool"/>
              <w:spacing w:before="40" w:after="40"/>
              <w:jc w:val="right"/>
              <w:rPr>
                <w:sz w:val="18"/>
                <w:szCs w:val="18"/>
              </w:rPr>
            </w:pPr>
            <w:r w:rsidRPr="009C2953">
              <w:rPr>
                <w:sz w:val="18"/>
              </w:rPr>
              <w:t>290</w:t>
            </w:r>
            <w:r w:rsidR="00EE771C" w:rsidRPr="009C2953">
              <w:rPr>
                <w:sz w:val="18"/>
              </w:rPr>
              <w:t> </w:t>
            </w:r>
            <w:r w:rsidRPr="009C2953">
              <w:rPr>
                <w:sz w:val="18"/>
              </w:rPr>
              <w:t>687</w:t>
            </w:r>
          </w:p>
        </w:tc>
        <w:tc>
          <w:tcPr>
            <w:tcW w:w="1213" w:type="dxa"/>
            <w:tcBorders>
              <w:top w:val="nil"/>
              <w:left w:val="nil"/>
              <w:bottom w:val="nil"/>
              <w:right w:val="nil"/>
            </w:tcBorders>
            <w:vAlign w:val="bottom"/>
            <w:hideMark/>
          </w:tcPr>
          <w:p w14:paraId="253C9F1F" w14:textId="647257C5" w:rsidR="00C35A2B" w:rsidRPr="009C2953" w:rsidRDefault="00C35A2B" w:rsidP="00C35A2B">
            <w:pPr>
              <w:pStyle w:val="Normal-pool"/>
              <w:spacing w:before="40" w:after="40"/>
              <w:jc w:val="right"/>
              <w:rPr>
                <w:sz w:val="18"/>
                <w:szCs w:val="18"/>
              </w:rPr>
            </w:pPr>
            <w:r w:rsidRPr="009C2953">
              <w:rPr>
                <w:sz w:val="18"/>
              </w:rPr>
              <w:t>321</w:t>
            </w:r>
            <w:r w:rsidR="00EE771C" w:rsidRPr="009C2953">
              <w:rPr>
                <w:sz w:val="18"/>
              </w:rPr>
              <w:t> </w:t>
            </w:r>
            <w:r w:rsidRPr="009C2953">
              <w:rPr>
                <w:sz w:val="18"/>
              </w:rPr>
              <w:t>489</w:t>
            </w:r>
          </w:p>
        </w:tc>
        <w:tc>
          <w:tcPr>
            <w:tcW w:w="1166" w:type="dxa"/>
            <w:tcBorders>
              <w:top w:val="nil"/>
              <w:left w:val="nil"/>
              <w:bottom w:val="nil"/>
              <w:right w:val="single" w:sz="4" w:space="0" w:color="000000"/>
            </w:tcBorders>
            <w:vAlign w:val="bottom"/>
            <w:hideMark/>
          </w:tcPr>
          <w:p w14:paraId="21B11CCA" w14:textId="3264C5B5" w:rsidR="00C35A2B" w:rsidRPr="009C2953" w:rsidRDefault="00C35A2B" w:rsidP="00C35A2B">
            <w:pPr>
              <w:pStyle w:val="Normal-pool"/>
              <w:spacing w:before="40" w:after="40"/>
              <w:jc w:val="right"/>
              <w:rPr>
                <w:sz w:val="18"/>
                <w:szCs w:val="18"/>
              </w:rPr>
            </w:pPr>
            <w:r w:rsidRPr="009C2953">
              <w:rPr>
                <w:sz w:val="18"/>
              </w:rPr>
              <w:t>130</w:t>
            </w:r>
            <w:r w:rsidR="00EE771C" w:rsidRPr="009C2953">
              <w:rPr>
                <w:sz w:val="18"/>
              </w:rPr>
              <w:t> </w:t>
            </w:r>
            <w:r w:rsidRPr="009C2953">
              <w:rPr>
                <w:sz w:val="18"/>
              </w:rPr>
              <w:t>540</w:t>
            </w:r>
          </w:p>
        </w:tc>
        <w:tc>
          <w:tcPr>
            <w:tcW w:w="1293" w:type="dxa"/>
            <w:tcBorders>
              <w:top w:val="nil"/>
              <w:left w:val="single" w:sz="4" w:space="0" w:color="000000"/>
              <w:bottom w:val="nil"/>
              <w:right w:val="nil"/>
            </w:tcBorders>
            <w:vAlign w:val="bottom"/>
            <w:hideMark/>
          </w:tcPr>
          <w:p w14:paraId="22AA3186" w14:textId="1FDDDBDA" w:rsidR="00C35A2B" w:rsidRPr="009C2953" w:rsidRDefault="00C35A2B" w:rsidP="00C35A2B">
            <w:pPr>
              <w:pStyle w:val="Normal-pool"/>
              <w:spacing w:before="40" w:after="40"/>
              <w:jc w:val="right"/>
              <w:rPr>
                <w:sz w:val="18"/>
                <w:szCs w:val="18"/>
              </w:rPr>
            </w:pPr>
            <w:r w:rsidRPr="009C2953">
              <w:rPr>
                <w:sz w:val="18"/>
              </w:rPr>
              <w:t>159</w:t>
            </w:r>
            <w:r w:rsidR="00EE771C" w:rsidRPr="009C2953">
              <w:rPr>
                <w:sz w:val="18"/>
              </w:rPr>
              <w:t> </w:t>
            </w:r>
            <w:r w:rsidRPr="009C2953">
              <w:rPr>
                <w:sz w:val="18"/>
              </w:rPr>
              <w:t>516</w:t>
            </w:r>
          </w:p>
        </w:tc>
        <w:tc>
          <w:tcPr>
            <w:tcW w:w="1166" w:type="dxa"/>
            <w:tcBorders>
              <w:top w:val="nil"/>
              <w:left w:val="nil"/>
              <w:bottom w:val="nil"/>
              <w:right w:val="nil"/>
            </w:tcBorders>
            <w:vAlign w:val="bottom"/>
            <w:hideMark/>
          </w:tcPr>
          <w:p w14:paraId="763AA7BC"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4341D121"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4F00C650" w14:textId="026CEF3A" w:rsidR="00C35A2B" w:rsidRPr="009C2953" w:rsidRDefault="00C35A2B" w:rsidP="00C35A2B">
            <w:pPr>
              <w:pStyle w:val="Normal-pool"/>
              <w:spacing w:before="40" w:after="40"/>
              <w:jc w:val="right"/>
              <w:rPr>
                <w:sz w:val="18"/>
                <w:szCs w:val="18"/>
              </w:rPr>
            </w:pPr>
            <w:r w:rsidRPr="009C2953">
              <w:rPr>
                <w:sz w:val="18"/>
              </w:rPr>
              <w:t>159</w:t>
            </w:r>
            <w:r w:rsidR="00EE771C" w:rsidRPr="009C2953">
              <w:rPr>
                <w:sz w:val="18"/>
              </w:rPr>
              <w:t> </w:t>
            </w:r>
            <w:r w:rsidRPr="009C2953">
              <w:rPr>
                <w:sz w:val="18"/>
              </w:rPr>
              <w:t>516</w:t>
            </w:r>
          </w:p>
        </w:tc>
      </w:tr>
      <w:tr w:rsidR="00C35A2B" w:rsidRPr="009C2953" w14:paraId="5343FE02" w14:textId="77777777" w:rsidTr="00C35A2B">
        <w:trPr>
          <w:trHeight w:val="57"/>
          <w:jc w:val="right"/>
        </w:trPr>
        <w:tc>
          <w:tcPr>
            <w:tcW w:w="2836" w:type="dxa"/>
            <w:tcBorders>
              <w:top w:val="nil"/>
              <w:left w:val="nil"/>
              <w:bottom w:val="nil"/>
              <w:right w:val="nil"/>
            </w:tcBorders>
            <w:hideMark/>
          </w:tcPr>
          <w:p w14:paraId="01A0E1E9" w14:textId="2479AD44" w:rsidR="00C35A2B" w:rsidRPr="009C2953" w:rsidRDefault="00C35A2B" w:rsidP="00C35A2B">
            <w:pPr>
              <w:pStyle w:val="Normal-pool"/>
              <w:spacing w:before="40" w:after="40"/>
              <w:ind w:left="174"/>
              <w:rPr>
                <w:sz w:val="18"/>
                <w:szCs w:val="18"/>
              </w:rPr>
            </w:pPr>
            <w:r w:rsidRPr="009C2953">
              <w:rPr>
                <w:sz w:val="18"/>
              </w:rPr>
              <w:t>Japon</w:t>
            </w:r>
          </w:p>
        </w:tc>
        <w:tc>
          <w:tcPr>
            <w:tcW w:w="993" w:type="dxa"/>
            <w:tcBorders>
              <w:top w:val="nil"/>
              <w:left w:val="nil"/>
              <w:bottom w:val="nil"/>
              <w:right w:val="nil"/>
            </w:tcBorders>
            <w:vAlign w:val="bottom"/>
            <w:hideMark/>
          </w:tcPr>
          <w:p w14:paraId="14075AC0" w14:textId="77777777" w:rsidR="00C35A2B" w:rsidRPr="009C2953" w:rsidRDefault="00C35A2B" w:rsidP="00C35A2B">
            <w:pPr>
              <w:pStyle w:val="Normal-pool"/>
              <w:spacing w:before="40" w:after="40"/>
              <w:jc w:val="right"/>
              <w:rPr>
                <w:sz w:val="18"/>
                <w:szCs w:val="18"/>
              </w:rPr>
            </w:pPr>
            <w:r w:rsidRPr="009C2953">
              <w:rPr>
                <w:sz w:val="18"/>
              </w:rPr>
              <w:t>190 454</w:t>
            </w:r>
          </w:p>
        </w:tc>
        <w:tc>
          <w:tcPr>
            <w:tcW w:w="992" w:type="dxa"/>
            <w:tcBorders>
              <w:top w:val="nil"/>
              <w:left w:val="nil"/>
              <w:bottom w:val="nil"/>
              <w:right w:val="nil"/>
            </w:tcBorders>
            <w:vAlign w:val="bottom"/>
            <w:hideMark/>
          </w:tcPr>
          <w:p w14:paraId="79312694" w14:textId="77777777" w:rsidR="00C35A2B" w:rsidRPr="009C2953" w:rsidRDefault="00C35A2B" w:rsidP="00C35A2B">
            <w:pPr>
              <w:pStyle w:val="Normal-pool"/>
              <w:spacing w:before="40" w:after="40"/>
              <w:jc w:val="right"/>
              <w:rPr>
                <w:sz w:val="18"/>
                <w:szCs w:val="18"/>
              </w:rPr>
            </w:pPr>
            <w:r w:rsidRPr="009C2953">
              <w:rPr>
                <w:sz w:val="18"/>
              </w:rPr>
              <w:t>166 428</w:t>
            </w:r>
          </w:p>
        </w:tc>
        <w:tc>
          <w:tcPr>
            <w:tcW w:w="1086" w:type="dxa"/>
            <w:tcBorders>
              <w:top w:val="nil"/>
              <w:left w:val="nil"/>
              <w:bottom w:val="nil"/>
              <w:right w:val="nil"/>
            </w:tcBorders>
            <w:vAlign w:val="bottom"/>
            <w:hideMark/>
          </w:tcPr>
          <w:p w14:paraId="6DA1F542" w14:textId="77777777" w:rsidR="00C35A2B" w:rsidRPr="009C2953" w:rsidRDefault="00C35A2B" w:rsidP="00C35A2B">
            <w:pPr>
              <w:pStyle w:val="Normal-pool"/>
              <w:spacing w:before="40" w:after="40"/>
              <w:jc w:val="right"/>
              <w:rPr>
                <w:sz w:val="18"/>
                <w:szCs w:val="18"/>
              </w:rPr>
            </w:pPr>
            <w:r w:rsidRPr="009C2953">
              <w:rPr>
                <w:sz w:val="18"/>
              </w:rPr>
              <w:t>193 181</w:t>
            </w:r>
          </w:p>
        </w:tc>
        <w:tc>
          <w:tcPr>
            <w:tcW w:w="1213" w:type="dxa"/>
            <w:tcBorders>
              <w:top w:val="nil"/>
              <w:left w:val="nil"/>
              <w:bottom w:val="nil"/>
              <w:right w:val="nil"/>
            </w:tcBorders>
            <w:vAlign w:val="bottom"/>
            <w:hideMark/>
          </w:tcPr>
          <w:p w14:paraId="794AE660" w14:textId="77777777" w:rsidR="00C35A2B" w:rsidRPr="009C2953" w:rsidRDefault="00C35A2B" w:rsidP="00C35A2B">
            <w:pPr>
              <w:pStyle w:val="Normal-pool"/>
              <w:spacing w:before="40" w:after="40"/>
              <w:jc w:val="right"/>
              <w:rPr>
                <w:sz w:val="18"/>
                <w:szCs w:val="18"/>
              </w:rPr>
            </w:pPr>
            <w:r w:rsidRPr="009C2953">
              <w:rPr>
                <w:sz w:val="18"/>
              </w:rPr>
              <w:t>193 181</w:t>
            </w:r>
          </w:p>
        </w:tc>
        <w:tc>
          <w:tcPr>
            <w:tcW w:w="1213" w:type="dxa"/>
            <w:tcBorders>
              <w:top w:val="nil"/>
              <w:left w:val="nil"/>
              <w:bottom w:val="nil"/>
              <w:right w:val="nil"/>
            </w:tcBorders>
            <w:vAlign w:val="bottom"/>
            <w:hideMark/>
          </w:tcPr>
          <w:p w14:paraId="4974E563" w14:textId="77777777" w:rsidR="00C35A2B" w:rsidRPr="009C2953" w:rsidRDefault="00C35A2B" w:rsidP="00C35A2B">
            <w:pPr>
              <w:pStyle w:val="Normal-pool"/>
              <w:spacing w:before="40" w:after="40"/>
              <w:jc w:val="right"/>
              <w:rPr>
                <w:sz w:val="18"/>
                <w:szCs w:val="18"/>
              </w:rPr>
            </w:pPr>
            <w:r w:rsidRPr="009C2953">
              <w:rPr>
                <w:sz w:val="18"/>
              </w:rPr>
              <w:t>189 814</w:t>
            </w:r>
          </w:p>
        </w:tc>
        <w:tc>
          <w:tcPr>
            <w:tcW w:w="1166" w:type="dxa"/>
            <w:tcBorders>
              <w:top w:val="nil"/>
              <w:left w:val="nil"/>
              <w:bottom w:val="nil"/>
              <w:right w:val="single" w:sz="4" w:space="0" w:color="000000"/>
            </w:tcBorders>
            <w:vAlign w:val="bottom"/>
            <w:hideMark/>
          </w:tcPr>
          <w:p w14:paraId="2490F230" w14:textId="77777777" w:rsidR="00C35A2B" w:rsidRPr="009C2953" w:rsidRDefault="00C35A2B" w:rsidP="00C35A2B">
            <w:pPr>
              <w:pStyle w:val="Normal-pool"/>
              <w:spacing w:before="40" w:after="40"/>
              <w:jc w:val="right"/>
              <w:rPr>
                <w:sz w:val="18"/>
                <w:szCs w:val="18"/>
              </w:rPr>
            </w:pPr>
            <w:r w:rsidRPr="009C2953">
              <w:rPr>
                <w:sz w:val="18"/>
              </w:rPr>
              <w:t>189 814</w:t>
            </w:r>
          </w:p>
        </w:tc>
        <w:tc>
          <w:tcPr>
            <w:tcW w:w="1293" w:type="dxa"/>
            <w:tcBorders>
              <w:top w:val="nil"/>
              <w:left w:val="single" w:sz="4" w:space="0" w:color="000000"/>
              <w:bottom w:val="nil"/>
              <w:right w:val="nil"/>
            </w:tcBorders>
            <w:vAlign w:val="bottom"/>
            <w:hideMark/>
          </w:tcPr>
          <w:p w14:paraId="67A7F281"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310F1B40" w14:textId="77777777" w:rsidR="00C35A2B" w:rsidRPr="009C2953" w:rsidRDefault="00C35A2B" w:rsidP="00C35A2B">
            <w:pPr>
              <w:pStyle w:val="Normal-pool"/>
              <w:spacing w:before="40" w:after="40"/>
              <w:jc w:val="right"/>
              <w:rPr>
                <w:sz w:val="18"/>
                <w:szCs w:val="18"/>
              </w:rPr>
            </w:pPr>
            <w:r w:rsidRPr="009C2953">
              <w:rPr>
                <w:sz w:val="18"/>
              </w:rPr>
              <w:t>189 814</w:t>
            </w:r>
          </w:p>
        </w:tc>
        <w:tc>
          <w:tcPr>
            <w:tcW w:w="1072" w:type="dxa"/>
            <w:tcBorders>
              <w:top w:val="nil"/>
              <w:left w:val="nil"/>
              <w:bottom w:val="nil"/>
              <w:right w:val="nil"/>
            </w:tcBorders>
            <w:vAlign w:val="bottom"/>
            <w:hideMark/>
          </w:tcPr>
          <w:p w14:paraId="2B953EAB"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1791E67D" w14:textId="77777777" w:rsidR="00C35A2B" w:rsidRPr="009C2953" w:rsidRDefault="00C35A2B" w:rsidP="00C35A2B">
            <w:pPr>
              <w:pStyle w:val="Normal-pool"/>
              <w:spacing w:before="40" w:after="40"/>
              <w:jc w:val="right"/>
              <w:rPr>
                <w:sz w:val="18"/>
                <w:szCs w:val="18"/>
              </w:rPr>
            </w:pPr>
            <w:r w:rsidRPr="009C2953">
              <w:rPr>
                <w:sz w:val="18"/>
              </w:rPr>
              <w:t>189 814</w:t>
            </w:r>
          </w:p>
        </w:tc>
      </w:tr>
      <w:tr w:rsidR="00C35A2B" w:rsidRPr="009C2953" w14:paraId="4D85D63B" w14:textId="77777777" w:rsidTr="00C35A2B">
        <w:trPr>
          <w:trHeight w:val="57"/>
          <w:jc w:val="right"/>
        </w:trPr>
        <w:tc>
          <w:tcPr>
            <w:tcW w:w="2836" w:type="dxa"/>
            <w:tcBorders>
              <w:top w:val="nil"/>
              <w:left w:val="nil"/>
              <w:bottom w:val="nil"/>
              <w:right w:val="nil"/>
            </w:tcBorders>
            <w:hideMark/>
          </w:tcPr>
          <w:p w14:paraId="72748032" w14:textId="77777777" w:rsidR="00C35A2B" w:rsidRPr="009C2953" w:rsidRDefault="00C35A2B" w:rsidP="00C35A2B">
            <w:pPr>
              <w:pStyle w:val="Normal-pool"/>
              <w:spacing w:before="40" w:after="40"/>
              <w:ind w:left="174"/>
              <w:rPr>
                <w:sz w:val="18"/>
                <w:szCs w:val="18"/>
              </w:rPr>
            </w:pPr>
            <w:r w:rsidRPr="009C2953">
              <w:rPr>
                <w:sz w:val="18"/>
              </w:rPr>
              <w:t>Lettonie</w:t>
            </w:r>
          </w:p>
        </w:tc>
        <w:tc>
          <w:tcPr>
            <w:tcW w:w="993" w:type="dxa"/>
            <w:tcBorders>
              <w:top w:val="nil"/>
              <w:left w:val="nil"/>
              <w:bottom w:val="nil"/>
              <w:right w:val="nil"/>
            </w:tcBorders>
            <w:vAlign w:val="bottom"/>
            <w:hideMark/>
          </w:tcPr>
          <w:p w14:paraId="7A66E676" w14:textId="19C810CC" w:rsidR="00C35A2B" w:rsidRPr="009C2953" w:rsidRDefault="00C35A2B" w:rsidP="00C35A2B">
            <w:pPr>
              <w:pStyle w:val="Normal-pool"/>
              <w:spacing w:before="40" w:after="40"/>
              <w:jc w:val="right"/>
              <w:rPr>
                <w:sz w:val="18"/>
                <w:szCs w:val="18"/>
              </w:rPr>
            </w:pPr>
            <w:r w:rsidRPr="009C2953">
              <w:rPr>
                <w:sz w:val="18"/>
              </w:rPr>
              <w:t>4</w:t>
            </w:r>
            <w:r w:rsidR="00EE771C" w:rsidRPr="009C2953">
              <w:rPr>
                <w:sz w:val="18"/>
              </w:rPr>
              <w:t> </w:t>
            </w:r>
            <w:r w:rsidRPr="009C2953">
              <w:rPr>
                <w:sz w:val="18"/>
              </w:rPr>
              <w:t>227</w:t>
            </w:r>
          </w:p>
        </w:tc>
        <w:tc>
          <w:tcPr>
            <w:tcW w:w="992" w:type="dxa"/>
            <w:tcBorders>
              <w:top w:val="nil"/>
              <w:left w:val="nil"/>
              <w:bottom w:val="nil"/>
              <w:right w:val="nil"/>
            </w:tcBorders>
            <w:vAlign w:val="bottom"/>
            <w:hideMark/>
          </w:tcPr>
          <w:p w14:paraId="58A43713" w14:textId="77777777" w:rsidR="00C35A2B" w:rsidRPr="009C2953" w:rsidRDefault="00C35A2B" w:rsidP="00C35A2B">
            <w:pPr>
              <w:pStyle w:val="Normal-pool"/>
              <w:spacing w:before="40" w:after="40"/>
              <w:jc w:val="right"/>
              <w:rPr>
                <w:sz w:val="18"/>
                <w:szCs w:val="18"/>
              </w:rPr>
            </w:pPr>
            <w:r w:rsidRPr="009C2953">
              <w:rPr>
                <w:sz w:val="18"/>
              </w:rPr>
              <w:t>11 377</w:t>
            </w:r>
          </w:p>
        </w:tc>
        <w:tc>
          <w:tcPr>
            <w:tcW w:w="1086" w:type="dxa"/>
            <w:tcBorders>
              <w:top w:val="nil"/>
              <w:left w:val="nil"/>
              <w:bottom w:val="nil"/>
              <w:right w:val="nil"/>
            </w:tcBorders>
            <w:vAlign w:val="bottom"/>
            <w:hideMark/>
          </w:tcPr>
          <w:p w14:paraId="2EE1B7A2" w14:textId="77777777" w:rsidR="00C35A2B" w:rsidRPr="009C2953" w:rsidRDefault="00C35A2B" w:rsidP="00C35A2B">
            <w:pPr>
              <w:pStyle w:val="Normal-pool"/>
              <w:spacing w:before="40" w:after="40"/>
              <w:jc w:val="right"/>
              <w:rPr>
                <w:sz w:val="18"/>
                <w:szCs w:val="18"/>
              </w:rPr>
            </w:pPr>
            <w:r w:rsidRPr="009C2953">
              <w:rPr>
                <w:sz w:val="18"/>
              </w:rPr>
              <w:t>11 947</w:t>
            </w:r>
          </w:p>
        </w:tc>
        <w:tc>
          <w:tcPr>
            <w:tcW w:w="1213" w:type="dxa"/>
            <w:tcBorders>
              <w:top w:val="nil"/>
              <w:left w:val="nil"/>
              <w:bottom w:val="nil"/>
              <w:right w:val="nil"/>
            </w:tcBorders>
            <w:vAlign w:val="bottom"/>
            <w:hideMark/>
          </w:tcPr>
          <w:p w14:paraId="244E92A0" w14:textId="77777777" w:rsidR="00C35A2B" w:rsidRPr="009C2953" w:rsidRDefault="00C35A2B" w:rsidP="00C35A2B">
            <w:pPr>
              <w:pStyle w:val="Normal-pool"/>
              <w:spacing w:before="40" w:after="40"/>
              <w:jc w:val="right"/>
              <w:rPr>
                <w:sz w:val="18"/>
                <w:szCs w:val="18"/>
              </w:rPr>
            </w:pPr>
            <w:r w:rsidRPr="009C2953">
              <w:rPr>
                <w:sz w:val="18"/>
              </w:rPr>
              <w:t>12 165</w:t>
            </w:r>
          </w:p>
        </w:tc>
        <w:tc>
          <w:tcPr>
            <w:tcW w:w="1213" w:type="dxa"/>
            <w:tcBorders>
              <w:top w:val="nil"/>
              <w:left w:val="nil"/>
              <w:bottom w:val="nil"/>
              <w:right w:val="nil"/>
            </w:tcBorders>
            <w:vAlign w:val="bottom"/>
            <w:hideMark/>
          </w:tcPr>
          <w:p w14:paraId="755BD69E" w14:textId="404C0737" w:rsidR="00C35A2B" w:rsidRPr="009C2953" w:rsidRDefault="00C35A2B" w:rsidP="00C35A2B">
            <w:pPr>
              <w:pStyle w:val="Normal-pool"/>
              <w:spacing w:before="40" w:after="40"/>
              <w:jc w:val="right"/>
              <w:rPr>
                <w:sz w:val="18"/>
                <w:szCs w:val="18"/>
              </w:rPr>
            </w:pPr>
            <w:r w:rsidRPr="009C2953">
              <w:rPr>
                <w:sz w:val="18"/>
              </w:rPr>
              <w:t>9</w:t>
            </w:r>
            <w:r w:rsidR="003B06CC" w:rsidRPr="009C2953">
              <w:rPr>
                <w:sz w:val="18"/>
              </w:rPr>
              <w:t> </w:t>
            </w:r>
            <w:r w:rsidRPr="009C2953">
              <w:rPr>
                <w:sz w:val="18"/>
              </w:rPr>
              <w:t>737</w:t>
            </w:r>
          </w:p>
        </w:tc>
        <w:tc>
          <w:tcPr>
            <w:tcW w:w="1166" w:type="dxa"/>
            <w:tcBorders>
              <w:top w:val="nil"/>
              <w:left w:val="nil"/>
              <w:bottom w:val="nil"/>
              <w:right w:val="single" w:sz="4" w:space="0" w:color="000000"/>
            </w:tcBorders>
            <w:vAlign w:val="bottom"/>
            <w:hideMark/>
          </w:tcPr>
          <w:p w14:paraId="5F456B13"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0529A587"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9BFD58E"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3F707430"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582639D7"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10837102" w14:textId="77777777" w:rsidTr="00C35A2B">
        <w:trPr>
          <w:trHeight w:val="57"/>
          <w:jc w:val="right"/>
        </w:trPr>
        <w:tc>
          <w:tcPr>
            <w:tcW w:w="2836" w:type="dxa"/>
            <w:tcBorders>
              <w:top w:val="nil"/>
              <w:left w:val="nil"/>
              <w:bottom w:val="nil"/>
              <w:right w:val="nil"/>
            </w:tcBorders>
            <w:hideMark/>
          </w:tcPr>
          <w:p w14:paraId="22786935" w14:textId="77777777" w:rsidR="00C35A2B" w:rsidRPr="009C2953" w:rsidRDefault="00C35A2B" w:rsidP="00C35A2B">
            <w:pPr>
              <w:pStyle w:val="Normal-pool"/>
              <w:spacing w:before="40" w:after="40"/>
              <w:ind w:left="174"/>
              <w:rPr>
                <w:sz w:val="18"/>
                <w:szCs w:val="18"/>
              </w:rPr>
            </w:pPr>
            <w:r w:rsidRPr="009C2953">
              <w:rPr>
                <w:sz w:val="18"/>
              </w:rPr>
              <w:t>Luxembourg</w:t>
            </w:r>
          </w:p>
        </w:tc>
        <w:tc>
          <w:tcPr>
            <w:tcW w:w="993" w:type="dxa"/>
            <w:tcBorders>
              <w:top w:val="nil"/>
              <w:left w:val="nil"/>
              <w:bottom w:val="nil"/>
              <w:right w:val="nil"/>
            </w:tcBorders>
            <w:vAlign w:val="bottom"/>
            <w:hideMark/>
          </w:tcPr>
          <w:p w14:paraId="0068CC95" w14:textId="77777777" w:rsidR="00C35A2B" w:rsidRPr="009C2953" w:rsidRDefault="00C35A2B" w:rsidP="00C35A2B">
            <w:pPr>
              <w:pStyle w:val="Normal-pool"/>
              <w:spacing w:before="40" w:after="40"/>
              <w:jc w:val="right"/>
              <w:rPr>
                <w:sz w:val="18"/>
                <w:szCs w:val="18"/>
              </w:rPr>
            </w:pPr>
            <w:r w:rsidRPr="009C2953">
              <w:rPr>
                <w:sz w:val="18"/>
              </w:rPr>
              <w:t>17 045</w:t>
            </w:r>
          </w:p>
        </w:tc>
        <w:tc>
          <w:tcPr>
            <w:tcW w:w="992" w:type="dxa"/>
            <w:tcBorders>
              <w:top w:val="nil"/>
              <w:left w:val="nil"/>
              <w:bottom w:val="nil"/>
              <w:right w:val="nil"/>
            </w:tcBorders>
            <w:vAlign w:val="bottom"/>
            <w:hideMark/>
          </w:tcPr>
          <w:p w14:paraId="4F7D17B1" w14:textId="77777777" w:rsidR="00C35A2B" w:rsidRPr="009C2953" w:rsidRDefault="00C35A2B" w:rsidP="00C35A2B">
            <w:pPr>
              <w:pStyle w:val="Normal-pool"/>
              <w:spacing w:before="40" w:after="40"/>
              <w:jc w:val="right"/>
              <w:rPr>
                <w:sz w:val="18"/>
                <w:szCs w:val="18"/>
              </w:rPr>
            </w:pPr>
            <w:r w:rsidRPr="009C2953">
              <w:rPr>
                <w:sz w:val="18"/>
              </w:rPr>
              <w:t>11 123</w:t>
            </w:r>
          </w:p>
        </w:tc>
        <w:tc>
          <w:tcPr>
            <w:tcW w:w="1086" w:type="dxa"/>
            <w:tcBorders>
              <w:top w:val="nil"/>
              <w:left w:val="nil"/>
              <w:bottom w:val="nil"/>
              <w:right w:val="nil"/>
            </w:tcBorders>
            <w:vAlign w:val="bottom"/>
            <w:hideMark/>
          </w:tcPr>
          <w:p w14:paraId="0D02B78C"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3C483A58" w14:textId="113613BB" w:rsidR="00C35A2B" w:rsidRPr="009C2953" w:rsidRDefault="00C35A2B" w:rsidP="00C35A2B">
            <w:pPr>
              <w:pStyle w:val="Normal-pool"/>
              <w:spacing w:before="40" w:after="40"/>
              <w:jc w:val="right"/>
              <w:rPr>
                <w:sz w:val="18"/>
                <w:szCs w:val="18"/>
              </w:rPr>
            </w:pPr>
            <w:r w:rsidRPr="009C2953">
              <w:rPr>
                <w:sz w:val="18"/>
              </w:rPr>
              <w:t>9</w:t>
            </w:r>
            <w:r w:rsidR="00EE771C" w:rsidRPr="009C2953">
              <w:rPr>
                <w:sz w:val="18"/>
              </w:rPr>
              <w:t> </w:t>
            </w:r>
            <w:r w:rsidRPr="009C2953">
              <w:rPr>
                <w:sz w:val="18"/>
              </w:rPr>
              <w:t>558</w:t>
            </w:r>
          </w:p>
        </w:tc>
        <w:tc>
          <w:tcPr>
            <w:tcW w:w="1213" w:type="dxa"/>
            <w:tcBorders>
              <w:top w:val="nil"/>
              <w:left w:val="nil"/>
              <w:bottom w:val="nil"/>
              <w:right w:val="nil"/>
            </w:tcBorders>
            <w:vAlign w:val="bottom"/>
            <w:hideMark/>
          </w:tcPr>
          <w:p w14:paraId="39F31C8F"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3E9B6494" w14:textId="77777777" w:rsidR="00C35A2B" w:rsidRPr="009C2953" w:rsidRDefault="00C35A2B" w:rsidP="00C35A2B">
            <w:pPr>
              <w:pStyle w:val="Normal-pool"/>
              <w:spacing w:before="40" w:after="40"/>
              <w:jc w:val="right"/>
              <w:rPr>
                <w:sz w:val="18"/>
                <w:szCs w:val="18"/>
              </w:rPr>
            </w:pPr>
            <w:r w:rsidRPr="009C2953">
              <w:rPr>
                <w:sz w:val="18"/>
              </w:rPr>
              <w:t>16 630</w:t>
            </w:r>
          </w:p>
        </w:tc>
        <w:tc>
          <w:tcPr>
            <w:tcW w:w="1293" w:type="dxa"/>
            <w:tcBorders>
              <w:top w:val="nil"/>
              <w:left w:val="single" w:sz="4" w:space="0" w:color="000000"/>
              <w:bottom w:val="nil"/>
              <w:right w:val="nil"/>
            </w:tcBorders>
            <w:vAlign w:val="bottom"/>
            <w:hideMark/>
          </w:tcPr>
          <w:p w14:paraId="6A6E584E"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63EA0AC"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4BA6B562"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558954B4"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51593EF7" w14:textId="77777777" w:rsidTr="00C35A2B">
        <w:trPr>
          <w:trHeight w:val="57"/>
          <w:jc w:val="right"/>
        </w:trPr>
        <w:tc>
          <w:tcPr>
            <w:tcW w:w="2836" w:type="dxa"/>
            <w:tcBorders>
              <w:top w:val="nil"/>
              <w:left w:val="nil"/>
              <w:bottom w:val="nil"/>
              <w:right w:val="nil"/>
            </w:tcBorders>
            <w:hideMark/>
          </w:tcPr>
          <w:p w14:paraId="1D93179F" w14:textId="77777777" w:rsidR="00C35A2B" w:rsidRPr="009C2953" w:rsidRDefault="00C35A2B" w:rsidP="00C35A2B">
            <w:pPr>
              <w:pStyle w:val="Normal-pool"/>
              <w:spacing w:before="40" w:after="40"/>
              <w:ind w:left="174"/>
              <w:rPr>
                <w:sz w:val="18"/>
                <w:szCs w:val="18"/>
              </w:rPr>
            </w:pPr>
            <w:r w:rsidRPr="009C2953">
              <w:rPr>
                <w:sz w:val="18"/>
              </w:rPr>
              <w:t>Pays-Bas (Royaume des)</w:t>
            </w:r>
          </w:p>
        </w:tc>
        <w:tc>
          <w:tcPr>
            <w:tcW w:w="993" w:type="dxa"/>
            <w:tcBorders>
              <w:top w:val="nil"/>
              <w:left w:val="nil"/>
              <w:bottom w:val="nil"/>
              <w:right w:val="nil"/>
            </w:tcBorders>
            <w:vAlign w:val="bottom"/>
            <w:hideMark/>
          </w:tcPr>
          <w:p w14:paraId="2EFDE396"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5D10CD81" w14:textId="77777777" w:rsidR="00C35A2B" w:rsidRPr="009C2953" w:rsidRDefault="00C35A2B" w:rsidP="00C35A2B">
            <w:pPr>
              <w:pStyle w:val="Normal-pool"/>
              <w:spacing w:before="40" w:after="40"/>
              <w:jc w:val="right"/>
              <w:rPr>
                <w:sz w:val="18"/>
                <w:szCs w:val="18"/>
              </w:rPr>
            </w:pPr>
            <w:r w:rsidRPr="009C2953">
              <w:rPr>
                <w:sz w:val="18"/>
              </w:rPr>
              <w:t>715 072</w:t>
            </w:r>
          </w:p>
        </w:tc>
        <w:tc>
          <w:tcPr>
            <w:tcW w:w="1086" w:type="dxa"/>
            <w:tcBorders>
              <w:top w:val="nil"/>
              <w:left w:val="nil"/>
              <w:bottom w:val="nil"/>
              <w:right w:val="nil"/>
            </w:tcBorders>
            <w:vAlign w:val="bottom"/>
            <w:hideMark/>
          </w:tcPr>
          <w:p w14:paraId="68A8A9CC"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2986F271" w14:textId="77777777" w:rsidR="00C35A2B" w:rsidRPr="009C2953" w:rsidRDefault="00C35A2B" w:rsidP="00C35A2B">
            <w:pPr>
              <w:pStyle w:val="Normal-pool"/>
              <w:spacing w:before="40" w:after="40"/>
              <w:jc w:val="right"/>
              <w:rPr>
                <w:sz w:val="18"/>
                <w:szCs w:val="18"/>
              </w:rPr>
            </w:pPr>
            <w:r w:rsidRPr="009C2953">
              <w:rPr>
                <w:sz w:val="18"/>
              </w:rPr>
              <w:t>225 225</w:t>
            </w:r>
          </w:p>
        </w:tc>
        <w:tc>
          <w:tcPr>
            <w:tcW w:w="1213" w:type="dxa"/>
            <w:tcBorders>
              <w:top w:val="nil"/>
              <w:left w:val="nil"/>
              <w:bottom w:val="nil"/>
              <w:right w:val="nil"/>
            </w:tcBorders>
            <w:vAlign w:val="bottom"/>
            <w:hideMark/>
          </w:tcPr>
          <w:p w14:paraId="390FB224" w14:textId="77777777" w:rsidR="00C35A2B" w:rsidRPr="009C2953" w:rsidRDefault="00C35A2B" w:rsidP="00C35A2B">
            <w:pPr>
              <w:pStyle w:val="Normal-pool"/>
              <w:spacing w:before="40" w:after="40"/>
              <w:jc w:val="right"/>
              <w:rPr>
                <w:sz w:val="18"/>
                <w:szCs w:val="18"/>
              </w:rPr>
            </w:pPr>
            <w:r w:rsidRPr="009C2953">
              <w:rPr>
                <w:sz w:val="18"/>
              </w:rPr>
              <w:t>479 744</w:t>
            </w:r>
          </w:p>
        </w:tc>
        <w:tc>
          <w:tcPr>
            <w:tcW w:w="1166" w:type="dxa"/>
            <w:tcBorders>
              <w:top w:val="nil"/>
              <w:left w:val="nil"/>
              <w:bottom w:val="nil"/>
              <w:right w:val="single" w:sz="4" w:space="0" w:color="000000"/>
            </w:tcBorders>
            <w:vAlign w:val="bottom"/>
            <w:hideMark/>
          </w:tcPr>
          <w:p w14:paraId="2A31E7CB"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579632FB"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382EB807"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7356AD25"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5F3D6504"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285B0DBE" w14:textId="77777777" w:rsidTr="00C35A2B">
        <w:trPr>
          <w:trHeight w:val="57"/>
          <w:jc w:val="right"/>
        </w:trPr>
        <w:tc>
          <w:tcPr>
            <w:tcW w:w="2836" w:type="dxa"/>
            <w:tcBorders>
              <w:top w:val="nil"/>
              <w:left w:val="nil"/>
              <w:bottom w:val="nil"/>
              <w:right w:val="nil"/>
            </w:tcBorders>
            <w:hideMark/>
          </w:tcPr>
          <w:p w14:paraId="67D174E0" w14:textId="77777777" w:rsidR="00C35A2B" w:rsidRPr="009C2953" w:rsidRDefault="00C35A2B" w:rsidP="00C35A2B">
            <w:pPr>
              <w:pStyle w:val="Normal-pool"/>
              <w:spacing w:before="40" w:after="40"/>
              <w:ind w:left="174"/>
              <w:rPr>
                <w:sz w:val="18"/>
                <w:szCs w:val="18"/>
              </w:rPr>
            </w:pPr>
            <w:r w:rsidRPr="009C2953">
              <w:rPr>
                <w:sz w:val="18"/>
              </w:rPr>
              <w:t>Nouvelle-Zélande</w:t>
            </w:r>
          </w:p>
        </w:tc>
        <w:tc>
          <w:tcPr>
            <w:tcW w:w="993" w:type="dxa"/>
            <w:tcBorders>
              <w:top w:val="nil"/>
              <w:left w:val="nil"/>
              <w:bottom w:val="nil"/>
              <w:right w:val="nil"/>
            </w:tcBorders>
            <w:vAlign w:val="bottom"/>
            <w:hideMark/>
          </w:tcPr>
          <w:p w14:paraId="697DABD6" w14:textId="77777777" w:rsidR="00C35A2B" w:rsidRPr="009C2953" w:rsidRDefault="00C35A2B" w:rsidP="00C35A2B">
            <w:pPr>
              <w:pStyle w:val="Normal-pool"/>
              <w:spacing w:before="40" w:after="40"/>
              <w:jc w:val="right"/>
              <w:rPr>
                <w:sz w:val="18"/>
                <w:szCs w:val="18"/>
              </w:rPr>
            </w:pPr>
            <w:r w:rsidRPr="009C2953">
              <w:rPr>
                <w:sz w:val="18"/>
              </w:rPr>
              <w:t>17 047</w:t>
            </w:r>
          </w:p>
        </w:tc>
        <w:tc>
          <w:tcPr>
            <w:tcW w:w="992" w:type="dxa"/>
            <w:tcBorders>
              <w:top w:val="nil"/>
              <w:left w:val="nil"/>
              <w:bottom w:val="nil"/>
              <w:right w:val="nil"/>
            </w:tcBorders>
            <w:vAlign w:val="bottom"/>
            <w:hideMark/>
          </w:tcPr>
          <w:p w14:paraId="15361141" w14:textId="77777777" w:rsidR="00C35A2B" w:rsidRPr="009C2953" w:rsidRDefault="00C35A2B" w:rsidP="00C35A2B">
            <w:pPr>
              <w:pStyle w:val="Normal-pool"/>
              <w:spacing w:before="40" w:after="40"/>
              <w:jc w:val="right"/>
              <w:rPr>
                <w:sz w:val="18"/>
                <w:szCs w:val="18"/>
              </w:rPr>
            </w:pPr>
            <w:r w:rsidRPr="009C2953">
              <w:rPr>
                <w:sz w:val="18"/>
              </w:rPr>
              <w:t>16 557</w:t>
            </w:r>
          </w:p>
        </w:tc>
        <w:tc>
          <w:tcPr>
            <w:tcW w:w="1086" w:type="dxa"/>
            <w:tcBorders>
              <w:top w:val="nil"/>
              <w:left w:val="nil"/>
              <w:bottom w:val="nil"/>
              <w:right w:val="nil"/>
            </w:tcBorders>
            <w:vAlign w:val="bottom"/>
            <w:hideMark/>
          </w:tcPr>
          <w:p w14:paraId="56409C4A"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07B8AD23" w14:textId="77777777" w:rsidR="00C35A2B" w:rsidRPr="009C2953" w:rsidRDefault="00C35A2B" w:rsidP="00C35A2B">
            <w:pPr>
              <w:pStyle w:val="Normal-pool"/>
              <w:spacing w:before="40" w:after="40"/>
              <w:jc w:val="right"/>
              <w:rPr>
                <w:sz w:val="18"/>
                <w:szCs w:val="18"/>
              </w:rPr>
            </w:pPr>
            <w:r w:rsidRPr="009C2953">
              <w:rPr>
                <w:sz w:val="18"/>
              </w:rPr>
              <w:t>34 920</w:t>
            </w:r>
          </w:p>
        </w:tc>
        <w:tc>
          <w:tcPr>
            <w:tcW w:w="1213" w:type="dxa"/>
            <w:tcBorders>
              <w:top w:val="nil"/>
              <w:left w:val="nil"/>
              <w:bottom w:val="nil"/>
              <w:right w:val="nil"/>
            </w:tcBorders>
            <w:vAlign w:val="bottom"/>
            <w:hideMark/>
          </w:tcPr>
          <w:p w14:paraId="52D6BA8E" w14:textId="77777777" w:rsidR="00C35A2B" w:rsidRPr="009C2953" w:rsidRDefault="00C35A2B" w:rsidP="00C35A2B">
            <w:pPr>
              <w:pStyle w:val="Normal-pool"/>
              <w:spacing w:before="40" w:after="40"/>
              <w:jc w:val="right"/>
              <w:rPr>
                <w:sz w:val="18"/>
                <w:szCs w:val="18"/>
              </w:rPr>
            </w:pPr>
            <w:r w:rsidRPr="009C2953">
              <w:rPr>
                <w:sz w:val="18"/>
              </w:rPr>
              <w:t>16 995</w:t>
            </w:r>
          </w:p>
        </w:tc>
        <w:tc>
          <w:tcPr>
            <w:tcW w:w="1166" w:type="dxa"/>
            <w:tcBorders>
              <w:top w:val="nil"/>
              <w:left w:val="nil"/>
              <w:bottom w:val="nil"/>
              <w:right w:val="single" w:sz="4" w:space="0" w:color="000000"/>
            </w:tcBorders>
            <w:vAlign w:val="bottom"/>
            <w:hideMark/>
          </w:tcPr>
          <w:p w14:paraId="12BFC530" w14:textId="77777777" w:rsidR="00C35A2B" w:rsidRPr="009C2953" w:rsidRDefault="00C35A2B" w:rsidP="00C35A2B">
            <w:pPr>
              <w:pStyle w:val="Normal-pool"/>
              <w:spacing w:before="40" w:after="40"/>
              <w:jc w:val="right"/>
              <w:rPr>
                <w:sz w:val="18"/>
                <w:szCs w:val="18"/>
              </w:rPr>
            </w:pPr>
            <w:r w:rsidRPr="009C2953">
              <w:rPr>
                <w:sz w:val="18"/>
              </w:rPr>
              <w:t>15 745</w:t>
            </w:r>
          </w:p>
        </w:tc>
        <w:tc>
          <w:tcPr>
            <w:tcW w:w="1293" w:type="dxa"/>
            <w:tcBorders>
              <w:top w:val="nil"/>
              <w:left w:val="single" w:sz="4" w:space="0" w:color="000000"/>
              <w:bottom w:val="nil"/>
              <w:right w:val="nil"/>
            </w:tcBorders>
            <w:vAlign w:val="bottom"/>
            <w:hideMark/>
          </w:tcPr>
          <w:p w14:paraId="61FC6F9E"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C52EE8B"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49624CA"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0F0E0824"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64512CA2" w14:textId="77777777" w:rsidTr="00C35A2B">
        <w:trPr>
          <w:trHeight w:val="57"/>
          <w:jc w:val="right"/>
        </w:trPr>
        <w:tc>
          <w:tcPr>
            <w:tcW w:w="2836" w:type="dxa"/>
            <w:tcBorders>
              <w:top w:val="nil"/>
              <w:left w:val="nil"/>
              <w:bottom w:val="nil"/>
              <w:right w:val="nil"/>
            </w:tcBorders>
            <w:hideMark/>
          </w:tcPr>
          <w:p w14:paraId="482B027F" w14:textId="77777777" w:rsidR="00C35A2B" w:rsidRPr="009C2953" w:rsidRDefault="00C35A2B" w:rsidP="00C35A2B">
            <w:pPr>
              <w:pStyle w:val="Normal-pool"/>
              <w:spacing w:before="40" w:after="40"/>
              <w:ind w:left="174"/>
              <w:rPr>
                <w:sz w:val="18"/>
                <w:szCs w:val="18"/>
              </w:rPr>
            </w:pPr>
            <w:r w:rsidRPr="009C2953">
              <w:rPr>
                <w:sz w:val="18"/>
              </w:rPr>
              <w:lastRenderedPageBreak/>
              <w:t>Norvège</w:t>
            </w:r>
          </w:p>
        </w:tc>
        <w:tc>
          <w:tcPr>
            <w:tcW w:w="993" w:type="dxa"/>
            <w:tcBorders>
              <w:top w:val="nil"/>
              <w:left w:val="nil"/>
              <w:bottom w:val="nil"/>
              <w:right w:val="nil"/>
            </w:tcBorders>
            <w:vAlign w:val="bottom"/>
            <w:hideMark/>
          </w:tcPr>
          <w:p w14:paraId="350B9F20" w14:textId="77777777" w:rsidR="00C35A2B" w:rsidRPr="009C2953" w:rsidRDefault="00C35A2B" w:rsidP="00C35A2B">
            <w:pPr>
              <w:pStyle w:val="Normal-pool"/>
              <w:spacing w:before="40" w:after="40"/>
              <w:jc w:val="right"/>
              <w:rPr>
                <w:sz w:val="18"/>
                <w:szCs w:val="18"/>
              </w:rPr>
            </w:pPr>
            <w:r w:rsidRPr="009C2953">
              <w:rPr>
                <w:sz w:val="18"/>
              </w:rPr>
              <w:t>665 417</w:t>
            </w:r>
          </w:p>
        </w:tc>
        <w:tc>
          <w:tcPr>
            <w:tcW w:w="992" w:type="dxa"/>
            <w:tcBorders>
              <w:top w:val="nil"/>
              <w:left w:val="nil"/>
              <w:bottom w:val="nil"/>
              <w:right w:val="nil"/>
            </w:tcBorders>
            <w:vAlign w:val="bottom"/>
            <w:hideMark/>
          </w:tcPr>
          <w:p w14:paraId="19E45210" w14:textId="77777777" w:rsidR="00C35A2B" w:rsidRPr="009C2953" w:rsidRDefault="00C35A2B" w:rsidP="00C35A2B">
            <w:pPr>
              <w:pStyle w:val="Normal-pool"/>
              <w:spacing w:before="40" w:after="40"/>
              <w:jc w:val="right"/>
              <w:rPr>
                <w:sz w:val="18"/>
                <w:szCs w:val="18"/>
              </w:rPr>
            </w:pPr>
            <w:r w:rsidRPr="009C2953">
              <w:rPr>
                <w:sz w:val="18"/>
              </w:rPr>
              <w:t>324 585</w:t>
            </w:r>
          </w:p>
        </w:tc>
        <w:tc>
          <w:tcPr>
            <w:tcW w:w="1086" w:type="dxa"/>
            <w:tcBorders>
              <w:top w:val="nil"/>
              <w:left w:val="nil"/>
              <w:bottom w:val="nil"/>
              <w:right w:val="nil"/>
            </w:tcBorders>
            <w:vAlign w:val="bottom"/>
            <w:hideMark/>
          </w:tcPr>
          <w:p w14:paraId="672CF592" w14:textId="77777777" w:rsidR="00C35A2B" w:rsidRPr="009C2953" w:rsidRDefault="00C35A2B" w:rsidP="00C35A2B">
            <w:pPr>
              <w:pStyle w:val="Normal-pool"/>
              <w:spacing w:before="40" w:after="40"/>
              <w:jc w:val="right"/>
              <w:rPr>
                <w:sz w:val="18"/>
                <w:szCs w:val="18"/>
              </w:rPr>
            </w:pPr>
            <w:r w:rsidRPr="009C2953">
              <w:rPr>
                <w:sz w:val="18"/>
              </w:rPr>
              <w:t>290 757</w:t>
            </w:r>
          </w:p>
        </w:tc>
        <w:tc>
          <w:tcPr>
            <w:tcW w:w="1213" w:type="dxa"/>
            <w:tcBorders>
              <w:top w:val="nil"/>
              <w:left w:val="nil"/>
              <w:bottom w:val="nil"/>
              <w:right w:val="nil"/>
            </w:tcBorders>
            <w:vAlign w:val="bottom"/>
            <w:hideMark/>
          </w:tcPr>
          <w:p w14:paraId="42D5C000" w14:textId="77777777" w:rsidR="00C35A2B" w:rsidRPr="009C2953" w:rsidRDefault="00C35A2B" w:rsidP="00C35A2B">
            <w:pPr>
              <w:pStyle w:val="Normal-pool"/>
              <w:spacing w:before="40" w:after="40"/>
              <w:jc w:val="right"/>
              <w:rPr>
                <w:sz w:val="18"/>
                <w:szCs w:val="18"/>
              </w:rPr>
            </w:pPr>
            <w:r w:rsidRPr="009C2953">
              <w:rPr>
                <w:sz w:val="18"/>
              </w:rPr>
              <w:t>372 715</w:t>
            </w:r>
          </w:p>
        </w:tc>
        <w:tc>
          <w:tcPr>
            <w:tcW w:w="1213" w:type="dxa"/>
            <w:tcBorders>
              <w:top w:val="nil"/>
              <w:left w:val="nil"/>
              <w:bottom w:val="nil"/>
              <w:right w:val="nil"/>
            </w:tcBorders>
            <w:vAlign w:val="bottom"/>
            <w:hideMark/>
          </w:tcPr>
          <w:p w14:paraId="1D33914D" w14:textId="77777777" w:rsidR="00C35A2B" w:rsidRPr="009C2953" w:rsidRDefault="00C35A2B" w:rsidP="00C35A2B">
            <w:pPr>
              <w:pStyle w:val="Normal-pool"/>
              <w:spacing w:before="40" w:after="40"/>
              <w:jc w:val="right"/>
              <w:rPr>
                <w:sz w:val="18"/>
                <w:szCs w:val="18"/>
              </w:rPr>
            </w:pPr>
            <w:r w:rsidRPr="009C2953">
              <w:rPr>
                <w:sz w:val="18"/>
              </w:rPr>
              <w:t>334 317</w:t>
            </w:r>
          </w:p>
        </w:tc>
        <w:tc>
          <w:tcPr>
            <w:tcW w:w="1166" w:type="dxa"/>
            <w:tcBorders>
              <w:top w:val="nil"/>
              <w:left w:val="nil"/>
              <w:bottom w:val="nil"/>
              <w:right w:val="single" w:sz="4" w:space="0" w:color="000000"/>
            </w:tcBorders>
            <w:vAlign w:val="bottom"/>
            <w:hideMark/>
          </w:tcPr>
          <w:p w14:paraId="5E59ED85" w14:textId="77777777" w:rsidR="00C35A2B" w:rsidRPr="009C2953" w:rsidRDefault="00C35A2B" w:rsidP="00C35A2B">
            <w:pPr>
              <w:pStyle w:val="Normal-pool"/>
              <w:spacing w:before="40" w:after="40"/>
              <w:jc w:val="right"/>
              <w:rPr>
                <w:sz w:val="18"/>
                <w:szCs w:val="18"/>
              </w:rPr>
            </w:pPr>
            <w:r w:rsidRPr="009C2953">
              <w:rPr>
                <w:sz w:val="18"/>
              </w:rPr>
              <w:t>330 615</w:t>
            </w:r>
          </w:p>
        </w:tc>
        <w:tc>
          <w:tcPr>
            <w:tcW w:w="1293" w:type="dxa"/>
            <w:tcBorders>
              <w:top w:val="nil"/>
              <w:left w:val="single" w:sz="4" w:space="0" w:color="000000"/>
              <w:bottom w:val="nil"/>
              <w:right w:val="nil"/>
            </w:tcBorders>
            <w:vAlign w:val="bottom"/>
            <w:hideMark/>
          </w:tcPr>
          <w:p w14:paraId="3AF9EA26"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20987DB0"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151A802A"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34B379B7"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70F6160B" w14:textId="77777777" w:rsidTr="00C35A2B">
        <w:trPr>
          <w:trHeight w:val="57"/>
          <w:jc w:val="right"/>
        </w:trPr>
        <w:tc>
          <w:tcPr>
            <w:tcW w:w="2836" w:type="dxa"/>
            <w:tcBorders>
              <w:top w:val="nil"/>
              <w:left w:val="nil"/>
              <w:bottom w:val="nil"/>
              <w:right w:val="nil"/>
            </w:tcBorders>
            <w:hideMark/>
          </w:tcPr>
          <w:p w14:paraId="192A23D0" w14:textId="77777777" w:rsidR="00C35A2B" w:rsidRPr="009C2953" w:rsidRDefault="00C35A2B" w:rsidP="00C35A2B">
            <w:pPr>
              <w:pStyle w:val="Normal-pool"/>
              <w:spacing w:before="40" w:after="40"/>
              <w:ind w:left="174"/>
              <w:rPr>
                <w:sz w:val="18"/>
                <w:szCs w:val="18"/>
              </w:rPr>
            </w:pPr>
            <w:r w:rsidRPr="009C2953">
              <w:rPr>
                <w:sz w:val="18"/>
              </w:rPr>
              <w:t xml:space="preserve">République de </w:t>
            </w:r>
            <w:proofErr w:type="spellStart"/>
            <w:r w:rsidRPr="009C2953">
              <w:rPr>
                <w:sz w:val="18"/>
              </w:rPr>
              <w:t>Corée</w:t>
            </w:r>
            <w:r w:rsidRPr="009C2953">
              <w:rPr>
                <w:sz w:val="18"/>
                <w:vertAlign w:val="superscript"/>
              </w:rPr>
              <w:t>a</w:t>
            </w:r>
            <w:proofErr w:type="spellEnd"/>
          </w:p>
        </w:tc>
        <w:tc>
          <w:tcPr>
            <w:tcW w:w="993" w:type="dxa"/>
            <w:tcBorders>
              <w:top w:val="nil"/>
              <w:left w:val="nil"/>
              <w:bottom w:val="nil"/>
              <w:right w:val="nil"/>
            </w:tcBorders>
            <w:vAlign w:val="bottom"/>
            <w:hideMark/>
          </w:tcPr>
          <w:p w14:paraId="00AC97B1"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78440C75" w14:textId="77777777" w:rsidR="00C35A2B" w:rsidRPr="009C2953" w:rsidRDefault="00C35A2B" w:rsidP="00C35A2B">
            <w:pPr>
              <w:pStyle w:val="Normal-pool"/>
              <w:spacing w:before="40" w:after="40"/>
              <w:jc w:val="right"/>
              <w:rPr>
                <w:sz w:val="18"/>
                <w:szCs w:val="18"/>
              </w:rPr>
            </w:pPr>
            <w:r w:rsidRPr="009C2953">
              <w:rPr>
                <w:sz w:val="18"/>
              </w:rPr>
              <w:t>123 378</w:t>
            </w:r>
          </w:p>
        </w:tc>
        <w:tc>
          <w:tcPr>
            <w:tcW w:w="1086" w:type="dxa"/>
            <w:tcBorders>
              <w:top w:val="nil"/>
              <w:left w:val="nil"/>
              <w:bottom w:val="nil"/>
              <w:right w:val="nil"/>
            </w:tcBorders>
            <w:vAlign w:val="bottom"/>
            <w:hideMark/>
          </w:tcPr>
          <w:p w14:paraId="659ED652"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1990E9DF"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6768E0EF"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3D8A1142"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74C4E20C"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4020D4BB"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468DD2D7"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49DE51D4"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2590F6CC" w14:textId="77777777" w:rsidTr="00C35A2B">
        <w:trPr>
          <w:trHeight w:val="57"/>
          <w:jc w:val="right"/>
        </w:trPr>
        <w:tc>
          <w:tcPr>
            <w:tcW w:w="2836" w:type="dxa"/>
            <w:tcBorders>
              <w:top w:val="nil"/>
              <w:left w:val="nil"/>
              <w:bottom w:val="nil"/>
              <w:right w:val="nil"/>
            </w:tcBorders>
          </w:tcPr>
          <w:p w14:paraId="435096F9" w14:textId="2F8FDDCA" w:rsidR="00C35A2B" w:rsidRPr="009C2953" w:rsidRDefault="00C35A2B" w:rsidP="00C35A2B">
            <w:pPr>
              <w:pStyle w:val="Normal-pool"/>
              <w:spacing w:before="40" w:after="40"/>
              <w:ind w:left="174"/>
              <w:rPr>
                <w:sz w:val="18"/>
              </w:rPr>
            </w:pPr>
            <w:r w:rsidRPr="009C2953">
              <w:rPr>
                <w:sz w:val="18"/>
              </w:rPr>
              <w:t>Royaume-Uni de Grande-Bretagne et d</w:t>
            </w:r>
            <w:r w:rsidR="00EA2966" w:rsidRPr="009C2953">
              <w:rPr>
                <w:sz w:val="18"/>
              </w:rPr>
              <w:t>’</w:t>
            </w:r>
            <w:r w:rsidRPr="009C2953">
              <w:rPr>
                <w:sz w:val="18"/>
              </w:rPr>
              <w:t>Irlande du Nord</w:t>
            </w:r>
          </w:p>
        </w:tc>
        <w:tc>
          <w:tcPr>
            <w:tcW w:w="993" w:type="dxa"/>
            <w:tcBorders>
              <w:top w:val="nil"/>
              <w:left w:val="nil"/>
              <w:bottom w:val="nil"/>
              <w:right w:val="nil"/>
            </w:tcBorders>
            <w:vAlign w:val="bottom"/>
          </w:tcPr>
          <w:p w14:paraId="05BCB1E4" w14:textId="04F2DB98" w:rsidR="00C35A2B" w:rsidRPr="009C2953" w:rsidRDefault="00C35A2B" w:rsidP="00C35A2B">
            <w:pPr>
              <w:pStyle w:val="Normal-pool"/>
              <w:spacing w:before="40" w:after="40"/>
              <w:jc w:val="right"/>
              <w:rPr>
                <w:sz w:val="18"/>
              </w:rPr>
            </w:pPr>
            <w:r w:rsidRPr="009C2953">
              <w:rPr>
                <w:sz w:val="18"/>
              </w:rPr>
              <w:t>650 214</w:t>
            </w:r>
          </w:p>
        </w:tc>
        <w:tc>
          <w:tcPr>
            <w:tcW w:w="992" w:type="dxa"/>
            <w:tcBorders>
              <w:top w:val="nil"/>
              <w:left w:val="nil"/>
              <w:bottom w:val="nil"/>
              <w:right w:val="nil"/>
            </w:tcBorders>
            <w:vAlign w:val="bottom"/>
          </w:tcPr>
          <w:p w14:paraId="33012CBB" w14:textId="73DF11DC" w:rsidR="00C35A2B" w:rsidRPr="009C2953" w:rsidRDefault="00C35A2B" w:rsidP="00C35A2B">
            <w:pPr>
              <w:pStyle w:val="Normal-pool"/>
              <w:spacing w:before="40" w:after="40"/>
              <w:jc w:val="right"/>
              <w:rPr>
                <w:sz w:val="18"/>
              </w:rPr>
            </w:pPr>
            <w:r w:rsidRPr="009C2953">
              <w:rPr>
                <w:sz w:val="18"/>
              </w:rPr>
              <w:t>502 060</w:t>
            </w:r>
          </w:p>
        </w:tc>
        <w:tc>
          <w:tcPr>
            <w:tcW w:w="1086" w:type="dxa"/>
            <w:tcBorders>
              <w:top w:val="nil"/>
              <w:left w:val="nil"/>
              <w:bottom w:val="nil"/>
              <w:right w:val="nil"/>
            </w:tcBorders>
            <w:vAlign w:val="bottom"/>
          </w:tcPr>
          <w:p w14:paraId="4F1DBE8D" w14:textId="4FBD153D" w:rsidR="00C35A2B" w:rsidRPr="009C2953" w:rsidRDefault="00C35A2B" w:rsidP="00C35A2B">
            <w:pPr>
              <w:pStyle w:val="Normal-pool"/>
              <w:spacing w:before="40" w:after="40"/>
              <w:jc w:val="right"/>
              <w:rPr>
                <w:sz w:val="18"/>
              </w:rPr>
            </w:pPr>
            <w:r w:rsidRPr="009C2953">
              <w:rPr>
                <w:sz w:val="18"/>
              </w:rPr>
              <w:t>269 830</w:t>
            </w:r>
          </w:p>
        </w:tc>
        <w:tc>
          <w:tcPr>
            <w:tcW w:w="1213" w:type="dxa"/>
            <w:tcBorders>
              <w:top w:val="nil"/>
              <w:left w:val="nil"/>
              <w:bottom w:val="nil"/>
              <w:right w:val="nil"/>
            </w:tcBorders>
            <w:vAlign w:val="bottom"/>
          </w:tcPr>
          <w:p w14:paraId="4323FF0A" w14:textId="23E4A9CA" w:rsidR="00C35A2B" w:rsidRPr="009C2953" w:rsidRDefault="00C35A2B" w:rsidP="00C35A2B">
            <w:pPr>
              <w:pStyle w:val="Normal-pool"/>
              <w:spacing w:before="40" w:after="40"/>
              <w:jc w:val="right"/>
              <w:rPr>
                <w:sz w:val="18"/>
              </w:rPr>
            </w:pPr>
            <w:r w:rsidRPr="009C2953">
              <w:rPr>
                <w:sz w:val="18"/>
              </w:rPr>
              <w:t>244 494</w:t>
            </w:r>
          </w:p>
        </w:tc>
        <w:tc>
          <w:tcPr>
            <w:tcW w:w="1213" w:type="dxa"/>
            <w:tcBorders>
              <w:top w:val="nil"/>
              <w:left w:val="nil"/>
              <w:bottom w:val="nil"/>
              <w:right w:val="nil"/>
            </w:tcBorders>
            <w:vAlign w:val="bottom"/>
          </w:tcPr>
          <w:p w14:paraId="56FBF7FA" w14:textId="1652820D" w:rsidR="00C35A2B" w:rsidRPr="009C2953" w:rsidRDefault="00C35A2B" w:rsidP="00C35A2B">
            <w:pPr>
              <w:pStyle w:val="Normal-pool"/>
              <w:spacing w:before="40" w:after="40"/>
              <w:jc w:val="right"/>
              <w:rPr>
                <w:sz w:val="18"/>
              </w:rPr>
            </w:pPr>
            <w:r w:rsidRPr="009C2953">
              <w:rPr>
                <w:sz w:val="18"/>
              </w:rPr>
              <w:t>407 550</w:t>
            </w:r>
          </w:p>
        </w:tc>
        <w:tc>
          <w:tcPr>
            <w:tcW w:w="1166" w:type="dxa"/>
            <w:tcBorders>
              <w:top w:val="nil"/>
              <w:left w:val="nil"/>
              <w:bottom w:val="nil"/>
              <w:right w:val="single" w:sz="4" w:space="0" w:color="000000"/>
            </w:tcBorders>
            <w:vAlign w:val="bottom"/>
          </w:tcPr>
          <w:p w14:paraId="1B650764" w14:textId="7653F420" w:rsidR="00C35A2B" w:rsidRPr="009C2953" w:rsidRDefault="00C35A2B" w:rsidP="00C35A2B">
            <w:pPr>
              <w:pStyle w:val="Normal-pool"/>
              <w:spacing w:before="40" w:after="40"/>
              <w:jc w:val="right"/>
              <w:rPr>
                <w:sz w:val="18"/>
              </w:rPr>
            </w:pPr>
            <w:r w:rsidRPr="009C2953">
              <w:rPr>
                <w:sz w:val="18"/>
              </w:rPr>
              <w:t>366 748</w:t>
            </w:r>
          </w:p>
        </w:tc>
        <w:tc>
          <w:tcPr>
            <w:tcW w:w="1293" w:type="dxa"/>
            <w:tcBorders>
              <w:top w:val="nil"/>
              <w:left w:val="single" w:sz="4" w:space="0" w:color="000000"/>
              <w:bottom w:val="nil"/>
              <w:right w:val="nil"/>
            </w:tcBorders>
            <w:vAlign w:val="bottom"/>
          </w:tcPr>
          <w:p w14:paraId="0DD94B71" w14:textId="0DC973CD" w:rsidR="00C35A2B" w:rsidRPr="009C2953" w:rsidRDefault="00C35A2B" w:rsidP="00C35A2B">
            <w:pPr>
              <w:pStyle w:val="Normal-pool"/>
              <w:spacing w:before="40" w:after="40"/>
              <w:jc w:val="right"/>
              <w:rPr>
                <w:sz w:val="18"/>
              </w:rPr>
            </w:pPr>
            <w:r w:rsidRPr="009C2953">
              <w:rPr>
                <w:sz w:val="18"/>
              </w:rPr>
              <w:t>–</w:t>
            </w:r>
          </w:p>
        </w:tc>
        <w:tc>
          <w:tcPr>
            <w:tcW w:w="1166" w:type="dxa"/>
            <w:tcBorders>
              <w:top w:val="nil"/>
              <w:left w:val="nil"/>
              <w:bottom w:val="nil"/>
              <w:right w:val="nil"/>
            </w:tcBorders>
            <w:vAlign w:val="bottom"/>
          </w:tcPr>
          <w:p w14:paraId="642FE5CC" w14:textId="046C42D6" w:rsidR="00C35A2B" w:rsidRPr="009C2953" w:rsidRDefault="00C35A2B" w:rsidP="00C35A2B">
            <w:pPr>
              <w:pStyle w:val="Normal-pool"/>
              <w:spacing w:before="40" w:after="40"/>
              <w:jc w:val="right"/>
              <w:rPr>
                <w:sz w:val="18"/>
              </w:rPr>
            </w:pPr>
            <w:r w:rsidRPr="009C2953">
              <w:rPr>
                <w:sz w:val="18"/>
              </w:rPr>
              <w:t>366 748</w:t>
            </w:r>
          </w:p>
        </w:tc>
        <w:tc>
          <w:tcPr>
            <w:tcW w:w="1072" w:type="dxa"/>
            <w:tcBorders>
              <w:top w:val="nil"/>
              <w:left w:val="nil"/>
              <w:bottom w:val="nil"/>
              <w:right w:val="nil"/>
            </w:tcBorders>
            <w:vAlign w:val="bottom"/>
          </w:tcPr>
          <w:p w14:paraId="1C8FA259" w14:textId="484CCA88" w:rsidR="00C35A2B" w:rsidRPr="009C2953" w:rsidRDefault="00C35A2B" w:rsidP="00C35A2B">
            <w:pPr>
              <w:pStyle w:val="Normal-pool"/>
              <w:spacing w:before="40" w:after="40"/>
              <w:jc w:val="right"/>
              <w:rPr>
                <w:sz w:val="18"/>
              </w:rPr>
            </w:pPr>
            <w:r w:rsidRPr="009C2953">
              <w:rPr>
                <w:sz w:val="18"/>
              </w:rPr>
              <w:t>366 748</w:t>
            </w:r>
          </w:p>
        </w:tc>
        <w:tc>
          <w:tcPr>
            <w:tcW w:w="1399" w:type="dxa"/>
            <w:tcBorders>
              <w:top w:val="nil"/>
              <w:left w:val="nil"/>
              <w:bottom w:val="nil"/>
              <w:right w:val="nil"/>
            </w:tcBorders>
            <w:vAlign w:val="bottom"/>
          </w:tcPr>
          <w:p w14:paraId="4D53DEA3" w14:textId="4502A57D" w:rsidR="00C35A2B" w:rsidRPr="009C2953" w:rsidRDefault="00C35A2B" w:rsidP="00C35A2B">
            <w:pPr>
              <w:pStyle w:val="Normal-pool"/>
              <w:spacing w:before="40" w:after="40"/>
              <w:jc w:val="right"/>
              <w:rPr>
                <w:sz w:val="18"/>
              </w:rPr>
            </w:pPr>
            <w:r w:rsidRPr="009C2953">
              <w:rPr>
                <w:sz w:val="18"/>
              </w:rPr>
              <w:t>733 496</w:t>
            </w:r>
          </w:p>
        </w:tc>
      </w:tr>
      <w:tr w:rsidR="00C35A2B" w:rsidRPr="009C2953" w14:paraId="1C5B0222" w14:textId="77777777" w:rsidTr="00C35A2B">
        <w:trPr>
          <w:trHeight w:val="57"/>
          <w:jc w:val="right"/>
        </w:trPr>
        <w:tc>
          <w:tcPr>
            <w:tcW w:w="2836" w:type="dxa"/>
            <w:tcBorders>
              <w:top w:val="nil"/>
              <w:left w:val="nil"/>
              <w:bottom w:val="nil"/>
              <w:right w:val="nil"/>
            </w:tcBorders>
            <w:hideMark/>
          </w:tcPr>
          <w:p w14:paraId="2BB890A5" w14:textId="77777777" w:rsidR="00C35A2B" w:rsidRPr="009C2953" w:rsidRDefault="00C35A2B" w:rsidP="00C35A2B">
            <w:pPr>
              <w:pStyle w:val="Normal-pool"/>
              <w:spacing w:before="40" w:after="40"/>
              <w:ind w:left="174"/>
              <w:rPr>
                <w:sz w:val="18"/>
                <w:szCs w:val="18"/>
              </w:rPr>
            </w:pPr>
            <w:r w:rsidRPr="009C2953">
              <w:rPr>
                <w:sz w:val="18"/>
              </w:rPr>
              <w:t>Slovaquie</w:t>
            </w:r>
          </w:p>
        </w:tc>
        <w:tc>
          <w:tcPr>
            <w:tcW w:w="993" w:type="dxa"/>
            <w:tcBorders>
              <w:top w:val="nil"/>
              <w:left w:val="nil"/>
              <w:bottom w:val="nil"/>
              <w:right w:val="nil"/>
            </w:tcBorders>
            <w:vAlign w:val="bottom"/>
            <w:hideMark/>
          </w:tcPr>
          <w:p w14:paraId="6291CC1A"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0E4FEA33"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2AD85775" w14:textId="77777777" w:rsidR="00C35A2B" w:rsidRPr="009C2953" w:rsidRDefault="00C35A2B" w:rsidP="00C35A2B">
            <w:pPr>
              <w:pStyle w:val="Normal-pool"/>
              <w:spacing w:before="40" w:after="40"/>
              <w:jc w:val="right"/>
              <w:rPr>
                <w:sz w:val="18"/>
                <w:szCs w:val="18"/>
              </w:rPr>
            </w:pPr>
            <w:r w:rsidRPr="009C2953">
              <w:rPr>
                <w:sz w:val="18"/>
              </w:rPr>
              <w:t>23 895</w:t>
            </w:r>
          </w:p>
        </w:tc>
        <w:tc>
          <w:tcPr>
            <w:tcW w:w="1213" w:type="dxa"/>
            <w:tcBorders>
              <w:top w:val="nil"/>
              <w:left w:val="nil"/>
              <w:bottom w:val="nil"/>
              <w:right w:val="nil"/>
            </w:tcBorders>
            <w:vAlign w:val="bottom"/>
            <w:hideMark/>
          </w:tcPr>
          <w:p w14:paraId="489FEE6F"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3A8AE461"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7D681EB9"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1E6F95F9"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39D92130"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59DAFCF6"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412750FE"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1654DA51" w14:textId="77777777" w:rsidTr="00C35A2B">
        <w:trPr>
          <w:trHeight w:val="57"/>
          <w:jc w:val="right"/>
        </w:trPr>
        <w:tc>
          <w:tcPr>
            <w:tcW w:w="2836" w:type="dxa"/>
            <w:tcBorders>
              <w:top w:val="nil"/>
              <w:left w:val="nil"/>
              <w:bottom w:val="nil"/>
              <w:right w:val="nil"/>
            </w:tcBorders>
            <w:hideMark/>
          </w:tcPr>
          <w:p w14:paraId="584CA521" w14:textId="77777777" w:rsidR="00C35A2B" w:rsidRPr="009C2953" w:rsidRDefault="00C35A2B" w:rsidP="00C35A2B">
            <w:pPr>
              <w:pStyle w:val="Normal-pool"/>
              <w:spacing w:before="40" w:after="40"/>
              <w:ind w:left="174"/>
              <w:rPr>
                <w:sz w:val="18"/>
                <w:szCs w:val="18"/>
              </w:rPr>
            </w:pPr>
            <w:proofErr w:type="spellStart"/>
            <w:r w:rsidRPr="009C2953">
              <w:rPr>
                <w:sz w:val="18"/>
              </w:rPr>
              <w:t>Suède</w:t>
            </w:r>
            <w:r w:rsidRPr="009C2953">
              <w:rPr>
                <w:sz w:val="18"/>
                <w:vertAlign w:val="superscript"/>
              </w:rPr>
              <w:t>a</w:t>
            </w:r>
            <w:proofErr w:type="spellEnd"/>
          </w:p>
        </w:tc>
        <w:tc>
          <w:tcPr>
            <w:tcW w:w="993" w:type="dxa"/>
            <w:tcBorders>
              <w:top w:val="nil"/>
              <w:left w:val="nil"/>
              <w:bottom w:val="nil"/>
              <w:right w:val="nil"/>
            </w:tcBorders>
            <w:vAlign w:val="bottom"/>
            <w:hideMark/>
          </w:tcPr>
          <w:p w14:paraId="0F67D721" w14:textId="77777777" w:rsidR="00C35A2B" w:rsidRPr="009C2953" w:rsidRDefault="00C35A2B" w:rsidP="00C35A2B">
            <w:pPr>
              <w:pStyle w:val="Normal-pool"/>
              <w:spacing w:before="40" w:after="40"/>
              <w:jc w:val="right"/>
              <w:rPr>
                <w:sz w:val="18"/>
                <w:szCs w:val="18"/>
              </w:rPr>
            </w:pPr>
            <w:r w:rsidRPr="009C2953">
              <w:rPr>
                <w:sz w:val="18"/>
              </w:rPr>
              <w:t>253 128</w:t>
            </w:r>
          </w:p>
        </w:tc>
        <w:tc>
          <w:tcPr>
            <w:tcW w:w="992" w:type="dxa"/>
            <w:tcBorders>
              <w:top w:val="nil"/>
              <w:left w:val="nil"/>
              <w:bottom w:val="nil"/>
              <w:right w:val="nil"/>
            </w:tcBorders>
            <w:vAlign w:val="bottom"/>
            <w:hideMark/>
          </w:tcPr>
          <w:p w14:paraId="1DB4D54C" w14:textId="77777777" w:rsidR="00C35A2B" w:rsidRPr="009C2953" w:rsidRDefault="00C35A2B" w:rsidP="00C35A2B">
            <w:pPr>
              <w:pStyle w:val="Normal-pool"/>
              <w:spacing w:before="40" w:after="40"/>
              <w:jc w:val="right"/>
              <w:rPr>
                <w:sz w:val="18"/>
                <w:szCs w:val="18"/>
              </w:rPr>
            </w:pPr>
            <w:r w:rsidRPr="009C2953">
              <w:rPr>
                <w:sz w:val="18"/>
              </w:rPr>
              <w:t>161 339</w:t>
            </w:r>
          </w:p>
        </w:tc>
        <w:tc>
          <w:tcPr>
            <w:tcW w:w="1086" w:type="dxa"/>
            <w:tcBorders>
              <w:top w:val="nil"/>
              <w:left w:val="nil"/>
              <w:bottom w:val="nil"/>
              <w:right w:val="nil"/>
            </w:tcBorders>
            <w:vAlign w:val="bottom"/>
            <w:hideMark/>
          </w:tcPr>
          <w:p w14:paraId="3D6782F3" w14:textId="77777777" w:rsidR="00C35A2B" w:rsidRPr="009C2953" w:rsidRDefault="00C35A2B" w:rsidP="00C35A2B">
            <w:pPr>
              <w:pStyle w:val="Normal-pool"/>
              <w:spacing w:before="40" w:after="40"/>
              <w:jc w:val="right"/>
              <w:rPr>
                <w:sz w:val="18"/>
                <w:szCs w:val="18"/>
              </w:rPr>
            </w:pPr>
            <w:r w:rsidRPr="009C2953">
              <w:rPr>
                <w:sz w:val="18"/>
              </w:rPr>
              <w:t>159 502</w:t>
            </w:r>
          </w:p>
        </w:tc>
        <w:tc>
          <w:tcPr>
            <w:tcW w:w="1213" w:type="dxa"/>
            <w:tcBorders>
              <w:top w:val="nil"/>
              <w:left w:val="nil"/>
              <w:bottom w:val="nil"/>
              <w:right w:val="nil"/>
            </w:tcBorders>
            <w:vAlign w:val="bottom"/>
            <w:hideMark/>
          </w:tcPr>
          <w:p w14:paraId="471782E9" w14:textId="77777777" w:rsidR="00C35A2B" w:rsidRPr="009C2953" w:rsidRDefault="00C35A2B" w:rsidP="00C35A2B">
            <w:pPr>
              <w:pStyle w:val="Normal-pool"/>
              <w:spacing w:before="40" w:after="40"/>
              <w:jc w:val="right"/>
              <w:rPr>
                <w:sz w:val="18"/>
                <w:szCs w:val="18"/>
              </w:rPr>
            </w:pPr>
            <w:r w:rsidRPr="009C2953">
              <w:rPr>
                <w:sz w:val="18"/>
              </w:rPr>
              <w:t>173 261</w:t>
            </w:r>
          </w:p>
        </w:tc>
        <w:tc>
          <w:tcPr>
            <w:tcW w:w="1213" w:type="dxa"/>
            <w:tcBorders>
              <w:top w:val="nil"/>
              <w:left w:val="nil"/>
              <w:bottom w:val="nil"/>
              <w:right w:val="nil"/>
            </w:tcBorders>
            <w:vAlign w:val="bottom"/>
            <w:hideMark/>
          </w:tcPr>
          <w:p w14:paraId="6C060E4B" w14:textId="77777777" w:rsidR="00C35A2B" w:rsidRPr="009C2953" w:rsidRDefault="00C35A2B" w:rsidP="00C35A2B">
            <w:pPr>
              <w:pStyle w:val="Normal-pool"/>
              <w:spacing w:before="40" w:after="40"/>
              <w:jc w:val="right"/>
              <w:rPr>
                <w:sz w:val="18"/>
                <w:szCs w:val="18"/>
              </w:rPr>
            </w:pPr>
            <w:r w:rsidRPr="009C2953">
              <w:rPr>
                <w:sz w:val="18"/>
              </w:rPr>
              <w:t>159 285</w:t>
            </w:r>
          </w:p>
        </w:tc>
        <w:tc>
          <w:tcPr>
            <w:tcW w:w="1166" w:type="dxa"/>
            <w:tcBorders>
              <w:top w:val="nil"/>
              <w:left w:val="nil"/>
              <w:bottom w:val="nil"/>
              <w:right w:val="single" w:sz="4" w:space="0" w:color="000000"/>
            </w:tcBorders>
            <w:vAlign w:val="bottom"/>
            <w:hideMark/>
          </w:tcPr>
          <w:p w14:paraId="3F5F316E" w14:textId="77777777" w:rsidR="00C35A2B" w:rsidRPr="009C2953" w:rsidRDefault="00C35A2B" w:rsidP="00C35A2B">
            <w:pPr>
              <w:pStyle w:val="Normal-pool"/>
              <w:spacing w:before="40" w:after="40"/>
              <w:jc w:val="right"/>
              <w:rPr>
                <w:sz w:val="18"/>
                <w:szCs w:val="18"/>
              </w:rPr>
            </w:pPr>
            <w:r w:rsidRPr="009C2953">
              <w:rPr>
                <w:sz w:val="18"/>
              </w:rPr>
              <w:t>143 924</w:t>
            </w:r>
          </w:p>
        </w:tc>
        <w:tc>
          <w:tcPr>
            <w:tcW w:w="1293" w:type="dxa"/>
            <w:tcBorders>
              <w:top w:val="nil"/>
              <w:left w:val="single" w:sz="4" w:space="0" w:color="000000"/>
              <w:bottom w:val="nil"/>
              <w:right w:val="nil"/>
            </w:tcBorders>
            <w:vAlign w:val="bottom"/>
            <w:hideMark/>
          </w:tcPr>
          <w:p w14:paraId="41F82F3D"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69390EAD"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4CF4E2AE"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69A91343"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0C93FC6B" w14:textId="77777777" w:rsidTr="00C35A2B">
        <w:trPr>
          <w:trHeight w:val="57"/>
          <w:jc w:val="right"/>
        </w:trPr>
        <w:tc>
          <w:tcPr>
            <w:tcW w:w="2836" w:type="dxa"/>
            <w:tcBorders>
              <w:top w:val="nil"/>
              <w:left w:val="nil"/>
              <w:bottom w:val="nil"/>
              <w:right w:val="nil"/>
            </w:tcBorders>
            <w:hideMark/>
          </w:tcPr>
          <w:p w14:paraId="50481B42" w14:textId="435EBCB1" w:rsidR="00C35A2B" w:rsidRPr="009C2953" w:rsidRDefault="00C35A2B" w:rsidP="00C35A2B">
            <w:pPr>
              <w:pStyle w:val="Normal-pool"/>
              <w:spacing w:before="40" w:after="40"/>
              <w:ind w:left="174"/>
              <w:rPr>
                <w:sz w:val="18"/>
                <w:szCs w:val="18"/>
              </w:rPr>
            </w:pPr>
            <w:r w:rsidRPr="009C2953">
              <w:rPr>
                <w:sz w:val="18"/>
              </w:rPr>
              <w:t>Suisse</w:t>
            </w:r>
          </w:p>
        </w:tc>
        <w:tc>
          <w:tcPr>
            <w:tcW w:w="993" w:type="dxa"/>
            <w:tcBorders>
              <w:top w:val="nil"/>
              <w:left w:val="nil"/>
              <w:bottom w:val="nil"/>
              <w:right w:val="nil"/>
            </w:tcBorders>
            <w:vAlign w:val="bottom"/>
            <w:hideMark/>
          </w:tcPr>
          <w:p w14:paraId="794A97E7" w14:textId="77777777" w:rsidR="00C35A2B" w:rsidRPr="009C2953" w:rsidRDefault="00C35A2B" w:rsidP="00C35A2B">
            <w:pPr>
              <w:pStyle w:val="Normal-pool"/>
              <w:spacing w:before="40" w:after="40"/>
              <w:jc w:val="right"/>
              <w:rPr>
                <w:sz w:val="18"/>
                <w:szCs w:val="18"/>
              </w:rPr>
            </w:pPr>
            <w:r w:rsidRPr="009C2953">
              <w:rPr>
                <w:sz w:val="18"/>
              </w:rPr>
              <w:t>84 000</w:t>
            </w:r>
          </w:p>
        </w:tc>
        <w:tc>
          <w:tcPr>
            <w:tcW w:w="992" w:type="dxa"/>
            <w:tcBorders>
              <w:top w:val="nil"/>
              <w:left w:val="nil"/>
              <w:bottom w:val="nil"/>
              <w:right w:val="nil"/>
            </w:tcBorders>
            <w:vAlign w:val="bottom"/>
            <w:hideMark/>
          </w:tcPr>
          <w:p w14:paraId="3DB26C75" w14:textId="77777777" w:rsidR="00C35A2B" w:rsidRPr="009C2953" w:rsidRDefault="00C35A2B" w:rsidP="00C35A2B">
            <w:pPr>
              <w:pStyle w:val="Normal-pool"/>
              <w:spacing w:before="40" w:after="40"/>
              <w:jc w:val="right"/>
              <w:rPr>
                <w:sz w:val="18"/>
                <w:szCs w:val="18"/>
              </w:rPr>
            </w:pPr>
            <w:r w:rsidRPr="009C2953">
              <w:rPr>
                <w:sz w:val="18"/>
              </w:rPr>
              <w:t>72 651</w:t>
            </w:r>
          </w:p>
        </w:tc>
        <w:tc>
          <w:tcPr>
            <w:tcW w:w="1086" w:type="dxa"/>
            <w:tcBorders>
              <w:top w:val="nil"/>
              <w:left w:val="nil"/>
              <w:bottom w:val="nil"/>
              <w:right w:val="nil"/>
            </w:tcBorders>
            <w:vAlign w:val="bottom"/>
            <w:hideMark/>
          </w:tcPr>
          <w:p w14:paraId="00F7A1F2" w14:textId="77777777" w:rsidR="00C35A2B" w:rsidRPr="009C2953" w:rsidRDefault="00C35A2B" w:rsidP="00C35A2B">
            <w:pPr>
              <w:pStyle w:val="Normal-pool"/>
              <w:spacing w:before="40" w:after="40"/>
              <w:jc w:val="right"/>
              <w:rPr>
                <w:sz w:val="18"/>
                <w:szCs w:val="18"/>
              </w:rPr>
            </w:pPr>
            <w:r w:rsidRPr="009C2953">
              <w:rPr>
                <w:sz w:val="18"/>
              </w:rPr>
              <w:t>84 344</w:t>
            </w:r>
          </w:p>
        </w:tc>
        <w:tc>
          <w:tcPr>
            <w:tcW w:w="1213" w:type="dxa"/>
            <w:tcBorders>
              <w:top w:val="nil"/>
              <w:left w:val="nil"/>
              <w:bottom w:val="nil"/>
              <w:right w:val="nil"/>
            </w:tcBorders>
            <w:vAlign w:val="bottom"/>
            <w:hideMark/>
          </w:tcPr>
          <w:p w14:paraId="370C616F" w14:textId="77777777" w:rsidR="00C35A2B" w:rsidRPr="009C2953" w:rsidRDefault="00C35A2B" w:rsidP="00C35A2B">
            <w:pPr>
              <w:pStyle w:val="Normal-pool"/>
              <w:spacing w:before="40" w:after="40"/>
              <w:jc w:val="right"/>
              <w:rPr>
                <w:sz w:val="18"/>
                <w:szCs w:val="18"/>
              </w:rPr>
            </w:pPr>
            <w:r w:rsidRPr="009C2953">
              <w:rPr>
                <w:sz w:val="18"/>
              </w:rPr>
              <w:t>71 809</w:t>
            </w:r>
          </w:p>
        </w:tc>
        <w:tc>
          <w:tcPr>
            <w:tcW w:w="1213" w:type="dxa"/>
            <w:tcBorders>
              <w:top w:val="nil"/>
              <w:left w:val="nil"/>
              <w:bottom w:val="nil"/>
              <w:right w:val="nil"/>
            </w:tcBorders>
            <w:vAlign w:val="bottom"/>
            <w:hideMark/>
          </w:tcPr>
          <w:p w14:paraId="7102B2B8" w14:textId="77777777" w:rsidR="00C35A2B" w:rsidRPr="009C2953" w:rsidRDefault="00C35A2B" w:rsidP="00C35A2B">
            <w:pPr>
              <w:pStyle w:val="Normal-pool"/>
              <w:spacing w:before="40" w:after="40"/>
              <w:jc w:val="right"/>
              <w:rPr>
                <w:sz w:val="18"/>
                <w:szCs w:val="18"/>
              </w:rPr>
            </w:pPr>
            <w:r w:rsidRPr="009C2953">
              <w:rPr>
                <w:sz w:val="18"/>
              </w:rPr>
              <w:t>100 675</w:t>
            </w:r>
          </w:p>
        </w:tc>
        <w:tc>
          <w:tcPr>
            <w:tcW w:w="1166" w:type="dxa"/>
            <w:tcBorders>
              <w:top w:val="nil"/>
              <w:left w:val="nil"/>
              <w:bottom w:val="nil"/>
              <w:right w:val="single" w:sz="4" w:space="0" w:color="000000"/>
            </w:tcBorders>
            <w:vAlign w:val="bottom"/>
            <w:hideMark/>
          </w:tcPr>
          <w:p w14:paraId="0F8F2885"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02122A8C" w14:textId="77777777" w:rsidR="00C35A2B" w:rsidRPr="009C2953" w:rsidRDefault="00C35A2B" w:rsidP="00C35A2B">
            <w:pPr>
              <w:pStyle w:val="Normal-pool"/>
              <w:spacing w:before="40" w:after="40"/>
              <w:jc w:val="right"/>
              <w:rPr>
                <w:sz w:val="18"/>
                <w:szCs w:val="18"/>
              </w:rPr>
            </w:pPr>
            <w:r w:rsidRPr="009C2953">
              <w:rPr>
                <w:sz w:val="18"/>
              </w:rPr>
              <w:t>113 895</w:t>
            </w:r>
          </w:p>
        </w:tc>
        <w:tc>
          <w:tcPr>
            <w:tcW w:w="1166" w:type="dxa"/>
            <w:tcBorders>
              <w:top w:val="nil"/>
              <w:left w:val="nil"/>
              <w:bottom w:val="nil"/>
              <w:right w:val="nil"/>
            </w:tcBorders>
            <w:vAlign w:val="bottom"/>
            <w:hideMark/>
          </w:tcPr>
          <w:p w14:paraId="0DF6E121"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53275F2B"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287ADD99" w14:textId="77777777" w:rsidR="00C35A2B" w:rsidRPr="009C2953" w:rsidRDefault="00C35A2B" w:rsidP="00C35A2B">
            <w:pPr>
              <w:pStyle w:val="Normal-pool"/>
              <w:spacing w:before="40" w:after="40"/>
              <w:jc w:val="right"/>
              <w:rPr>
                <w:sz w:val="18"/>
                <w:szCs w:val="18"/>
              </w:rPr>
            </w:pPr>
            <w:r w:rsidRPr="009C2953">
              <w:rPr>
                <w:sz w:val="18"/>
              </w:rPr>
              <w:t>113 895</w:t>
            </w:r>
          </w:p>
        </w:tc>
      </w:tr>
      <w:tr w:rsidR="00C35A2B" w:rsidRPr="009C2953" w14:paraId="2760F9AA" w14:textId="77777777" w:rsidTr="00C35A2B">
        <w:trPr>
          <w:trHeight w:val="57"/>
          <w:jc w:val="right"/>
        </w:trPr>
        <w:tc>
          <w:tcPr>
            <w:tcW w:w="2836" w:type="dxa"/>
            <w:tcBorders>
              <w:top w:val="single" w:sz="4" w:space="0" w:color="000000"/>
              <w:left w:val="nil"/>
              <w:bottom w:val="single" w:sz="4" w:space="0" w:color="000000"/>
              <w:right w:val="nil"/>
            </w:tcBorders>
            <w:hideMark/>
          </w:tcPr>
          <w:p w14:paraId="0CDA150C" w14:textId="77777777" w:rsidR="00C35A2B" w:rsidRPr="009C2953" w:rsidRDefault="00C35A2B" w:rsidP="00C35A2B">
            <w:pPr>
              <w:pStyle w:val="Normal-pool"/>
              <w:spacing w:before="40" w:after="40"/>
              <w:ind w:left="174"/>
              <w:rPr>
                <w:b/>
                <w:bCs/>
                <w:sz w:val="18"/>
                <w:szCs w:val="18"/>
              </w:rPr>
            </w:pPr>
            <w:r w:rsidRPr="009C2953">
              <w:rPr>
                <w:b/>
                <w:sz w:val="18"/>
              </w:rPr>
              <w:t>Total partiel 1</w:t>
            </w:r>
          </w:p>
        </w:tc>
        <w:tc>
          <w:tcPr>
            <w:tcW w:w="993" w:type="dxa"/>
            <w:tcBorders>
              <w:top w:val="single" w:sz="4" w:space="0" w:color="000000"/>
              <w:left w:val="nil"/>
              <w:bottom w:val="single" w:sz="4" w:space="0" w:color="000000"/>
              <w:right w:val="nil"/>
            </w:tcBorders>
            <w:vAlign w:val="bottom"/>
            <w:hideMark/>
          </w:tcPr>
          <w:p w14:paraId="256623C2" w14:textId="77777777" w:rsidR="00C35A2B" w:rsidRPr="009C2953" w:rsidRDefault="00C35A2B" w:rsidP="00C35A2B">
            <w:pPr>
              <w:pStyle w:val="Normal-pool"/>
              <w:spacing w:before="40" w:after="40"/>
              <w:jc w:val="right"/>
              <w:rPr>
                <w:b/>
                <w:bCs/>
                <w:sz w:val="18"/>
                <w:szCs w:val="18"/>
              </w:rPr>
            </w:pPr>
            <w:r w:rsidRPr="009C2953">
              <w:rPr>
                <w:b/>
                <w:sz w:val="18"/>
              </w:rPr>
              <w:t>5 025 556</w:t>
            </w:r>
          </w:p>
        </w:tc>
        <w:tc>
          <w:tcPr>
            <w:tcW w:w="992" w:type="dxa"/>
            <w:tcBorders>
              <w:top w:val="single" w:sz="4" w:space="0" w:color="000000"/>
              <w:left w:val="nil"/>
              <w:bottom w:val="single" w:sz="4" w:space="0" w:color="000000"/>
              <w:right w:val="nil"/>
            </w:tcBorders>
            <w:vAlign w:val="bottom"/>
            <w:hideMark/>
          </w:tcPr>
          <w:p w14:paraId="5A769E5E" w14:textId="77777777" w:rsidR="00C35A2B" w:rsidRPr="009C2953" w:rsidRDefault="00C35A2B" w:rsidP="00C35A2B">
            <w:pPr>
              <w:pStyle w:val="Normal-pool"/>
              <w:spacing w:before="40" w:after="40"/>
              <w:jc w:val="right"/>
              <w:rPr>
                <w:b/>
                <w:bCs/>
                <w:sz w:val="18"/>
                <w:szCs w:val="18"/>
              </w:rPr>
            </w:pPr>
            <w:r w:rsidRPr="009C2953">
              <w:rPr>
                <w:b/>
                <w:sz w:val="18"/>
              </w:rPr>
              <w:t>6 793 596</w:t>
            </w:r>
          </w:p>
        </w:tc>
        <w:tc>
          <w:tcPr>
            <w:tcW w:w="1086" w:type="dxa"/>
            <w:tcBorders>
              <w:top w:val="single" w:sz="4" w:space="0" w:color="000000"/>
              <w:left w:val="nil"/>
              <w:bottom w:val="single" w:sz="4" w:space="0" w:color="000000"/>
              <w:right w:val="nil"/>
            </w:tcBorders>
            <w:vAlign w:val="bottom"/>
            <w:hideMark/>
          </w:tcPr>
          <w:p w14:paraId="13A674A3" w14:textId="77777777" w:rsidR="00C35A2B" w:rsidRPr="009C2953" w:rsidRDefault="00C35A2B" w:rsidP="00C35A2B">
            <w:pPr>
              <w:pStyle w:val="Normal-pool"/>
              <w:spacing w:before="40" w:after="40"/>
              <w:jc w:val="right"/>
              <w:rPr>
                <w:b/>
                <w:bCs/>
                <w:sz w:val="18"/>
                <w:szCs w:val="18"/>
              </w:rPr>
            </w:pPr>
            <w:r w:rsidRPr="009C2953">
              <w:rPr>
                <w:b/>
                <w:sz w:val="18"/>
              </w:rPr>
              <w:t>3 490 333</w:t>
            </w:r>
          </w:p>
        </w:tc>
        <w:tc>
          <w:tcPr>
            <w:tcW w:w="1213" w:type="dxa"/>
            <w:tcBorders>
              <w:top w:val="single" w:sz="4" w:space="0" w:color="000000"/>
              <w:left w:val="nil"/>
              <w:bottom w:val="single" w:sz="4" w:space="0" w:color="000000"/>
              <w:right w:val="nil"/>
            </w:tcBorders>
            <w:vAlign w:val="bottom"/>
            <w:hideMark/>
          </w:tcPr>
          <w:p w14:paraId="73D547AF" w14:textId="77777777" w:rsidR="00C35A2B" w:rsidRPr="009C2953" w:rsidRDefault="00C35A2B" w:rsidP="00C35A2B">
            <w:pPr>
              <w:pStyle w:val="Normal-pool"/>
              <w:spacing w:before="40" w:after="40"/>
              <w:jc w:val="right"/>
              <w:rPr>
                <w:b/>
                <w:bCs/>
                <w:sz w:val="18"/>
                <w:szCs w:val="18"/>
              </w:rPr>
            </w:pPr>
            <w:r w:rsidRPr="009C2953">
              <w:rPr>
                <w:b/>
                <w:sz w:val="18"/>
              </w:rPr>
              <w:t>5 334 628</w:t>
            </w:r>
          </w:p>
        </w:tc>
        <w:tc>
          <w:tcPr>
            <w:tcW w:w="1213" w:type="dxa"/>
            <w:tcBorders>
              <w:top w:val="single" w:sz="4" w:space="0" w:color="000000"/>
              <w:left w:val="nil"/>
              <w:bottom w:val="single" w:sz="4" w:space="0" w:color="000000"/>
              <w:right w:val="nil"/>
            </w:tcBorders>
            <w:vAlign w:val="bottom"/>
            <w:hideMark/>
          </w:tcPr>
          <w:p w14:paraId="582C06CC" w14:textId="77777777" w:rsidR="00C35A2B" w:rsidRPr="009C2953" w:rsidRDefault="00C35A2B" w:rsidP="00C35A2B">
            <w:pPr>
              <w:pStyle w:val="Normal-pool"/>
              <w:spacing w:before="40" w:after="40"/>
              <w:jc w:val="right"/>
              <w:rPr>
                <w:b/>
                <w:bCs/>
                <w:sz w:val="18"/>
                <w:szCs w:val="18"/>
              </w:rPr>
            </w:pPr>
            <w:r w:rsidRPr="009C2953">
              <w:rPr>
                <w:b/>
                <w:sz w:val="18"/>
              </w:rPr>
              <w:t>4 160 495</w:t>
            </w:r>
          </w:p>
        </w:tc>
        <w:tc>
          <w:tcPr>
            <w:tcW w:w="1166" w:type="dxa"/>
            <w:tcBorders>
              <w:top w:val="single" w:sz="4" w:space="0" w:color="000000"/>
              <w:left w:val="nil"/>
              <w:bottom w:val="single" w:sz="4" w:space="0" w:color="000000"/>
              <w:right w:val="single" w:sz="4" w:space="0" w:color="000000"/>
            </w:tcBorders>
            <w:vAlign w:val="bottom"/>
            <w:hideMark/>
          </w:tcPr>
          <w:p w14:paraId="2C0DB4A0" w14:textId="77777777" w:rsidR="00C35A2B" w:rsidRPr="009C2953" w:rsidRDefault="00C35A2B" w:rsidP="00C35A2B">
            <w:pPr>
              <w:pStyle w:val="Normal-pool"/>
              <w:spacing w:before="40" w:after="40"/>
              <w:jc w:val="right"/>
              <w:rPr>
                <w:b/>
                <w:bCs/>
                <w:sz w:val="18"/>
                <w:szCs w:val="18"/>
              </w:rPr>
            </w:pPr>
            <w:r w:rsidRPr="009C2953">
              <w:rPr>
                <w:b/>
                <w:sz w:val="18"/>
              </w:rPr>
              <w:t xml:space="preserve"> 4 578 100</w:t>
            </w:r>
          </w:p>
        </w:tc>
        <w:tc>
          <w:tcPr>
            <w:tcW w:w="1293" w:type="dxa"/>
            <w:tcBorders>
              <w:top w:val="single" w:sz="4" w:space="0" w:color="000000"/>
              <w:left w:val="single" w:sz="4" w:space="0" w:color="000000"/>
              <w:bottom w:val="single" w:sz="4" w:space="0" w:color="000000"/>
              <w:right w:val="nil"/>
            </w:tcBorders>
            <w:vAlign w:val="bottom"/>
            <w:hideMark/>
          </w:tcPr>
          <w:p w14:paraId="24D722E9" w14:textId="77777777" w:rsidR="00C35A2B" w:rsidRPr="009C2953" w:rsidRDefault="00C35A2B" w:rsidP="00C35A2B">
            <w:pPr>
              <w:pStyle w:val="Normal-pool"/>
              <w:spacing w:before="40" w:after="40"/>
              <w:jc w:val="right"/>
              <w:rPr>
                <w:b/>
                <w:bCs/>
                <w:sz w:val="18"/>
                <w:szCs w:val="18"/>
              </w:rPr>
            </w:pPr>
            <w:r w:rsidRPr="009C2953">
              <w:rPr>
                <w:b/>
                <w:sz w:val="18"/>
              </w:rPr>
              <w:t xml:space="preserve">2 247 339 </w:t>
            </w:r>
          </w:p>
        </w:tc>
        <w:tc>
          <w:tcPr>
            <w:tcW w:w="1166" w:type="dxa"/>
            <w:tcBorders>
              <w:top w:val="single" w:sz="4" w:space="0" w:color="000000"/>
              <w:left w:val="nil"/>
              <w:bottom w:val="single" w:sz="4" w:space="0" w:color="000000"/>
              <w:right w:val="nil"/>
            </w:tcBorders>
            <w:vAlign w:val="bottom"/>
            <w:hideMark/>
          </w:tcPr>
          <w:p w14:paraId="6C6314BE" w14:textId="77777777" w:rsidR="00C35A2B" w:rsidRPr="009C2953" w:rsidRDefault="00C35A2B" w:rsidP="00C35A2B">
            <w:pPr>
              <w:pStyle w:val="Normal-pool"/>
              <w:spacing w:before="40" w:after="40"/>
              <w:jc w:val="right"/>
              <w:rPr>
                <w:b/>
                <w:bCs/>
                <w:sz w:val="18"/>
                <w:szCs w:val="18"/>
              </w:rPr>
            </w:pPr>
            <w:r w:rsidRPr="009C2953">
              <w:rPr>
                <w:b/>
                <w:sz w:val="18"/>
              </w:rPr>
              <w:t>1 688 069</w:t>
            </w:r>
          </w:p>
        </w:tc>
        <w:tc>
          <w:tcPr>
            <w:tcW w:w="1072" w:type="dxa"/>
            <w:tcBorders>
              <w:top w:val="single" w:sz="4" w:space="0" w:color="000000"/>
              <w:left w:val="nil"/>
              <w:bottom w:val="single" w:sz="4" w:space="0" w:color="000000"/>
              <w:right w:val="nil"/>
            </w:tcBorders>
            <w:vAlign w:val="bottom"/>
            <w:hideMark/>
          </w:tcPr>
          <w:p w14:paraId="301F9D88" w14:textId="77777777" w:rsidR="00C35A2B" w:rsidRPr="009C2953" w:rsidRDefault="00C35A2B" w:rsidP="00C35A2B">
            <w:pPr>
              <w:pStyle w:val="Normal-pool"/>
              <w:spacing w:before="40" w:after="40"/>
              <w:jc w:val="right"/>
              <w:rPr>
                <w:b/>
                <w:bCs/>
                <w:sz w:val="18"/>
                <w:szCs w:val="18"/>
              </w:rPr>
            </w:pPr>
            <w:r w:rsidRPr="009C2953">
              <w:rPr>
                <w:b/>
                <w:sz w:val="18"/>
              </w:rPr>
              <w:t>3 392 051</w:t>
            </w:r>
          </w:p>
        </w:tc>
        <w:tc>
          <w:tcPr>
            <w:tcW w:w="1399" w:type="dxa"/>
            <w:tcBorders>
              <w:top w:val="single" w:sz="4" w:space="0" w:color="000000"/>
              <w:left w:val="nil"/>
              <w:bottom w:val="single" w:sz="4" w:space="0" w:color="000000"/>
              <w:right w:val="nil"/>
            </w:tcBorders>
            <w:vAlign w:val="bottom"/>
            <w:hideMark/>
          </w:tcPr>
          <w:p w14:paraId="47EB4272" w14:textId="77777777" w:rsidR="00C35A2B" w:rsidRPr="009C2953" w:rsidRDefault="00C35A2B" w:rsidP="00C35A2B">
            <w:pPr>
              <w:pStyle w:val="Normal-pool"/>
              <w:spacing w:before="40" w:after="40"/>
              <w:jc w:val="right"/>
              <w:rPr>
                <w:b/>
                <w:bCs/>
                <w:sz w:val="18"/>
                <w:szCs w:val="18"/>
              </w:rPr>
            </w:pPr>
            <w:r w:rsidRPr="009C2953">
              <w:rPr>
                <w:b/>
                <w:sz w:val="18"/>
              </w:rPr>
              <w:t>7 327 459</w:t>
            </w:r>
          </w:p>
        </w:tc>
      </w:tr>
      <w:tr w:rsidR="00C35A2B" w:rsidRPr="009C2953" w14:paraId="397787EF" w14:textId="77777777" w:rsidTr="00C35A2B">
        <w:trPr>
          <w:trHeight w:val="57"/>
          <w:jc w:val="right"/>
        </w:trPr>
        <w:tc>
          <w:tcPr>
            <w:tcW w:w="2836" w:type="dxa"/>
            <w:tcBorders>
              <w:top w:val="single" w:sz="4" w:space="0" w:color="000000"/>
              <w:left w:val="nil"/>
              <w:bottom w:val="nil"/>
              <w:right w:val="nil"/>
            </w:tcBorders>
            <w:hideMark/>
          </w:tcPr>
          <w:p w14:paraId="4E56B7F6" w14:textId="77777777" w:rsidR="00C35A2B" w:rsidRPr="009C2953" w:rsidRDefault="00C35A2B" w:rsidP="00C35A2B">
            <w:pPr>
              <w:pStyle w:val="Normal-pool"/>
              <w:tabs>
                <w:tab w:val="left" w:pos="174"/>
              </w:tabs>
              <w:spacing w:before="40" w:after="40"/>
              <w:rPr>
                <w:b/>
                <w:bCs/>
                <w:sz w:val="18"/>
                <w:szCs w:val="18"/>
              </w:rPr>
            </w:pPr>
            <w:r w:rsidRPr="009C2953">
              <w:rPr>
                <w:b/>
                <w:sz w:val="18"/>
              </w:rPr>
              <w:t>2.</w:t>
            </w:r>
            <w:r w:rsidRPr="009C2953">
              <w:rPr>
                <w:b/>
                <w:sz w:val="18"/>
              </w:rPr>
              <w:tab/>
              <w:t>Autres donateurs</w:t>
            </w:r>
          </w:p>
        </w:tc>
        <w:tc>
          <w:tcPr>
            <w:tcW w:w="993" w:type="dxa"/>
            <w:tcBorders>
              <w:top w:val="single" w:sz="4" w:space="0" w:color="000000"/>
              <w:left w:val="nil"/>
              <w:bottom w:val="nil"/>
              <w:right w:val="nil"/>
            </w:tcBorders>
            <w:vAlign w:val="bottom"/>
          </w:tcPr>
          <w:p w14:paraId="6FDC43F6" w14:textId="77777777" w:rsidR="00C35A2B" w:rsidRPr="009C2953" w:rsidRDefault="00C35A2B" w:rsidP="00C35A2B">
            <w:pPr>
              <w:pStyle w:val="Normal-pool"/>
              <w:spacing w:before="40" w:after="40"/>
              <w:jc w:val="right"/>
              <w:rPr>
                <w:i/>
                <w:sz w:val="18"/>
                <w:szCs w:val="18"/>
              </w:rPr>
            </w:pPr>
          </w:p>
        </w:tc>
        <w:tc>
          <w:tcPr>
            <w:tcW w:w="992" w:type="dxa"/>
            <w:tcBorders>
              <w:top w:val="single" w:sz="4" w:space="0" w:color="000000"/>
              <w:left w:val="nil"/>
              <w:bottom w:val="nil"/>
              <w:right w:val="nil"/>
            </w:tcBorders>
            <w:vAlign w:val="bottom"/>
          </w:tcPr>
          <w:p w14:paraId="70282E46" w14:textId="77777777" w:rsidR="00C35A2B" w:rsidRPr="009C2953" w:rsidRDefault="00C35A2B" w:rsidP="00C35A2B">
            <w:pPr>
              <w:pStyle w:val="Normal-pool"/>
              <w:spacing w:before="40" w:after="40"/>
              <w:jc w:val="right"/>
              <w:rPr>
                <w:i/>
                <w:sz w:val="18"/>
                <w:szCs w:val="18"/>
              </w:rPr>
            </w:pPr>
          </w:p>
        </w:tc>
        <w:tc>
          <w:tcPr>
            <w:tcW w:w="1086" w:type="dxa"/>
            <w:tcBorders>
              <w:top w:val="single" w:sz="4" w:space="0" w:color="000000"/>
              <w:left w:val="nil"/>
              <w:bottom w:val="nil"/>
              <w:right w:val="nil"/>
            </w:tcBorders>
            <w:vAlign w:val="bottom"/>
          </w:tcPr>
          <w:p w14:paraId="508421A6" w14:textId="77777777" w:rsidR="00C35A2B" w:rsidRPr="009C2953" w:rsidRDefault="00C35A2B" w:rsidP="00C35A2B">
            <w:pPr>
              <w:pStyle w:val="Normal-pool"/>
              <w:spacing w:before="40" w:after="40"/>
              <w:jc w:val="right"/>
              <w:rPr>
                <w:i/>
                <w:sz w:val="18"/>
                <w:szCs w:val="18"/>
              </w:rPr>
            </w:pPr>
          </w:p>
        </w:tc>
        <w:tc>
          <w:tcPr>
            <w:tcW w:w="1213" w:type="dxa"/>
            <w:tcBorders>
              <w:top w:val="single" w:sz="4" w:space="0" w:color="000000"/>
              <w:left w:val="nil"/>
              <w:bottom w:val="nil"/>
              <w:right w:val="nil"/>
            </w:tcBorders>
            <w:vAlign w:val="bottom"/>
          </w:tcPr>
          <w:p w14:paraId="780BBEA2" w14:textId="77777777" w:rsidR="00C35A2B" w:rsidRPr="009C2953" w:rsidRDefault="00C35A2B" w:rsidP="00C35A2B">
            <w:pPr>
              <w:pStyle w:val="Normal-pool"/>
              <w:spacing w:before="40" w:after="40"/>
              <w:jc w:val="right"/>
              <w:rPr>
                <w:i/>
                <w:sz w:val="18"/>
                <w:szCs w:val="18"/>
              </w:rPr>
            </w:pPr>
          </w:p>
        </w:tc>
        <w:tc>
          <w:tcPr>
            <w:tcW w:w="1213" w:type="dxa"/>
            <w:tcBorders>
              <w:top w:val="single" w:sz="4" w:space="0" w:color="000000"/>
              <w:left w:val="nil"/>
              <w:bottom w:val="nil"/>
              <w:right w:val="nil"/>
            </w:tcBorders>
            <w:vAlign w:val="bottom"/>
          </w:tcPr>
          <w:p w14:paraId="759D4B2D" w14:textId="77777777" w:rsidR="00C35A2B" w:rsidRPr="009C2953" w:rsidRDefault="00C35A2B" w:rsidP="00C35A2B">
            <w:pPr>
              <w:pStyle w:val="Normal-pool"/>
              <w:spacing w:before="40" w:after="40"/>
              <w:jc w:val="right"/>
              <w:rPr>
                <w:i/>
                <w:sz w:val="18"/>
                <w:szCs w:val="18"/>
              </w:rPr>
            </w:pPr>
          </w:p>
        </w:tc>
        <w:tc>
          <w:tcPr>
            <w:tcW w:w="1166" w:type="dxa"/>
            <w:tcBorders>
              <w:top w:val="single" w:sz="4" w:space="0" w:color="000000"/>
              <w:left w:val="nil"/>
              <w:bottom w:val="nil"/>
              <w:right w:val="single" w:sz="4" w:space="0" w:color="000000"/>
            </w:tcBorders>
            <w:vAlign w:val="bottom"/>
          </w:tcPr>
          <w:p w14:paraId="2E5A0724" w14:textId="77777777" w:rsidR="00C35A2B" w:rsidRPr="009C2953" w:rsidRDefault="00C35A2B" w:rsidP="00C35A2B">
            <w:pPr>
              <w:pStyle w:val="Normal-pool"/>
              <w:spacing w:before="40" w:after="40"/>
              <w:jc w:val="right"/>
              <w:rPr>
                <w:i/>
                <w:sz w:val="18"/>
                <w:szCs w:val="18"/>
              </w:rPr>
            </w:pPr>
          </w:p>
        </w:tc>
        <w:tc>
          <w:tcPr>
            <w:tcW w:w="1293" w:type="dxa"/>
            <w:tcBorders>
              <w:top w:val="single" w:sz="4" w:space="0" w:color="000000"/>
              <w:left w:val="single" w:sz="4" w:space="0" w:color="000000"/>
              <w:bottom w:val="nil"/>
              <w:right w:val="nil"/>
            </w:tcBorders>
            <w:vAlign w:val="bottom"/>
          </w:tcPr>
          <w:p w14:paraId="4ED0CB6A" w14:textId="77777777" w:rsidR="00C35A2B" w:rsidRPr="009C2953" w:rsidRDefault="00C35A2B" w:rsidP="00C35A2B">
            <w:pPr>
              <w:pStyle w:val="Normal-pool"/>
              <w:spacing w:before="40" w:after="40"/>
              <w:jc w:val="right"/>
              <w:rPr>
                <w:i/>
                <w:sz w:val="18"/>
                <w:szCs w:val="18"/>
              </w:rPr>
            </w:pPr>
          </w:p>
        </w:tc>
        <w:tc>
          <w:tcPr>
            <w:tcW w:w="1166" w:type="dxa"/>
            <w:tcBorders>
              <w:top w:val="single" w:sz="4" w:space="0" w:color="000000"/>
              <w:left w:val="nil"/>
              <w:bottom w:val="nil"/>
              <w:right w:val="nil"/>
            </w:tcBorders>
            <w:vAlign w:val="bottom"/>
          </w:tcPr>
          <w:p w14:paraId="3B188B75" w14:textId="77777777" w:rsidR="00C35A2B" w:rsidRPr="009C2953" w:rsidRDefault="00C35A2B" w:rsidP="00C35A2B">
            <w:pPr>
              <w:pStyle w:val="Normal-pool"/>
              <w:spacing w:before="40" w:after="40"/>
              <w:jc w:val="right"/>
              <w:rPr>
                <w:i/>
                <w:sz w:val="18"/>
                <w:szCs w:val="18"/>
              </w:rPr>
            </w:pPr>
          </w:p>
        </w:tc>
        <w:tc>
          <w:tcPr>
            <w:tcW w:w="1072" w:type="dxa"/>
            <w:tcBorders>
              <w:top w:val="single" w:sz="4" w:space="0" w:color="000000"/>
              <w:left w:val="nil"/>
              <w:bottom w:val="nil"/>
              <w:right w:val="nil"/>
            </w:tcBorders>
            <w:vAlign w:val="bottom"/>
          </w:tcPr>
          <w:p w14:paraId="37AADB33" w14:textId="77777777" w:rsidR="00C35A2B" w:rsidRPr="009C2953" w:rsidRDefault="00C35A2B" w:rsidP="00C35A2B">
            <w:pPr>
              <w:pStyle w:val="Normal-pool"/>
              <w:spacing w:before="40" w:after="40"/>
              <w:jc w:val="right"/>
              <w:rPr>
                <w:i/>
                <w:sz w:val="18"/>
                <w:szCs w:val="18"/>
              </w:rPr>
            </w:pPr>
          </w:p>
        </w:tc>
        <w:tc>
          <w:tcPr>
            <w:tcW w:w="1399" w:type="dxa"/>
            <w:tcBorders>
              <w:top w:val="single" w:sz="4" w:space="0" w:color="000000"/>
              <w:left w:val="nil"/>
              <w:bottom w:val="nil"/>
              <w:right w:val="nil"/>
            </w:tcBorders>
            <w:vAlign w:val="bottom"/>
          </w:tcPr>
          <w:p w14:paraId="30A8093F" w14:textId="77777777" w:rsidR="00C35A2B" w:rsidRPr="009C2953" w:rsidRDefault="00C35A2B" w:rsidP="00C35A2B">
            <w:pPr>
              <w:pStyle w:val="Normal-pool"/>
              <w:spacing w:before="40" w:after="40"/>
              <w:jc w:val="right"/>
              <w:rPr>
                <w:i/>
                <w:sz w:val="18"/>
                <w:szCs w:val="18"/>
              </w:rPr>
            </w:pPr>
          </w:p>
        </w:tc>
      </w:tr>
      <w:tr w:rsidR="00C35A2B" w:rsidRPr="009C2953" w14:paraId="1B08FD1C" w14:textId="77777777" w:rsidTr="00C35A2B">
        <w:trPr>
          <w:trHeight w:val="57"/>
          <w:jc w:val="right"/>
        </w:trPr>
        <w:tc>
          <w:tcPr>
            <w:tcW w:w="2836" w:type="dxa"/>
            <w:tcBorders>
              <w:top w:val="nil"/>
              <w:left w:val="nil"/>
              <w:bottom w:val="nil"/>
              <w:right w:val="nil"/>
            </w:tcBorders>
            <w:hideMark/>
          </w:tcPr>
          <w:p w14:paraId="39A6B1B1" w14:textId="77777777" w:rsidR="00C35A2B" w:rsidRPr="009C2953" w:rsidRDefault="00C35A2B" w:rsidP="00C35A2B">
            <w:pPr>
              <w:pStyle w:val="Normal-pool"/>
              <w:spacing w:before="40" w:after="40"/>
              <w:ind w:left="174"/>
              <w:rPr>
                <w:sz w:val="18"/>
                <w:szCs w:val="18"/>
              </w:rPr>
            </w:pPr>
            <w:r w:rsidRPr="009C2953">
              <w:rPr>
                <w:sz w:val="18"/>
              </w:rPr>
              <w:t xml:space="preserve">AXA </w:t>
            </w:r>
            <w:proofErr w:type="spellStart"/>
            <w:r w:rsidRPr="009C2953">
              <w:rPr>
                <w:sz w:val="18"/>
              </w:rPr>
              <w:t>SA</w:t>
            </w:r>
            <w:r w:rsidRPr="009C2953">
              <w:rPr>
                <w:sz w:val="18"/>
                <w:vertAlign w:val="superscript"/>
              </w:rPr>
              <w:t>a</w:t>
            </w:r>
            <w:proofErr w:type="spellEnd"/>
          </w:p>
        </w:tc>
        <w:tc>
          <w:tcPr>
            <w:tcW w:w="993" w:type="dxa"/>
            <w:tcBorders>
              <w:top w:val="nil"/>
              <w:left w:val="nil"/>
              <w:bottom w:val="nil"/>
              <w:right w:val="nil"/>
            </w:tcBorders>
            <w:vAlign w:val="bottom"/>
            <w:hideMark/>
          </w:tcPr>
          <w:p w14:paraId="4AFBB349"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3519C525"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38ACFD2D"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5F796DEE"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507B2158" w14:textId="77777777" w:rsidR="00C35A2B" w:rsidRPr="009C2953" w:rsidRDefault="00C35A2B" w:rsidP="00C35A2B">
            <w:pPr>
              <w:pStyle w:val="Normal-pool"/>
              <w:spacing w:before="40" w:after="40"/>
              <w:jc w:val="right"/>
              <w:rPr>
                <w:sz w:val="18"/>
                <w:szCs w:val="18"/>
              </w:rPr>
            </w:pPr>
            <w:r w:rsidRPr="009C2953">
              <w:rPr>
                <w:sz w:val="18"/>
              </w:rPr>
              <w:t>184 009</w:t>
            </w:r>
          </w:p>
        </w:tc>
        <w:tc>
          <w:tcPr>
            <w:tcW w:w="1166" w:type="dxa"/>
            <w:tcBorders>
              <w:top w:val="nil"/>
              <w:left w:val="nil"/>
              <w:bottom w:val="nil"/>
              <w:right w:val="single" w:sz="4" w:space="0" w:color="000000"/>
            </w:tcBorders>
            <w:vAlign w:val="bottom"/>
            <w:hideMark/>
          </w:tcPr>
          <w:p w14:paraId="1EBB1DAA" w14:textId="77777777" w:rsidR="00C35A2B" w:rsidRPr="009C2953" w:rsidRDefault="00C35A2B" w:rsidP="00C35A2B">
            <w:pPr>
              <w:pStyle w:val="Normal-pool"/>
              <w:spacing w:before="40" w:after="40"/>
              <w:jc w:val="right"/>
              <w:rPr>
                <w:sz w:val="18"/>
                <w:szCs w:val="18"/>
              </w:rPr>
            </w:pPr>
            <w:r w:rsidRPr="009C2953">
              <w:rPr>
                <w:sz w:val="18"/>
              </w:rPr>
              <w:t>92 004</w:t>
            </w:r>
          </w:p>
        </w:tc>
        <w:tc>
          <w:tcPr>
            <w:tcW w:w="1293" w:type="dxa"/>
            <w:tcBorders>
              <w:top w:val="nil"/>
              <w:left w:val="single" w:sz="4" w:space="0" w:color="000000"/>
              <w:bottom w:val="nil"/>
              <w:right w:val="nil"/>
            </w:tcBorders>
            <w:vAlign w:val="bottom"/>
            <w:hideMark/>
          </w:tcPr>
          <w:p w14:paraId="0B6DBD6E"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0C08E10F"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4BAEA37D"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05C2BE3E"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4F46F5C3" w14:textId="77777777" w:rsidTr="00C35A2B">
        <w:trPr>
          <w:trHeight w:val="57"/>
          <w:jc w:val="right"/>
        </w:trPr>
        <w:tc>
          <w:tcPr>
            <w:tcW w:w="2836" w:type="dxa"/>
            <w:tcBorders>
              <w:top w:val="nil"/>
              <w:left w:val="nil"/>
              <w:bottom w:val="nil"/>
              <w:right w:val="nil"/>
            </w:tcBorders>
            <w:hideMark/>
          </w:tcPr>
          <w:p w14:paraId="42E2D192" w14:textId="77777777" w:rsidR="00C35A2B" w:rsidRPr="009C2953" w:rsidRDefault="00C35A2B" w:rsidP="00C35A2B">
            <w:pPr>
              <w:pStyle w:val="Normal-pool"/>
              <w:spacing w:before="40" w:after="40"/>
              <w:ind w:left="174"/>
              <w:rPr>
                <w:sz w:val="18"/>
                <w:szCs w:val="18"/>
              </w:rPr>
            </w:pPr>
            <w:r w:rsidRPr="009C2953">
              <w:rPr>
                <w:sz w:val="18"/>
              </w:rPr>
              <w:t xml:space="preserve">Fondation Bill et Melinda </w:t>
            </w:r>
            <w:proofErr w:type="spellStart"/>
            <w:r w:rsidRPr="009C2953">
              <w:rPr>
                <w:sz w:val="18"/>
              </w:rPr>
              <w:t>Gates</w:t>
            </w:r>
            <w:r w:rsidRPr="009C2953">
              <w:rPr>
                <w:sz w:val="18"/>
                <w:vertAlign w:val="superscript"/>
              </w:rPr>
              <w:t>a</w:t>
            </w:r>
            <w:proofErr w:type="spellEnd"/>
          </w:p>
        </w:tc>
        <w:tc>
          <w:tcPr>
            <w:tcW w:w="993" w:type="dxa"/>
            <w:tcBorders>
              <w:top w:val="nil"/>
              <w:left w:val="nil"/>
              <w:bottom w:val="nil"/>
              <w:right w:val="nil"/>
            </w:tcBorders>
            <w:vAlign w:val="bottom"/>
            <w:hideMark/>
          </w:tcPr>
          <w:p w14:paraId="128EA2F0"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050D7CF3"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717F2CBF"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36E49D9D"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7B7F5E2F" w14:textId="77777777" w:rsidR="00C35A2B" w:rsidRPr="009C2953" w:rsidRDefault="00C35A2B" w:rsidP="00C35A2B">
            <w:pPr>
              <w:pStyle w:val="Normal-pool"/>
              <w:spacing w:before="40" w:after="40"/>
              <w:jc w:val="right"/>
              <w:rPr>
                <w:sz w:val="18"/>
                <w:szCs w:val="18"/>
              </w:rPr>
            </w:pPr>
            <w:r w:rsidRPr="009C2953">
              <w:rPr>
                <w:sz w:val="18"/>
              </w:rPr>
              <w:t>286 740</w:t>
            </w:r>
          </w:p>
        </w:tc>
        <w:tc>
          <w:tcPr>
            <w:tcW w:w="1166" w:type="dxa"/>
            <w:tcBorders>
              <w:top w:val="nil"/>
              <w:left w:val="nil"/>
              <w:bottom w:val="nil"/>
              <w:right w:val="single" w:sz="4" w:space="0" w:color="000000"/>
            </w:tcBorders>
            <w:vAlign w:val="bottom"/>
            <w:hideMark/>
          </w:tcPr>
          <w:p w14:paraId="604D1C38"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094086F5"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0B862D17"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357C74CB"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02995462"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590428AD" w14:textId="77777777" w:rsidTr="00C35A2B">
        <w:trPr>
          <w:trHeight w:val="57"/>
          <w:jc w:val="right"/>
        </w:trPr>
        <w:tc>
          <w:tcPr>
            <w:tcW w:w="2836" w:type="dxa"/>
            <w:tcBorders>
              <w:top w:val="nil"/>
              <w:left w:val="nil"/>
              <w:bottom w:val="nil"/>
              <w:right w:val="nil"/>
            </w:tcBorders>
            <w:hideMark/>
          </w:tcPr>
          <w:p w14:paraId="704F2297" w14:textId="77777777" w:rsidR="00C35A2B" w:rsidRPr="009C2953" w:rsidRDefault="00C35A2B" w:rsidP="00C35A2B">
            <w:pPr>
              <w:pStyle w:val="Normal-pool"/>
              <w:spacing w:before="40" w:after="40"/>
              <w:ind w:left="174"/>
              <w:rPr>
                <w:sz w:val="18"/>
                <w:szCs w:val="18"/>
              </w:rPr>
            </w:pPr>
            <w:r w:rsidRPr="009C2953">
              <w:rPr>
                <w:sz w:val="18"/>
              </w:rPr>
              <w:t>Fondation BNP Paribas</w:t>
            </w:r>
          </w:p>
        </w:tc>
        <w:tc>
          <w:tcPr>
            <w:tcW w:w="993" w:type="dxa"/>
            <w:tcBorders>
              <w:top w:val="nil"/>
              <w:left w:val="nil"/>
              <w:bottom w:val="nil"/>
              <w:right w:val="nil"/>
            </w:tcBorders>
            <w:vAlign w:val="bottom"/>
            <w:hideMark/>
          </w:tcPr>
          <w:p w14:paraId="26EEE927"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36733F08"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7E45E2C7"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5A19FA6E"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31A93DD4" w14:textId="77777777" w:rsidR="00C35A2B" w:rsidRPr="009C2953" w:rsidRDefault="00C35A2B" w:rsidP="00C35A2B">
            <w:pPr>
              <w:pStyle w:val="Normal-pool"/>
              <w:spacing w:before="40" w:after="40"/>
              <w:jc w:val="right"/>
              <w:rPr>
                <w:sz w:val="18"/>
                <w:szCs w:val="18"/>
              </w:rPr>
            </w:pPr>
            <w:r w:rsidRPr="009C2953">
              <w:rPr>
                <w:sz w:val="18"/>
              </w:rPr>
              <w:t>66 725</w:t>
            </w:r>
          </w:p>
        </w:tc>
        <w:tc>
          <w:tcPr>
            <w:tcW w:w="1166" w:type="dxa"/>
            <w:tcBorders>
              <w:top w:val="nil"/>
              <w:left w:val="nil"/>
              <w:bottom w:val="nil"/>
              <w:right w:val="single" w:sz="4" w:space="0" w:color="000000"/>
            </w:tcBorders>
            <w:vAlign w:val="bottom"/>
            <w:hideMark/>
          </w:tcPr>
          <w:p w14:paraId="44B5CF1F"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0DD7C1B0" w14:textId="77777777" w:rsidR="00C35A2B" w:rsidRPr="009C2953" w:rsidRDefault="00C35A2B" w:rsidP="00C35A2B">
            <w:pPr>
              <w:pStyle w:val="Normal-pool"/>
              <w:spacing w:before="40" w:after="40"/>
              <w:jc w:val="right"/>
              <w:rPr>
                <w:sz w:val="18"/>
                <w:szCs w:val="18"/>
              </w:rPr>
            </w:pPr>
            <w:r w:rsidRPr="009C2953">
              <w:rPr>
                <w:sz w:val="18"/>
              </w:rPr>
              <w:t>22 002</w:t>
            </w:r>
          </w:p>
        </w:tc>
        <w:tc>
          <w:tcPr>
            <w:tcW w:w="1166" w:type="dxa"/>
            <w:tcBorders>
              <w:top w:val="nil"/>
              <w:left w:val="nil"/>
              <w:bottom w:val="nil"/>
              <w:right w:val="nil"/>
            </w:tcBorders>
            <w:vAlign w:val="bottom"/>
            <w:hideMark/>
          </w:tcPr>
          <w:p w14:paraId="292E4638" w14:textId="77777777" w:rsidR="00C35A2B" w:rsidRPr="009C2953" w:rsidRDefault="00C35A2B" w:rsidP="00C35A2B">
            <w:pPr>
              <w:pStyle w:val="Normal-pool"/>
              <w:spacing w:before="40" w:after="40"/>
              <w:jc w:val="right"/>
              <w:rPr>
                <w:sz w:val="18"/>
                <w:szCs w:val="18"/>
              </w:rPr>
            </w:pPr>
            <w:r w:rsidRPr="009C2953">
              <w:rPr>
                <w:sz w:val="18"/>
              </w:rPr>
              <w:t>22 002</w:t>
            </w:r>
          </w:p>
        </w:tc>
        <w:tc>
          <w:tcPr>
            <w:tcW w:w="1072" w:type="dxa"/>
            <w:tcBorders>
              <w:top w:val="nil"/>
              <w:left w:val="nil"/>
              <w:bottom w:val="nil"/>
              <w:right w:val="nil"/>
            </w:tcBorders>
            <w:vAlign w:val="bottom"/>
            <w:hideMark/>
          </w:tcPr>
          <w:p w14:paraId="6F489E8B"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4FF73048" w14:textId="77777777" w:rsidR="00C35A2B" w:rsidRPr="009C2953" w:rsidRDefault="00C35A2B" w:rsidP="00C35A2B">
            <w:pPr>
              <w:pStyle w:val="Normal-pool"/>
              <w:spacing w:before="40" w:after="40"/>
              <w:jc w:val="right"/>
              <w:rPr>
                <w:sz w:val="18"/>
                <w:szCs w:val="18"/>
              </w:rPr>
            </w:pPr>
            <w:r w:rsidRPr="009C2953">
              <w:rPr>
                <w:sz w:val="18"/>
              </w:rPr>
              <w:t>44 004</w:t>
            </w:r>
          </w:p>
        </w:tc>
      </w:tr>
      <w:tr w:rsidR="00C35A2B" w:rsidRPr="009C2953" w14:paraId="06DE2BD5" w14:textId="77777777" w:rsidTr="00C35A2B">
        <w:trPr>
          <w:trHeight w:val="57"/>
          <w:jc w:val="right"/>
        </w:trPr>
        <w:tc>
          <w:tcPr>
            <w:tcW w:w="2836" w:type="dxa"/>
            <w:tcBorders>
              <w:top w:val="nil"/>
              <w:left w:val="nil"/>
              <w:bottom w:val="nil"/>
              <w:right w:val="nil"/>
            </w:tcBorders>
            <w:hideMark/>
          </w:tcPr>
          <w:p w14:paraId="0F994B9E" w14:textId="77777777" w:rsidR="00C35A2B" w:rsidRPr="009C2953" w:rsidRDefault="00C35A2B" w:rsidP="00C35A2B">
            <w:pPr>
              <w:pStyle w:val="Normal-pool"/>
              <w:spacing w:before="40" w:after="40"/>
              <w:ind w:left="174"/>
              <w:rPr>
                <w:sz w:val="18"/>
                <w:szCs w:val="18"/>
              </w:rPr>
            </w:pPr>
            <w:r w:rsidRPr="009C2953">
              <w:rPr>
                <w:sz w:val="18"/>
              </w:rPr>
              <w:t xml:space="preserve">Fondation </w:t>
            </w:r>
            <w:proofErr w:type="spellStart"/>
            <w:r w:rsidRPr="009C2953">
              <w:rPr>
                <w:sz w:val="18"/>
              </w:rPr>
              <w:t>Calouste</w:t>
            </w:r>
            <w:proofErr w:type="spellEnd"/>
            <w:r w:rsidRPr="009C2953">
              <w:rPr>
                <w:sz w:val="18"/>
              </w:rPr>
              <w:t xml:space="preserve"> Gulbenkian </w:t>
            </w:r>
          </w:p>
        </w:tc>
        <w:tc>
          <w:tcPr>
            <w:tcW w:w="993" w:type="dxa"/>
            <w:tcBorders>
              <w:top w:val="nil"/>
              <w:left w:val="nil"/>
              <w:bottom w:val="nil"/>
              <w:right w:val="nil"/>
            </w:tcBorders>
            <w:vAlign w:val="bottom"/>
            <w:hideMark/>
          </w:tcPr>
          <w:p w14:paraId="06F6ACEA"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40544F8B"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7D7C6CB9"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2963DE42"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775256ED" w14:textId="77777777" w:rsidR="00C35A2B" w:rsidRPr="009C2953" w:rsidRDefault="00C35A2B" w:rsidP="00C35A2B">
            <w:pPr>
              <w:pStyle w:val="Normal-pool"/>
              <w:spacing w:before="40" w:after="40"/>
              <w:jc w:val="right"/>
              <w:rPr>
                <w:sz w:val="18"/>
                <w:szCs w:val="18"/>
              </w:rPr>
            </w:pPr>
            <w:r w:rsidRPr="009C2953">
              <w:rPr>
                <w:sz w:val="18"/>
              </w:rPr>
              <w:t>553 305</w:t>
            </w:r>
          </w:p>
        </w:tc>
        <w:tc>
          <w:tcPr>
            <w:tcW w:w="1166" w:type="dxa"/>
            <w:tcBorders>
              <w:top w:val="nil"/>
              <w:left w:val="nil"/>
              <w:bottom w:val="nil"/>
              <w:right w:val="single" w:sz="4" w:space="0" w:color="000000"/>
            </w:tcBorders>
            <w:vAlign w:val="bottom"/>
            <w:hideMark/>
          </w:tcPr>
          <w:p w14:paraId="2CDDB0D8"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4FD613ED"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62C7538C"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13DD03A5"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20E185FE"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4BC49089" w14:textId="77777777" w:rsidTr="00C35A2B">
        <w:trPr>
          <w:trHeight w:val="57"/>
          <w:jc w:val="right"/>
        </w:trPr>
        <w:tc>
          <w:tcPr>
            <w:tcW w:w="2836" w:type="dxa"/>
            <w:tcBorders>
              <w:top w:val="nil"/>
              <w:left w:val="nil"/>
              <w:bottom w:val="nil"/>
              <w:right w:val="nil"/>
            </w:tcBorders>
            <w:hideMark/>
          </w:tcPr>
          <w:p w14:paraId="14443398" w14:textId="77777777" w:rsidR="00C35A2B" w:rsidRPr="009C2953" w:rsidRDefault="00C35A2B" w:rsidP="00C35A2B">
            <w:pPr>
              <w:pStyle w:val="Normal-pool"/>
              <w:spacing w:before="40" w:after="40"/>
              <w:ind w:left="174"/>
              <w:rPr>
                <w:sz w:val="18"/>
                <w:szCs w:val="18"/>
              </w:rPr>
            </w:pPr>
            <w:r w:rsidRPr="009C2953">
              <w:rPr>
                <w:sz w:val="18"/>
              </w:rPr>
              <w:t xml:space="preserve">H&amp;M </w:t>
            </w:r>
            <w:proofErr w:type="spellStart"/>
            <w:r w:rsidRPr="009C2953">
              <w:rPr>
                <w:sz w:val="18"/>
              </w:rPr>
              <w:t>Hennes</w:t>
            </w:r>
            <w:proofErr w:type="spellEnd"/>
            <w:r w:rsidRPr="009C2953">
              <w:rPr>
                <w:sz w:val="18"/>
              </w:rPr>
              <w:t xml:space="preserve"> &amp; Mauritz GBC AB</w:t>
            </w:r>
          </w:p>
        </w:tc>
        <w:tc>
          <w:tcPr>
            <w:tcW w:w="993" w:type="dxa"/>
            <w:tcBorders>
              <w:top w:val="nil"/>
              <w:left w:val="nil"/>
              <w:bottom w:val="nil"/>
              <w:right w:val="nil"/>
            </w:tcBorders>
            <w:vAlign w:val="bottom"/>
            <w:hideMark/>
          </w:tcPr>
          <w:p w14:paraId="177BFDF3"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0ACA21CE"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077F9D1A" w14:textId="77777777" w:rsidR="00C35A2B" w:rsidRPr="009C2953" w:rsidRDefault="00C35A2B" w:rsidP="00C35A2B">
            <w:pPr>
              <w:pStyle w:val="Normal-pool"/>
              <w:spacing w:before="40" w:after="40"/>
              <w:jc w:val="right"/>
              <w:rPr>
                <w:sz w:val="18"/>
                <w:szCs w:val="18"/>
              </w:rPr>
            </w:pPr>
            <w:r w:rsidRPr="009C2953">
              <w:rPr>
                <w:sz w:val="18"/>
              </w:rPr>
              <w:t>44 014</w:t>
            </w:r>
          </w:p>
        </w:tc>
        <w:tc>
          <w:tcPr>
            <w:tcW w:w="1213" w:type="dxa"/>
            <w:tcBorders>
              <w:top w:val="nil"/>
              <w:left w:val="nil"/>
              <w:bottom w:val="nil"/>
              <w:right w:val="nil"/>
            </w:tcBorders>
            <w:vAlign w:val="bottom"/>
            <w:hideMark/>
          </w:tcPr>
          <w:p w14:paraId="45BAA9F0" w14:textId="77777777" w:rsidR="00C35A2B" w:rsidRPr="009C2953" w:rsidRDefault="00C35A2B" w:rsidP="00C35A2B">
            <w:pPr>
              <w:pStyle w:val="Normal-pool"/>
              <w:spacing w:before="40" w:after="40"/>
              <w:jc w:val="right"/>
              <w:rPr>
                <w:sz w:val="18"/>
                <w:szCs w:val="18"/>
              </w:rPr>
            </w:pPr>
            <w:r w:rsidRPr="009C2953">
              <w:rPr>
                <w:sz w:val="18"/>
              </w:rPr>
              <w:t>45 732</w:t>
            </w:r>
          </w:p>
        </w:tc>
        <w:tc>
          <w:tcPr>
            <w:tcW w:w="1213" w:type="dxa"/>
            <w:tcBorders>
              <w:top w:val="nil"/>
              <w:left w:val="nil"/>
              <w:bottom w:val="nil"/>
              <w:right w:val="nil"/>
            </w:tcBorders>
            <w:vAlign w:val="bottom"/>
            <w:hideMark/>
          </w:tcPr>
          <w:p w14:paraId="25163E92" w14:textId="77777777" w:rsidR="00C35A2B" w:rsidRPr="009C2953" w:rsidRDefault="00C35A2B" w:rsidP="00C35A2B">
            <w:pPr>
              <w:pStyle w:val="Normal-pool"/>
              <w:spacing w:before="40" w:after="40"/>
              <w:jc w:val="right"/>
              <w:rPr>
                <w:sz w:val="18"/>
                <w:szCs w:val="18"/>
              </w:rPr>
            </w:pPr>
            <w:r w:rsidRPr="009C2953">
              <w:rPr>
                <w:sz w:val="18"/>
              </w:rPr>
              <w:t xml:space="preserve"> 39 599</w:t>
            </w:r>
          </w:p>
        </w:tc>
        <w:tc>
          <w:tcPr>
            <w:tcW w:w="1166" w:type="dxa"/>
            <w:tcBorders>
              <w:top w:val="nil"/>
              <w:left w:val="nil"/>
              <w:bottom w:val="nil"/>
              <w:right w:val="single" w:sz="4" w:space="0" w:color="000000"/>
            </w:tcBorders>
            <w:vAlign w:val="bottom"/>
            <w:hideMark/>
          </w:tcPr>
          <w:p w14:paraId="616B2D78" w14:textId="77777777" w:rsidR="00C35A2B" w:rsidRPr="009C2953" w:rsidRDefault="00C35A2B" w:rsidP="00C35A2B">
            <w:pPr>
              <w:pStyle w:val="Normal-pool"/>
              <w:spacing w:before="40" w:after="40"/>
              <w:jc w:val="right"/>
              <w:rPr>
                <w:sz w:val="18"/>
                <w:szCs w:val="18"/>
              </w:rPr>
            </w:pPr>
            <w:r w:rsidRPr="009C2953">
              <w:rPr>
                <w:sz w:val="18"/>
              </w:rPr>
              <w:t>41 073</w:t>
            </w:r>
          </w:p>
        </w:tc>
        <w:tc>
          <w:tcPr>
            <w:tcW w:w="1293" w:type="dxa"/>
            <w:tcBorders>
              <w:top w:val="nil"/>
              <w:left w:val="single" w:sz="4" w:space="0" w:color="000000"/>
              <w:bottom w:val="nil"/>
              <w:right w:val="nil"/>
            </w:tcBorders>
            <w:vAlign w:val="bottom"/>
            <w:hideMark/>
          </w:tcPr>
          <w:p w14:paraId="67BC4AE7"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3D9278DA"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3733237B"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3FE4E8D2"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0CD16D26" w14:textId="77777777" w:rsidTr="00C35A2B">
        <w:trPr>
          <w:trHeight w:val="57"/>
          <w:jc w:val="right"/>
        </w:trPr>
        <w:tc>
          <w:tcPr>
            <w:tcW w:w="2836" w:type="dxa"/>
            <w:tcBorders>
              <w:top w:val="nil"/>
              <w:left w:val="nil"/>
              <w:bottom w:val="nil"/>
              <w:right w:val="nil"/>
            </w:tcBorders>
            <w:hideMark/>
          </w:tcPr>
          <w:p w14:paraId="4EE9C637" w14:textId="77777777" w:rsidR="00C35A2B" w:rsidRPr="009C2953" w:rsidRDefault="00C35A2B" w:rsidP="00C35A2B">
            <w:pPr>
              <w:pStyle w:val="Normal-pool"/>
              <w:spacing w:before="40" w:after="40"/>
              <w:ind w:left="174"/>
              <w:rPr>
                <w:sz w:val="18"/>
                <w:szCs w:val="18"/>
              </w:rPr>
            </w:pPr>
            <w:r w:rsidRPr="009C2953">
              <w:rPr>
                <w:sz w:val="18"/>
              </w:rPr>
              <w:t>Kering SA</w:t>
            </w:r>
          </w:p>
        </w:tc>
        <w:tc>
          <w:tcPr>
            <w:tcW w:w="993" w:type="dxa"/>
            <w:tcBorders>
              <w:top w:val="nil"/>
              <w:left w:val="nil"/>
              <w:bottom w:val="nil"/>
              <w:right w:val="nil"/>
            </w:tcBorders>
            <w:vAlign w:val="bottom"/>
            <w:hideMark/>
          </w:tcPr>
          <w:p w14:paraId="7965FBC7"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5878EC4A" w14:textId="77777777" w:rsidR="00C35A2B" w:rsidRPr="009C2953" w:rsidRDefault="00C35A2B" w:rsidP="00C35A2B">
            <w:pPr>
              <w:pStyle w:val="Normal-pool"/>
              <w:spacing w:before="40" w:after="40"/>
              <w:jc w:val="right"/>
              <w:rPr>
                <w:sz w:val="18"/>
                <w:szCs w:val="18"/>
              </w:rPr>
            </w:pPr>
            <w:r w:rsidRPr="009C2953">
              <w:rPr>
                <w:sz w:val="18"/>
              </w:rPr>
              <w:t>131 291</w:t>
            </w:r>
          </w:p>
        </w:tc>
        <w:tc>
          <w:tcPr>
            <w:tcW w:w="1086" w:type="dxa"/>
            <w:tcBorders>
              <w:top w:val="nil"/>
              <w:left w:val="nil"/>
              <w:bottom w:val="nil"/>
              <w:right w:val="nil"/>
            </w:tcBorders>
            <w:vAlign w:val="bottom"/>
            <w:hideMark/>
          </w:tcPr>
          <w:p w14:paraId="320DBB69" w14:textId="77777777" w:rsidR="00C35A2B" w:rsidRPr="009C2953" w:rsidRDefault="00C35A2B" w:rsidP="00C35A2B">
            <w:pPr>
              <w:pStyle w:val="Normal-pool"/>
              <w:spacing w:before="40" w:after="40"/>
              <w:jc w:val="right"/>
              <w:rPr>
                <w:sz w:val="18"/>
                <w:szCs w:val="18"/>
              </w:rPr>
            </w:pPr>
            <w:r w:rsidRPr="009C2953">
              <w:rPr>
                <w:sz w:val="18"/>
              </w:rPr>
              <w:t>143 369</w:t>
            </w:r>
          </w:p>
        </w:tc>
        <w:tc>
          <w:tcPr>
            <w:tcW w:w="1213" w:type="dxa"/>
            <w:tcBorders>
              <w:top w:val="nil"/>
              <w:left w:val="nil"/>
              <w:bottom w:val="nil"/>
              <w:right w:val="nil"/>
            </w:tcBorders>
            <w:vAlign w:val="bottom"/>
            <w:hideMark/>
          </w:tcPr>
          <w:p w14:paraId="53DB6D88" w14:textId="77777777" w:rsidR="00C35A2B" w:rsidRPr="009C2953" w:rsidRDefault="00C35A2B" w:rsidP="00C35A2B">
            <w:pPr>
              <w:pStyle w:val="Normal-pool"/>
              <w:spacing w:before="40" w:after="40"/>
              <w:jc w:val="right"/>
              <w:rPr>
                <w:sz w:val="18"/>
                <w:szCs w:val="18"/>
              </w:rPr>
            </w:pPr>
            <w:r w:rsidRPr="009C2953">
              <w:rPr>
                <w:sz w:val="18"/>
              </w:rPr>
              <w:t>143 369</w:t>
            </w:r>
          </w:p>
        </w:tc>
        <w:tc>
          <w:tcPr>
            <w:tcW w:w="1213" w:type="dxa"/>
            <w:tcBorders>
              <w:top w:val="nil"/>
              <w:left w:val="nil"/>
              <w:bottom w:val="nil"/>
              <w:right w:val="nil"/>
            </w:tcBorders>
            <w:vAlign w:val="bottom"/>
            <w:hideMark/>
          </w:tcPr>
          <w:p w14:paraId="2405D1B3" w14:textId="77777777" w:rsidR="00C35A2B" w:rsidRPr="009C2953" w:rsidRDefault="00C35A2B" w:rsidP="00C35A2B">
            <w:pPr>
              <w:pStyle w:val="Normal-pool"/>
              <w:spacing w:before="40" w:after="40"/>
              <w:jc w:val="right"/>
              <w:rPr>
                <w:sz w:val="18"/>
                <w:szCs w:val="18"/>
              </w:rPr>
            </w:pPr>
            <w:r w:rsidRPr="009C2953">
              <w:rPr>
                <w:sz w:val="18"/>
              </w:rPr>
              <w:t xml:space="preserve"> 134 831</w:t>
            </w:r>
          </w:p>
        </w:tc>
        <w:tc>
          <w:tcPr>
            <w:tcW w:w="1166" w:type="dxa"/>
            <w:tcBorders>
              <w:top w:val="nil"/>
              <w:left w:val="nil"/>
              <w:bottom w:val="nil"/>
              <w:right w:val="single" w:sz="4" w:space="0" w:color="000000"/>
            </w:tcBorders>
            <w:vAlign w:val="bottom"/>
            <w:hideMark/>
          </w:tcPr>
          <w:p w14:paraId="0E4A8AF6"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5CC1A50E" w14:textId="77777777" w:rsidR="00C35A2B" w:rsidRPr="009C2953" w:rsidRDefault="00C35A2B" w:rsidP="00C35A2B">
            <w:pPr>
              <w:pStyle w:val="Normal-pool"/>
              <w:spacing w:before="40" w:after="40"/>
              <w:jc w:val="right"/>
              <w:rPr>
                <w:sz w:val="18"/>
                <w:szCs w:val="18"/>
              </w:rPr>
            </w:pPr>
            <w:r w:rsidRPr="009C2953">
              <w:rPr>
                <w:sz w:val="18"/>
              </w:rPr>
              <w:t>132 013</w:t>
            </w:r>
          </w:p>
        </w:tc>
        <w:tc>
          <w:tcPr>
            <w:tcW w:w="1166" w:type="dxa"/>
            <w:tcBorders>
              <w:top w:val="nil"/>
              <w:left w:val="nil"/>
              <w:bottom w:val="nil"/>
              <w:right w:val="nil"/>
            </w:tcBorders>
            <w:vAlign w:val="bottom"/>
            <w:hideMark/>
          </w:tcPr>
          <w:p w14:paraId="0BE5F1F1"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0F7F5497"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22DCD483" w14:textId="77777777" w:rsidR="00C35A2B" w:rsidRPr="009C2953" w:rsidRDefault="00C35A2B" w:rsidP="00C35A2B">
            <w:pPr>
              <w:pStyle w:val="Normal-pool"/>
              <w:spacing w:before="40" w:after="40"/>
              <w:jc w:val="right"/>
              <w:rPr>
                <w:sz w:val="18"/>
                <w:szCs w:val="18"/>
              </w:rPr>
            </w:pPr>
            <w:r w:rsidRPr="009C2953">
              <w:rPr>
                <w:sz w:val="18"/>
              </w:rPr>
              <w:t>132 013</w:t>
            </w:r>
          </w:p>
        </w:tc>
      </w:tr>
      <w:tr w:rsidR="00C35A2B" w:rsidRPr="009C2953" w14:paraId="18A91696" w14:textId="77777777" w:rsidTr="00C35A2B">
        <w:trPr>
          <w:trHeight w:val="57"/>
          <w:jc w:val="right"/>
        </w:trPr>
        <w:tc>
          <w:tcPr>
            <w:tcW w:w="2836" w:type="dxa"/>
            <w:tcBorders>
              <w:top w:val="nil"/>
              <w:left w:val="nil"/>
              <w:bottom w:val="nil"/>
              <w:right w:val="nil"/>
            </w:tcBorders>
            <w:hideMark/>
          </w:tcPr>
          <w:p w14:paraId="59551030" w14:textId="77777777" w:rsidR="00C35A2B" w:rsidRPr="009C2953" w:rsidRDefault="00C35A2B" w:rsidP="00C35A2B">
            <w:pPr>
              <w:pStyle w:val="Normal-pool"/>
              <w:spacing w:before="40" w:after="40"/>
              <w:ind w:left="174"/>
              <w:rPr>
                <w:sz w:val="18"/>
                <w:szCs w:val="18"/>
              </w:rPr>
            </w:pPr>
            <w:r w:rsidRPr="009C2953">
              <w:rPr>
                <w:sz w:val="18"/>
              </w:rPr>
              <w:t>Laboratoires de Biologie Végétale Yves Rocher</w:t>
            </w:r>
          </w:p>
        </w:tc>
        <w:tc>
          <w:tcPr>
            <w:tcW w:w="993" w:type="dxa"/>
            <w:tcBorders>
              <w:top w:val="nil"/>
              <w:left w:val="nil"/>
              <w:bottom w:val="nil"/>
              <w:right w:val="nil"/>
            </w:tcBorders>
            <w:vAlign w:val="bottom"/>
            <w:hideMark/>
          </w:tcPr>
          <w:p w14:paraId="2F5AE2EC" w14:textId="77777777" w:rsidR="00C35A2B" w:rsidRPr="009C2953" w:rsidRDefault="00C35A2B" w:rsidP="00C35A2B">
            <w:pPr>
              <w:pStyle w:val="Normal-pool"/>
              <w:spacing w:before="40" w:after="40"/>
              <w:jc w:val="right"/>
              <w:rPr>
                <w:sz w:val="18"/>
                <w:szCs w:val="18"/>
              </w:rPr>
            </w:pPr>
            <w:r w:rsidRPr="009C2953">
              <w:rPr>
                <w:sz w:val="18"/>
              </w:rPr>
              <w:t>11 481</w:t>
            </w:r>
          </w:p>
        </w:tc>
        <w:tc>
          <w:tcPr>
            <w:tcW w:w="992" w:type="dxa"/>
            <w:tcBorders>
              <w:top w:val="nil"/>
              <w:left w:val="nil"/>
              <w:bottom w:val="nil"/>
              <w:right w:val="nil"/>
            </w:tcBorders>
            <w:vAlign w:val="bottom"/>
            <w:hideMark/>
          </w:tcPr>
          <w:p w14:paraId="4CC03746" w14:textId="77777777" w:rsidR="00C35A2B" w:rsidRPr="009C2953" w:rsidRDefault="00C35A2B" w:rsidP="00C35A2B">
            <w:pPr>
              <w:pStyle w:val="Normal-pool"/>
              <w:spacing w:before="40" w:after="40"/>
              <w:jc w:val="right"/>
              <w:rPr>
                <w:sz w:val="18"/>
                <w:szCs w:val="18"/>
              </w:rPr>
            </w:pPr>
            <w:r w:rsidRPr="009C2953">
              <w:rPr>
                <w:sz w:val="18"/>
              </w:rPr>
              <w:t>11 161</w:t>
            </w:r>
          </w:p>
        </w:tc>
        <w:tc>
          <w:tcPr>
            <w:tcW w:w="1086" w:type="dxa"/>
            <w:tcBorders>
              <w:top w:val="nil"/>
              <w:left w:val="nil"/>
              <w:bottom w:val="nil"/>
              <w:right w:val="nil"/>
            </w:tcBorders>
            <w:vAlign w:val="bottom"/>
            <w:hideMark/>
          </w:tcPr>
          <w:p w14:paraId="05155379"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1E2FF0AC"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3030B44D"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5781C231"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2803B1F0" w14:textId="77777777" w:rsidR="00C35A2B" w:rsidRPr="009C2953" w:rsidRDefault="00C35A2B" w:rsidP="00C35A2B">
            <w:pPr>
              <w:pStyle w:val="Normal-pool"/>
              <w:spacing w:before="40" w:after="40"/>
              <w:jc w:val="right"/>
              <w:rPr>
                <w:sz w:val="18"/>
                <w:szCs w:val="18"/>
              </w:rPr>
            </w:pPr>
            <w:r w:rsidRPr="009C2953">
              <w:rPr>
                <w:sz w:val="18"/>
              </w:rPr>
              <w:t xml:space="preserve"> –</w:t>
            </w:r>
          </w:p>
        </w:tc>
        <w:tc>
          <w:tcPr>
            <w:tcW w:w="1166" w:type="dxa"/>
            <w:tcBorders>
              <w:top w:val="nil"/>
              <w:left w:val="nil"/>
              <w:bottom w:val="nil"/>
              <w:right w:val="nil"/>
            </w:tcBorders>
            <w:vAlign w:val="bottom"/>
            <w:hideMark/>
          </w:tcPr>
          <w:p w14:paraId="30CDF963"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68E52374"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398E06D6"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103F69D6" w14:textId="77777777" w:rsidTr="00C35A2B">
        <w:trPr>
          <w:trHeight w:val="57"/>
          <w:jc w:val="right"/>
        </w:trPr>
        <w:tc>
          <w:tcPr>
            <w:tcW w:w="2836" w:type="dxa"/>
            <w:tcBorders>
              <w:top w:val="nil"/>
              <w:left w:val="nil"/>
              <w:bottom w:val="nil"/>
              <w:right w:val="nil"/>
            </w:tcBorders>
            <w:hideMark/>
          </w:tcPr>
          <w:p w14:paraId="29D43FFA" w14:textId="0F34F45C" w:rsidR="00C35A2B" w:rsidRPr="009C2953" w:rsidRDefault="00C35A2B" w:rsidP="00C35A2B">
            <w:pPr>
              <w:pStyle w:val="Normal-pool"/>
              <w:spacing w:before="40" w:after="40"/>
              <w:ind w:left="174"/>
              <w:rPr>
                <w:sz w:val="18"/>
                <w:szCs w:val="18"/>
              </w:rPr>
            </w:pPr>
            <w:r w:rsidRPr="009C2953">
              <w:rPr>
                <w:sz w:val="18"/>
              </w:rPr>
              <w:t>Prix de la Fondation Prince Albert II de Monaco</w:t>
            </w:r>
          </w:p>
        </w:tc>
        <w:tc>
          <w:tcPr>
            <w:tcW w:w="993" w:type="dxa"/>
            <w:tcBorders>
              <w:top w:val="nil"/>
              <w:left w:val="nil"/>
              <w:bottom w:val="nil"/>
              <w:right w:val="nil"/>
            </w:tcBorders>
            <w:vAlign w:val="bottom"/>
            <w:hideMark/>
          </w:tcPr>
          <w:p w14:paraId="4EA7183C"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nil"/>
              <w:right w:val="nil"/>
            </w:tcBorders>
            <w:vAlign w:val="bottom"/>
            <w:hideMark/>
          </w:tcPr>
          <w:p w14:paraId="7B599B65"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nil"/>
              <w:right w:val="nil"/>
            </w:tcBorders>
            <w:vAlign w:val="bottom"/>
            <w:hideMark/>
          </w:tcPr>
          <w:p w14:paraId="37AB7D95"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nil"/>
              <w:right w:val="nil"/>
            </w:tcBorders>
            <w:vAlign w:val="bottom"/>
            <w:hideMark/>
          </w:tcPr>
          <w:p w14:paraId="48FD9BC3" w14:textId="77777777" w:rsidR="00C35A2B" w:rsidRPr="009C2953" w:rsidRDefault="00C35A2B" w:rsidP="00C35A2B">
            <w:pPr>
              <w:pStyle w:val="Normal-pool"/>
              <w:spacing w:before="40" w:after="40"/>
              <w:jc w:val="right"/>
              <w:rPr>
                <w:sz w:val="18"/>
                <w:szCs w:val="18"/>
              </w:rPr>
            </w:pPr>
            <w:r w:rsidRPr="009C2953">
              <w:rPr>
                <w:sz w:val="18"/>
              </w:rPr>
              <w:t>45 045</w:t>
            </w:r>
          </w:p>
        </w:tc>
        <w:tc>
          <w:tcPr>
            <w:tcW w:w="1213" w:type="dxa"/>
            <w:tcBorders>
              <w:top w:val="nil"/>
              <w:left w:val="nil"/>
              <w:bottom w:val="nil"/>
              <w:right w:val="nil"/>
            </w:tcBorders>
            <w:vAlign w:val="bottom"/>
            <w:hideMark/>
          </w:tcPr>
          <w:p w14:paraId="444D717D"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single" w:sz="4" w:space="0" w:color="000000"/>
            </w:tcBorders>
            <w:vAlign w:val="bottom"/>
            <w:hideMark/>
          </w:tcPr>
          <w:p w14:paraId="6A07A698"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nil"/>
              <w:right w:val="nil"/>
            </w:tcBorders>
            <w:vAlign w:val="bottom"/>
            <w:hideMark/>
          </w:tcPr>
          <w:p w14:paraId="428EFB6C"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nil"/>
              <w:right w:val="nil"/>
            </w:tcBorders>
            <w:vAlign w:val="bottom"/>
            <w:hideMark/>
          </w:tcPr>
          <w:p w14:paraId="02502EC9"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nil"/>
              <w:right w:val="nil"/>
            </w:tcBorders>
            <w:vAlign w:val="bottom"/>
            <w:hideMark/>
          </w:tcPr>
          <w:p w14:paraId="591F929C"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nil"/>
              <w:right w:val="nil"/>
            </w:tcBorders>
            <w:vAlign w:val="bottom"/>
            <w:hideMark/>
          </w:tcPr>
          <w:p w14:paraId="2B48505A"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43C5BD39" w14:textId="77777777" w:rsidTr="00C35A2B">
        <w:trPr>
          <w:trHeight w:val="57"/>
          <w:jc w:val="right"/>
        </w:trPr>
        <w:tc>
          <w:tcPr>
            <w:tcW w:w="2836" w:type="dxa"/>
            <w:tcBorders>
              <w:top w:val="nil"/>
              <w:left w:val="nil"/>
              <w:bottom w:val="single" w:sz="4" w:space="0" w:color="000000"/>
              <w:right w:val="nil"/>
            </w:tcBorders>
            <w:hideMark/>
          </w:tcPr>
          <w:p w14:paraId="6BCBE1C0" w14:textId="77777777" w:rsidR="00C35A2B" w:rsidRPr="009C2953" w:rsidRDefault="00C35A2B" w:rsidP="00C35A2B">
            <w:pPr>
              <w:pStyle w:val="Normal-pool"/>
              <w:spacing w:before="40" w:after="40"/>
              <w:ind w:left="174"/>
              <w:rPr>
                <w:sz w:val="18"/>
                <w:szCs w:val="18"/>
              </w:rPr>
            </w:pPr>
            <w:proofErr w:type="spellStart"/>
            <w:r w:rsidRPr="009C2953">
              <w:rPr>
                <w:sz w:val="18"/>
              </w:rPr>
              <w:t>WinWin</w:t>
            </w:r>
            <w:proofErr w:type="spellEnd"/>
            <w:r w:rsidRPr="009C2953">
              <w:rPr>
                <w:sz w:val="18"/>
              </w:rPr>
              <w:t xml:space="preserve"> </w:t>
            </w:r>
            <w:proofErr w:type="spellStart"/>
            <w:r w:rsidRPr="009C2953">
              <w:rPr>
                <w:sz w:val="18"/>
              </w:rPr>
              <w:t>Gothenburg</w:t>
            </w:r>
            <w:proofErr w:type="spellEnd"/>
            <w:r w:rsidRPr="009C2953">
              <w:rPr>
                <w:sz w:val="18"/>
              </w:rPr>
              <w:t xml:space="preserve"> </w:t>
            </w:r>
            <w:proofErr w:type="spellStart"/>
            <w:r w:rsidRPr="009C2953">
              <w:rPr>
                <w:sz w:val="18"/>
              </w:rPr>
              <w:t>Sustainability</w:t>
            </w:r>
            <w:proofErr w:type="spellEnd"/>
            <w:r w:rsidRPr="009C2953">
              <w:rPr>
                <w:sz w:val="18"/>
              </w:rPr>
              <w:t xml:space="preserve"> </w:t>
            </w:r>
            <w:proofErr w:type="spellStart"/>
            <w:r w:rsidRPr="009C2953">
              <w:rPr>
                <w:sz w:val="18"/>
              </w:rPr>
              <w:t>Award</w:t>
            </w:r>
            <w:proofErr w:type="spellEnd"/>
          </w:p>
        </w:tc>
        <w:tc>
          <w:tcPr>
            <w:tcW w:w="993" w:type="dxa"/>
            <w:tcBorders>
              <w:top w:val="nil"/>
              <w:left w:val="nil"/>
              <w:bottom w:val="single" w:sz="4" w:space="0" w:color="000000"/>
              <w:right w:val="nil"/>
            </w:tcBorders>
            <w:vAlign w:val="bottom"/>
            <w:hideMark/>
          </w:tcPr>
          <w:p w14:paraId="07A066A2" w14:textId="77777777" w:rsidR="00C35A2B" w:rsidRPr="009C2953" w:rsidRDefault="00C35A2B" w:rsidP="00C35A2B">
            <w:pPr>
              <w:pStyle w:val="Normal-pool"/>
              <w:spacing w:before="40" w:after="40"/>
              <w:jc w:val="right"/>
              <w:rPr>
                <w:sz w:val="18"/>
                <w:szCs w:val="18"/>
              </w:rPr>
            </w:pPr>
            <w:r w:rsidRPr="009C2953">
              <w:rPr>
                <w:sz w:val="18"/>
              </w:rPr>
              <w:t>–</w:t>
            </w:r>
          </w:p>
        </w:tc>
        <w:tc>
          <w:tcPr>
            <w:tcW w:w="992" w:type="dxa"/>
            <w:tcBorders>
              <w:top w:val="nil"/>
              <w:left w:val="nil"/>
              <w:bottom w:val="single" w:sz="4" w:space="0" w:color="000000"/>
              <w:right w:val="nil"/>
            </w:tcBorders>
            <w:vAlign w:val="bottom"/>
            <w:hideMark/>
          </w:tcPr>
          <w:p w14:paraId="2F8E0D46" w14:textId="77777777" w:rsidR="00C35A2B" w:rsidRPr="009C2953" w:rsidRDefault="00C35A2B" w:rsidP="00C35A2B">
            <w:pPr>
              <w:pStyle w:val="Normal-pool"/>
              <w:spacing w:before="40" w:after="40"/>
              <w:jc w:val="right"/>
              <w:rPr>
                <w:sz w:val="18"/>
                <w:szCs w:val="18"/>
              </w:rPr>
            </w:pPr>
            <w:r w:rsidRPr="009C2953">
              <w:rPr>
                <w:sz w:val="18"/>
              </w:rPr>
              <w:t>–</w:t>
            </w:r>
          </w:p>
        </w:tc>
        <w:tc>
          <w:tcPr>
            <w:tcW w:w="1086" w:type="dxa"/>
            <w:tcBorders>
              <w:top w:val="nil"/>
              <w:left w:val="nil"/>
              <w:bottom w:val="single" w:sz="4" w:space="0" w:color="000000"/>
              <w:right w:val="nil"/>
            </w:tcBorders>
            <w:vAlign w:val="bottom"/>
            <w:hideMark/>
          </w:tcPr>
          <w:p w14:paraId="77A007A6" w14:textId="77777777" w:rsidR="00C35A2B" w:rsidRPr="009C2953" w:rsidRDefault="00C35A2B" w:rsidP="00C35A2B">
            <w:pPr>
              <w:pStyle w:val="Normal-pool"/>
              <w:spacing w:before="40" w:after="40"/>
              <w:jc w:val="right"/>
              <w:rPr>
                <w:sz w:val="18"/>
                <w:szCs w:val="18"/>
              </w:rPr>
            </w:pPr>
            <w:r w:rsidRPr="009C2953">
              <w:rPr>
                <w:sz w:val="18"/>
              </w:rPr>
              <w:t>113663</w:t>
            </w:r>
          </w:p>
        </w:tc>
        <w:tc>
          <w:tcPr>
            <w:tcW w:w="1213" w:type="dxa"/>
            <w:tcBorders>
              <w:top w:val="nil"/>
              <w:left w:val="nil"/>
              <w:bottom w:val="single" w:sz="4" w:space="0" w:color="000000"/>
              <w:right w:val="nil"/>
            </w:tcBorders>
            <w:vAlign w:val="bottom"/>
            <w:hideMark/>
          </w:tcPr>
          <w:p w14:paraId="5152679C" w14:textId="77777777" w:rsidR="00C35A2B" w:rsidRPr="009C2953" w:rsidRDefault="00C35A2B" w:rsidP="00C35A2B">
            <w:pPr>
              <w:pStyle w:val="Normal-pool"/>
              <w:spacing w:before="40" w:after="40"/>
              <w:jc w:val="right"/>
              <w:rPr>
                <w:sz w:val="18"/>
                <w:szCs w:val="18"/>
              </w:rPr>
            </w:pPr>
            <w:r w:rsidRPr="009C2953">
              <w:rPr>
                <w:sz w:val="18"/>
              </w:rPr>
              <w:t>–</w:t>
            </w:r>
          </w:p>
        </w:tc>
        <w:tc>
          <w:tcPr>
            <w:tcW w:w="1213" w:type="dxa"/>
            <w:tcBorders>
              <w:top w:val="nil"/>
              <w:left w:val="nil"/>
              <w:bottom w:val="single" w:sz="4" w:space="0" w:color="000000"/>
              <w:right w:val="nil"/>
            </w:tcBorders>
            <w:vAlign w:val="bottom"/>
            <w:hideMark/>
          </w:tcPr>
          <w:p w14:paraId="615DB2B2"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single" w:sz="4" w:space="0" w:color="000000"/>
              <w:right w:val="single" w:sz="4" w:space="0" w:color="000000"/>
            </w:tcBorders>
            <w:vAlign w:val="bottom"/>
            <w:hideMark/>
          </w:tcPr>
          <w:p w14:paraId="629D4D80" w14:textId="77777777" w:rsidR="00C35A2B" w:rsidRPr="009C2953" w:rsidRDefault="00C35A2B" w:rsidP="00C35A2B">
            <w:pPr>
              <w:pStyle w:val="Normal-pool"/>
              <w:spacing w:before="40" w:after="40"/>
              <w:jc w:val="right"/>
              <w:rPr>
                <w:sz w:val="18"/>
                <w:szCs w:val="18"/>
              </w:rPr>
            </w:pPr>
            <w:r w:rsidRPr="009C2953">
              <w:rPr>
                <w:sz w:val="18"/>
              </w:rPr>
              <w:t>–</w:t>
            </w:r>
          </w:p>
        </w:tc>
        <w:tc>
          <w:tcPr>
            <w:tcW w:w="1293" w:type="dxa"/>
            <w:tcBorders>
              <w:top w:val="nil"/>
              <w:left w:val="single" w:sz="4" w:space="0" w:color="000000"/>
              <w:bottom w:val="single" w:sz="4" w:space="0" w:color="000000"/>
              <w:right w:val="nil"/>
            </w:tcBorders>
            <w:vAlign w:val="bottom"/>
            <w:hideMark/>
          </w:tcPr>
          <w:p w14:paraId="47B3047C" w14:textId="77777777" w:rsidR="00C35A2B" w:rsidRPr="009C2953" w:rsidRDefault="00C35A2B" w:rsidP="00C35A2B">
            <w:pPr>
              <w:pStyle w:val="Normal-pool"/>
              <w:spacing w:before="40" w:after="40"/>
              <w:jc w:val="right"/>
              <w:rPr>
                <w:sz w:val="18"/>
                <w:szCs w:val="18"/>
              </w:rPr>
            </w:pPr>
            <w:r w:rsidRPr="009C2953">
              <w:rPr>
                <w:sz w:val="18"/>
              </w:rPr>
              <w:t>–</w:t>
            </w:r>
          </w:p>
        </w:tc>
        <w:tc>
          <w:tcPr>
            <w:tcW w:w="1166" w:type="dxa"/>
            <w:tcBorders>
              <w:top w:val="nil"/>
              <w:left w:val="nil"/>
              <w:bottom w:val="single" w:sz="4" w:space="0" w:color="000000"/>
              <w:right w:val="nil"/>
            </w:tcBorders>
            <w:vAlign w:val="bottom"/>
            <w:hideMark/>
          </w:tcPr>
          <w:p w14:paraId="39BFF2D9" w14:textId="77777777" w:rsidR="00C35A2B" w:rsidRPr="009C2953" w:rsidRDefault="00C35A2B" w:rsidP="00C35A2B">
            <w:pPr>
              <w:pStyle w:val="Normal-pool"/>
              <w:spacing w:before="40" w:after="40"/>
              <w:jc w:val="right"/>
              <w:rPr>
                <w:sz w:val="18"/>
                <w:szCs w:val="18"/>
              </w:rPr>
            </w:pPr>
            <w:r w:rsidRPr="009C2953">
              <w:rPr>
                <w:sz w:val="18"/>
              </w:rPr>
              <w:t>–</w:t>
            </w:r>
          </w:p>
        </w:tc>
        <w:tc>
          <w:tcPr>
            <w:tcW w:w="1072" w:type="dxa"/>
            <w:tcBorders>
              <w:top w:val="nil"/>
              <w:left w:val="nil"/>
              <w:bottom w:val="single" w:sz="4" w:space="0" w:color="000000"/>
              <w:right w:val="nil"/>
            </w:tcBorders>
            <w:vAlign w:val="bottom"/>
            <w:hideMark/>
          </w:tcPr>
          <w:p w14:paraId="13D43498" w14:textId="77777777" w:rsidR="00C35A2B" w:rsidRPr="009C2953" w:rsidRDefault="00C35A2B" w:rsidP="00C35A2B">
            <w:pPr>
              <w:pStyle w:val="Normal-pool"/>
              <w:spacing w:before="40" w:after="40"/>
              <w:jc w:val="right"/>
              <w:rPr>
                <w:sz w:val="18"/>
                <w:szCs w:val="18"/>
              </w:rPr>
            </w:pPr>
            <w:r w:rsidRPr="009C2953">
              <w:rPr>
                <w:sz w:val="18"/>
              </w:rPr>
              <w:t>–</w:t>
            </w:r>
          </w:p>
        </w:tc>
        <w:tc>
          <w:tcPr>
            <w:tcW w:w="1399" w:type="dxa"/>
            <w:tcBorders>
              <w:top w:val="nil"/>
              <w:left w:val="nil"/>
              <w:bottom w:val="single" w:sz="4" w:space="0" w:color="000000"/>
              <w:right w:val="nil"/>
            </w:tcBorders>
            <w:vAlign w:val="bottom"/>
            <w:hideMark/>
          </w:tcPr>
          <w:p w14:paraId="4EF262D1" w14:textId="77777777" w:rsidR="00C35A2B" w:rsidRPr="009C2953" w:rsidRDefault="00C35A2B" w:rsidP="00C35A2B">
            <w:pPr>
              <w:pStyle w:val="Normal-pool"/>
              <w:spacing w:before="40" w:after="40"/>
              <w:jc w:val="right"/>
              <w:rPr>
                <w:sz w:val="18"/>
                <w:szCs w:val="18"/>
              </w:rPr>
            </w:pPr>
            <w:r w:rsidRPr="009C2953">
              <w:rPr>
                <w:sz w:val="18"/>
              </w:rPr>
              <w:t>–</w:t>
            </w:r>
          </w:p>
        </w:tc>
      </w:tr>
      <w:tr w:rsidR="00C35A2B" w:rsidRPr="009C2953" w14:paraId="6076B2BE" w14:textId="77777777" w:rsidTr="00C35A2B">
        <w:trPr>
          <w:trHeight w:val="57"/>
          <w:jc w:val="right"/>
        </w:trPr>
        <w:tc>
          <w:tcPr>
            <w:tcW w:w="2836" w:type="dxa"/>
            <w:tcBorders>
              <w:top w:val="single" w:sz="4" w:space="0" w:color="000000"/>
              <w:left w:val="nil"/>
              <w:bottom w:val="single" w:sz="4" w:space="0" w:color="000000"/>
              <w:right w:val="nil"/>
            </w:tcBorders>
            <w:hideMark/>
          </w:tcPr>
          <w:p w14:paraId="13F9109F" w14:textId="77777777" w:rsidR="00C35A2B" w:rsidRPr="009C2953" w:rsidRDefault="00C35A2B" w:rsidP="00C35A2B">
            <w:pPr>
              <w:pStyle w:val="Normal-pool"/>
              <w:spacing w:before="40" w:after="40"/>
              <w:ind w:left="174"/>
              <w:rPr>
                <w:b/>
                <w:bCs/>
                <w:sz w:val="18"/>
                <w:szCs w:val="18"/>
              </w:rPr>
            </w:pPr>
            <w:r w:rsidRPr="009C2953">
              <w:rPr>
                <w:b/>
                <w:sz w:val="18"/>
              </w:rPr>
              <w:t>Total partiel 2</w:t>
            </w:r>
          </w:p>
        </w:tc>
        <w:tc>
          <w:tcPr>
            <w:tcW w:w="993" w:type="dxa"/>
            <w:tcBorders>
              <w:top w:val="single" w:sz="4" w:space="0" w:color="000000"/>
              <w:left w:val="nil"/>
              <w:bottom w:val="single" w:sz="4" w:space="0" w:color="000000"/>
              <w:right w:val="nil"/>
            </w:tcBorders>
            <w:vAlign w:val="bottom"/>
            <w:hideMark/>
          </w:tcPr>
          <w:p w14:paraId="54FF603A" w14:textId="77777777" w:rsidR="00C35A2B" w:rsidRPr="009C2953" w:rsidRDefault="00C35A2B" w:rsidP="00C35A2B">
            <w:pPr>
              <w:pStyle w:val="Normal-pool"/>
              <w:spacing w:before="40" w:after="40"/>
              <w:jc w:val="right"/>
              <w:rPr>
                <w:b/>
                <w:bCs/>
                <w:sz w:val="18"/>
                <w:szCs w:val="18"/>
              </w:rPr>
            </w:pPr>
            <w:r w:rsidRPr="009C2953">
              <w:rPr>
                <w:b/>
                <w:sz w:val="18"/>
              </w:rPr>
              <w:t>11 481</w:t>
            </w:r>
          </w:p>
        </w:tc>
        <w:tc>
          <w:tcPr>
            <w:tcW w:w="992" w:type="dxa"/>
            <w:tcBorders>
              <w:top w:val="single" w:sz="4" w:space="0" w:color="000000"/>
              <w:left w:val="nil"/>
              <w:bottom w:val="single" w:sz="4" w:space="0" w:color="000000"/>
              <w:right w:val="nil"/>
            </w:tcBorders>
            <w:vAlign w:val="bottom"/>
            <w:hideMark/>
          </w:tcPr>
          <w:p w14:paraId="641B8150" w14:textId="77777777" w:rsidR="00C35A2B" w:rsidRPr="009C2953" w:rsidRDefault="00C35A2B" w:rsidP="00C35A2B">
            <w:pPr>
              <w:pStyle w:val="Normal-pool"/>
              <w:spacing w:before="40" w:after="40"/>
              <w:jc w:val="right"/>
              <w:rPr>
                <w:b/>
                <w:bCs/>
                <w:sz w:val="18"/>
                <w:szCs w:val="18"/>
              </w:rPr>
            </w:pPr>
            <w:r w:rsidRPr="009C2953">
              <w:rPr>
                <w:b/>
                <w:sz w:val="18"/>
              </w:rPr>
              <w:t>142 452</w:t>
            </w:r>
          </w:p>
        </w:tc>
        <w:tc>
          <w:tcPr>
            <w:tcW w:w="1086" w:type="dxa"/>
            <w:tcBorders>
              <w:top w:val="single" w:sz="4" w:space="0" w:color="000000"/>
              <w:left w:val="nil"/>
              <w:bottom w:val="single" w:sz="4" w:space="0" w:color="000000"/>
              <w:right w:val="nil"/>
            </w:tcBorders>
            <w:vAlign w:val="bottom"/>
            <w:hideMark/>
          </w:tcPr>
          <w:p w14:paraId="0E3CB7A7" w14:textId="77777777" w:rsidR="00C35A2B" w:rsidRPr="009C2953" w:rsidRDefault="00C35A2B" w:rsidP="00C35A2B">
            <w:pPr>
              <w:pStyle w:val="Normal-pool"/>
              <w:spacing w:before="40" w:after="40"/>
              <w:jc w:val="right"/>
              <w:rPr>
                <w:b/>
                <w:bCs/>
                <w:sz w:val="18"/>
                <w:szCs w:val="18"/>
              </w:rPr>
            </w:pPr>
            <w:r w:rsidRPr="009C2953">
              <w:rPr>
                <w:b/>
                <w:sz w:val="18"/>
              </w:rPr>
              <w:t>301 047</w:t>
            </w:r>
          </w:p>
        </w:tc>
        <w:tc>
          <w:tcPr>
            <w:tcW w:w="1213" w:type="dxa"/>
            <w:tcBorders>
              <w:top w:val="single" w:sz="4" w:space="0" w:color="000000"/>
              <w:left w:val="nil"/>
              <w:bottom w:val="single" w:sz="4" w:space="0" w:color="000000"/>
              <w:right w:val="nil"/>
            </w:tcBorders>
            <w:vAlign w:val="bottom"/>
            <w:hideMark/>
          </w:tcPr>
          <w:p w14:paraId="4A5E3020" w14:textId="77777777" w:rsidR="00C35A2B" w:rsidRPr="009C2953" w:rsidRDefault="00C35A2B" w:rsidP="00C35A2B">
            <w:pPr>
              <w:pStyle w:val="Normal-pool"/>
              <w:spacing w:before="40" w:after="40"/>
              <w:jc w:val="right"/>
              <w:rPr>
                <w:b/>
                <w:bCs/>
                <w:sz w:val="18"/>
                <w:szCs w:val="18"/>
              </w:rPr>
            </w:pPr>
            <w:r w:rsidRPr="009C2953">
              <w:rPr>
                <w:b/>
                <w:sz w:val="18"/>
              </w:rPr>
              <w:t>234 146</w:t>
            </w:r>
          </w:p>
        </w:tc>
        <w:tc>
          <w:tcPr>
            <w:tcW w:w="1213" w:type="dxa"/>
            <w:tcBorders>
              <w:top w:val="single" w:sz="4" w:space="0" w:color="000000"/>
              <w:left w:val="nil"/>
              <w:bottom w:val="single" w:sz="4" w:space="0" w:color="000000"/>
              <w:right w:val="nil"/>
            </w:tcBorders>
            <w:vAlign w:val="bottom"/>
            <w:hideMark/>
          </w:tcPr>
          <w:p w14:paraId="1A6906C8" w14:textId="77777777" w:rsidR="00C35A2B" w:rsidRPr="009C2953" w:rsidRDefault="00C35A2B" w:rsidP="00C35A2B">
            <w:pPr>
              <w:pStyle w:val="Normal-pool"/>
              <w:spacing w:before="40" w:after="40"/>
              <w:jc w:val="right"/>
              <w:rPr>
                <w:b/>
                <w:bCs/>
                <w:sz w:val="18"/>
                <w:szCs w:val="18"/>
              </w:rPr>
            </w:pPr>
            <w:r w:rsidRPr="009C2953">
              <w:rPr>
                <w:b/>
                <w:sz w:val="18"/>
              </w:rPr>
              <w:t>1 265 209</w:t>
            </w:r>
          </w:p>
        </w:tc>
        <w:tc>
          <w:tcPr>
            <w:tcW w:w="1166" w:type="dxa"/>
            <w:tcBorders>
              <w:top w:val="single" w:sz="4" w:space="0" w:color="000000"/>
              <w:left w:val="nil"/>
              <w:bottom w:val="single" w:sz="4" w:space="0" w:color="000000"/>
              <w:right w:val="single" w:sz="4" w:space="0" w:color="000000"/>
            </w:tcBorders>
            <w:vAlign w:val="bottom"/>
            <w:hideMark/>
          </w:tcPr>
          <w:p w14:paraId="4A35E140" w14:textId="77777777" w:rsidR="00C35A2B" w:rsidRPr="009C2953" w:rsidRDefault="00C35A2B" w:rsidP="00C35A2B">
            <w:pPr>
              <w:pStyle w:val="Normal-pool"/>
              <w:spacing w:before="40" w:after="40"/>
              <w:jc w:val="right"/>
              <w:rPr>
                <w:b/>
                <w:bCs/>
                <w:sz w:val="18"/>
                <w:szCs w:val="18"/>
              </w:rPr>
            </w:pPr>
            <w:r w:rsidRPr="009C2953">
              <w:rPr>
                <w:b/>
                <w:sz w:val="18"/>
              </w:rPr>
              <w:t>133 077</w:t>
            </w:r>
          </w:p>
        </w:tc>
        <w:tc>
          <w:tcPr>
            <w:tcW w:w="1293" w:type="dxa"/>
            <w:tcBorders>
              <w:top w:val="single" w:sz="4" w:space="0" w:color="000000"/>
              <w:left w:val="single" w:sz="4" w:space="0" w:color="000000"/>
              <w:bottom w:val="single" w:sz="4" w:space="0" w:color="000000"/>
              <w:right w:val="nil"/>
            </w:tcBorders>
            <w:vAlign w:val="bottom"/>
            <w:hideMark/>
          </w:tcPr>
          <w:p w14:paraId="100F2FBE" w14:textId="77777777" w:rsidR="00C35A2B" w:rsidRPr="009C2953" w:rsidRDefault="00C35A2B" w:rsidP="00C35A2B">
            <w:pPr>
              <w:pStyle w:val="Normal-pool"/>
              <w:spacing w:before="40" w:after="40"/>
              <w:jc w:val="right"/>
              <w:rPr>
                <w:b/>
                <w:bCs/>
                <w:sz w:val="18"/>
                <w:szCs w:val="18"/>
              </w:rPr>
            </w:pPr>
            <w:r w:rsidRPr="009C2953">
              <w:rPr>
                <w:b/>
                <w:sz w:val="18"/>
              </w:rPr>
              <w:t>154 015</w:t>
            </w:r>
          </w:p>
        </w:tc>
        <w:tc>
          <w:tcPr>
            <w:tcW w:w="1166" w:type="dxa"/>
            <w:tcBorders>
              <w:top w:val="single" w:sz="4" w:space="0" w:color="000000"/>
              <w:left w:val="nil"/>
              <w:bottom w:val="single" w:sz="4" w:space="0" w:color="000000"/>
              <w:right w:val="nil"/>
            </w:tcBorders>
            <w:vAlign w:val="bottom"/>
            <w:hideMark/>
          </w:tcPr>
          <w:p w14:paraId="31A7372F" w14:textId="77777777" w:rsidR="00C35A2B" w:rsidRPr="009C2953" w:rsidRDefault="00C35A2B" w:rsidP="00C35A2B">
            <w:pPr>
              <w:pStyle w:val="Normal-pool"/>
              <w:spacing w:before="40" w:after="40"/>
              <w:jc w:val="right"/>
              <w:rPr>
                <w:b/>
                <w:bCs/>
                <w:sz w:val="18"/>
                <w:szCs w:val="18"/>
              </w:rPr>
            </w:pPr>
            <w:r w:rsidRPr="009C2953">
              <w:rPr>
                <w:b/>
                <w:sz w:val="18"/>
              </w:rPr>
              <w:t>22 002</w:t>
            </w:r>
          </w:p>
        </w:tc>
        <w:tc>
          <w:tcPr>
            <w:tcW w:w="1072" w:type="dxa"/>
            <w:tcBorders>
              <w:top w:val="single" w:sz="4" w:space="0" w:color="000000"/>
              <w:left w:val="nil"/>
              <w:bottom w:val="single" w:sz="4" w:space="0" w:color="000000"/>
              <w:right w:val="nil"/>
            </w:tcBorders>
            <w:vAlign w:val="bottom"/>
            <w:hideMark/>
          </w:tcPr>
          <w:p w14:paraId="76FCD186" w14:textId="77777777" w:rsidR="00C35A2B" w:rsidRPr="009C2953" w:rsidRDefault="00C35A2B" w:rsidP="00C35A2B">
            <w:pPr>
              <w:pStyle w:val="Normal-pool"/>
              <w:spacing w:before="40" w:after="40"/>
              <w:jc w:val="right"/>
              <w:rPr>
                <w:b/>
                <w:bCs/>
                <w:sz w:val="18"/>
                <w:szCs w:val="18"/>
              </w:rPr>
            </w:pPr>
            <w:r w:rsidRPr="009C2953">
              <w:rPr>
                <w:b/>
                <w:sz w:val="18"/>
              </w:rPr>
              <w:t>–</w:t>
            </w:r>
          </w:p>
        </w:tc>
        <w:tc>
          <w:tcPr>
            <w:tcW w:w="1399" w:type="dxa"/>
            <w:tcBorders>
              <w:top w:val="single" w:sz="4" w:space="0" w:color="000000"/>
              <w:left w:val="nil"/>
              <w:bottom w:val="single" w:sz="4" w:space="0" w:color="000000"/>
              <w:right w:val="nil"/>
            </w:tcBorders>
            <w:vAlign w:val="bottom"/>
            <w:hideMark/>
          </w:tcPr>
          <w:p w14:paraId="5BFEFE82" w14:textId="77777777" w:rsidR="00C35A2B" w:rsidRPr="009C2953" w:rsidRDefault="00C35A2B" w:rsidP="00C35A2B">
            <w:pPr>
              <w:pStyle w:val="Normal-pool"/>
              <w:spacing w:before="40" w:after="40"/>
              <w:jc w:val="right"/>
              <w:rPr>
                <w:b/>
                <w:bCs/>
                <w:sz w:val="18"/>
                <w:szCs w:val="18"/>
              </w:rPr>
            </w:pPr>
            <w:r w:rsidRPr="009C2953">
              <w:rPr>
                <w:b/>
                <w:sz w:val="18"/>
              </w:rPr>
              <w:t>176 018</w:t>
            </w:r>
          </w:p>
        </w:tc>
      </w:tr>
      <w:tr w:rsidR="00C35A2B" w:rsidRPr="009C2953" w14:paraId="5F57E36E" w14:textId="77777777" w:rsidTr="00C35A2B">
        <w:trPr>
          <w:trHeight w:val="57"/>
          <w:jc w:val="right"/>
        </w:trPr>
        <w:tc>
          <w:tcPr>
            <w:tcW w:w="2836" w:type="dxa"/>
            <w:tcBorders>
              <w:top w:val="single" w:sz="4" w:space="0" w:color="000000"/>
              <w:left w:val="nil"/>
              <w:bottom w:val="single" w:sz="4" w:space="0" w:color="000000"/>
              <w:right w:val="nil"/>
            </w:tcBorders>
            <w:hideMark/>
          </w:tcPr>
          <w:p w14:paraId="44B403FB" w14:textId="77777777" w:rsidR="00C35A2B" w:rsidRPr="009C2953" w:rsidRDefault="00C35A2B" w:rsidP="00C35A2B">
            <w:pPr>
              <w:pStyle w:val="Normal-pool"/>
              <w:spacing w:before="40" w:after="40"/>
              <w:ind w:left="174"/>
              <w:rPr>
                <w:b/>
                <w:bCs/>
                <w:sz w:val="18"/>
                <w:szCs w:val="18"/>
              </w:rPr>
            </w:pPr>
            <w:r w:rsidRPr="009C2953">
              <w:rPr>
                <w:b/>
                <w:sz w:val="18"/>
              </w:rPr>
              <w:t>Total partiel (1+2)</w:t>
            </w:r>
          </w:p>
        </w:tc>
        <w:tc>
          <w:tcPr>
            <w:tcW w:w="993" w:type="dxa"/>
            <w:tcBorders>
              <w:top w:val="single" w:sz="4" w:space="0" w:color="000000"/>
              <w:left w:val="nil"/>
              <w:bottom w:val="single" w:sz="4" w:space="0" w:color="000000"/>
              <w:right w:val="nil"/>
            </w:tcBorders>
            <w:vAlign w:val="bottom"/>
            <w:hideMark/>
          </w:tcPr>
          <w:p w14:paraId="49098FAC" w14:textId="77777777" w:rsidR="00C35A2B" w:rsidRPr="009C2953" w:rsidRDefault="00C35A2B" w:rsidP="00C35A2B">
            <w:pPr>
              <w:pStyle w:val="Normal-pool"/>
              <w:spacing w:before="40" w:after="40"/>
              <w:jc w:val="right"/>
              <w:rPr>
                <w:b/>
                <w:bCs/>
                <w:sz w:val="18"/>
                <w:szCs w:val="18"/>
              </w:rPr>
            </w:pPr>
            <w:r w:rsidRPr="009C2953">
              <w:rPr>
                <w:b/>
                <w:sz w:val="18"/>
              </w:rPr>
              <w:t>5 037 037</w:t>
            </w:r>
          </w:p>
        </w:tc>
        <w:tc>
          <w:tcPr>
            <w:tcW w:w="992" w:type="dxa"/>
            <w:tcBorders>
              <w:top w:val="single" w:sz="4" w:space="0" w:color="000000"/>
              <w:left w:val="nil"/>
              <w:bottom w:val="single" w:sz="4" w:space="0" w:color="000000"/>
              <w:right w:val="nil"/>
            </w:tcBorders>
            <w:vAlign w:val="bottom"/>
            <w:hideMark/>
          </w:tcPr>
          <w:p w14:paraId="0ED98B02" w14:textId="77777777" w:rsidR="00C35A2B" w:rsidRPr="009C2953" w:rsidRDefault="00C35A2B" w:rsidP="00C35A2B">
            <w:pPr>
              <w:pStyle w:val="Normal-pool"/>
              <w:spacing w:before="40" w:after="40"/>
              <w:jc w:val="right"/>
              <w:rPr>
                <w:b/>
                <w:bCs/>
                <w:sz w:val="18"/>
                <w:szCs w:val="18"/>
              </w:rPr>
            </w:pPr>
            <w:r w:rsidRPr="009C2953">
              <w:rPr>
                <w:b/>
                <w:sz w:val="18"/>
              </w:rPr>
              <w:t>6 936 048</w:t>
            </w:r>
          </w:p>
        </w:tc>
        <w:tc>
          <w:tcPr>
            <w:tcW w:w="1086" w:type="dxa"/>
            <w:tcBorders>
              <w:top w:val="single" w:sz="4" w:space="0" w:color="000000"/>
              <w:left w:val="nil"/>
              <w:bottom w:val="single" w:sz="4" w:space="0" w:color="000000"/>
              <w:right w:val="nil"/>
            </w:tcBorders>
            <w:vAlign w:val="bottom"/>
            <w:hideMark/>
          </w:tcPr>
          <w:p w14:paraId="4AB6972E" w14:textId="77777777" w:rsidR="00C35A2B" w:rsidRPr="009C2953" w:rsidRDefault="00C35A2B" w:rsidP="00C35A2B">
            <w:pPr>
              <w:pStyle w:val="Normal-pool"/>
              <w:spacing w:before="40" w:after="40"/>
              <w:jc w:val="right"/>
              <w:rPr>
                <w:b/>
                <w:bCs/>
                <w:sz w:val="18"/>
                <w:szCs w:val="18"/>
              </w:rPr>
            </w:pPr>
            <w:r w:rsidRPr="009C2953">
              <w:rPr>
                <w:b/>
                <w:sz w:val="18"/>
              </w:rPr>
              <w:t>3 791 379</w:t>
            </w:r>
          </w:p>
        </w:tc>
        <w:tc>
          <w:tcPr>
            <w:tcW w:w="1213" w:type="dxa"/>
            <w:tcBorders>
              <w:top w:val="single" w:sz="4" w:space="0" w:color="000000"/>
              <w:left w:val="nil"/>
              <w:bottom w:val="single" w:sz="4" w:space="0" w:color="000000"/>
              <w:right w:val="nil"/>
            </w:tcBorders>
            <w:vAlign w:val="bottom"/>
            <w:hideMark/>
          </w:tcPr>
          <w:p w14:paraId="59D2962D" w14:textId="77777777" w:rsidR="00C35A2B" w:rsidRPr="009C2953" w:rsidRDefault="00C35A2B" w:rsidP="00C35A2B">
            <w:pPr>
              <w:pStyle w:val="Normal-pool"/>
              <w:spacing w:before="40" w:after="40"/>
              <w:jc w:val="right"/>
              <w:rPr>
                <w:b/>
                <w:bCs/>
                <w:sz w:val="18"/>
                <w:szCs w:val="18"/>
              </w:rPr>
            </w:pPr>
            <w:r w:rsidRPr="009C2953">
              <w:rPr>
                <w:b/>
                <w:sz w:val="18"/>
              </w:rPr>
              <w:t>5 568 774</w:t>
            </w:r>
          </w:p>
        </w:tc>
        <w:tc>
          <w:tcPr>
            <w:tcW w:w="1213" w:type="dxa"/>
            <w:tcBorders>
              <w:top w:val="single" w:sz="4" w:space="0" w:color="000000"/>
              <w:left w:val="nil"/>
              <w:bottom w:val="single" w:sz="4" w:space="0" w:color="000000"/>
              <w:right w:val="nil"/>
            </w:tcBorders>
            <w:vAlign w:val="bottom"/>
            <w:hideMark/>
          </w:tcPr>
          <w:p w14:paraId="7ED82DB6" w14:textId="77777777" w:rsidR="00C35A2B" w:rsidRPr="009C2953" w:rsidRDefault="00C35A2B" w:rsidP="00C35A2B">
            <w:pPr>
              <w:pStyle w:val="Normal-pool"/>
              <w:spacing w:before="40" w:after="40"/>
              <w:jc w:val="right"/>
              <w:rPr>
                <w:b/>
                <w:bCs/>
                <w:sz w:val="18"/>
                <w:szCs w:val="18"/>
              </w:rPr>
            </w:pPr>
            <w:r w:rsidRPr="009C2953">
              <w:rPr>
                <w:b/>
                <w:sz w:val="18"/>
              </w:rPr>
              <w:t>5 425 703</w:t>
            </w:r>
          </w:p>
        </w:tc>
        <w:tc>
          <w:tcPr>
            <w:tcW w:w="1166" w:type="dxa"/>
            <w:tcBorders>
              <w:top w:val="single" w:sz="4" w:space="0" w:color="000000"/>
              <w:left w:val="nil"/>
              <w:bottom w:val="single" w:sz="4" w:space="0" w:color="000000"/>
              <w:right w:val="single" w:sz="4" w:space="0" w:color="000000"/>
            </w:tcBorders>
            <w:vAlign w:val="bottom"/>
            <w:hideMark/>
          </w:tcPr>
          <w:p w14:paraId="465E9880" w14:textId="77777777" w:rsidR="00C35A2B" w:rsidRPr="009C2953" w:rsidRDefault="00C35A2B" w:rsidP="00C35A2B">
            <w:pPr>
              <w:pStyle w:val="Normal-pool"/>
              <w:spacing w:before="40" w:after="40"/>
              <w:jc w:val="right"/>
              <w:rPr>
                <w:b/>
                <w:bCs/>
                <w:sz w:val="18"/>
                <w:szCs w:val="18"/>
              </w:rPr>
            </w:pPr>
            <w:r w:rsidRPr="009C2953">
              <w:rPr>
                <w:b/>
                <w:sz w:val="18"/>
              </w:rPr>
              <w:t>4 711 177</w:t>
            </w:r>
          </w:p>
        </w:tc>
        <w:tc>
          <w:tcPr>
            <w:tcW w:w="1293" w:type="dxa"/>
            <w:tcBorders>
              <w:top w:val="single" w:sz="4" w:space="0" w:color="000000"/>
              <w:left w:val="single" w:sz="4" w:space="0" w:color="000000"/>
              <w:bottom w:val="single" w:sz="4" w:space="0" w:color="000000"/>
              <w:right w:val="nil"/>
            </w:tcBorders>
            <w:vAlign w:val="bottom"/>
            <w:hideMark/>
          </w:tcPr>
          <w:p w14:paraId="360D4A3B" w14:textId="77777777" w:rsidR="00C35A2B" w:rsidRPr="009C2953" w:rsidRDefault="00C35A2B" w:rsidP="00C35A2B">
            <w:pPr>
              <w:pStyle w:val="Normal-pool"/>
              <w:spacing w:before="40" w:after="40"/>
              <w:jc w:val="right"/>
              <w:rPr>
                <w:b/>
                <w:bCs/>
                <w:sz w:val="18"/>
                <w:szCs w:val="18"/>
              </w:rPr>
            </w:pPr>
            <w:r w:rsidRPr="009C2953">
              <w:rPr>
                <w:b/>
                <w:sz w:val="18"/>
              </w:rPr>
              <w:t>2 401 354</w:t>
            </w:r>
          </w:p>
        </w:tc>
        <w:tc>
          <w:tcPr>
            <w:tcW w:w="1166" w:type="dxa"/>
            <w:tcBorders>
              <w:top w:val="single" w:sz="4" w:space="0" w:color="000000"/>
              <w:left w:val="nil"/>
              <w:bottom w:val="single" w:sz="4" w:space="0" w:color="000000"/>
              <w:right w:val="nil"/>
            </w:tcBorders>
            <w:vAlign w:val="bottom"/>
            <w:hideMark/>
          </w:tcPr>
          <w:p w14:paraId="36E58A35" w14:textId="77777777" w:rsidR="00C35A2B" w:rsidRPr="009C2953" w:rsidRDefault="00C35A2B" w:rsidP="00C35A2B">
            <w:pPr>
              <w:pStyle w:val="Normal-pool"/>
              <w:spacing w:before="40" w:after="40"/>
              <w:jc w:val="right"/>
              <w:rPr>
                <w:b/>
                <w:bCs/>
                <w:sz w:val="18"/>
                <w:szCs w:val="18"/>
              </w:rPr>
            </w:pPr>
            <w:r w:rsidRPr="009C2953">
              <w:rPr>
                <w:b/>
                <w:sz w:val="18"/>
              </w:rPr>
              <w:t>1 710 071</w:t>
            </w:r>
          </w:p>
        </w:tc>
        <w:tc>
          <w:tcPr>
            <w:tcW w:w="1072" w:type="dxa"/>
            <w:tcBorders>
              <w:top w:val="single" w:sz="4" w:space="0" w:color="000000"/>
              <w:left w:val="nil"/>
              <w:bottom w:val="single" w:sz="4" w:space="0" w:color="000000"/>
              <w:right w:val="nil"/>
            </w:tcBorders>
            <w:vAlign w:val="bottom"/>
            <w:hideMark/>
          </w:tcPr>
          <w:p w14:paraId="1EF3E5C1" w14:textId="77777777" w:rsidR="00C35A2B" w:rsidRPr="009C2953" w:rsidRDefault="00C35A2B" w:rsidP="00C35A2B">
            <w:pPr>
              <w:pStyle w:val="Normal-pool"/>
              <w:spacing w:before="40" w:after="40"/>
              <w:jc w:val="right"/>
              <w:rPr>
                <w:b/>
                <w:bCs/>
                <w:sz w:val="18"/>
                <w:szCs w:val="18"/>
              </w:rPr>
            </w:pPr>
            <w:r w:rsidRPr="009C2953">
              <w:rPr>
                <w:b/>
                <w:sz w:val="18"/>
              </w:rPr>
              <w:t>3 392 051</w:t>
            </w:r>
          </w:p>
        </w:tc>
        <w:tc>
          <w:tcPr>
            <w:tcW w:w="1399" w:type="dxa"/>
            <w:tcBorders>
              <w:top w:val="single" w:sz="4" w:space="0" w:color="000000"/>
              <w:left w:val="nil"/>
              <w:bottom w:val="single" w:sz="4" w:space="0" w:color="000000"/>
              <w:right w:val="nil"/>
            </w:tcBorders>
            <w:vAlign w:val="bottom"/>
            <w:hideMark/>
          </w:tcPr>
          <w:p w14:paraId="0DC1D011" w14:textId="77777777" w:rsidR="00C35A2B" w:rsidRPr="009C2953" w:rsidRDefault="00C35A2B" w:rsidP="00C35A2B">
            <w:pPr>
              <w:pStyle w:val="Normal-pool"/>
              <w:spacing w:before="40" w:after="40"/>
              <w:jc w:val="right"/>
              <w:rPr>
                <w:b/>
                <w:bCs/>
                <w:sz w:val="18"/>
                <w:szCs w:val="18"/>
              </w:rPr>
            </w:pPr>
            <w:r w:rsidRPr="009C2953">
              <w:rPr>
                <w:b/>
                <w:sz w:val="18"/>
              </w:rPr>
              <w:t>7 503 476</w:t>
            </w:r>
          </w:p>
        </w:tc>
      </w:tr>
      <w:tr w:rsidR="00C35A2B" w:rsidRPr="009C2953" w14:paraId="6EBAF739" w14:textId="77777777" w:rsidTr="00C35A2B">
        <w:trPr>
          <w:trHeight w:val="57"/>
          <w:jc w:val="right"/>
        </w:trPr>
        <w:tc>
          <w:tcPr>
            <w:tcW w:w="2836" w:type="dxa"/>
            <w:tcBorders>
              <w:top w:val="single" w:sz="4" w:space="0" w:color="000000"/>
              <w:left w:val="nil"/>
              <w:bottom w:val="single" w:sz="4" w:space="0" w:color="000000"/>
              <w:right w:val="nil"/>
            </w:tcBorders>
            <w:hideMark/>
          </w:tcPr>
          <w:p w14:paraId="49BCE933" w14:textId="01FDCC15" w:rsidR="00C35A2B" w:rsidRPr="009C2953" w:rsidRDefault="00C35A2B" w:rsidP="00C35A2B">
            <w:pPr>
              <w:pStyle w:val="Normal-pool"/>
              <w:tabs>
                <w:tab w:val="left" w:pos="174"/>
              </w:tabs>
              <w:spacing w:before="40" w:after="40"/>
              <w:ind w:left="174" w:hanging="174"/>
              <w:rPr>
                <w:b/>
                <w:bCs/>
                <w:i/>
                <w:sz w:val="18"/>
                <w:szCs w:val="18"/>
              </w:rPr>
            </w:pPr>
            <w:r w:rsidRPr="009C2953">
              <w:rPr>
                <w:b/>
                <w:sz w:val="18"/>
              </w:rPr>
              <w:t>3.</w:t>
            </w:r>
            <w:r w:rsidRPr="009C2953">
              <w:rPr>
                <w:b/>
                <w:i/>
                <w:sz w:val="18"/>
              </w:rPr>
              <w:tab/>
            </w:r>
            <w:r w:rsidRPr="009C2953">
              <w:rPr>
                <w:b/>
                <w:sz w:val="18"/>
              </w:rPr>
              <w:t xml:space="preserve">Revenu des investissements et recettes </w:t>
            </w:r>
            <w:proofErr w:type="spellStart"/>
            <w:r w:rsidRPr="009C2953">
              <w:rPr>
                <w:b/>
                <w:sz w:val="18"/>
              </w:rPr>
              <w:t>accessoires</w:t>
            </w:r>
            <w:r w:rsidRPr="009C2953">
              <w:rPr>
                <w:b/>
                <w:sz w:val="18"/>
                <w:vertAlign w:val="superscript"/>
              </w:rPr>
              <w:t>b</w:t>
            </w:r>
            <w:proofErr w:type="spellEnd"/>
          </w:p>
        </w:tc>
        <w:tc>
          <w:tcPr>
            <w:tcW w:w="993" w:type="dxa"/>
            <w:tcBorders>
              <w:top w:val="single" w:sz="4" w:space="0" w:color="000000"/>
              <w:left w:val="nil"/>
              <w:bottom w:val="single" w:sz="4" w:space="0" w:color="000000"/>
              <w:right w:val="nil"/>
            </w:tcBorders>
            <w:vAlign w:val="bottom"/>
            <w:hideMark/>
          </w:tcPr>
          <w:p w14:paraId="6F4B1521" w14:textId="77777777" w:rsidR="00C35A2B" w:rsidRPr="009C2953" w:rsidRDefault="00C35A2B" w:rsidP="00C35A2B">
            <w:pPr>
              <w:pStyle w:val="Normal-pool"/>
              <w:spacing w:before="40" w:after="40"/>
              <w:jc w:val="right"/>
              <w:rPr>
                <w:b/>
                <w:bCs/>
                <w:sz w:val="18"/>
                <w:szCs w:val="18"/>
              </w:rPr>
            </w:pPr>
            <w:r w:rsidRPr="009C2953">
              <w:rPr>
                <w:b/>
                <w:sz w:val="18"/>
              </w:rPr>
              <w:t>158 546</w:t>
            </w:r>
          </w:p>
        </w:tc>
        <w:tc>
          <w:tcPr>
            <w:tcW w:w="992" w:type="dxa"/>
            <w:tcBorders>
              <w:top w:val="single" w:sz="4" w:space="0" w:color="000000"/>
              <w:left w:val="nil"/>
              <w:bottom w:val="single" w:sz="4" w:space="0" w:color="000000"/>
              <w:right w:val="nil"/>
            </w:tcBorders>
            <w:vAlign w:val="bottom"/>
            <w:hideMark/>
          </w:tcPr>
          <w:p w14:paraId="2E767765" w14:textId="77777777" w:rsidR="00C35A2B" w:rsidRPr="009C2953" w:rsidRDefault="00C35A2B" w:rsidP="00C35A2B">
            <w:pPr>
              <w:pStyle w:val="Normal-pool"/>
              <w:spacing w:before="40" w:after="40"/>
              <w:jc w:val="right"/>
              <w:rPr>
                <w:b/>
                <w:bCs/>
                <w:sz w:val="18"/>
                <w:szCs w:val="18"/>
              </w:rPr>
            </w:pPr>
            <w:r w:rsidRPr="009C2953">
              <w:rPr>
                <w:b/>
                <w:sz w:val="18"/>
              </w:rPr>
              <w:t>217 091</w:t>
            </w:r>
          </w:p>
        </w:tc>
        <w:tc>
          <w:tcPr>
            <w:tcW w:w="1086" w:type="dxa"/>
            <w:tcBorders>
              <w:top w:val="single" w:sz="4" w:space="0" w:color="000000"/>
              <w:left w:val="nil"/>
              <w:bottom w:val="single" w:sz="4" w:space="0" w:color="000000"/>
              <w:right w:val="nil"/>
            </w:tcBorders>
            <w:vAlign w:val="bottom"/>
            <w:hideMark/>
          </w:tcPr>
          <w:p w14:paraId="11CF2075" w14:textId="77777777" w:rsidR="00C35A2B" w:rsidRPr="009C2953" w:rsidRDefault="00C35A2B" w:rsidP="00C35A2B">
            <w:pPr>
              <w:pStyle w:val="Normal-pool"/>
              <w:spacing w:before="40" w:after="40"/>
              <w:jc w:val="right"/>
              <w:rPr>
                <w:b/>
                <w:bCs/>
                <w:sz w:val="18"/>
                <w:szCs w:val="18"/>
              </w:rPr>
            </w:pPr>
            <w:r w:rsidRPr="009C2953">
              <w:rPr>
                <w:b/>
                <w:sz w:val="18"/>
              </w:rPr>
              <w:t>179 314</w:t>
            </w:r>
          </w:p>
        </w:tc>
        <w:tc>
          <w:tcPr>
            <w:tcW w:w="1213" w:type="dxa"/>
            <w:tcBorders>
              <w:top w:val="single" w:sz="4" w:space="0" w:color="000000"/>
              <w:left w:val="nil"/>
              <w:bottom w:val="single" w:sz="4" w:space="0" w:color="000000"/>
              <w:right w:val="nil"/>
            </w:tcBorders>
            <w:vAlign w:val="bottom"/>
            <w:hideMark/>
          </w:tcPr>
          <w:p w14:paraId="521CD5E9" w14:textId="35BE647F" w:rsidR="00C35A2B" w:rsidRPr="009C2953" w:rsidRDefault="00C35A2B" w:rsidP="00C35A2B">
            <w:pPr>
              <w:pStyle w:val="Normal-pool"/>
              <w:spacing w:before="40" w:after="40"/>
              <w:jc w:val="right"/>
              <w:rPr>
                <w:b/>
                <w:bCs/>
                <w:sz w:val="18"/>
                <w:szCs w:val="18"/>
              </w:rPr>
            </w:pPr>
            <w:r w:rsidRPr="009C2953">
              <w:rPr>
                <w:b/>
                <w:sz w:val="18"/>
              </w:rPr>
              <w:t>8</w:t>
            </w:r>
            <w:r w:rsidR="003A08C4" w:rsidRPr="009C2953">
              <w:rPr>
                <w:b/>
                <w:sz w:val="18"/>
              </w:rPr>
              <w:t> </w:t>
            </w:r>
            <w:r w:rsidRPr="009C2953">
              <w:rPr>
                <w:b/>
                <w:sz w:val="18"/>
              </w:rPr>
              <w:t>856</w:t>
            </w:r>
          </w:p>
        </w:tc>
        <w:tc>
          <w:tcPr>
            <w:tcW w:w="1213" w:type="dxa"/>
            <w:tcBorders>
              <w:top w:val="single" w:sz="4" w:space="0" w:color="000000"/>
              <w:left w:val="nil"/>
              <w:bottom w:val="single" w:sz="4" w:space="0" w:color="000000"/>
              <w:right w:val="nil"/>
            </w:tcBorders>
            <w:vAlign w:val="bottom"/>
            <w:hideMark/>
          </w:tcPr>
          <w:p w14:paraId="37472855" w14:textId="77777777" w:rsidR="00C35A2B" w:rsidRPr="009C2953" w:rsidRDefault="00C35A2B" w:rsidP="00C35A2B">
            <w:pPr>
              <w:pStyle w:val="Normal-pool"/>
              <w:spacing w:before="40" w:after="40"/>
              <w:jc w:val="right"/>
              <w:rPr>
                <w:b/>
                <w:bCs/>
                <w:sz w:val="18"/>
                <w:szCs w:val="18"/>
              </w:rPr>
            </w:pPr>
            <w:r w:rsidRPr="009C2953">
              <w:rPr>
                <w:b/>
                <w:sz w:val="18"/>
              </w:rPr>
              <w:t>41 965</w:t>
            </w:r>
          </w:p>
        </w:tc>
        <w:tc>
          <w:tcPr>
            <w:tcW w:w="1166" w:type="dxa"/>
            <w:tcBorders>
              <w:top w:val="single" w:sz="4" w:space="0" w:color="000000"/>
              <w:left w:val="nil"/>
              <w:bottom w:val="single" w:sz="4" w:space="0" w:color="000000"/>
              <w:right w:val="single" w:sz="4" w:space="0" w:color="000000"/>
            </w:tcBorders>
            <w:vAlign w:val="bottom"/>
            <w:hideMark/>
          </w:tcPr>
          <w:p w14:paraId="3FE312CE" w14:textId="77777777" w:rsidR="00C35A2B" w:rsidRPr="009C2953" w:rsidRDefault="00C35A2B" w:rsidP="00C35A2B">
            <w:pPr>
              <w:pStyle w:val="Normal-pool"/>
              <w:spacing w:before="40" w:after="40"/>
              <w:jc w:val="right"/>
              <w:rPr>
                <w:b/>
                <w:bCs/>
                <w:sz w:val="18"/>
                <w:szCs w:val="18"/>
              </w:rPr>
            </w:pPr>
            <w:r w:rsidRPr="009C2953">
              <w:rPr>
                <w:b/>
                <w:sz w:val="18"/>
              </w:rPr>
              <w:t>198 234</w:t>
            </w:r>
          </w:p>
        </w:tc>
        <w:tc>
          <w:tcPr>
            <w:tcW w:w="1293" w:type="dxa"/>
            <w:tcBorders>
              <w:top w:val="single" w:sz="4" w:space="0" w:color="000000"/>
              <w:left w:val="single" w:sz="4" w:space="0" w:color="000000"/>
              <w:bottom w:val="single" w:sz="4" w:space="0" w:color="000000"/>
              <w:right w:val="nil"/>
            </w:tcBorders>
            <w:vAlign w:val="bottom"/>
            <w:hideMark/>
          </w:tcPr>
          <w:p w14:paraId="05553F15" w14:textId="77777777" w:rsidR="00C35A2B" w:rsidRPr="009C2953" w:rsidRDefault="00C35A2B" w:rsidP="00C35A2B">
            <w:pPr>
              <w:pStyle w:val="Normal-pool"/>
              <w:spacing w:before="40" w:after="40"/>
              <w:jc w:val="right"/>
              <w:rPr>
                <w:b/>
                <w:bCs/>
                <w:sz w:val="18"/>
                <w:szCs w:val="18"/>
              </w:rPr>
            </w:pPr>
            <w:r w:rsidRPr="009C2953">
              <w:rPr>
                <w:b/>
                <w:sz w:val="18"/>
              </w:rPr>
              <w:t>–</w:t>
            </w:r>
          </w:p>
        </w:tc>
        <w:tc>
          <w:tcPr>
            <w:tcW w:w="1166" w:type="dxa"/>
            <w:tcBorders>
              <w:top w:val="single" w:sz="4" w:space="0" w:color="000000"/>
              <w:left w:val="nil"/>
              <w:bottom w:val="single" w:sz="4" w:space="0" w:color="000000"/>
              <w:right w:val="nil"/>
            </w:tcBorders>
            <w:vAlign w:val="bottom"/>
            <w:hideMark/>
          </w:tcPr>
          <w:p w14:paraId="3261BEBA" w14:textId="77777777" w:rsidR="00C35A2B" w:rsidRPr="009C2953" w:rsidRDefault="00C35A2B" w:rsidP="00C35A2B">
            <w:pPr>
              <w:pStyle w:val="Normal-pool"/>
              <w:spacing w:before="40" w:after="40"/>
              <w:jc w:val="right"/>
              <w:rPr>
                <w:b/>
                <w:bCs/>
                <w:sz w:val="18"/>
                <w:szCs w:val="18"/>
              </w:rPr>
            </w:pPr>
            <w:r w:rsidRPr="009C2953">
              <w:rPr>
                <w:b/>
                <w:sz w:val="18"/>
              </w:rPr>
              <w:t>–</w:t>
            </w:r>
          </w:p>
        </w:tc>
        <w:tc>
          <w:tcPr>
            <w:tcW w:w="1072" w:type="dxa"/>
            <w:tcBorders>
              <w:top w:val="single" w:sz="4" w:space="0" w:color="000000"/>
              <w:left w:val="nil"/>
              <w:bottom w:val="single" w:sz="4" w:space="0" w:color="000000"/>
              <w:right w:val="nil"/>
            </w:tcBorders>
            <w:vAlign w:val="bottom"/>
            <w:hideMark/>
          </w:tcPr>
          <w:p w14:paraId="6ADEC4F4" w14:textId="77777777" w:rsidR="00C35A2B" w:rsidRPr="009C2953" w:rsidRDefault="00C35A2B" w:rsidP="00C35A2B">
            <w:pPr>
              <w:pStyle w:val="Normal-pool"/>
              <w:spacing w:before="40" w:after="40"/>
              <w:jc w:val="right"/>
              <w:rPr>
                <w:b/>
                <w:bCs/>
                <w:sz w:val="18"/>
                <w:szCs w:val="18"/>
              </w:rPr>
            </w:pPr>
            <w:r w:rsidRPr="009C2953">
              <w:rPr>
                <w:b/>
                <w:sz w:val="18"/>
              </w:rPr>
              <w:t>–</w:t>
            </w:r>
          </w:p>
        </w:tc>
        <w:tc>
          <w:tcPr>
            <w:tcW w:w="1399" w:type="dxa"/>
            <w:tcBorders>
              <w:top w:val="single" w:sz="4" w:space="0" w:color="000000"/>
              <w:left w:val="nil"/>
              <w:bottom w:val="single" w:sz="4" w:space="0" w:color="000000"/>
              <w:right w:val="nil"/>
            </w:tcBorders>
            <w:vAlign w:val="bottom"/>
            <w:hideMark/>
          </w:tcPr>
          <w:p w14:paraId="7F36A73E" w14:textId="77777777" w:rsidR="00C35A2B" w:rsidRPr="009C2953" w:rsidRDefault="00C35A2B" w:rsidP="00C35A2B">
            <w:pPr>
              <w:pStyle w:val="Normal-pool"/>
              <w:spacing w:before="40" w:after="40"/>
              <w:jc w:val="right"/>
              <w:rPr>
                <w:b/>
                <w:bCs/>
                <w:sz w:val="18"/>
                <w:szCs w:val="18"/>
              </w:rPr>
            </w:pPr>
            <w:r w:rsidRPr="009C2953">
              <w:rPr>
                <w:b/>
                <w:sz w:val="18"/>
              </w:rPr>
              <w:t>–</w:t>
            </w:r>
          </w:p>
        </w:tc>
      </w:tr>
      <w:tr w:rsidR="00C35A2B" w:rsidRPr="009C2953" w14:paraId="2EEF69FB" w14:textId="77777777" w:rsidTr="00C35A2B">
        <w:trPr>
          <w:trHeight w:val="57"/>
          <w:jc w:val="right"/>
        </w:trPr>
        <w:tc>
          <w:tcPr>
            <w:tcW w:w="2836" w:type="dxa"/>
            <w:tcBorders>
              <w:top w:val="single" w:sz="4" w:space="0" w:color="000000"/>
              <w:left w:val="nil"/>
              <w:bottom w:val="single" w:sz="12" w:space="0" w:color="000000"/>
              <w:right w:val="nil"/>
            </w:tcBorders>
            <w:hideMark/>
          </w:tcPr>
          <w:p w14:paraId="15AB2FBC" w14:textId="77777777" w:rsidR="00C35A2B" w:rsidRPr="009C2953" w:rsidRDefault="00C35A2B" w:rsidP="00C35A2B">
            <w:pPr>
              <w:pStyle w:val="Normal-pool"/>
              <w:spacing w:before="40" w:after="40"/>
              <w:ind w:left="174"/>
              <w:rPr>
                <w:b/>
                <w:bCs/>
                <w:sz w:val="18"/>
                <w:szCs w:val="18"/>
              </w:rPr>
            </w:pPr>
            <w:r w:rsidRPr="009C2953">
              <w:rPr>
                <w:b/>
                <w:sz w:val="18"/>
              </w:rPr>
              <w:t>Total (1 + 2 + 3)</w:t>
            </w:r>
          </w:p>
        </w:tc>
        <w:tc>
          <w:tcPr>
            <w:tcW w:w="993" w:type="dxa"/>
            <w:tcBorders>
              <w:top w:val="single" w:sz="4" w:space="0" w:color="000000"/>
              <w:left w:val="nil"/>
              <w:bottom w:val="single" w:sz="12" w:space="0" w:color="000000"/>
              <w:right w:val="nil"/>
            </w:tcBorders>
            <w:vAlign w:val="bottom"/>
            <w:hideMark/>
          </w:tcPr>
          <w:p w14:paraId="6352F3AC" w14:textId="77777777" w:rsidR="00C35A2B" w:rsidRPr="009C2953" w:rsidRDefault="00C35A2B" w:rsidP="00C35A2B">
            <w:pPr>
              <w:pStyle w:val="Normal-pool"/>
              <w:spacing w:before="40" w:after="40"/>
              <w:jc w:val="right"/>
              <w:rPr>
                <w:b/>
                <w:bCs/>
                <w:sz w:val="18"/>
                <w:szCs w:val="18"/>
              </w:rPr>
            </w:pPr>
            <w:r w:rsidRPr="009C2953">
              <w:rPr>
                <w:b/>
                <w:sz w:val="18"/>
              </w:rPr>
              <w:t>5 195 583</w:t>
            </w:r>
          </w:p>
        </w:tc>
        <w:tc>
          <w:tcPr>
            <w:tcW w:w="992" w:type="dxa"/>
            <w:tcBorders>
              <w:top w:val="single" w:sz="4" w:space="0" w:color="000000"/>
              <w:left w:val="nil"/>
              <w:bottom w:val="single" w:sz="12" w:space="0" w:color="000000"/>
              <w:right w:val="nil"/>
            </w:tcBorders>
            <w:vAlign w:val="bottom"/>
            <w:hideMark/>
          </w:tcPr>
          <w:p w14:paraId="005AE60E" w14:textId="77777777" w:rsidR="00C35A2B" w:rsidRPr="009C2953" w:rsidRDefault="00C35A2B" w:rsidP="00C35A2B">
            <w:pPr>
              <w:pStyle w:val="Normal-pool"/>
              <w:spacing w:before="40" w:after="40"/>
              <w:jc w:val="right"/>
              <w:rPr>
                <w:b/>
                <w:bCs/>
                <w:sz w:val="18"/>
                <w:szCs w:val="18"/>
              </w:rPr>
            </w:pPr>
            <w:r w:rsidRPr="009C2953">
              <w:rPr>
                <w:b/>
                <w:sz w:val="18"/>
              </w:rPr>
              <w:t>7 153 139</w:t>
            </w:r>
          </w:p>
        </w:tc>
        <w:tc>
          <w:tcPr>
            <w:tcW w:w="1086" w:type="dxa"/>
            <w:tcBorders>
              <w:top w:val="single" w:sz="4" w:space="0" w:color="000000"/>
              <w:left w:val="nil"/>
              <w:bottom w:val="single" w:sz="12" w:space="0" w:color="000000"/>
              <w:right w:val="nil"/>
            </w:tcBorders>
            <w:vAlign w:val="bottom"/>
            <w:hideMark/>
          </w:tcPr>
          <w:p w14:paraId="3A384F06" w14:textId="77777777" w:rsidR="00C35A2B" w:rsidRPr="009C2953" w:rsidRDefault="00C35A2B" w:rsidP="00C35A2B">
            <w:pPr>
              <w:pStyle w:val="Normal-pool"/>
              <w:spacing w:before="40" w:after="40"/>
              <w:jc w:val="right"/>
              <w:rPr>
                <w:b/>
                <w:bCs/>
                <w:sz w:val="18"/>
                <w:szCs w:val="18"/>
              </w:rPr>
            </w:pPr>
            <w:r w:rsidRPr="009C2953">
              <w:rPr>
                <w:b/>
                <w:sz w:val="18"/>
              </w:rPr>
              <w:t>3 970 693</w:t>
            </w:r>
          </w:p>
        </w:tc>
        <w:tc>
          <w:tcPr>
            <w:tcW w:w="1213" w:type="dxa"/>
            <w:tcBorders>
              <w:top w:val="single" w:sz="4" w:space="0" w:color="000000"/>
              <w:left w:val="nil"/>
              <w:bottom w:val="single" w:sz="12" w:space="0" w:color="000000"/>
              <w:right w:val="nil"/>
            </w:tcBorders>
            <w:vAlign w:val="bottom"/>
            <w:hideMark/>
          </w:tcPr>
          <w:p w14:paraId="1D3C6BE8" w14:textId="77777777" w:rsidR="00C35A2B" w:rsidRPr="009C2953" w:rsidRDefault="00C35A2B" w:rsidP="00C35A2B">
            <w:pPr>
              <w:pStyle w:val="Normal-pool"/>
              <w:spacing w:before="40" w:after="40"/>
              <w:jc w:val="right"/>
              <w:rPr>
                <w:b/>
                <w:bCs/>
                <w:sz w:val="18"/>
                <w:szCs w:val="18"/>
              </w:rPr>
            </w:pPr>
            <w:r w:rsidRPr="009C2953">
              <w:rPr>
                <w:b/>
                <w:sz w:val="18"/>
              </w:rPr>
              <w:t>5 559 918</w:t>
            </w:r>
          </w:p>
        </w:tc>
        <w:tc>
          <w:tcPr>
            <w:tcW w:w="1213" w:type="dxa"/>
            <w:tcBorders>
              <w:top w:val="single" w:sz="4" w:space="0" w:color="000000"/>
              <w:left w:val="nil"/>
              <w:bottom w:val="single" w:sz="12" w:space="0" w:color="000000"/>
              <w:right w:val="nil"/>
            </w:tcBorders>
            <w:vAlign w:val="bottom"/>
            <w:hideMark/>
          </w:tcPr>
          <w:p w14:paraId="32045329" w14:textId="77777777" w:rsidR="00C35A2B" w:rsidRPr="009C2953" w:rsidRDefault="00C35A2B" w:rsidP="00C35A2B">
            <w:pPr>
              <w:pStyle w:val="Normal-pool"/>
              <w:spacing w:before="40" w:after="40"/>
              <w:jc w:val="right"/>
              <w:rPr>
                <w:b/>
                <w:bCs/>
                <w:sz w:val="18"/>
                <w:szCs w:val="18"/>
              </w:rPr>
            </w:pPr>
            <w:r w:rsidRPr="009C2953">
              <w:rPr>
                <w:b/>
                <w:sz w:val="18"/>
              </w:rPr>
              <w:t>5 467 668</w:t>
            </w:r>
          </w:p>
        </w:tc>
        <w:tc>
          <w:tcPr>
            <w:tcW w:w="1166" w:type="dxa"/>
            <w:tcBorders>
              <w:top w:val="single" w:sz="4" w:space="0" w:color="000000"/>
              <w:left w:val="nil"/>
              <w:bottom w:val="single" w:sz="12" w:space="0" w:color="000000"/>
              <w:right w:val="single" w:sz="4" w:space="0" w:color="000000"/>
            </w:tcBorders>
            <w:vAlign w:val="bottom"/>
            <w:hideMark/>
          </w:tcPr>
          <w:p w14:paraId="6AF7285B" w14:textId="77777777" w:rsidR="00C35A2B" w:rsidRPr="009C2953" w:rsidRDefault="00C35A2B" w:rsidP="00C35A2B">
            <w:pPr>
              <w:pStyle w:val="Normal-pool"/>
              <w:spacing w:before="40" w:after="40"/>
              <w:jc w:val="right"/>
              <w:rPr>
                <w:b/>
                <w:bCs/>
                <w:sz w:val="18"/>
                <w:szCs w:val="18"/>
              </w:rPr>
            </w:pPr>
            <w:r w:rsidRPr="009C2953">
              <w:rPr>
                <w:b/>
                <w:sz w:val="18"/>
              </w:rPr>
              <w:t>4 909 411</w:t>
            </w:r>
          </w:p>
        </w:tc>
        <w:tc>
          <w:tcPr>
            <w:tcW w:w="1293" w:type="dxa"/>
            <w:tcBorders>
              <w:top w:val="single" w:sz="4" w:space="0" w:color="000000"/>
              <w:left w:val="single" w:sz="4" w:space="0" w:color="000000"/>
              <w:bottom w:val="single" w:sz="12" w:space="0" w:color="000000"/>
              <w:right w:val="nil"/>
            </w:tcBorders>
            <w:vAlign w:val="bottom"/>
            <w:hideMark/>
          </w:tcPr>
          <w:p w14:paraId="26D40A72" w14:textId="77777777" w:rsidR="00C35A2B" w:rsidRPr="009C2953" w:rsidRDefault="00C35A2B" w:rsidP="00C35A2B">
            <w:pPr>
              <w:pStyle w:val="Normal-pool"/>
              <w:spacing w:before="40" w:after="40"/>
              <w:jc w:val="right"/>
              <w:rPr>
                <w:b/>
                <w:bCs/>
                <w:sz w:val="18"/>
                <w:szCs w:val="18"/>
              </w:rPr>
            </w:pPr>
            <w:r w:rsidRPr="009C2953">
              <w:rPr>
                <w:b/>
                <w:sz w:val="18"/>
              </w:rPr>
              <w:t>2 401 354</w:t>
            </w:r>
          </w:p>
        </w:tc>
        <w:tc>
          <w:tcPr>
            <w:tcW w:w="1166" w:type="dxa"/>
            <w:tcBorders>
              <w:top w:val="single" w:sz="4" w:space="0" w:color="000000"/>
              <w:left w:val="nil"/>
              <w:bottom w:val="single" w:sz="12" w:space="0" w:color="000000"/>
              <w:right w:val="nil"/>
            </w:tcBorders>
            <w:vAlign w:val="bottom"/>
            <w:hideMark/>
          </w:tcPr>
          <w:p w14:paraId="2FA173BC" w14:textId="77777777" w:rsidR="00C35A2B" w:rsidRPr="009C2953" w:rsidRDefault="00C35A2B" w:rsidP="00C35A2B">
            <w:pPr>
              <w:pStyle w:val="Normal-pool"/>
              <w:spacing w:before="40" w:after="40"/>
              <w:jc w:val="right"/>
              <w:rPr>
                <w:b/>
                <w:bCs/>
                <w:sz w:val="18"/>
                <w:szCs w:val="18"/>
              </w:rPr>
            </w:pPr>
            <w:r w:rsidRPr="009C2953">
              <w:rPr>
                <w:b/>
                <w:sz w:val="18"/>
              </w:rPr>
              <w:t>1 710 071</w:t>
            </w:r>
          </w:p>
        </w:tc>
        <w:tc>
          <w:tcPr>
            <w:tcW w:w="1072" w:type="dxa"/>
            <w:tcBorders>
              <w:top w:val="single" w:sz="4" w:space="0" w:color="000000"/>
              <w:left w:val="nil"/>
              <w:bottom w:val="single" w:sz="12" w:space="0" w:color="000000"/>
              <w:right w:val="nil"/>
            </w:tcBorders>
            <w:vAlign w:val="bottom"/>
            <w:hideMark/>
          </w:tcPr>
          <w:p w14:paraId="5FE1AF3D" w14:textId="77777777" w:rsidR="00C35A2B" w:rsidRPr="009C2953" w:rsidRDefault="00C35A2B" w:rsidP="00C35A2B">
            <w:pPr>
              <w:pStyle w:val="Normal-pool"/>
              <w:spacing w:before="40" w:after="40"/>
              <w:jc w:val="right"/>
              <w:rPr>
                <w:b/>
                <w:bCs/>
                <w:sz w:val="18"/>
                <w:szCs w:val="18"/>
              </w:rPr>
            </w:pPr>
            <w:r w:rsidRPr="009C2953">
              <w:rPr>
                <w:b/>
                <w:sz w:val="18"/>
              </w:rPr>
              <w:t>3 392 051</w:t>
            </w:r>
          </w:p>
        </w:tc>
        <w:tc>
          <w:tcPr>
            <w:tcW w:w="1399" w:type="dxa"/>
            <w:tcBorders>
              <w:top w:val="single" w:sz="4" w:space="0" w:color="000000"/>
              <w:left w:val="nil"/>
              <w:bottom w:val="single" w:sz="12" w:space="0" w:color="000000"/>
              <w:right w:val="nil"/>
            </w:tcBorders>
            <w:vAlign w:val="bottom"/>
            <w:hideMark/>
          </w:tcPr>
          <w:p w14:paraId="700C9CFC" w14:textId="77777777" w:rsidR="00C35A2B" w:rsidRPr="009C2953" w:rsidRDefault="00C35A2B" w:rsidP="00C35A2B">
            <w:pPr>
              <w:pStyle w:val="Normal-pool"/>
              <w:spacing w:before="40" w:after="40"/>
              <w:jc w:val="right"/>
              <w:rPr>
                <w:b/>
                <w:bCs/>
                <w:sz w:val="18"/>
                <w:szCs w:val="18"/>
              </w:rPr>
            </w:pPr>
            <w:r w:rsidRPr="009C2953">
              <w:rPr>
                <w:b/>
                <w:sz w:val="18"/>
              </w:rPr>
              <w:t>7 503 476</w:t>
            </w:r>
          </w:p>
        </w:tc>
      </w:tr>
    </w:tbl>
    <w:p w14:paraId="31C19488" w14:textId="3A0DE22C" w:rsidR="00607B78" w:rsidRPr="009C2953" w:rsidRDefault="00607B78" w:rsidP="00607B78">
      <w:pPr>
        <w:pStyle w:val="Normal-pool"/>
        <w:spacing w:before="60"/>
        <w:ind w:left="1247"/>
        <w:rPr>
          <w:sz w:val="18"/>
          <w:szCs w:val="18"/>
        </w:rPr>
      </w:pPr>
      <w:r w:rsidRPr="009C2953">
        <w:rPr>
          <w:i/>
          <w:sz w:val="18"/>
          <w:vertAlign w:val="superscript"/>
        </w:rPr>
        <w:tab/>
      </w:r>
      <w:proofErr w:type="gramStart"/>
      <w:r w:rsidRPr="009C2953">
        <w:rPr>
          <w:sz w:val="18"/>
          <w:vertAlign w:val="superscript"/>
        </w:rPr>
        <w:t>a</w:t>
      </w:r>
      <w:proofErr w:type="gramEnd"/>
      <w:r w:rsidR="00F34644" w:rsidRPr="009C2953">
        <w:rPr>
          <w:sz w:val="18"/>
        </w:rPr>
        <w:t xml:space="preserve"> La </w:t>
      </w:r>
      <w:r w:rsidRPr="009C2953">
        <w:rPr>
          <w:sz w:val="18"/>
        </w:rPr>
        <w:t>contribution du donateur comprend</w:t>
      </w:r>
      <w:r w:rsidR="00F34644" w:rsidRPr="009C2953">
        <w:rPr>
          <w:sz w:val="18"/>
        </w:rPr>
        <w:t xml:space="preserve"> un </w:t>
      </w:r>
      <w:r w:rsidRPr="009C2953">
        <w:rPr>
          <w:sz w:val="18"/>
        </w:rPr>
        <w:t xml:space="preserve">élément </w:t>
      </w:r>
      <w:proofErr w:type="spellStart"/>
      <w:r w:rsidRPr="009C2953">
        <w:rPr>
          <w:sz w:val="18"/>
        </w:rPr>
        <w:t>préaffecté</w:t>
      </w:r>
      <w:proofErr w:type="spellEnd"/>
      <w:r w:rsidRPr="009C2953">
        <w:rPr>
          <w:sz w:val="18"/>
        </w:rPr>
        <w:t>. Pour plus de détails, se reporter à</w:t>
      </w:r>
      <w:r w:rsidR="00F34644" w:rsidRPr="009C2953">
        <w:rPr>
          <w:sz w:val="18"/>
        </w:rPr>
        <w:t xml:space="preserve"> la </w:t>
      </w:r>
      <w:r w:rsidRPr="009C2953">
        <w:rPr>
          <w:sz w:val="18"/>
        </w:rPr>
        <w:t>partie 1 du tableau 2.</w:t>
      </w:r>
    </w:p>
    <w:p w14:paraId="6A6BF0C8" w14:textId="6EB0358F" w:rsidR="00607B78" w:rsidRPr="009C2953" w:rsidRDefault="00607B78" w:rsidP="00607B78">
      <w:pPr>
        <w:pStyle w:val="Normal-pool"/>
        <w:spacing w:before="60"/>
        <w:ind w:left="1247"/>
        <w:rPr>
          <w:sz w:val="18"/>
          <w:szCs w:val="18"/>
        </w:rPr>
      </w:pPr>
      <w:r w:rsidRPr="009C2953">
        <w:rPr>
          <w:i/>
          <w:sz w:val="18"/>
          <w:vertAlign w:val="superscript"/>
        </w:rPr>
        <w:tab/>
      </w:r>
      <w:proofErr w:type="gramStart"/>
      <w:r w:rsidRPr="009C2953">
        <w:rPr>
          <w:sz w:val="18"/>
          <w:vertAlign w:val="superscript"/>
        </w:rPr>
        <w:t>b</w:t>
      </w:r>
      <w:proofErr w:type="gramEnd"/>
      <w:r w:rsidRPr="009C2953">
        <w:rPr>
          <w:sz w:val="18"/>
        </w:rPr>
        <w:t xml:space="preserve"> Rendement</w:t>
      </w:r>
      <w:r w:rsidR="00D24DC1" w:rsidRPr="009C2953">
        <w:rPr>
          <w:sz w:val="18"/>
        </w:rPr>
        <w:t xml:space="preserve"> des </w:t>
      </w:r>
      <w:r w:rsidRPr="009C2953">
        <w:rPr>
          <w:sz w:val="18"/>
        </w:rPr>
        <w:t>investissements sur</w:t>
      </w:r>
      <w:r w:rsidR="00F34644" w:rsidRPr="009C2953">
        <w:rPr>
          <w:sz w:val="18"/>
        </w:rPr>
        <w:t xml:space="preserve"> le </w:t>
      </w:r>
      <w:r w:rsidRPr="009C2953">
        <w:rPr>
          <w:sz w:val="18"/>
        </w:rPr>
        <w:t xml:space="preserve">fond de liquidités du PNUE. </w:t>
      </w:r>
    </w:p>
    <w:p w14:paraId="4A011E85" w14:textId="77777777" w:rsidR="00607B78" w:rsidRPr="009C2953" w:rsidRDefault="00607B78" w:rsidP="00607B78">
      <w:pPr>
        <w:pStyle w:val="Normal-pool"/>
      </w:pPr>
      <w:r w:rsidRPr="009C2953">
        <w:br w:type="page"/>
      </w:r>
    </w:p>
    <w:p w14:paraId="27FCA371" w14:textId="0240EE0E" w:rsidR="00607B78" w:rsidRPr="009C2953" w:rsidRDefault="00607B78" w:rsidP="00607B78">
      <w:pPr>
        <w:pStyle w:val="Titletable"/>
      </w:pPr>
      <w:r w:rsidRPr="009C2953">
        <w:rPr>
          <w:b w:val="0"/>
        </w:rPr>
        <w:lastRenderedPageBreak/>
        <w:t xml:space="preserve">Tableau 2 </w:t>
      </w:r>
      <w:r w:rsidRPr="009C2953">
        <w:rPr>
          <w:b w:val="0"/>
        </w:rPr>
        <w:br/>
      </w:r>
      <w:r w:rsidRPr="009C2953">
        <w:t xml:space="preserve">Contributions </w:t>
      </w:r>
      <w:proofErr w:type="spellStart"/>
      <w:r w:rsidRPr="009C2953">
        <w:t>préaffectées</w:t>
      </w:r>
      <w:proofErr w:type="spellEnd"/>
      <w:r w:rsidRPr="009C2953">
        <w:t xml:space="preserve"> reçues en espèces ou annoncées pour</w:t>
      </w:r>
      <w:r w:rsidR="00F34644" w:rsidRPr="009C2953">
        <w:t xml:space="preserve"> la </w:t>
      </w:r>
      <w:r w:rsidRPr="009C2953">
        <w:t>période 2018–2024</w:t>
      </w:r>
    </w:p>
    <w:p w14:paraId="2216F8B3" w14:textId="18A5F9F3" w:rsidR="00607B78" w:rsidRPr="009C2953" w:rsidRDefault="00607B78" w:rsidP="00607B78">
      <w:pPr>
        <w:pStyle w:val="Titletable"/>
        <w:rPr>
          <w:b w:val="0"/>
          <w:bCs w:val="0"/>
          <w:color w:val="00000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717"/>
        <w:gridCol w:w="1275"/>
        <w:gridCol w:w="891"/>
        <w:gridCol w:w="932"/>
        <w:gridCol w:w="1013"/>
        <w:gridCol w:w="851"/>
        <w:gridCol w:w="992"/>
        <w:gridCol w:w="903"/>
        <w:gridCol w:w="969"/>
        <w:gridCol w:w="962"/>
        <w:gridCol w:w="962"/>
      </w:tblGrid>
      <w:tr w:rsidR="00607B78" w:rsidRPr="009C2953" w14:paraId="0EE9AE92" w14:textId="77777777" w:rsidTr="0072673B">
        <w:trPr>
          <w:trHeight w:val="57"/>
          <w:tblHeader/>
          <w:jc w:val="right"/>
        </w:trPr>
        <w:tc>
          <w:tcPr>
            <w:tcW w:w="1962" w:type="dxa"/>
            <w:vMerge w:val="restart"/>
            <w:tcBorders>
              <w:top w:val="single" w:sz="4" w:space="0" w:color="auto"/>
              <w:left w:val="nil"/>
              <w:bottom w:val="single" w:sz="12" w:space="0" w:color="auto"/>
              <w:right w:val="nil"/>
            </w:tcBorders>
            <w:vAlign w:val="bottom"/>
            <w:hideMark/>
          </w:tcPr>
          <w:p w14:paraId="664FABEA" w14:textId="77777777" w:rsidR="00607B78" w:rsidRPr="009C2953" w:rsidRDefault="00607B78" w:rsidP="00A068F8">
            <w:pPr>
              <w:pStyle w:val="Normal-pool"/>
              <w:spacing w:before="40" w:after="40"/>
              <w:rPr>
                <w:i/>
                <w:iCs/>
                <w:sz w:val="18"/>
                <w:szCs w:val="18"/>
              </w:rPr>
            </w:pPr>
            <w:r w:rsidRPr="009C2953">
              <w:rPr>
                <w:i/>
                <w:sz w:val="18"/>
              </w:rPr>
              <w:t xml:space="preserve">Gouvernement/ institution </w:t>
            </w:r>
          </w:p>
        </w:tc>
        <w:tc>
          <w:tcPr>
            <w:tcW w:w="2717" w:type="dxa"/>
            <w:vMerge w:val="restart"/>
            <w:tcBorders>
              <w:top w:val="single" w:sz="4" w:space="0" w:color="auto"/>
              <w:left w:val="nil"/>
              <w:bottom w:val="single" w:sz="12" w:space="0" w:color="auto"/>
              <w:right w:val="nil"/>
            </w:tcBorders>
            <w:vAlign w:val="bottom"/>
            <w:hideMark/>
          </w:tcPr>
          <w:p w14:paraId="19831563" w14:textId="77777777" w:rsidR="00607B78" w:rsidRPr="009C2953" w:rsidRDefault="00607B78" w:rsidP="00A068F8">
            <w:pPr>
              <w:pStyle w:val="Normal-pool"/>
              <w:spacing w:before="40" w:after="40"/>
              <w:rPr>
                <w:i/>
                <w:iCs/>
                <w:sz w:val="18"/>
                <w:szCs w:val="18"/>
              </w:rPr>
            </w:pPr>
            <w:r w:rsidRPr="009C2953">
              <w:rPr>
                <w:i/>
                <w:sz w:val="18"/>
              </w:rPr>
              <w:t>Activité</w:t>
            </w:r>
          </w:p>
        </w:tc>
        <w:tc>
          <w:tcPr>
            <w:tcW w:w="1275" w:type="dxa"/>
            <w:vMerge w:val="restart"/>
            <w:tcBorders>
              <w:top w:val="single" w:sz="4" w:space="0" w:color="auto"/>
              <w:left w:val="nil"/>
              <w:bottom w:val="single" w:sz="12" w:space="0" w:color="auto"/>
              <w:right w:val="nil"/>
            </w:tcBorders>
            <w:vAlign w:val="bottom"/>
            <w:hideMark/>
          </w:tcPr>
          <w:p w14:paraId="54D84796" w14:textId="506330CB" w:rsidR="00607B78" w:rsidRPr="009C2953" w:rsidRDefault="00607B78" w:rsidP="00A068F8">
            <w:pPr>
              <w:pStyle w:val="Normal-pool"/>
              <w:spacing w:before="40" w:after="40"/>
              <w:rPr>
                <w:i/>
                <w:iCs/>
                <w:sz w:val="18"/>
                <w:szCs w:val="18"/>
              </w:rPr>
            </w:pPr>
            <w:r w:rsidRPr="009C2953">
              <w:rPr>
                <w:i/>
                <w:sz w:val="18"/>
              </w:rPr>
              <w:t>Type d</w:t>
            </w:r>
            <w:r w:rsidR="00EA2966" w:rsidRPr="009C2953">
              <w:rPr>
                <w:i/>
                <w:sz w:val="18"/>
              </w:rPr>
              <w:t>’</w:t>
            </w:r>
            <w:r w:rsidRPr="009C2953">
              <w:rPr>
                <w:i/>
                <w:sz w:val="18"/>
              </w:rPr>
              <w:t>appui</w:t>
            </w:r>
          </w:p>
        </w:tc>
        <w:tc>
          <w:tcPr>
            <w:tcW w:w="4679" w:type="dxa"/>
            <w:gridSpan w:val="5"/>
            <w:tcBorders>
              <w:top w:val="single" w:sz="4" w:space="0" w:color="000000"/>
              <w:left w:val="nil"/>
              <w:bottom w:val="single" w:sz="4" w:space="0" w:color="000000"/>
              <w:right w:val="nil"/>
            </w:tcBorders>
            <w:vAlign w:val="bottom"/>
            <w:hideMark/>
          </w:tcPr>
          <w:p w14:paraId="083F306B" w14:textId="77777777" w:rsidR="00607B78" w:rsidRPr="009C2953" w:rsidRDefault="00607B78" w:rsidP="00A068F8">
            <w:pPr>
              <w:pStyle w:val="Normal-pool"/>
              <w:spacing w:before="40" w:after="40"/>
              <w:jc w:val="center"/>
              <w:rPr>
                <w:i/>
                <w:iCs/>
                <w:sz w:val="18"/>
                <w:szCs w:val="18"/>
              </w:rPr>
            </w:pPr>
            <w:r w:rsidRPr="009C2953">
              <w:rPr>
                <w:i/>
                <w:sz w:val="18"/>
              </w:rPr>
              <w:t>Contributions reçues</w:t>
            </w:r>
          </w:p>
        </w:tc>
        <w:tc>
          <w:tcPr>
            <w:tcW w:w="903" w:type="dxa"/>
            <w:tcBorders>
              <w:top w:val="single" w:sz="4" w:space="0" w:color="000000"/>
              <w:left w:val="nil"/>
              <w:bottom w:val="single" w:sz="4" w:space="0" w:color="000000"/>
              <w:right w:val="single" w:sz="4" w:space="0" w:color="000000"/>
            </w:tcBorders>
            <w:vAlign w:val="bottom"/>
          </w:tcPr>
          <w:p w14:paraId="7B313410" w14:textId="77777777" w:rsidR="00607B78" w:rsidRPr="009C2953" w:rsidRDefault="00607B78" w:rsidP="00A068F8">
            <w:pPr>
              <w:pStyle w:val="Normal-pool"/>
              <w:spacing w:before="40" w:after="40"/>
              <w:jc w:val="center"/>
              <w:rPr>
                <w:i/>
                <w:iCs/>
                <w:sz w:val="18"/>
                <w:szCs w:val="18"/>
              </w:rPr>
            </w:pPr>
          </w:p>
        </w:tc>
        <w:tc>
          <w:tcPr>
            <w:tcW w:w="2893" w:type="dxa"/>
            <w:gridSpan w:val="3"/>
            <w:tcBorders>
              <w:top w:val="single" w:sz="4" w:space="0" w:color="000000"/>
              <w:left w:val="single" w:sz="4" w:space="0" w:color="000000"/>
              <w:bottom w:val="single" w:sz="4" w:space="0" w:color="000000"/>
              <w:right w:val="nil"/>
            </w:tcBorders>
            <w:vAlign w:val="bottom"/>
            <w:hideMark/>
          </w:tcPr>
          <w:p w14:paraId="29A736AF" w14:textId="77777777" w:rsidR="00607B78" w:rsidRPr="009C2953" w:rsidRDefault="00607B78" w:rsidP="00A068F8">
            <w:pPr>
              <w:pStyle w:val="Normal-pool"/>
              <w:spacing w:before="40" w:after="40"/>
              <w:jc w:val="center"/>
              <w:rPr>
                <w:i/>
                <w:iCs/>
                <w:sz w:val="18"/>
                <w:szCs w:val="18"/>
              </w:rPr>
            </w:pPr>
            <w:r w:rsidRPr="009C2953">
              <w:rPr>
                <w:i/>
                <w:sz w:val="18"/>
              </w:rPr>
              <w:t>Contributions annoncées</w:t>
            </w:r>
          </w:p>
        </w:tc>
      </w:tr>
      <w:tr w:rsidR="00607B78" w:rsidRPr="009C2953" w14:paraId="4DA6E471" w14:textId="77777777" w:rsidTr="0072673B">
        <w:trPr>
          <w:trHeight w:val="57"/>
          <w:tblHeader/>
          <w:jc w:val="right"/>
        </w:trPr>
        <w:tc>
          <w:tcPr>
            <w:tcW w:w="1962" w:type="dxa"/>
            <w:vMerge/>
            <w:tcBorders>
              <w:top w:val="nil"/>
              <w:left w:val="nil"/>
              <w:bottom w:val="single" w:sz="12" w:space="0" w:color="auto"/>
              <w:right w:val="nil"/>
            </w:tcBorders>
            <w:vAlign w:val="center"/>
            <w:hideMark/>
          </w:tcPr>
          <w:p w14:paraId="35DAC618" w14:textId="77777777" w:rsidR="00607B78" w:rsidRPr="009C2953" w:rsidRDefault="00607B78" w:rsidP="00A068F8">
            <w:pPr>
              <w:rPr>
                <w:i/>
                <w:iCs/>
                <w:sz w:val="18"/>
                <w:szCs w:val="18"/>
                <w:lang w:val="fr-FR"/>
              </w:rPr>
            </w:pPr>
          </w:p>
        </w:tc>
        <w:tc>
          <w:tcPr>
            <w:tcW w:w="2717" w:type="dxa"/>
            <w:vMerge/>
            <w:tcBorders>
              <w:top w:val="nil"/>
              <w:left w:val="nil"/>
              <w:bottom w:val="single" w:sz="12" w:space="0" w:color="auto"/>
              <w:right w:val="nil"/>
            </w:tcBorders>
            <w:vAlign w:val="center"/>
            <w:hideMark/>
          </w:tcPr>
          <w:p w14:paraId="24EE6342" w14:textId="77777777" w:rsidR="00607B78" w:rsidRPr="009C2953" w:rsidRDefault="00607B78" w:rsidP="00A068F8">
            <w:pPr>
              <w:rPr>
                <w:i/>
                <w:iCs/>
                <w:sz w:val="18"/>
                <w:szCs w:val="18"/>
                <w:lang w:val="fr-FR"/>
              </w:rPr>
            </w:pPr>
          </w:p>
        </w:tc>
        <w:tc>
          <w:tcPr>
            <w:tcW w:w="1275" w:type="dxa"/>
            <w:vMerge/>
            <w:tcBorders>
              <w:top w:val="single" w:sz="12" w:space="0" w:color="auto"/>
              <w:left w:val="nil"/>
              <w:bottom w:val="single" w:sz="12" w:space="0" w:color="auto"/>
              <w:right w:val="nil"/>
            </w:tcBorders>
            <w:vAlign w:val="center"/>
            <w:hideMark/>
          </w:tcPr>
          <w:p w14:paraId="68629AF7" w14:textId="77777777" w:rsidR="00607B78" w:rsidRPr="009C2953" w:rsidRDefault="00607B78" w:rsidP="00A068F8">
            <w:pPr>
              <w:rPr>
                <w:i/>
                <w:iCs/>
                <w:sz w:val="18"/>
                <w:szCs w:val="18"/>
                <w:lang w:val="fr-FR"/>
              </w:rPr>
            </w:pPr>
          </w:p>
        </w:tc>
        <w:tc>
          <w:tcPr>
            <w:tcW w:w="891" w:type="dxa"/>
            <w:tcBorders>
              <w:top w:val="single" w:sz="4" w:space="0" w:color="000000"/>
              <w:left w:val="nil"/>
              <w:bottom w:val="single" w:sz="12" w:space="0" w:color="auto"/>
              <w:right w:val="nil"/>
            </w:tcBorders>
            <w:vAlign w:val="bottom"/>
            <w:hideMark/>
          </w:tcPr>
          <w:p w14:paraId="29DFD437" w14:textId="77777777" w:rsidR="00607B78" w:rsidRPr="009C2953" w:rsidRDefault="00607B78" w:rsidP="00A068F8">
            <w:pPr>
              <w:pStyle w:val="Normal-pool"/>
              <w:spacing w:before="40" w:after="40"/>
              <w:jc w:val="right"/>
              <w:rPr>
                <w:i/>
                <w:iCs/>
                <w:sz w:val="18"/>
                <w:szCs w:val="18"/>
              </w:rPr>
            </w:pPr>
            <w:r w:rsidRPr="009C2953">
              <w:rPr>
                <w:i/>
                <w:sz w:val="18"/>
              </w:rPr>
              <w:t>2018</w:t>
            </w:r>
          </w:p>
        </w:tc>
        <w:tc>
          <w:tcPr>
            <w:tcW w:w="932" w:type="dxa"/>
            <w:tcBorders>
              <w:top w:val="single" w:sz="4" w:space="0" w:color="000000"/>
              <w:left w:val="nil"/>
              <w:bottom w:val="single" w:sz="12" w:space="0" w:color="auto"/>
              <w:right w:val="nil"/>
            </w:tcBorders>
            <w:vAlign w:val="bottom"/>
            <w:hideMark/>
          </w:tcPr>
          <w:p w14:paraId="0ADD1DB2" w14:textId="77777777" w:rsidR="00607B78" w:rsidRPr="009C2953" w:rsidRDefault="00607B78" w:rsidP="00A068F8">
            <w:pPr>
              <w:pStyle w:val="Normal-pool"/>
              <w:spacing w:before="40" w:after="40"/>
              <w:jc w:val="right"/>
              <w:rPr>
                <w:i/>
                <w:iCs/>
                <w:sz w:val="18"/>
                <w:szCs w:val="18"/>
              </w:rPr>
            </w:pPr>
            <w:r w:rsidRPr="009C2953">
              <w:rPr>
                <w:i/>
                <w:sz w:val="18"/>
              </w:rPr>
              <w:t>2019</w:t>
            </w:r>
          </w:p>
        </w:tc>
        <w:tc>
          <w:tcPr>
            <w:tcW w:w="1013" w:type="dxa"/>
            <w:tcBorders>
              <w:top w:val="single" w:sz="4" w:space="0" w:color="000000"/>
              <w:left w:val="nil"/>
              <w:bottom w:val="single" w:sz="12" w:space="0" w:color="auto"/>
              <w:right w:val="nil"/>
            </w:tcBorders>
            <w:vAlign w:val="bottom"/>
            <w:hideMark/>
          </w:tcPr>
          <w:p w14:paraId="5FC8F5BA" w14:textId="77777777" w:rsidR="00607B78" w:rsidRPr="009C2953" w:rsidRDefault="00607B78" w:rsidP="00A068F8">
            <w:pPr>
              <w:pStyle w:val="Normal-pool"/>
              <w:spacing w:before="40" w:after="40"/>
              <w:jc w:val="right"/>
              <w:rPr>
                <w:i/>
                <w:iCs/>
                <w:sz w:val="18"/>
                <w:szCs w:val="18"/>
              </w:rPr>
            </w:pPr>
            <w:r w:rsidRPr="009C2953">
              <w:rPr>
                <w:i/>
                <w:sz w:val="18"/>
              </w:rPr>
              <w:t>2020</w:t>
            </w:r>
          </w:p>
        </w:tc>
        <w:tc>
          <w:tcPr>
            <w:tcW w:w="851" w:type="dxa"/>
            <w:tcBorders>
              <w:top w:val="single" w:sz="4" w:space="0" w:color="000000"/>
              <w:left w:val="nil"/>
              <w:bottom w:val="single" w:sz="12" w:space="0" w:color="auto"/>
              <w:right w:val="nil"/>
            </w:tcBorders>
            <w:vAlign w:val="bottom"/>
            <w:hideMark/>
          </w:tcPr>
          <w:p w14:paraId="3B87C606" w14:textId="77777777" w:rsidR="00607B78" w:rsidRPr="009C2953" w:rsidRDefault="00607B78" w:rsidP="00A068F8">
            <w:pPr>
              <w:pStyle w:val="Normal-pool"/>
              <w:spacing w:before="40" w:after="40"/>
              <w:jc w:val="right"/>
              <w:rPr>
                <w:i/>
                <w:iCs/>
                <w:sz w:val="18"/>
                <w:szCs w:val="18"/>
              </w:rPr>
            </w:pPr>
            <w:r w:rsidRPr="009C2953">
              <w:rPr>
                <w:i/>
                <w:sz w:val="18"/>
              </w:rPr>
              <w:t>2021</w:t>
            </w:r>
          </w:p>
        </w:tc>
        <w:tc>
          <w:tcPr>
            <w:tcW w:w="992" w:type="dxa"/>
            <w:tcBorders>
              <w:top w:val="single" w:sz="4" w:space="0" w:color="000000"/>
              <w:left w:val="nil"/>
              <w:bottom w:val="single" w:sz="12" w:space="0" w:color="auto"/>
              <w:right w:val="nil"/>
            </w:tcBorders>
            <w:vAlign w:val="bottom"/>
            <w:hideMark/>
          </w:tcPr>
          <w:p w14:paraId="62C4ABC5" w14:textId="77777777" w:rsidR="00607B78" w:rsidRPr="009C2953" w:rsidRDefault="00607B78" w:rsidP="00A068F8">
            <w:pPr>
              <w:pStyle w:val="Normal-pool"/>
              <w:spacing w:before="40" w:after="40"/>
              <w:jc w:val="right"/>
              <w:rPr>
                <w:i/>
                <w:iCs/>
                <w:sz w:val="18"/>
                <w:szCs w:val="18"/>
              </w:rPr>
            </w:pPr>
            <w:r w:rsidRPr="009C2953">
              <w:rPr>
                <w:i/>
                <w:sz w:val="18"/>
              </w:rPr>
              <w:t>2022</w:t>
            </w:r>
          </w:p>
        </w:tc>
        <w:tc>
          <w:tcPr>
            <w:tcW w:w="903" w:type="dxa"/>
            <w:tcBorders>
              <w:top w:val="single" w:sz="4" w:space="0" w:color="000000"/>
              <w:left w:val="nil"/>
              <w:bottom w:val="single" w:sz="12" w:space="0" w:color="auto"/>
              <w:right w:val="single" w:sz="4" w:space="0" w:color="000000"/>
            </w:tcBorders>
            <w:vAlign w:val="bottom"/>
            <w:hideMark/>
          </w:tcPr>
          <w:p w14:paraId="2DFE8B5F" w14:textId="77777777" w:rsidR="00607B78" w:rsidRPr="009C2953" w:rsidRDefault="00607B78" w:rsidP="00A068F8">
            <w:pPr>
              <w:pStyle w:val="Normal-pool"/>
              <w:spacing w:before="40" w:after="40"/>
              <w:jc w:val="right"/>
              <w:rPr>
                <w:i/>
                <w:iCs/>
                <w:sz w:val="18"/>
                <w:szCs w:val="18"/>
              </w:rPr>
            </w:pPr>
            <w:r w:rsidRPr="009C2953">
              <w:rPr>
                <w:i/>
                <w:sz w:val="18"/>
              </w:rPr>
              <w:t>2023</w:t>
            </w:r>
          </w:p>
        </w:tc>
        <w:tc>
          <w:tcPr>
            <w:tcW w:w="969" w:type="dxa"/>
            <w:tcBorders>
              <w:top w:val="single" w:sz="4" w:space="0" w:color="000000"/>
              <w:left w:val="single" w:sz="4" w:space="0" w:color="000000"/>
              <w:bottom w:val="single" w:sz="12" w:space="0" w:color="auto"/>
              <w:right w:val="nil"/>
            </w:tcBorders>
            <w:vAlign w:val="bottom"/>
            <w:hideMark/>
          </w:tcPr>
          <w:p w14:paraId="19357715" w14:textId="77777777" w:rsidR="00607B78" w:rsidRPr="009C2953" w:rsidRDefault="00607B78" w:rsidP="00A068F8">
            <w:pPr>
              <w:pStyle w:val="Normal-pool"/>
              <w:spacing w:before="40" w:after="40"/>
              <w:jc w:val="right"/>
              <w:rPr>
                <w:i/>
                <w:iCs/>
                <w:sz w:val="18"/>
                <w:szCs w:val="18"/>
              </w:rPr>
            </w:pPr>
            <w:r w:rsidRPr="009C2953">
              <w:rPr>
                <w:i/>
                <w:sz w:val="18"/>
              </w:rPr>
              <w:t>2023</w:t>
            </w:r>
          </w:p>
        </w:tc>
        <w:tc>
          <w:tcPr>
            <w:tcW w:w="962" w:type="dxa"/>
            <w:tcBorders>
              <w:top w:val="single" w:sz="4" w:space="0" w:color="000000"/>
              <w:left w:val="nil"/>
              <w:bottom w:val="single" w:sz="12" w:space="0" w:color="auto"/>
              <w:right w:val="nil"/>
            </w:tcBorders>
            <w:vAlign w:val="bottom"/>
            <w:hideMark/>
          </w:tcPr>
          <w:p w14:paraId="3326239E" w14:textId="77777777" w:rsidR="00607B78" w:rsidRPr="009C2953" w:rsidRDefault="00607B78" w:rsidP="00A068F8">
            <w:pPr>
              <w:pStyle w:val="Normal-pool"/>
              <w:spacing w:before="40" w:after="40"/>
              <w:jc w:val="right"/>
              <w:rPr>
                <w:i/>
                <w:iCs/>
                <w:sz w:val="18"/>
                <w:szCs w:val="18"/>
              </w:rPr>
            </w:pPr>
            <w:r w:rsidRPr="009C2953">
              <w:rPr>
                <w:i/>
                <w:sz w:val="18"/>
              </w:rPr>
              <w:t>2024</w:t>
            </w:r>
          </w:p>
        </w:tc>
        <w:tc>
          <w:tcPr>
            <w:tcW w:w="962" w:type="dxa"/>
            <w:tcBorders>
              <w:top w:val="single" w:sz="4" w:space="0" w:color="000000"/>
              <w:left w:val="nil"/>
              <w:bottom w:val="single" w:sz="12" w:space="0" w:color="auto"/>
              <w:right w:val="nil"/>
            </w:tcBorders>
            <w:vAlign w:val="bottom"/>
            <w:hideMark/>
          </w:tcPr>
          <w:p w14:paraId="593126B5" w14:textId="225E6DBC" w:rsidR="00607B78" w:rsidRPr="009C2953" w:rsidRDefault="00607B78" w:rsidP="0072673B">
            <w:pPr>
              <w:pStyle w:val="Normal-pool"/>
              <w:spacing w:before="40" w:after="40"/>
              <w:ind w:left="-28" w:right="-28"/>
              <w:jc w:val="right"/>
              <w:rPr>
                <w:i/>
                <w:iCs/>
                <w:sz w:val="18"/>
                <w:szCs w:val="18"/>
              </w:rPr>
            </w:pPr>
            <w:r w:rsidRPr="009C2953">
              <w:rPr>
                <w:i/>
                <w:sz w:val="18"/>
              </w:rPr>
              <w:t>Total</w:t>
            </w:r>
            <w:r w:rsidR="00D24DC1" w:rsidRPr="009C2953">
              <w:rPr>
                <w:i/>
                <w:sz w:val="18"/>
              </w:rPr>
              <w:t xml:space="preserve"> des</w:t>
            </w:r>
            <w:r w:rsidR="004E4ED3" w:rsidRPr="009C2953">
              <w:rPr>
                <w:i/>
                <w:sz w:val="18"/>
              </w:rPr>
              <w:t xml:space="preserve"> </w:t>
            </w:r>
            <w:proofErr w:type="spellStart"/>
            <w:r w:rsidRPr="009C2953">
              <w:rPr>
                <w:i/>
                <w:sz w:val="18"/>
              </w:rPr>
              <w:t>contribu</w:t>
            </w:r>
            <w:proofErr w:type="spellEnd"/>
            <w:r w:rsidR="0072673B" w:rsidRPr="009C2953">
              <w:rPr>
                <w:i/>
                <w:sz w:val="18"/>
              </w:rPr>
              <w:t>-</w:t>
            </w:r>
            <w:r w:rsidR="0072673B" w:rsidRPr="009C2953">
              <w:rPr>
                <w:i/>
                <w:sz w:val="18"/>
              </w:rPr>
              <w:br/>
            </w:r>
            <w:proofErr w:type="spellStart"/>
            <w:r w:rsidRPr="009C2953">
              <w:rPr>
                <w:i/>
                <w:sz w:val="18"/>
              </w:rPr>
              <w:t>tions</w:t>
            </w:r>
            <w:proofErr w:type="spellEnd"/>
            <w:r w:rsidRPr="009C2953">
              <w:rPr>
                <w:i/>
                <w:sz w:val="18"/>
              </w:rPr>
              <w:t xml:space="preserve"> annoncées</w:t>
            </w:r>
          </w:p>
        </w:tc>
      </w:tr>
      <w:tr w:rsidR="00607B78" w:rsidRPr="009C2953" w14:paraId="2A268CEE" w14:textId="77777777" w:rsidTr="00073FDF">
        <w:trPr>
          <w:trHeight w:val="57"/>
          <w:jc w:val="right"/>
        </w:trPr>
        <w:tc>
          <w:tcPr>
            <w:tcW w:w="7777" w:type="dxa"/>
            <w:gridSpan w:val="5"/>
            <w:tcBorders>
              <w:top w:val="single" w:sz="12" w:space="0" w:color="auto"/>
              <w:left w:val="nil"/>
              <w:bottom w:val="nil"/>
              <w:right w:val="nil"/>
            </w:tcBorders>
            <w:hideMark/>
          </w:tcPr>
          <w:p w14:paraId="1696921A" w14:textId="1024B940" w:rsidR="00607B78" w:rsidRPr="009C2953" w:rsidRDefault="00607B78" w:rsidP="00A068F8">
            <w:pPr>
              <w:pStyle w:val="Normal-pool"/>
              <w:tabs>
                <w:tab w:val="left" w:pos="269"/>
              </w:tabs>
              <w:spacing w:before="40" w:after="40"/>
              <w:rPr>
                <w:b/>
                <w:bCs/>
                <w:sz w:val="18"/>
                <w:szCs w:val="18"/>
              </w:rPr>
            </w:pPr>
            <w:r w:rsidRPr="009C2953">
              <w:rPr>
                <w:b/>
                <w:sz w:val="18"/>
              </w:rPr>
              <w:t>1.</w:t>
            </w:r>
            <w:r w:rsidRPr="009C2953">
              <w:rPr>
                <w:b/>
                <w:sz w:val="18"/>
              </w:rPr>
              <w:tab/>
              <w:t xml:space="preserve">Contributions </w:t>
            </w:r>
            <w:proofErr w:type="spellStart"/>
            <w:r w:rsidRPr="009C2953">
              <w:rPr>
                <w:b/>
                <w:sz w:val="18"/>
              </w:rPr>
              <w:t>préaffectées</w:t>
            </w:r>
            <w:proofErr w:type="spellEnd"/>
            <w:r w:rsidRPr="009C2953">
              <w:rPr>
                <w:b/>
                <w:sz w:val="18"/>
              </w:rPr>
              <w:t xml:space="preserve"> reçues en espèces à l</w:t>
            </w:r>
            <w:r w:rsidR="00EA2966" w:rsidRPr="009C2953">
              <w:rPr>
                <w:b/>
                <w:sz w:val="18"/>
              </w:rPr>
              <w:t>’</w:t>
            </w:r>
            <w:r w:rsidRPr="009C2953">
              <w:rPr>
                <w:b/>
                <w:sz w:val="18"/>
              </w:rPr>
              <w:t>appui du programme de travail approuvé</w:t>
            </w:r>
          </w:p>
        </w:tc>
        <w:tc>
          <w:tcPr>
            <w:tcW w:w="1013" w:type="dxa"/>
            <w:tcBorders>
              <w:top w:val="single" w:sz="12" w:space="0" w:color="auto"/>
              <w:left w:val="nil"/>
              <w:bottom w:val="nil"/>
              <w:right w:val="nil"/>
            </w:tcBorders>
            <w:hideMark/>
          </w:tcPr>
          <w:p w14:paraId="296FBB20" w14:textId="77777777" w:rsidR="00607B78" w:rsidRPr="009C2953" w:rsidRDefault="00607B78" w:rsidP="00A068F8">
            <w:pPr>
              <w:pStyle w:val="Normal-pool"/>
              <w:spacing w:before="40" w:after="40"/>
              <w:rPr>
                <w:sz w:val="18"/>
                <w:szCs w:val="18"/>
              </w:rPr>
            </w:pPr>
            <w:r w:rsidRPr="009C2953">
              <w:rPr>
                <w:sz w:val="18"/>
              </w:rPr>
              <w:t xml:space="preserve"> </w:t>
            </w:r>
          </w:p>
        </w:tc>
        <w:tc>
          <w:tcPr>
            <w:tcW w:w="851" w:type="dxa"/>
            <w:tcBorders>
              <w:top w:val="single" w:sz="12" w:space="0" w:color="auto"/>
              <w:left w:val="nil"/>
              <w:bottom w:val="nil"/>
              <w:right w:val="nil"/>
            </w:tcBorders>
          </w:tcPr>
          <w:p w14:paraId="3E6A7FA2" w14:textId="77777777" w:rsidR="00607B78" w:rsidRPr="009C2953" w:rsidRDefault="00607B78" w:rsidP="00A068F8">
            <w:pPr>
              <w:pStyle w:val="Normal-pool"/>
              <w:spacing w:before="40" w:after="40"/>
              <w:rPr>
                <w:sz w:val="18"/>
                <w:szCs w:val="18"/>
              </w:rPr>
            </w:pPr>
          </w:p>
        </w:tc>
        <w:tc>
          <w:tcPr>
            <w:tcW w:w="992" w:type="dxa"/>
            <w:tcBorders>
              <w:top w:val="single" w:sz="12" w:space="0" w:color="auto"/>
              <w:left w:val="nil"/>
              <w:bottom w:val="nil"/>
              <w:right w:val="nil"/>
            </w:tcBorders>
          </w:tcPr>
          <w:p w14:paraId="16AF4EDC" w14:textId="77777777" w:rsidR="00607B78" w:rsidRPr="009C2953" w:rsidRDefault="00607B78" w:rsidP="00A068F8">
            <w:pPr>
              <w:pStyle w:val="Normal-pool"/>
              <w:spacing w:before="40" w:after="40"/>
              <w:rPr>
                <w:sz w:val="18"/>
                <w:szCs w:val="18"/>
              </w:rPr>
            </w:pPr>
          </w:p>
        </w:tc>
        <w:tc>
          <w:tcPr>
            <w:tcW w:w="903" w:type="dxa"/>
            <w:tcBorders>
              <w:top w:val="single" w:sz="12" w:space="0" w:color="auto"/>
              <w:left w:val="nil"/>
              <w:bottom w:val="nil"/>
              <w:right w:val="single" w:sz="4" w:space="0" w:color="000000"/>
            </w:tcBorders>
          </w:tcPr>
          <w:p w14:paraId="5E70FBB4" w14:textId="77777777" w:rsidR="00607B78" w:rsidRPr="009C2953" w:rsidRDefault="00607B78" w:rsidP="00A068F8">
            <w:pPr>
              <w:pStyle w:val="Normal-pool"/>
              <w:spacing w:before="40" w:after="40"/>
              <w:rPr>
                <w:sz w:val="18"/>
                <w:szCs w:val="18"/>
              </w:rPr>
            </w:pPr>
          </w:p>
        </w:tc>
        <w:tc>
          <w:tcPr>
            <w:tcW w:w="969" w:type="dxa"/>
            <w:tcBorders>
              <w:top w:val="single" w:sz="12" w:space="0" w:color="auto"/>
              <w:left w:val="single" w:sz="4" w:space="0" w:color="000000"/>
              <w:bottom w:val="nil"/>
              <w:right w:val="nil"/>
            </w:tcBorders>
            <w:hideMark/>
          </w:tcPr>
          <w:p w14:paraId="2F75018E" w14:textId="77777777" w:rsidR="00607B78" w:rsidRPr="009C2953" w:rsidRDefault="00607B78" w:rsidP="00A068F8">
            <w:pPr>
              <w:pStyle w:val="Normal-pool"/>
              <w:spacing w:before="40" w:after="40"/>
              <w:rPr>
                <w:sz w:val="18"/>
                <w:szCs w:val="18"/>
              </w:rPr>
            </w:pPr>
            <w:r w:rsidRPr="009C2953">
              <w:rPr>
                <w:sz w:val="18"/>
              </w:rPr>
              <w:t xml:space="preserve"> </w:t>
            </w:r>
          </w:p>
        </w:tc>
        <w:tc>
          <w:tcPr>
            <w:tcW w:w="962" w:type="dxa"/>
            <w:tcBorders>
              <w:top w:val="single" w:sz="12" w:space="0" w:color="auto"/>
              <w:left w:val="nil"/>
              <w:bottom w:val="nil"/>
              <w:right w:val="nil"/>
            </w:tcBorders>
            <w:hideMark/>
          </w:tcPr>
          <w:p w14:paraId="36C98445" w14:textId="77777777" w:rsidR="00607B78" w:rsidRPr="009C2953" w:rsidRDefault="00607B78" w:rsidP="00A068F8">
            <w:pPr>
              <w:pStyle w:val="Normal-pool"/>
              <w:spacing w:before="40" w:after="40"/>
              <w:rPr>
                <w:sz w:val="18"/>
                <w:szCs w:val="18"/>
              </w:rPr>
            </w:pPr>
            <w:r w:rsidRPr="009C2953">
              <w:rPr>
                <w:sz w:val="18"/>
              </w:rPr>
              <w:t xml:space="preserve"> </w:t>
            </w:r>
          </w:p>
        </w:tc>
        <w:tc>
          <w:tcPr>
            <w:tcW w:w="962" w:type="dxa"/>
            <w:tcBorders>
              <w:top w:val="single" w:sz="12" w:space="0" w:color="auto"/>
              <w:left w:val="nil"/>
              <w:bottom w:val="nil"/>
              <w:right w:val="nil"/>
            </w:tcBorders>
            <w:hideMark/>
          </w:tcPr>
          <w:p w14:paraId="6BE4232E" w14:textId="77777777" w:rsidR="00607B78" w:rsidRPr="009C2953" w:rsidRDefault="00607B78" w:rsidP="00A068F8">
            <w:pPr>
              <w:pStyle w:val="Normal-pool"/>
              <w:spacing w:before="40" w:after="40"/>
              <w:rPr>
                <w:sz w:val="18"/>
                <w:szCs w:val="18"/>
              </w:rPr>
            </w:pPr>
            <w:r w:rsidRPr="009C2953">
              <w:rPr>
                <w:sz w:val="18"/>
              </w:rPr>
              <w:t xml:space="preserve"> </w:t>
            </w:r>
          </w:p>
        </w:tc>
      </w:tr>
      <w:tr w:rsidR="0072673B" w:rsidRPr="009C2953" w14:paraId="50B667F2" w14:textId="77777777" w:rsidTr="00FC117D">
        <w:trPr>
          <w:trHeight w:val="57"/>
          <w:jc w:val="right"/>
        </w:trPr>
        <w:tc>
          <w:tcPr>
            <w:tcW w:w="9641" w:type="dxa"/>
            <w:gridSpan w:val="7"/>
            <w:tcBorders>
              <w:top w:val="nil"/>
              <w:left w:val="nil"/>
              <w:bottom w:val="nil"/>
              <w:right w:val="nil"/>
            </w:tcBorders>
            <w:hideMark/>
          </w:tcPr>
          <w:p w14:paraId="2DD6DF57" w14:textId="143736C2" w:rsidR="0072673B" w:rsidRPr="009C2953" w:rsidRDefault="0072673B" w:rsidP="00A068F8">
            <w:pPr>
              <w:pStyle w:val="Normal-pool"/>
              <w:spacing w:before="40" w:after="40"/>
              <w:rPr>
                <w:sz w:val="18"/>
                <w:szCs w:val="18"/>
              </w:rPr>
            </w:pPr>
            <w:r w:rsidRPr="009C2953">
              <w:rPr>
                <w:b/>
                <w:sz w:val="18"/>
              </w:rPr>
              <w:t>1.1</w:t>
            </w:r>
            <w:r w:rsidRPr="009C2953">
              <w:rPr>
                <w:b/>
                <w:sz w:val="18"/>
              </w:rPr>
              <w:tab/>
              <w:t xml:space="preserve">Contributions </w:t>
            </w:r>
            <w:proofErr w:type="spellStart"/>
            <w:r w:rsidRPr="009C2953">
              <w:rPr>
                <w:b/>
                <w:sz w:val="18"/>
              </w:rPr>
              <w:t>préaffectées</w:t>
            </w:r>
            <w:proofErr w:type="spellEnd"/>
            <w:r w:rsidRPr="009C2953">
              <w:rPr>
                <w:b/>
                <w:sz w:val="18"/>
              </w:rPr>
              <w:t xml:space="preserve"> reçues en espèces des gouvernements à l</w:t>
            </w:r>
            <w:r w:rsidR="00EA2966" w:rsidRPr="009C2953">
              <w:rPr>
                <w:b/>
                <w:sz w:val="18"/>
              </w:rPr>
              <w:t>’</w:t>
            </w:r>
            <w:r w:rsidRPr="009C2953">
              <w:rPr>
                <w:b/>
                <w:sz w:val="18"/>
              </w:rPr>
              <w:t xml:space="preserve">appui du programme de travail approuvé </w:t>
            </w:r>
          </w:p>
        </w:tc>
        <w:tc>
          <w:tcPr>
            <w:tcW w:w="992" w:type="dxa"/>
            <w:tcBorders>
              <w:top w:val="nil"/>
              <w:left w:val="nil"/>
              <w:bottom w:val="nil"/>
              <w:right w:val="nil"/>
            </w:tcBorders>
          </w:tcPr>
          <w:p w14:paraId="2742D882" w14:textId="77777777" w:rsidR="0072673B" w:rsidRPr="009C2953" w:rsidRDefault="0072673B" w:rsidP="00A068F8">
            <w:pPr>
              <w:pStyle w:val="Normal-pool"/>
              <w:spacing w:before="40" w:after="40"/>
              <w:rPr>
                <w:sz w:val="18"/>
                <w:szCs w:val="18"/>
              </w:rPr>
            </w:pPr>
          </w:p>
        </w:tc>
        <w:tc>
          <w:tcPr>
            <w:tcW w:w="903" w:type="dxa"/>
            <w:tcBorders>
              <w:top w:val="nil"/>
              <w:left w:val="nil"/>
              <w:bottom w:val="nil"/>
              <w:right w:val="single" w:sz="4" w:space="0" w:color="000000"/>
            </w:tcBorders>
          </w:tcPr>
          <w:p w14:paraId="4A78CD24" w14:textId="77777777" w:rsidR="0072673B" w:rsidRPr="009C2953" w:rsidRDefault="0072673B" w:rsidP="00A068F8">
            <w:pPr>
              <w:pStyle w:val="Normal-pool"/>
              <w:spacing w:before="40" w:after="40"/>
              <w:rPr>
                <w:sz w:val="18"/>
                <w:szCs w:val="18"/>
              </w:rPr>
            </w:pPr>
          </w:p>
        </w:tc>
        <w:tc>
          <w:tcPr>
            <w:tcW w:w="969" w:type="dxa"/>
            <w:tcBorders>
              <w:top w:val="nil"/>
              <w:left w:val="single" w:sz="4" w:space="0" w:color="000000"/>
              <w:bottom w:val="nil"/>
              <w:right w:val="nil"/>
            </w:tcBorders>
            <w:hideMark/>
          </w:tcPr>
          <w:p w14:paraId="1762B6B9" w14:textId="77777777" w:rsidR="0072673B" w:rsidRPr="009C2953" w:rsidRDefault="0072673B" w:rsidP="00A068F8">
            <w:pPr>
              <w:pStyle w:val="Normal-pool"/>
              <w:spacing w:before="40" w:after="40"/>
              <w:rPr>
                <w:sz w:val="18"/>
                <w:szCs w:val="18"/>
              </w:rPr>
            </w:pPr>
            <w:r w:rsidRPr="009C2953">
              <w:rPr>
                <w:sz w:val="18"/>
              </w:rPr>
              <w:t xml:space="preserve"> </w:t>
            </w:r>
          </w:p>
        </w:tc>
        <w:tc>
          <w:tcPr>
            <w:tcW w:w="962" w:type="dxa"/>
            <w:tcBorders>
              <w:top w:val="nil"/>
              <w:left w:val="nil"/>
              <w:bottom w:val="nil"/>
              <w:right w:val="nil"/>
            </w:tcBorders>
            <w:hideMark/>
          </w:tcPr>
          <w:p w14:paraId="4108861D" w14:textId="77777777" w:rsidR="0072673B" w:rsidRPr="009C2953" w:rsidRDefault="0072673B" w:rsidP="00A068F8">
            <w:pPr>
              <w:pStyle w:val="Normal-pool"/>
              <w:spacing w:before="40" w:after="40"/>
              <w:rPr>
                <w:sz w:val="18"/>
                <w:szCs w:val="18"/>
              </w:rPr>
            </w:pPr>
            <w:r w:rsidRPr="009C2953">
              <w:rPr>
                <w:sz w:val="18"/>
              </w:rPr>
              <w:t xml:space="preserve"> </w:t>
            </w:r>
          </w:p>
        </w:tc>
        <w:tc>
          <w:tcPr>
            <w:tcW w:w="962" w:type="dxa"/>
            <w:tcBorders>
              <w:top w:val="nil"/>
              <w:left w:val="nil"/>
              <w:bottom w:val="nil"/>
              <w:right w:val="nil"/>
            </w:tcBorders>
            <w:hideMark/>
          </w:tcPr>
          <w:p w14:paraId="7F0DD522" w14:textId="77777777" w:rsidR="0072673B" w:rsidRPr="009C2953" w:rsidRDefault="0072673B" w:rsidP="00A068F8">
            <w:pPr>
              <w:pStyle w:val="Normal-pool"/>
              <w:spacing w:before="40" w:after="40"/>
              <w:rPr>
                <w:sz w:val="18"/>
                <w:szCs w:val="18"/>
              </w:rPr>
            </w:pPr>
            <w:r w:rsidRPr="009C2953">
              <w:rPr>
                <w:sz w:val="18"/>
              </w:rPr>
              <w:t xml:space="preserve"> </w:t>
            </w:r>
          </w:p>
        </w:tc>
      </w:tr>
      <w:tr w:rsidR="00073FDF" w:rsidRPr="009C2953" w14:paraId="6B8B3C25" w14:textId="77777777" w:rsidTr="0072673B">
        <w:trPr>
          <w:trHeight w:val="57"/>
          <w:jc w:val="right"/>
        </w:trPr>
        <w:tc>
          <w:tcPr>
            <w:tcW w:w="1962" w:type="dxa"/>
            <w:tcBorders>
              <w:top w:val="nil"/>
              <w:left w:val="nil"/>
              <w:bottom w:val="nil"/>
              <w:right w:val="nil"/>
            </w:tcBorders>
          </w:tcPr>
          <w:p w14:paraId="27BD4F0E" w14:textId="719B3155" w:rsidR="00073FDF" w:rsidRPr="009C2953" w:rsidRDefault="00073FDF" w:rsidP="00073FDF">
            <w:pPr>
              <w:pStyle w:val="Normal-pool"/>
              <w:spacing w:before="40" w:after="40"/>
              <w:rPr>
                <w:sz w:val="18"/>
              </w:rPr>
            </w:pPr>
            <w:r w:rsidRPr="009C2953">
              <w:rPr>
                <w:sz w:val="18"/>
              </w:rPr>
              <w:t xml:space="preserve">Allemagne </w:t>
            </w:r>
          </w:p>
        </w:tc>
        <w:tc>
          <w:tcPr>
            <w:tcW w:w="2717" w:type="dxa"/>
            <w:tcBorders>
              <w:top w:val="nil"/>
              <w:left w:val="nil"/>
              <w:bottom w:val="nil"/>
              <w:right w:val="nil"/>
            </w:tcBorders>
          </w:tcPr>
          <w:p w14:paraId="248EA733" w14:textId="79C695F1" w:rsidR="00073FDF" w:rsidRPr="009C2953" w:rsidRDefault="00073FDF" w:rsidP="00073FDF">
            <w:pPr>
              <w:pStyle w:val="Normal-pool"/>
              <w:spacing w:before="40" w:after="40"/>
              <w:rPr>
                <w:sz w:val="18"/>
              </w:rPr>
            </w:pPr>
            <w:r w:rsidRPr="009C2953">
              <w:rPr>
                <w:sz w:val="18"/>
              </w:rPr>
              <w:t>Appui pour couvrir le coût d</w:t>
            </w:r>
            <w:r w:rsidR="00EA2966" w:rsidRPr="009C2953">
              <w:rPr>
                <w:sz w:val="18"/>
              </w:rPr>
              <w:t>’</w:t>
            </w:r>
            <w:r w:rsidRPr="009C2953">
              <w:rPr>
                <w:sz w:val="18"/>
              </w:rPr>
              <w:t>un(e)</w:t>
            </w:r>
            <w:r w:rsidR="00BD4464" w:rsidRPr="009C2953">
              <w:rPr>
                <w:rStyle w:val="CommentReference"/>
              </w:rPr>
              <w:t> c</w:t>
            </w:r>
            <w:r w:rsidRPr="009C2953">
              <w:rPr>
                <w:sz w:val="18"/>
              </w:rPr>
              <w:t>onsultant(e) (P</w:t>
            </w:r>
            <w:r w:rsidRPr="009C2953">
              <w:rPr>
                <w:sz w:val="18"/>
              </w:rPr>
              <w:noBreakHyphen/>
              <w:t>3) affecté au groupe d</w:t>
            </w:r>
            <w:r w:rsidR="00EA2966" w:rsidRPr="009C2953">
              <w:rPr>
                <w:sz w:val="18"/>
              </w:rPr>
              <w:t>’</w:t>
            </w:r>
            <w:r w:rsidRPr="009C2953">
              <w:rPr>
                <w:sz w:val="18"/>
              </w:rPr>
              <w:t>appui technique pour l</w:t>
            </w:r>
            <w:r w:rsidR="00EA2966" w:rsidRPr="009C2953">
              <w:rPr>
                <w:sz w:val="18"/>
              </w:rPr>
              <w:t>’</w:t>
            </w:r>
            <w:r w:rsidRPr="009C2953">
              <w:rPr>
                <w:sz w:val="18"/>
              </w:rPr>
              <w:t>évaluation mondiale de la biodiversité et des services écosystémiques</w:t>
            </w:r>
          </w:p>
        </w:tc>
        <w:tc>
          <w:tcPr>
            <w:tcW w:w="1275" w:type="dxa"/>
            <w:tcBorders>
              <w:top w:val="nil"/>
              <w:left w:val="nil"/>
              <w:bottom w:val="nil"/>
              <w:right w:val="nil"/>
            </w:tcBorders>
          </w:tcPr>
          <w:p w14:paraId="0FB12493" w14:textId="0AA3E7E5" w:rsidR="00073FDF" w:rsidRPr="009C2953" w:rsidRDefault="00073FDF" w:rsidP="00FA7442">
            <w:pPr>
              <w:pStyle w:val="Normal-pool"/>
              <w:spacing w:before="40" w:after="40"/>
              <w:ind w:right="-57"/>
              <w:rPr>
                <w:sz w:val="18"/>
              </w:rPr>
            </w:pPr>
            <w:r w:rsidRPr="009C2953">
              <w:rPr>
                <w:sz w:val="18"/>
              </w:rPr>
              <w:t>Dépenses de</w:t>
            </w:r>
            <w:r w:rsidR="00BD4464" w:rsidRPr="009C2953">
              <w:rPr>
                <w:sz w:val="18"/>
              </w:rPr>
              <w:t> </w:t>
            </w:r>
            <w:r w:rsidRPr="009C2953">
              <w:rPr>
                <w:sz w:val="18"/>
              </w:rPr>
              <w:t>personnel</w:t>
            </w:r>
          </w:p>
        </w:tc>
        <w:tc>
          <w:tcPr>
            <w:tcW w:w="891" w:type="dxa"/>
            <w:tcBorders>
              <w:top w:val="nil"/>
              <w:left w:val="nil"/>
              <w:bottom w:val="nil"/>
              <w:right w:val="nil"/>
            </w:tcBorders>
            <w:vAlign w:val="bottom"/>
          </w:tcPr>
          <w:p w14:paraId="19D4D51A" w14:textId="127BFD32" w:rsidR="00073FDF" w:rsidRPr="009C2953" w:rsidRDefault="00073FDF" w:rsidP="00073FDF">
            <w:pPr>
              <w:pStyle w:val="Normal-pool"/>
              <w:spacing w:before="40" w:after="40"/>
              <w:jc w:val="right"/>
              <w:rPr>
                <w:sz w:val="18"/>
              </w:rPr>
            </w:pPr>
            <w:r w:rsidRPr="009C2953">
              <w:rPr>
                <w:sz w:val="18"/>
              </w:rPr>
              <w:t>102 108</w:t>
            </w:r>
          </w:p>
        </w:tc>
        <w:tc>
          <w:tcPr>
            <w:tcW w:w="932" w:type="dxa"/>
            <w:tcBorders>
              <w:top w:val="nil"/>
              <w:left w:val="nil"/>
              <w:bottom w:val="nil"/>
              <w:right w:val="nil"/>
            </w:tcBorders>
            <w:vAlign w:val="bottom"/>
          </w:tcPr>
          <w:p w14:paraId="14FFF4AE" w14:textId="39AD3235" w:rsidR="00073FDF" w:rsidRPr="009C2953" w:rsidRDefault="00073FDF" w:rsidP="00073FDF">
            <w:pPr>
              <w:pStyle w:val="Normal-pool"/>
              <w:spacing w:before="40" w:after="40"/>
              <w:jc w:val="right"/>
              <w:rPr>
                <w:sz w:val="18"/>
              </w:rPr>
            </w:pPr>
            <w:r w:rsidRPr="009C2953">
              <w:rPr>
                <w:sz w:val="18"/>
              </w:rPr>
              <w:t>73 594</w:t>
            </w:r>
          </w:p>
        </w:tc>
        <w:tc>
          <w:tcPr>
            <w:tcW w:w="1013" w:type="dxa"/>
            <w:tcBorders>
              <w:top w:val="nil"/>
              <w:left w:val="nil"/>
              <w:bottom w:val="nil"/>
              <w:right w:val="nil"/>
            </w:tcBorders>
            <w:vAlign w:val="bottom"/>
          </w:tcPr>
          <w:p w14:paraId="3A5A6D76" w14:textId="446BDE94" w:rsidR="00073FDF" w:rsidRPr="009C2953" w:rsidRDefault="00073FDF" w:rsidP="00073FDF">
            <w:pPr>
              <w:pStyle w:val="Normal-pool"/>
              <w:spacing w:before="40" w:after="40"/>
              <w:jc w:val="right"/>
              <w:rPr>
                <w:sz w:val="18"/>
              </w:rPr>
            </w:pPr>
            <w:r w:rsidRPr="009C2953">
              <w:rPr>
                <w:sz w:val="18"/>
              </w:rPr>
              <w:t xml:space="preserve"> </w:t>
            </w:r>
          </w:p>
        </w:tc>
        <w:tc>
          <w:tcPr>
            <w:tcW w:w="851" w:type="dxa"/>
            <w:tcBorders>
              <w:top w:val="nil"/>
              <w:left w:val="nil"/>
              <w:bottom w:val="nil"/>
              <w:right w:val="nil"/>
            </w:tcBorders>
            <w:vAlign w:val="bottom"/>
          </w:tcPr>
          <w:p w14:paraId="3A260ED3" w14:textId="7946A24A" w:rsidR="00073FDF" w:rsidRPr="009C2953" w:rsidRDefault="00073FDF" w:rsidP="00073FDF">
            <w:pPr>
              <w:pStyle w:val="Normal-pool"/>
              <w:spacing w:before="40" w:after="40"/>
              <w:jc w:val="right"/>
              <w:rPr>
                <w:sz w:val="18"/>
              </w:rPr>
            </w:pPr>
            <w:r w:rsidRPr="009C2953">
              <w:rPr>
                <w:sz w:val="18"/>
              </w:rPr>
              <w:t xml:space="preserve"> </w:t>
            </w:r>
          </w:p>
        </w:tc>
        <w:tc>
          <w:tcPr>
            <w:tcW w:w="992" w:type="dxa"/>
            <w:tcBorders>
              <w:top w:val="nil"/>
              <w:left w:val="nil"/>
              <w:bottom w:val="nil"/>
              <w:right w:val="nil"/>
            </w:tcBorders>
            <w:vAlign w:val="bottom"/>
          </w:tcPr>
          <w:p w14:paraId="61138F04" w14:textId="25CCD883" w:rsidR="00073FDF" w:rsidRPr="009C2953" w:rsidRDefault="00073FDF" w:rsidP="00073FDF">
            <w:pPr>
              <w:pStyle w:val="Normal-pool"/>
              <w:spacing w:before="40" w:after="40"/>
              <w:jc w:val="right"/>
              <w:rPr>
                <w:sz w:val="18"/>
              </w:rPr>
            </w:pPr>
            <w:r w:rsidRPr="009C2953">
              <w:rPr>
                <w:sz w:val="18"/>
              </w:rPr>
              <w:t xml:space="preserve"> </w:t>
            </w:r>
          </w:p>
        </w:tc>
        <w:tc>
          <w:tcPr>
            <w:tcW w:w="903" w:type="dxa"/>
            <w:tcBorders>
              <w:top w:val="nil"/>
              <w:left w:val="nil"/>
              <w:bottom w:val="nil"/>
              <w:right w:val="single" w:sz="4" w:space="0" w:color="000000"/>
            </w:tcBorders>
            <w:vAlign w:val="bottom"/>
          </w:tcPr>
          <w:p w14:paraId="4662688A" w14:textId="77777777" w:rsidR="00073FDF" w:rsidRPr="009C2953" w:rsidRDefault="00073FDF" w:rsidP="00073FDF">
            <w:pPr>
              <w:pStyle w:val="Normal-pool"/>
              <w:spacing w:before="40" w:after="40"/>
              <w:jc w:val="right"/>
              <w:rPr>
                <w:sz w:val="18"/>
              </w:rPr>
            </w:pPr>
          </w:p>
        </w:tc>
        <w:tc>
          <w:tcPr>
            <w:tcW w:w="969" w:type="dxa"/>
            <w:tcBorders>
              <w:top w:val="nil"/>
              <w:left w:val="single" w:sz="4" w:space="0" w:color="000000"/>
              <w:bottom w:val="nil"/>
              <w:right w:val="nil"/>
            </w:tcBorders>
            <w:vAlign w:val="bottom"/>
          </w:tcPr>
          <w:p w14:paraId="4851590A" w14:textId="3E9AD529"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73D1A57A" w14:textId="54F048E1" w:rsidR="00073FDF" w:rsidRPr="009C2953" w:rsidRDefault="00073FDF" w:rsidP="00073FDF">
            <w:pPr>
              <w:pStyle w:val="Normal-pool"/>
              <w:spacing w:before="40" w:after="40"/>
              <w:jc w:val="right"/>
              <w:rPr>
                <w:sz w:val="18"/>
              </w:rPr>
            </w:pPr>
            <w:r w:rsidRPr="009C2953">
              <w:rPr>
                <w:sz w:val="18"/>
              </w:rPr>
              <w:t xml:space="preserve"> </w:t>
            </w:r>
          </w:p>
        </w:tc>
        <w:tc>
          <w:tcPr>
            <w:tcW w:w="962" w:type="dxa"/>
            <w:tcBorders>
              <w:top w:val="nil"/>
              <w:left w:val="nil"/>
              <w:bottom w:val="nil"/>
              <w:right w:val="nil"/>
            </w:tcBorders>
            <w:vAlign w:val="bottom"/>
          </w:tcPr>
          <w:p w14:paraId="4CC63926" w14:textId="77777777" w:rsidR="00073FDF" w:rsidRPr="009C2953" w:rsidRDefault="00073FDF" w:rsidP="00073FDF">
            <w:pPr>
              <w:pStyle w:val="Normal-pool"/>
              <w:spacing w:before="40" w:after="40"/>
              <w:jc w:val="right"/>
              <w:rPr>
                <w:sz w:val="18"/>
              </w:rPr>
            </w:pPr>
          </w:p>
        </w:tc>
      </w:tr>
      <w:tr w:rsidR="00073FDF" w:rsidRPr="009C2953" w14:paraId="00101E0D" w14:textId="77777777" w:rsidTr="0072673B">
        <w:trPr>
          <w:trHeight w:val="57"/>
          <w:jc w:val="right"/>
        </w:trPr>
        <w:tc>
          <w:tcPr>
            <w:tcW w:w="1962" w:type="dxa"/>
            <w:tcBorders>
              <w:top w:val="nil"/>
              <w:left w:val="nil"/>
              <w:bottom w:val="nil"/>
              <w:right w:val="nil"/>
            </w:tcBorders>
          </w:tcPr>
          <w:p w14:paraId="20B0D9B0" w14:textId="34FEA549" w:rsidR="00073FDF" w:rsidRPr="009C2953" w:rsidRDefault="00073FDF" w:rsidP="00073FDF">
            <w:pPr>
              <w:pStyle w:val="Normal-pool"/>
              <w:spacing w:before="40" w:after="40"/>
              <w:rPr>
                <w:sz w:val="18"/>
              </w:rPr>
            </w:pPr>
            <w:proofErr w:type="spellStart"/>
            <w:r w:rsidRPr="009C2953">
              <w:rPr>
                <w:sz w:val="18"/>
              </w:rPr>
              <w:t>Allemagne</w:t>
            </w:r>
            <w:r w:rsidRPr="009C2953">
              <w:rPr>
                <w:sz w:val="18"/>
                <w:vertAlign w:val="superscript"/>
              </w:rPr>
              <w:t>a</w:t>
            </w:r>
            <w:proofErr w:type="spellEnd"/>
            <w:r w:rsidRPr="009C2953">
              <w:rPr>
                <w:sz w:val="18"/>
              </w:rPr>
              <w:t xml:space="preserve"> </w:t>
            </w:r>
          </w:p>
        </w:tc>
        <w:tc>
          <w:tcPr>
            <w:tcW w:w="2717" w:type="dxa"/>
            <w:tcBorders>
              <w:top w:val="nil"/>
              <w:left w:val="nil"/>
              <w:bottom w:val="nil"/>
              <w:right w:val="nil"/>
            </w:tcBorders>
          </w:tcPr>
          <w:p w14:paraId="3B9BFE25" w14:textId="1882E66A" w:rsidR="00073FDF" w:rsidRPr="009C2953" w:rsidRDefault="00073FDF" w:rsidP="00073FDF">
            <w:pPr>
              <w:pStyle w:val="Normal-pool"/>
              <w:spacing w:before="40" w:after="40"/>
              <w:rPr>
                <w:sz w:val="18"/>
              </w:rPr>
            </w:pPr>
            <w:r w:rsidRPr="009C2953">
              <w:rPr>
                <w:sz w:val="18"/>
              </w:rPr>
              <w:t>Appui pour couvrir le coût du</w:t>
            </w:r>
            <w:r w:rsidR="00BD4464" w:rsidRPr="009C2953">
              <w:rPr>
                <w:sz w:val="18"/>
              </w:rPr>
              <w:t> </w:t>
            </w:r>
            <w:r w:rsidRPr="009C2953">
              <w:rPr>
                <w:sz w:val="18"/>
              </w:rPr>
              <w:t>poste d</w:t>
            </w:r>
            <w:r w:rsidR="00EA2966" w:rsidRPr="009C2953">
              <w:rPr>
                <w:sz w:val="18"/>
              </w:rPr>
              <w:t>’</w:t>
            </w:r>
            <w:r w:rsidRPr="009C2953">
              <w:rPr>
                <w:sz w:val="18"/>
              </w:rPr>
              <w:t>assistant(e) aux systèmes d</w:t>
            </w:r>
            <w:r w:rsidR="00EA2966" w:rsidRPr="009C2953">
              <w:rPr>
                <w:sz w:val="18"/>
              </w:rPr>
              <w:t>’</w:t>
            </w:r>
            <w:r w:rsidRPr="009C2953">
              <w:rPr>
                <w:sz w:val="18"/>
              </w:rPr>
              <w:t>information</w:t>
            </w:r>
          </w:p>
        </w:tc>
        <w:tc>
          <w:tcPr>
            <w:tcW w:w="1275" w:type="dxa"/>
            <w:tcBorders>
              <w:top w:val="nil"/>
              <w:left w:val="nil"/>
              <w:bottom w:val="nil"/>
              <w:right w:val="nil"/>
            </w:tcBorders>
          </w:tcPr>
          <w:p w14:paraId="6A7196AC" w14:textId="782AB709" w:rsidR="00073FDF" w:rsidRPr="009C2953" w:rsidRDefault="00073FDF" w:rsidP="00FA7442">
            <w:pPr>
              <w:pStyle w:val="Normal-pool"/>
              <w:spacing w:before="40" w:after="40"/>
              <w:ind w:right="-57"/>
              <w:rPr>
                <w:sz w:val="18"/>
              </w:rPr>
            </w:pPr>
            <w:r w:rsidRPr="009C2953">
              <w:rPr>
                <w:sz w:val="18"/>
              </w:rPr>
              <w:t>Dépenses de</w:t>
            </w:r>
            <w:r w:rsidR="00BD4464" w:rsidRPr="009C2953">
              <w:rPr>
                <w:sz w:val="18"/>
              </w:rPr>
              <w:t> </w:t>
            </w:r>
            <w:r w:rsidRPr="009C2953">
              <w:rPr>
                <w:sz w:val="18"/>
              </w:rPr>
              <w:t>personnel</w:t>
            </w:r>
          </w:p>
        </w:tc>
        <w:tc>
          <w:tcPr>
            <w:tcW w:w="891" w:type="dxa"/>
            <w:tcBorders>
              <w:top w:val="nil"/>
              <w:left w:val="nil"/>
              <w:bottom w:val="nil"/>
              <w:right w:val="nil"/>
            </w:tcBorders>
            <w:vAlign w:val="bottom"/>
          </w:tcPr>
          <w:p w14:paraId="22AE3E65" w14:textId="10A88749" w:rsidR="00073FDF" w:rsidRPr="009C2953" w:rsidRDefault="00073FDF" w:rsidP="00073FDF">
            <w:pPr>
              <w:pStyle w:val="Normal-pool"/>
              <w:spacing w:before="40" w:after="40"/>
              <w:jc w:val="right"/>
              <w:rPr>
                <w:sz w:val="18"/>
              </w:rPr>
            </w:pPr>
            <w:r w:rsidRPr="009C2953">
              <w:rPr>
                <w:sz w:val="18"/>
              </w:rPr>
              <w:t xml:space="preserve"> </w:t>
            </w:r>
          </w:p>
        </w:tc>
        <w:tc>
          <w:tcPr>
            <w:tcW w:w="932" w:type="dxa"/>
            <w:tcBorders>
              <w:top w:val="nil"/>
              <w:left w:val="nil"/>
              <w:bottom w:val="nil"/>
              <w:right w:val="nil"/>
            </w:tcBorders>
            <w:vAlign w:val="bottom"/>
          </w:tcPr>
          <w:p w14:paraId="119C707A" w14:textId="2C5AC879" w:rsidR="00073FDF" w:rsidRPr="009C2953" w:rsidRDefault="00073FDF" w:rsidP="00073FDF">
            <w:pPr>
              <w:pStyle w:val="Normal-pool"/>
              <w:spacing w:before="40" w:after="40"/>
              <w:jc w:val="right"/>
              <w:rPr>
                <w:sz w:val="18"/>
              </w:rPr>
            </w:pPr>
            <w:r w:rsidRPr="009C2953">
              <w:rPr>
                <w:sz w:val="18"/>
              </w:rPr>
              <w:t>51 500</w:t>
            </w:r>
          </w:p>
        </w:tc>
        <w:tc>
          <w:tcPr>
            <w:tcW w:w="1013" w:type="dxa"/>
            <w:tcBorders>
              <w:top w:val="nil"/>
              <w:left w:val="nil"/>
              <w:bottom w:val="nil"/>
              <w:right w:val="nil"/>
            </w:tcBorders>
            <w:vAlign w:val="bottom"/>
          </w:tcPr>
          <w:p w14:paraId="3993AC3F" w14:textId="31C99257" w:rsidR="00073FDF" w:rsidRPr="009C2953" w:rsidRDefault="00073FDF" w:rsidP="00073FDF">
            <w:pPr>
              <w:pStyle w:val="Normal-pool"/>
              <w:spacing w:before="40" w:after="40"/>
              <w:jc w:val="right"/>
              <w:rPr>
                <w:sz w:val="18"/>
              </w:rPr>
            </w:pPr>
            <w:r w:rsidRPr="009C2953">
              <w:rPr>
                <w:sz w:val="18"/>
              </w:rPr>
              <w:t xml:space="preserve"> </w:t>
            </w:r>
          </w:p>
        </w:tc>
        <w:tc>
          <w:tcPr>
            <w:tcW w:w="851" w:type="dxa"/>
            <w:tcBorders>
              <w:top w:val="nil"/>
              <w:left w:val="nil"/>
              <w:bottom w:val="nil"/>
              <w:right w:val="nil"/>
            </w:tcBorders>
            <w:vAlign w:val="bottom"/>
          </w:tcPr>
          <w:p w14:paraId="7143C201" w14:textId="1CFFD8EB" w:rsidR="00073FDF" w:rsidRPr="009C2953" w:rsidRDefault="00073FDF" w:rsidP="00073FDF">
            <w:pPr>
              <w:pStyle w:val="Normal-pool"/>
              <w:spacing w:before="40" w:after="40"/>
              <w:jc w:val="right"/>
              <w:rPr>
                <w:sz w:val="18"/>
              </w:rPr>
            </w:pPr>
            <w:r w:rsidRPr="009C2953">
              <w:rPr>
                <w:sz w:val="18"/>
              </w:rPr>
              <w:t>103 000</w:t>
            </w:r>
          </w:p>
        </w:tc>
        <w:tc>
          <w:tcPr>
            <w:tcW w:w="992" w:type="dxa"/>
            <w:tcBorders>
              <w:top w:val="nil"/>
              <w:left w:val="nil"/>
              <w:bottom w:val="nil"/>
              <w:right w:val="nil"/>
            </w:tcBorders>
            <w:vAlign w:val="bottom"/>
          </w:tcPr>
          <w:p w14:paraId="4F768764" w14:textId="1E316386" w:rsidR="00073FDF" w:rsidRPr="009C2953" w:rsidRDefault="00073FDF" w:rsidP="00073FDF">
            <w:pPr>
              <w:pStyle w:val="Normal-pool"/>
              <w:spacing w:before="40" w:after="40"/>
              <w:jc w:val="right"/>
              <w:rPr>
                <w:sz w:val="18"/>
              </w:rPr>
            </w:pPr>
            <w:r w:rsidRPr="009C2953">
              <w:rPr>
                <w:sz w:val="18"/>
              </w:rPr>
              <w:t xml:space="preserve"> </w:t>
            </w:r>
          </w:p>
        </w:tc>
        <w:tc>
          <w:tcPr>
            <w:tcW w:w="903" w:type="dxa"/>
            <w:tcBorders>
              <w:top w:val="nil"/>
              <w:left w:val="nil"/>
              <w:bottom w:val="nil"/>
              <w:right w:val="single" w:sz="4" w:space="0" w:color="000000"/>
            </w:tcBorders>
            <w:vAlign w:val="bottom"/>
          </w:tcPr>
          <w:p w14:paraId="1134D7E1" w14:textId="77777777" w:rsidR="00073FDF" w:rsidRPr="009C2953" w:rsidRDefault="00073FDF" w:rsidP="00073FDF">
            <w:pPr>
              <w:pStyle w:val="Normal-pool"/>
              <w:spacing w:before="40" w:after="40"/>
              <w:jc w:val="right"/>
              <w:rPr>
                <w:sz w:val="18"/>
              </w:rPr>
            </w:pPr>
          </w:p>
        </w:tc>
        <w:tc>
          <w:tcPr>
            <w:tcW w:w="969" w:type="dxa"/>
            <w:tcBorders>
              <w:top w:val="nil"/>
              <w:left w:val="single" w:sz="4" w:space="0" w:color="000000"/>
              <w:bottom w:val="nil"/>
              <w:right w:val="nil"/>
            </w:tcBorders>
            <w:vAlign w:val="bottom"/>
          </w:tcPr>
          <w:p w14:paraId="334A9055" w14:textId="67C3CF56"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4E8FCC31" w14:textId="5DF61744" w:rsidR="00073FDF" w:rsidRPr="009C2953" w:rsidRDefault="00073FDF" w:rsidP="00073FDF">
            <w:pPr>
              <w:pStyle w:val="Normal-pool"/>
              <w:spacing w:before="40" w:after="40"/>
              <w:jc w:val="right"/>
              <w:rPr>
                <w:sz w:val="18"/>
              </w:rPr>
            </w:pPr>
            <w:r w:rsidRPr="009C2953">
              <w:rPr>
                <w:sz w:val="18"/>
              </w:rPr>
              <w:t xml:space="preserve"> </w:t>
            </w:r>
          </w:p>
        </w:tc>
        <w:tc>
          <w:tcPr>
            <w:tcW w:w="962" w:type="dxa"/>
            <w:tcBorders>
              <w:top w:val="nil"/>
              <w:left w:val="nil"/>
              <w:bottom w:val="nil"/>
              <w:right w:val="nil"/>
            </w:tcBorders>
            <w:vAlign w:val="bottom"/>
          </w:tcPr>
          <w:p w14:paraId="7D99604B" w14:textId="77777777" w:rsidR="00073FDF" w:rsidRPr="009C2953" w:rsidRDefault="00073FDF" w:rsidP="00073FDF">
            <w:pPr>
              <w:pStyle w:val="Normal-pool"/>
              <w:spacing w:before="40" w:after="40"/>
              <w:jc w:val="right"/>
              <w:rPr>
                <w:sz w:val="18"/>
              </w:rPr>
            </w:pPr>
          </w:p>
        </w:tc>
      </w:tr>
      <w:tr w:rsidR="00073FDF" w:rsidRPr="009C2953" w14:paraId="05E2BC63" w14:textId="77777777" w:rsidTr="0072673B">
        <w:trPr>
          <w:trHeight w:val="57"/>
          <w:jc w:val="right"/>
        </w:trPr>
        <w:tc>
          <w:tcPr>
            <w:tcW w:w="1962" w:type="dxa"/>
            <w:tcBorders>
              <w:top w:val="nil"/>
              <w:left w:val="nil"/>
              <w:bottom w:val="nil"/>
              <w:right w:val="nil"/>
            </w:tcBorders>
          </w:tcPr>
          <w:p w14:paraId="5B41CC39" w14:textId="4C9BCA78" w:rsidR="00073FDF" w:rsidRPr="009C2953" w:rsidRDefault="00073FDF" w:rsidP="00073FDF">
            <w:pPr>
              <w:pStyle w:val="Normal-pool"/>
              <w:spacing w:before="40" w:after="40"/>
              <w:rPr>
                <w:sz w:val="18"/>
              </w:rPr>
            </w:pPr>
            <w:r w:rsidRPr="009C2953">
              <w:rPr>
                <w:sz w:val="18"/>
              </w:rPr>
              <w:t xml:space="preserve">Allemagne </w:t>
            </w:r>
          </w:p>
        </w:tc>
        <w:tc>
          <w:tcPr>
            <w:tcW w:w="2717" w:type="dxa"/>
            <w:tcBorders>
              <w:top w:val="nil"/>
              <w:left w:val="nil"/>
              <w:bottom w:val="nil"/>
              <w:right w:val="nil"/>
            </w:tcBorders>
          </w:tcPr>
          <w:p w14:paraId="06449215" w14:textId="02FFB672" w:rsidR="00073FDF" w:rsidRPr="009C2953" w:rsidRDefault="00073FDF" w:rsidP="00073FDF">
            <w:pPr>
              <w:pStyle w:val="Normal-pool"/>
              <w:spacing w:before="40" w:after="40"/>
              <w:rPr>
                <w:sz w:val="18"/>
              </w:rPr>
            </w:pPr>
            <w:r w:rsidRPr="009C2953">
              <w:rPr>
                <w:sz w:val="18"/>
              </w:rPr>
              <w:t>Aide aux participant(e)s à</w:t>
            </w:r>
            <w:r w:rsidR="00BD4464" w:rsidRPr="009C2953">
              <w:rPr>
                <w:sz w:val="18"/>
              </w:rPr>
              <w:t xml:space="preserve"> </w:t>
            </w:r>
            <w:r w:rsidRPr="009C2953">
              <w:rPr>
                <w:sz w:val="18"/>
              </w:rPr>
              <w:t>la sixième session de la Plénière</w:t>
            </w:r>
          </w:p>
        </w:tc>
        <w:tc>
          <w:tcPr>
            <w:tcW w:w="1275" w:type="dxa"/>
            <w:tcBorders>
              <w:top w:val="nil"/>
              <w:left w:val="nil"/>
              <w:bottom w:val="nil"/>
              <w:right w:val="nil"/>
            </w:tcBorders>
          </w:tcPr>
          <w:p w14:paraId="0FA4EE46" w14:textId="38706AF0" w:rsidR="00073FDF" w:rsidRPr="009C2953" w:rsidRDefault="00073FDF" w:rsidP="00FA7442">
            <w:pPr>
              <w:pStyle w:val="Normal-pool"/>
              <w:spacing w:before="40" w:after="40"/>
              <w:ind w:right="-57"/>
              <w:rPr>
                <w:sz w:val="18"/>
              </w:rPr>
            </w:pPr>
            <w:r w:rsidRPr="009C2953">
              <w:rPr>
                <w:sz w:val="18"/>
              </w:rPr>
              <w:t>Aide aux participant(e)s</w:t>
            </w:r>
          </w:p>
        </w:tc>
        <w:tc>
          <w:tcPr>
            <w:tcW w:w="891" w:type="dxa"/>
            <w:tcBorders>
              <w:top w:val="nil"/>
              <w:left w:val="nil"/>
              <w:bottom w:val="nil"/>
              <w:right w:val="nil"/>
            </w:tcBorders>
            <w:vAlign w:val="bottom"/>
          </w:tcPr>
          <w:p w14:paraId="4555A136" w14:textId="23DB4F5B" w:rsidR="00073FDF" w:rsidRPr="009C2953" w:rsidRDefault="00073FDF" w:rsidP="00073FDF">
            <w:pPr>
              <w:pStyle w:val="Normal-pool"/>
              <w:spacing w:before="40" w:after="40"/>
              <w:jc w:val="right"/>
              <w:rPr>
                <w:sz w:val="18"/>
              </w:rPr>
            </w:pPr>
            <w:r w:rsidRPr="009C2953">
              <w:rPr>
                <w:sz w:val="18"/>
              </w:rPr>
              <w:t>149 068</w:t>
            </w:r>
          </w:p>
        </w:tc>
        <w:tc>
          <w:tcPr>
            <w:tcW w:w="932" w:type="dxa"/>
            <w:tcBorders>
              <w:top w:val="nil"/>
              <w:left w:val="nil"/>
              <w:bottom w:val="nil"/>
              <w:right w:val="nil"/>
            </w:tcBorders>
            <w:vAlign w:val="bottom"/>
          </w:tcPr>
          <w:p w14:paraId="01166DC9" w14:textId="2F800B2F" w:rsidR="00073FDF" w:rsidRPr="009C2953" w:rsidRDefault="00073FDF" w:rsidP="00073FDF">
            <w:pPr>
              <w:pStyle w:val="Normal-pool"/>
              <w:spacing w:before="40" w:after="40"/>
              <w:jc w:val="right"/>
              <w:rPr>
                <w:sz w:val="18"/>
              </w:rPr>
            </w:pPr>
            <w:r w:rsidRPr="009C2953">
              <w:rPr>
                <w:sz w:val="18"/>
              </w:rPr>
              <w:t xml:space="preserve"> </w:t>
            </w:r>
          </w:p>
        </w:tc>
        <w:tc>
          <w:tcPr>
            <w:tcW w:w="1013" w:type="dxa"/>
            <w:tcBorders>
              <w:top w:val="nil"/>
              <w:left w:val="nil"/>
              <w:bottom w:val="nil"/>
              <w:right w:val="nil"/>
            </w:tcBorders>
            <w:vAlign w:val="bottom"/>
          </w:tcPr>
          <w:p w14:paraId="547E7157" w14:textId="5E39DB98" w:rsidR="00073FDF" w:rsidRPr="009C2953" w:rsidRDefault="00073FDF" w:rsidP="00073FDF">
            <w:pPr>
              <w:pStyle w:val="Normal-pool"/>
              <w:spacing w:before="40" w:after="40"/>
              <w:jc w:val="right"/>
              <w:rPr>
                <w:sz w:val="18"/>
              </w:rPr>
            </w:pPr>
            <w:r w:rsidRPr="009C2953">
              <w:rPr>
                <w:sz w:val="18"/>
              </w:rPr>
              <w:t xml:space="preserve"> </w:t>
            </w:r>
          </w:p>
        </w:tc>
        <w:tc>
          <w:tcPr>
            <w:tcW w:w="851" w:type="dxa"/>
            <w:tcBorders>
              <w:top w:val="nil"/>
              <w:left w:val="nil"/>
              <w:bottom w:val="nil"/>
              <w:right w:val="nil"/>
            </w:tcBorders>
            <w:vAlign w:val="bottom"/>
          </w:tcPr>
          <w:p w14:paraId="11CEEEBA" w14:textId="6CAA4808" w:rsidR="00073FDF" w:rsidRPr="009C2953" w:rsidRDefault="00073FDF" w:rsidP="00073FDF">
            <w:pPr>
              <w:pStyle w:val="Normal-pool"/>
              <w:spacing w:before="40" w:after="40"/>
              <w:jc w:val="right"/>
              <w:rPr>
                <w:sz w:val="18"/>
              </w:rPr>
            </w:pPr>
            <w:r w:rsidRPr="009C2953">
              <w:rPr>
                <w:sz w:val="18"/>
              </w:rPr>
              <w:t xml:space="preserve"> </w:t>
            </w:r>
          </w:p>
        </w:tc>
        <w:tc>
          <w:tcPr>
            <w:tcW w:w="992" w:type="dxa"/>
            <w:tcBorders>
              <w:top w:val="nil"/>
              <w:left w:val="nil"/>
              <w:bottom w:val="nil"/>
              <w:right w:val="nil"/>
            </w:tcBorders>
            <w:vAlign w:val="bottom"/>
          </w:tcPr>
          <w:p w14:paraId="4AA90586" w14:textId="5B9A57BC" w:rsidR="00073FDF" w:rsidRPr="009C2953" w:rsidRDefault="00073FDF" w:rsidP="00073FDF">
            <w:pPr>
              <w:pStyle w:val="Normal-pool"/>
              <w:spacing w:before="40" w:after="40"/>
              <w:jc w:val="right"/>
              <w:rPr>
                <w:sz w:val="18"/>
              </w:rPr>
            </w:pPr>
            <w:r w:rsidRPr="009C2953">
              <w:rPr>
                <w:sz w:val="18"/>
              </w:rPr>
              <w:t xml:space="preserve"> </w:t>
            </w:r>
          </w:p>
        </w:tc>
        <w:tc>
          <w:tcPr>
            <w:tcW w:w="903" w:type="dxa"/>
            <w:tcBorders>
              <w:top w:val="nil"/>
              <w:left w:val="nil"/>
              <w:bottom w:val="nil"/>
              <w:right w:val="single" w:sz="4" w:space="0" w:color="000000"/>
            </w:tcBorders>
            <w:vAlign w:val="bottom"/>
          </w:tcPr>
          <w:p w14:paraId="5145C91C" w14:textId="77777777" w:rsidR="00073FDF" w:rsidRPr="009C2953" w:rsidRDefault="00073FDF" w:rsidP="00073FDF">
            <w:pPr>
              <w:pStyle w:val="Normal-pool"/>
              <w:spacing w:before="40" w:after="40"/>
              <w:jc w:val="right"/>
              <w:rPr>
                <w:sz w:val="18"/>
              </w:rPr>
            </w:pPr>
          </w:p>
        </w:tc>
        <w:tc>
          <w:tcPr>
            <w:tcW w:w="969" w:type="dxa"/>
            <w:tcBorders>
              <w:top w:val="nil"/>
              <w:left w:val="single" w:sz="4" w:space="0" w:color="000000"/>
              <w:bottom w:val="nil"/>
              <w:right w:val="nil"/>
            </w:tcBorders>
            <w:vAlign w:val="bottom"/>
          </w:tcPr>
          <w:p w14:paraId="7D41126E" w14:textId="4B24B8D0"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446D0F4E" w14:textId="5AD2E485" w:rsidR="00073FDF" w:rsidRPr="009C2953" w:rsidRDefault="00073FDF" w:rsidP="00073FDF">
            <w:pPr>
              <w:pStyle w:val="Normal-pool"/>
              <w:spacing w:before="40" w:after="40"/>
              <w:jc w:val="right"/>
              <w:rPr>
                <w:sz w:val="18"/>
              </w:rPr>
            </w:pPr>
            <w:r w:rsidRPr="009C2953">
              <w:rPr>
                <w:sz w:val="18"/>
              </w:rPr>
              <w:t xml:space="preserve"> </w:t>
            </w:r>
          </w:p>
        </w:tc>
        <w:tc>
          <w:tcPr>
            <w:tcW w:w="962" w:type="dxa"/>
            <w:tcBorders>
              <w:top w:val="nil"/>
              <w:left w:val="nil"/>
              <w:bottom w:val="nil"/>
              <w:right w:val="nil"/>
            </w:tcBorders>
            <w:vAlign w:val="bottom"/>
          </w:tcPr>
          <w:p w14:paraId="26F0FB3B" w14:textId="77777777" w:rsidR="00073FDF" w:rsidRPr="009C2953" w:rsidRDefault="00073FDF" w:rsidP="00073FDF">
            <w:pPr>
              <w:pStyle w:val="Normal-pool"/>
              <w:spacing w:before="40" w:after="40"/>
              <w:jc w:val="right"/>
              <w:rPr>
                <w:sz w:val="18"/>
              </w:rPr>
            </w:pPr>
          </w:p>
        </w:tc>
      </w:tr>
      <w:tr w:rsidR="00073FDF" w:rsidRPr="009C2953" w14:paraId="7225EB40" w14:textId="77777777" w:rsidTr="0072673B">
        <w:trPr>
          <w:trHeight w:val="57"/>
          <w:jc w:val="right"/>
        </w:trPr>
        <w:tc>
          <w:tcPr>
            <w:tcW w:w="1962" w:type="dxa"/>
            <w:tcBorders>
              <w:top w:val="nil"/>
              <w:left w:val="nil"/>
              <w:bottom w:val="nil"/>
              <w:right w:val="nil"/>
            </w:tcBorders>
          </w:tcPr>
          <w:p w14:paraId="2B59FBFF" w14:textId="78A5A963" w:rsidR="00073FDF" w:rsidRPr="009C2953" w:rsidRDefault="00073FDF" w:rsidP="00073FDF">
            <w:pPr>
              <w:pStyle w:val="Normal-pool"/>
              <w:spacing w:before="40" w:after="40"/>
              <w:rPr>
                <w:sz w:val="18"/>
              </w:rPr>
            </w:pPr>
            <w:r w:rsidRPr="009C2953">
              <w:rPr>
                <w:sz w:val="18"/>
              </w:rPr>
              <w:t xml:space="preserve">Allemagne </w:t>
            </w:r>
          </w:p>
        </w:tc>
        <w:tc>
          <w:tcPr>
            <w:tcW w:w="2717" w:type="dxa"/>
            <w:tcBorders>
              <w:top w:val="nil"/>
              <w:left w:val="nil"/>
              <w:bottom w:val="nil"/>
              <w:right w:val="nil"/>
            </w:tcBorders>
          </w:tcPr>
          <w:p w14:paraId="362538F5" w14:textId="0660357A" w:rsidR="00073FDF" w:rsidRPr="009C2953" w:rsidRDefault="00073FDF" w:rsidP="00073FDF">
            <w:pPr>
              <w:pStyle w:val="Normal-pool"/>
              <w:spacing w:before="40" w:after="40"/>
              <w:rPr>
                <w:sz w:val="18"/>
              </w:rPr>
            </w:pPr>
            <w:r w:rsidRPr="009C2953">
              <w:rPr>
                <w:sz w:val="18"/>
              </w:rPr>
              <w:t>Aide aux participant(e)s à la neuvième session de la Plénière</w:t>
            </w:r>
          </w:p>
        </w:tc>
        <w:tc>
          <w:tcPr>
            <w:tcW w:w="1275" w:type="dxa"/>
            <w:tcBorders>
              <w:top w:val="nil"/>
              <w:left w:val="nil"/>
              <w:bottom w:val="nil"/>
              <w:right w:val="nil"/>
            </w:tcBorders>
          </w:tcPr>
          <w:p w14:paraId="4D06E83E" w14:textId="2D576B98" w:rsidR="00073FDF" w:rsidRPr="009C2953" w:rsidRDefault="00073FDF" w:rsidP="00FA7442">
            <w:pPr>
              <w:pStyle w:val="Normal-pool"/>
              <w:spacing w:before="40" w:after="40"/>
              <w:ind w:right="-57"/>
              <w:rPr>
                <w:sz w:val="18"/>
              </w:rPr>
            </w:pPr>
            <w:r w:rsidRPr="009C2953">
              <w:rPr>
                <w:sz w:val="18"/>
              </w:rPr>
              <w:t>Aide aux</w:t>
            </w:r>
            <w:r w:rsidR="00C00BBF" w:rsidRPr="009C2953">
              <w:rPr>
                <w:sz w:val="18"/>
              </w:rPr>
              <w:t xml:space="preserve"> </w:t>
            </w:r>
            <w:r w:rsidRPr="009C2953">
              <w:rPr>
                <w:sz w:val="18"/>
              </w:rPr>
              <w:t>participant(e)s</w:t>
            </w:r>
          </w:p>
        </w:tc>
        <w:tc>
          <w:tcPr>
            <w:tcW w:w="891" w:type="dxa"/>
            <w:tcBorders>
              <w:top w:val="nil"/>
              <w:left w:val="nil"/>
              <w:bottom w:val="nil"/>
              <w:right w:val="nil"/>
            </w:tcBorders>
            <w:vAlign w:val="bottom"/>
          </w:tcPr>
          <w:p w14:paraId="1D08792D" w14:textId="224230D1" w:rsidR="00073FDF" w:rsidRPr="009C2953" w:rsidRDefault="00073FDF" w:rsidP="00073FDF">
            <w:pPr>
              <w:pStyle w:val="Normal-pool"/>
              <w:spacing w:before="40" w:after="40"/>
              <w:jc w:val="right"/>
              <w:rPr>
                <w:sz w:val="18"/>
              </w:rPr>
            </w:pPr>
            <w:r w:rsidRPr="009C2953">
              <w:rPr>
                <w:sz w:val="18"/>
              </w:rPr>
              <w:t xml:space="preserve"> </w:t>
            </w:r>
          </w:p>
        </w:tc>
        <w:tc>
          <w:tcPr>
            <w:tcW w:w="932" w:type="dxa"/>
            <w:tcBorders>
              <w:top w:val="nil"/>
              <w:left w:val="nil"/>
              <w:bottom w:val="nil"/>
              <w:right w:val="nil"/>
            </w:tcBorders>
            <w:vAlign w:val="bottom"/>
          </w:tcPr>
          <w:p w14:paraId="691D8757" w14:textId="605795EB" w:rsidR="00073FDF" w:rsidRPr="009C2953" w:rsidRDefault="00073FDF" w:rsidP="00073FDF">
            <w:pPr>
              <w:pStyle w:val="Normal-pool"/>
              <w:spacing w:before="40" w:after="40"/>
              <w:jc w:val="right"/>
              <w:rPr>
                <w:sz w:val="18"/>
              </w:rPr>
            </w:pPr>
            <w:r w:rsidRPr="009C2953">
              <w:rPr>
                <w:sz w:val="18"/>
              </w:rPr>
              <w:t xml:space="preserve"> </w:t>
            </w:r>
          </w:p>
        </w:tc>
        <w:tc>
          <w:tcPr>
            <w:tcW w:w="1013" w:type="dxa"/>
            <w:tcBorders>
              <w:top w:val="nil"/>
              <w:left w:val="nil"/>
              <w:bottom w:val="nil"/>
              <w:right w:val="nil"/>
            </w:tcBorders>
            <w:vAlign w:val="bottom"/>
          </w:tcPr>
          <w:p w14:paraId="2CDE0633" w14:textId="1B1F49F7" w:rsidR="00073FDF" w:rsidRPr="009C2953" w:rsidRDefault="00073FDF" w:rsidP="00073FDF">
            <w:pPr>
              <w:pStyle w:val="Normal-pool"/>
              <w:spacing w:before="40" w:after="40"/>
              <w:jc w:val="right"/>
              <w:rPr>
                <w:sz w:val="18"/>
              </w:rPr>
            </w:pPr>
            <w:r w:rsidRPr="009C2953">
              <w:rPr>
                <w:sz w:val="18"/>
              </w:rPr>
              <w:t xml:space="preserve"> </w:t>
            </w:r>
          </w:p>
        </w:tc>
        <w:tc>
          <w:tcPr>
            <w:tcW w:w="851" w:type="dxa"/>
            <w:tcBorders>
              <w:top w:val="nil"/>
              <w:left w:val="nil"/>
              <w:bottom w:val="nil"/>
              <w:right w:val="nil"/>
            </w:tcBorders>
            <w:vAlign w:val="bottom"/>
          </w:tcPr>
          <w:p w14:paraId="5CA09417" w14:textId="1A654A4C" w:rsidR="00073FDF" w:rsidRPr="009C2953" w:rsidRDefault="00073FDF" w:rsidP="00073FDF">
            <w:pPr>
              <w:pStyle w:val="Normal-pool"/>
              <w:spacing w:before="40" w:after="40"/>
              <w:jc w:val="right"/>
              <w:rPr>
                <w:sz w:val="18"/>
              </w:rPr>
            </w:pPr>
            <w:r w:rsidRPr="009C2953">
              <w:rPr>
                <w:sz w:val="18"/>
              </w:rPr>
              <w:t xml:space="preserve"> </w:t>
            </w:r>
          </w:p>
        </w:tc>
        <w:tc>
          <w:tcPr>
            <w:tcW w:w="992" w:type="dxa"/>
            <w:tcBorders>
              <w:top w:val="nil"/>
              <w:left w:val="nil"/>
              <w:bottom w:val="nil"/>
              <w:right w:val="nil"/>
            </w:tcBorders>
            <w:vAlign w:val="bottom"/>
          </w:tcPr>
          <w:p w14:paraId="175E0DBA" w14:textId="3ADFF69D" w:rsidR="00073FDF" w:rsidRPr="009C2953" w:rsidRDefault="00073FDF" w:rsidP="00073FDF">
            <w:pPr>
              <w:pStyle w:val="Normal-pool"/>
              <w:spacing w:before="40" w:after="40"/>
              <w:jc w:val="right"/>
              <w:rPr>
                <w:sz w:val="18"/>
              </w:rPr>
            </w:pPr>
            <w:r w:rsidRPr="009C2953">
              <w:rPr>
                <w:sz w:val="18"/>
              </w:rPr>
              <w:t>208 768</w:t>
            </w:r>
          </w:p>
        </w:tc>
        <w:tc>
          <w:tcPr>
            <w:tcW w:w="903" w:type="dxa"/>
            <w:tcBorders>
              <w:top w:val="nil"/>
              <w:left w:val="nil"/>
              <w:bottom w:val="nil"/>
              <w:right w:val="single" w:sz="4" w:space="0" w:color="000000"/>
            </w:tcBorders>
            <w:vAlign w:val="bottom"/>
          </w:tcPr>
          <w:p w14:paraId="0E41441B" w14:textId="77777777" w:rsidR="00073FDF" w:rsidRPr="009C2953" w:rsidRDefault="00073FDF" w:rsidP="00073FDF">
            <w:pPr>
              <w:pStyle w:val="Normal-pool"/>
              <w:spacing w:before="40" w:after="40"/>
              <w:jc w:val="right"/>
              <w:rPr>
                <w:sz w:val="18"/>
              </w:rPr>
            </w:pPr>
          </w:p>
        </w:tc>
        <w:tc>
          <w:tcPr>
            <w:tcW w:w="969" w:type="dxa"/>
            <w:tcBorders>
              <w:top w:val="nil"/>
              <w:left w:val="single" w:sz="4" w:space="0" w:color="000000"/>
              <w:bottom w:val="nil"/>
              <w:right w:val="nil"/>
            </w:tcBorders>
            <w:vAlign w:val="bottom"/>
          </w:tcPr>
          <w:p w14:paraId="78DE87BD" w14:textId="3D04B6EF"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0C0A45E4" w14:textId="78EAB6C1" w:rsidR="00073FDF" w:rsidRPr="009C2953" w:rsidRDefault="00073FDF" w:rsidP="00073FDF">
            <w:pPr>
              <w:pStyle w:val="Normal-pool"/>
              <w:spacing w:before="40" w:after="40"/>
              <w:jc w:val="right"/>
              <w:rPr>
                <w:sz w:val="18"/>
              </w:rPr>
            </w:pPr>
            <w:r w:rsidRPr="009C2953">
              <w:rPr>
                <w:sz w:val="18"/>
              </w:rPr>
              <w:t xml:space="preserve"> </w:t>
            </w:r>
          </w:p>
        </w:tc>
        <w:tc>
          <w:tcPr>
            <w:tcW w:w="962" w:type="dxa"/>
            <w:tcBorders>
              <w:top w:val="nil"/>
              <w:left w:val="nil"/>
              <w:bottom w:val="nil"/>
              <w:right w:val="nil"/>
            </w:tcBorders>
            <w:vAlign w:val="bottom"/>
          </w:tcPr>
          <w:p w14:paraId="0127E26C" w14:textId="77777777" w:rsidR="00073FDF" w:rsidRPr="009C2953" w:rsidRDefault="00073FDF" w:rsidP="00073FDF">
            <w:pPr>
              <w:pStyle w:val="Normal-pool"/>
              <w:spacing w:before="40" w:after="40"/>
              <w:jc w:val="right"/>
              <w:rPr>
                <w:sz w:val="18"/>
              </w:rPr>
            </w:pPr>
          </w:p>
        </w:tc>
      </w:tr>
      <w:tr w:rsidR="00073FDF" w:rsidRPr="009C2953" w14:paraId="124BC714" w14:textId="77777777" w:rsidTr="0072673B">
        <w:trPr>
          <w:trHeight w:val="57"/>
          <w:jc w:val="right"/>
        </w:trPr>
        <w:tc>
          <w:tcPr>
            <w:tcW w:w="1962" w:type="dxa"/>
            <w:tcBorders>
              <w:top w:val="nil"/>
              <w:left w:val="nil"/>
              <w:bottom w:val="nil"/>
              <w:right w:val="nil"/>
            </w:tcBorders>
          </w:tcPr>
          <w:p w14:paraId="3962B167" w14:textId="06B4C01B" w:rsidR="00073FDF" w:rsidRPr="009C2953" w:rsidRDefault="00073FDF" w:rsidP="00073FDF">
            <w:pPr>
              <w:pStyle w:val="Normal-pool"/>
              <w:spacing w:before="40" w:after="40"/>
              <w:rPr>
                <w:sz w:val="18"/>
              </w:rPr>
            </w:pPr>
            <w:r w:rsidRPr="009C2953">
              <w:rPr>
                <w:sz w:val="18"/>
              </w:rPr>
              <w:t xml:space="preserve">Allemagne </w:t>
            </w:r>
          </w:p>
        </w:tc>
        <w:tc>
          <w:tcPr>
            <w:tcW w:w="2717" w:type="dxa"/>
            <w:tcBorders>
              <w:top w:val="nil"/>
              <w:left w:val="nil"/>
              <w:bottom w:val="nil"/>
              <w:right w:val="nil"/>
            </w:tcBorders>
          </w:tcPr>
          <w:p w14:paraId="1A3C96B6" w14:textId="323E2A14" w:rsidR="00073FDF" w:rsidRPr="009C2953" w:rsidRDefault="00073FDF" w:rsidP="00073FDF">
            <w:pPr>
              <w:pStyle w:val="Normal-pool"/>
              <w:spacing w:before="40" w:after="40"/>
              <w:rPr>
                <w:sz w:val="18"/>
              </w:rPr>
            </w:pPr>
            <w:r w:rsidRPr="009C2953">
              <w:rPr>
                <w:sz w:val="18"/>
              </w:rPr>
              <w:t>Troisième réunion des auteur(</w:t>
            </w:r>
            <w:proofErr w:type="spellStart"/>
            <w:r w:rsidRPr="009C2953">
              <w:rPr>
                <w:sz w:val="18"/>
              </w:rPr>
              <w:t>rice</w:t>
            </w:r>
            <w:proofErr w:type="spellEnd"/>
            <w:r w:rsidRPr="009C2953">
              <w:rPr>
                <w:sz w:val="18"/>
              </w:rPr>
              <w:t>)s de l</w:t>
            </w:r>
            <w:r w:rsidR="00EA2966" w:rsidRPr="009C2953">
              <w:rPr>
                <w:sz w:val="18"/>
              </w:rPr>
              <w:t>’</w:t>
            </w:r>
            <w:r w:rsidRPr="009C2953">
              <w:rPr>
                <w:sz w:val="18"/>
              </w:rPr>
              <w:t>évaluation mondiale de la biodiversité et des services écosystémiques</w:t>
            </w:r>
          </w:p>
        </w:tc>
        <w:tc>
          <w:tcPr>
            <w:tcW w:w="1275" w:type="dxa"/>
            <w:tcBorders>
              <w:top w:val="nil"/>
              <w:left w:val="nil"/>
              <w:bottom w:val="nil"/>
              <w:right w:val="nil"/>
            </w:tcBorders>
          </w:tcPr>
          <w:p w14:paraId="216E72E0" w14:textId="0D8BB18E" w:rsidR="00073FDF" w:rsidRPr="009C2953" w:rsidRDefault="00073FDF" w:rsidP="000D47E2">
            <w:pPr>
              <w:pStyle w:val="Normal-pool"/>
              <w:spacing w:before="40" w:after="40"/>
              <w:ind w:right="-57"/>
              <w:rPr>
                <w:sz w:val="18"/>
              </w:rPr>
            </w:pPr>
            <w:r w:rsidRPr="009C2953">
              <w:rPr>
                <w:sz w:val="18"/>
              </w:rPr>
              <w:t>Coûts de la réunion et de la logistique</w:t>
            </w:r>
          </w:p>
        </w:tc>
        <w:tc>
          <w:tcPr>
            <w:tcW w:w="891" w:type="dxa"/>
            <w:tcBorders>
              <w:top w:val="nil"/>
              <w:left w:val="nil"/>
              <w:bottom w:val="nil"/>
              <w:right w:val="nil"/>
            </w:tcBorders>
            <w:vAlign w:val="bottom"/>
          </w:tcPr>
          <w:p w14:paraId="2539BC0A" w14:textId="4A7CB422" w:rsidR="00073FDF" w:rsidRPr="009C2953" w:rsidRDefault="00073FDF" w:rsidP="00073FDF">
            <w:pPr>
              <w:pStyle w:val="Normal-pool"/>
              <w:spacing w:before="40" w:after="40"/>
              <w:jc w:val="right"/>
              <w:rPr>
                <w:sz w:val="18"/>
              </w:rPr>
            </w:pPr>
            <w:r w:rsidRPr="009C2953">
              <w:rPr>
                <w:sz w:val="18"/>
              </w:rPr>
              <w:t>6</w:t>
            </w:r>
            <w:r w:rsidR="00081C00" w:rsidRPr="009C2953">
              <w:rPr>
                <w:sz w:val="18"/>
              </w:rPr>
              <w:t> </w:t>
            </w:r>
            <w:r w:rsidRPr="009C2953">
              <w:rPr>
                <w:sz w:val="18"/>
              </w:rPr>
              <w:t>269</w:t>
            </w:r>
          </w:p>
        </w:tc>
        <w:tc>
          <w:tcPr>
            <w:tcW w:w="932" w:type="dxa"/>
            <w:tcBorders>
              <w:top w:val="nil"/>
              <w:left w:val="nil"/>
              <w:bottom w:val="nil"/>
              <w:right w:val="nil"/>
            </w:tcBorders>
            <w:vAlign w:val="bottom"/>
          </w:tcPr>
          <w:p w14:paraId="32EF9C1B" w14:textId="1377F62A" w:rsidR="00073FDF" w:rsidRPr="009C2953" w:rsidRDefault="00073FDF" w:rsidP="00073FDF">
            <w:pPr>
              <w:pStyle w:val="Normal-pool"/>
              <w:spacing w:before="40" w:after="40"/>
              <w:jc w:val="right"/>
              <w:rPr>
                <w:sz w:val="18"/>
              </w:rPr>
            </w:pPr>
            <w:r w:rsidRPr="009C2953">
              <w:rPr>
                <w:sz w:val="18"/>
              </w:rPr>
              <w:t xml:space="preserve"> </w:t>
            </w:r>
          </w:p>
        </w:tc>
        <w:tc>
          <w:tcPr>
            <w:tcW w:w="1013" w:type="dxa"/>
            <w:tcBorders>
              <w:top w:val="nil"/>
              <w:left w:val="nil"/>
              <w:bottom w:val="nil"/>
              <w:right w:val="nil"/>
            </w:tcBorders>
            <w:vAlign w:val="bottom"/>
          </w:tcPr>
          <w:p w14:paraId="2D4494CC" w14:textId="7C2B6D37" w:rsidR="00073FDF" w:rsidRPr="009C2953" w:rsidRDefault="00073FDF" w:rsidP="00073FDF">
            <w:pPr>
              <w:pStyle w:val="Normal-pool"/>
              <w:spacing w:before="40" w:after="40"/>
              <w:jc w:val="right"/>
              <w:rPr>
                <w:sz w:val="18"/>
              </w:rPr>
            </w:pPr>
            <w:r w:rsidRPr="009C2953">
              <w:rPr>
                <w:sz w:val="18"/>
              </w:rPr>
              <w:t xml:space="preserve"> </w:t>
            </w:r>
          </w:p>
        </w:tc>
        <w:tc>
          <w:tcPr>
            <w:tcW w:w="851" w:type="dxa"/>
            <w:tcBorders>
              <w:top w:val="nil"/>
              <w:left w:val="nil"/>
              <w:bottom w:val="nil"/>
              <w:right w:val="nil"/>
            </w:tcBorders>
            <w:vAlign w:val="bottom"/>
          </w:tcPr>
          <w:p w14:paraId="3B0D198C" w14:textId="2909CD85" w:rsidR="00073FDF" w:rsidRPr="009C2953" w:rsidRDefault="00073FDF" w:rsidP="00073FDF">
            <w:pPr>
              <w:pStyle w:val="Normal-pool"/>
              <w:spacing w:before="40" w:after="40"/>
              <w:jc w:val="right"/>
              <w:rPr>
                <w:sz w:val="18"/>
              </w:rPr>
            </w:pPr>
            <w:r w:rsidRPr="009C2953">
              <w:rPr>
                <w:sz w:val="18"/>
              </w:rPr>
              <w:t xml:space="preserve"> </w:t>
            </w:r>
          </w:p>
        </w:tc>
        <w:tc>
          <w:tcPr>
            <w:tcW w:w="992" w:type="dxa"/>
            <w:tcBorders>
              <w:top w:val="nil"/>
              <w:left w:val="nil"/>
              <w:bottom w:val="nil"/>
              <w:right w:val="nil"/>
            </w:tcBorders>
            <w:vAlign w:val="bottom"/>
          </w:tcPr>
          <w:p w14:paraId="0099D59F" w14:textId="781E2893" w:rsidR="00073FDF" w:rsidRPr="009C2953" w:rsidRDefault="00073FDF" w:rsidP="00073FDF">
            <w:pPr>
              <w:pStyle w:val="Normal-pool"/>
              <w:spacing w:before="40" w:after="40"/>
              <w:jc w:val="right"/>
              <w:rPr>
                <w:sz w:val="18"/>
              </w:rPr>
            </w:pPr>
            <w:r w:rsidRPr="009C2953">
              <w:rPr>
                <w:sz w:val="18"/>
              </w:rPr>
              <w:t xml:space="preserve"> </w:t>
            </w:r>
          </w:p>
        </w:tc>
        <w:tc>
          <w:tcPr>
            <w:tcW w:w="903" w:type="dxa"/>
            <w:tcBorders>
              <w:top w:val="nil"/>
              <w:left w:val="nil"/>
              <w:bottom w:val="nil"/>
              <w:right w:val="single" w:sz="4" w:space="0" w:color="000000"/>
            </w:tcBorders>
            <w:vAlign w:val="bottom"/>
          </w:tcPr>
          <w:p w14:paraId="28A4EC5C" w14:textId="77777777" w:rsidR="00073FDF" w:rsidRPr="009C2953" w:rsidRDefault="00073FDF" w:rsidP="00073FDF">
            <w:pPr>
              <w:pStyle w:val="Normal-pool"/>
              <w:spacing w:before="40" w:after="40"/>
              <w:jc w:val="right"/>
              <w:rPr>
                <w:sz w:val="18"/>
              </w:rPr>
            </w:pPr>
          </w:p>
        </w:tc>
        <w:tc>
          <w:tcPr>
            <w:tcW w:w="969" w:type="dxa"/>
            <w:tcBorders>
              <w:top w:val="nil"/>
              <w:left w:val="single" w:sz="4" w:space="0" w:color="000000"/>
              <w:bottom w:val="nil"/>
              <w:right w:val="nil"/>
            </w:tcBorders>
            <w:vAlign w:val="bottom"/>
          </w:tcPr>
          <w:p w14:paraId="5A0C56B8" w14:textId="3807979F"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2667B942" w14:textId="1650914C" w:rsidR="00073FDF" w:rsidRPr="009C2953" w:rsidRDefault="00073FDF" w:rsidP="00073FDF">
            <w:pPr>
              <w:pStyle w:val="Normal-pool"/>
              <w:spacing w:before="40" w:after="40"/>
              <w:jc w:val="right"/>
              <w:rPr>
                <w:sz w:val="18"/>
              </w:rPr>
            </w:pPr>
            <w:r w:rsidRPr="009C2953">
              <w:rPr>
                <w:sz w:val="18"/>
              </w:rPr>
              <w:t xml:space="preserve"> </w:t>
            </w:r>
          </w:p>
        </w:tc>
        <w:tc>
          <w:tcPr>
            <w:tcW w:w="962" w:type="dxa"/>
            <w:tcBorders>
              <w:top w:val="nil"/>
              <w:left w:val="nil"/>
              <w:bottom w:val="nil"/>
              <w:right w:val="nil"/>
            </w:tcBorders>
            <w:vAlign w:val="bottom"/>
          </w:tcPr>
          <w:p w14:paraId="743AE40D" w14:textId="77777777" w:rsidR="00073FDF" w:rsidRPr="009C2953" w:rsidRDefault="00073FDF" w:rsidP="00073FDF">
            <w:pPr>
              <w:pStyle w:val="Normal-pool"/>
              <w:spacing w:before="40" w:after="40"/>
              <w:jc w:val="right"/>
              <w:rPr>
                <w:sz w:val="18"/>
              </w:rPr>
            </w:pPr>
          </w:p>
        </w:tc>
      </w:tr>
      <w:tr w:rsidR="00073FDF" w:rsidRPr="009C2953" w14:paraId="5D8534D3" w14:textId="77777777" w:rsidTr="0072673B">
        <w:trPr>
          <w:trHeight w:val="57"/>
          <w:jc w:val="right"/>
        </w:trPr>
        <w:tc>
          <w:tcPr>
            <w:tcW w:w="1962" w:type="dxa"/>
            <w:tcBorders>
              <w:top w:val="nil"/>
              <w:left w:val="nil"/>
              <w:bottom w:val="nil"/>
              <w:right w:val="nil"/>
            </w:tcBorders>
            <w:hideMark/>
          </w:tcPr>
          <w:p w14:paraId="00BE8CA7" w14:textId="77777777" w:rsidR="00073FDF" w:rsidRPr="009C2953" w:rsidRDefault="00073FDF" w:rsidP="00073FDF">
            <w:pPr>
              <w:pStyle w:val="Normal-pool"/>
              <w:spacing w:before="40" w:after="40"/>
              <w:rPr>
                <w:b/>
                <w:sz w:val="18"/>
                <w:szCs w:val="18"/>
              </w:rPr>
            </w:pPr>
            <w:r w:rsidRPr="009C2953">
              <w:rPr>
                <w:sz w:val="18"/>
              </w:rPr>
              <w:t>Canada</w:t>
            </w:r>
          </w:p>
        </w:tc>
        <w:tc>
          <w:tcPr>
            <w:tcW w:w="2717" w:type="dxa"/>
            <w:tcBorders>
              <w:top w:val="nil"/>
              <w:left w:val="nil"/>
              <w:bottom w:val="nil"/>
              <w:right w:val="nil"/>
            </w:tcBorders>
            <w:hideMark/>
          </w:tcPr>
          <w:p w14:paraId="29269F10" w14:textId="77777777" w:rsidR="00073FDF" w:rsidRPr="009C2953" w:rsidRDefault="00073FDF" w:rsidP="00073FDF">
            <w:pPr>
              <w:pStyle w:val="Normal-pool"/>
              <w:spacing w:before="40" w:after="40"/>
              <w:rPr>
                <w:b/>
                <w:sz w:val="18"/>
                <w:szCs w:val="18"/>
              </w:rPr>
            </w:pPr>
            <w:r w:rsidRPr="009C2953">
              <w:rPr>
                <w:sz w:val="18"/>
              </w:rPr>
              <w:t>Appui au programme de travail</w:t>
            </w:r>
          </w:p>
        </w:tc>
        <w:tc>
          <w:tcPr>
            <w:tcW w:w="1275" w:type="dxa"/>
            <w:tcBorders>
              <w:top w:val="nil"/>
              <w:left w:val="nil"/>
              <w:bottom w:val="nil"/>
              <w:right w:val="nil"/>
            </w:tcBorders>
            <w:hideMark/>
          </w:tcPr>
          <w:p w14:paraId="49B0EBB9" w14:textId="681FDBA5"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2350056B" w14:textId="77777777" w:rsidR="00073FDF" w:rsidRPr="009C2953" w:rsidRDefault="00073FDF" w:rsidP="00073FDF">
            <w:pPr>
              <w:pStyle w:val="Normal-pool"/>
              <w:spacing w:before="40" w:after="40"/>
              <w:jc w:val="right"/>
              <w:rPr>
                <w:b/>
                <w:sz w:val="18"/>
                <w:szCs w:val="18"/>
              </w:rPr>
            </w:pPr>
            <w:r w:rsidRPr="009C2953">
              <w:rPr>
                <w:sz w:val="18"/>
              </w:rPr>
              <w:t>25 583</w:t>
            </w:r>
          </w:p>
        </w:tc>
        <w:tc>
          <w:tcPr>
            <w:tcW w:w="932" w:type="dxa"/>
            <w:tcBorders>
              <w:top w:val="nil"/>
              <w:left w:val="nil"/>
              <w:bottom w:val="nil"/>
              <w:right w:val="nil"/>
            </w:tcBorders>
            <w:vAlign w:val="bottom"/>
            <w:hideMark/>
          </w:tcPr>
          <w:p w14:paraId="4FEC9690" w14:textId="77777777" w:rsidR="00073FDF" w:rsidRPr="009C2953" w:rsidRDefault="00073FDF" w:rsidP="00073FDF">
            <w:pPr>
              <w:pStyle w:val="Normal-pool"/>
              <w:spacing w:before="40" w:after="40"/>
              <w:jc w:val="right"/>
              <w:rPr>
                <w:b/>
                <w:sz w:val="18"/>
                <w:szCs w:val="18"/>
              </w:rPr>
            </w:pPr>
            <w:r w:rsidRPr="009C2953">
              <w:rPr>
                <w:sz w:val="18"/>
              </w:rPr>
              <w:t>30 312</w:t>
            </w:r>
          </w:p>
        </w:tc>
        <w:tc>
          <w:tcPr>
            <w:tcW w:w="1013" w:type="dxa"/>
            <w:tcBorders>
              <w:top w:val="nil"/>
              <w:left w:val="nil"/>
              <w:bottom w:val="nil"/>
              <w:right w:val="nil"/>
            </w:tcBorders>
            <w:vAlign w:val="bottom"/>
            <w:hideMark/>
          </w:tcPr>
          <w:p w14:paraId="4258F119" w14:textId="77777777" w:rsidR="00073FDF" w:rsidRPr="009C2953" w:rsidRDefault="00073FDF" w:rsidP="00073FDF">
            <w:pPr>
              <w:pStyle w:val="Normal-pool"/>
              <w:spacing w:before="40" w:after="40"/>
              <w:jc w:val="right"/>
              <w:rPr>
                <w:b/>
                <w:sz w:val="18"/>
                <w:szCs w:val="18"/>
              </w:rPr>
            </w:pPr>
            <w:r w:rsidRPr="009C2953">
              <w:rPr>
                <w:sz w:val="18"/>
              </w:rPr>
              <w:t>31 260</w:t>
            </w:r>
          </w:p>
        </w:tc>
        <w:tc>
          <w:tcPr>
            <w:tcW w:w="851" w:type="dxa"/>
            <w:tcBorders>
              <w:top w:val="nil"/>
              <w:left w:val="nil"/>
              <w:bottom w:val="nil"/>
              <w:right w:val="nil"/>
            </w:tcBorders>
            <w:vAlign w:val="bottom"/>
            <w:hideMark/>
          </w:tcPr>
          <w:p w14:paraId="69261D4D" w14:textId="77777777" w:rsidR="00073FDF" w:rsidRPr="009C2953" w:rsidRDefault="00073FDF" w:rsidP="00073FDF">
            <w:pPr>
              <w:pStyle w:val="Normal-pool"/>
              <w:spacing w:before="40" w:after="40"/>
              <w:jc w:val="right"/>
              <w:rPr>
                <w:b/>
                <w:sz w:val="18"/>
                <w:szCs w:val="18"/>
              </w:rPr>
            </w:pPr>
            <w:r w:rsidRPr="009C2953">
              <w:rPr>
                <w:sz w:val="18"/>
              </w:rPr>
              <w:t>31 216</w:t>
            </w:r>
          </w:p>
        </w:tc>
        <w:tc>
          <w:tcPr>
            <w:tcW w:w="992" w:type="dxa"/>
            <w:tcBorders>
              <w:top w:val="nil"/>
              <w:left w:val="nil"/>
              <w:bottom w:val="nil"/>
              <w:right w:val="nil"/>
            </w:tcBorders>
            <w:vAlign w:val="bottom"/>
            <w:hideMark/>
          </w:tcPr>
          <w:p w14:paraId="763F0F47" w14:textId="77777777" w:rsidR="00073FDF" w:rsidRPr="009C2953" w:rsidRDefault="00073FDF" w:rsidP="00073FDF">
            <w:pPr>
              <w:pStyle w:val="Normal-pool"/>
              <w:spacing w:before="40" w:after="40"/>
              <w:jc w:val="right"/>
              <w:rPr>
                <w:b/>
                <w:sz w:val="18"/>
                <w:szCs w:val="18"/>
              </w:rPr>
            </w:pPr>
            <w:r w:rsidRPr="009C2953">
              <w:rPr>
                <w:sz w:val="18"/>
              </w:rPr>
              <w:t>31 119</w:t>
            </w:r>
          </w:p>
        </w:tc>
        <w:tc>
          <w:tcPr>
            <w:tcW w:w="903" w:type="dxa"/>
            <w:tcBorders>
              <w:top w:val="nil"/>
              <w:left w:val="nil"/>
              <w:bottom w:val="nil"/>
              <w:right w:val="single" w:sz="4" w:space="0" w:color="000000"/>
            </w:tcBorders>
            <w:vAlign w:val="bottom"/>
            <w:hideMark/>
          </w:tcPr>
          <w:p w14:paraId="6C39FDBE" w14:textId="77777777" w:rsidR="00073FDF" w:rsidRPr="009C2953" w:rsidRDefault="00073FDF" w:rsidP="00073FDF">
            <w:pPr>
              <w:pStyle w:val="Normal-pool"/>
              <w:spacing w:before="40" w:after="40"/>
              <w:jc w:val="right"/>
              <w:rPr>
                <w:b/>
                <w:sz w:val="18"/>
                <w:szCs w:val="18"/>
              </w:rPr>
            </w:pPr>
            <w:r w:rsidRPr="009C2953">
              <w:rPr>
                <w:sz w:val="18"/>
              </w:rPr>
              <w:t>29 577</w:t>
            </w:r>
          </w:p>
        </w:tc>
        <w:tc>
          <w:tcPr>
            <w:tcW w:w="969" w:type="dxa"/>
            <w:tcBorders>
              <w:top w:val="nil"/>
              <w:left w:val="single" w:sz="4" w:space="0" w:color="000000"/>
              <w:bottom w:val="nil"/>
              <w:right w:val="nil"/>
            </w:tcBorders>
            <w:vAlign w:val="bottom"/>
          </w:tcPr>
          <w:p w14:paraId="07C8520C" w14:textId="77777777" w:rsidR="00073FDF" w:rsidRPr="009C2953" w:rsidRDefault="00073FDF"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2B0038C1" w14:textId="77777777" w:rsidR="00073FDF" w:rsidRPr="009C2953" w:rsidRDefault="00073FDF" w:rsidP="00073FDF">
            <w:pPr>
              <w:pStyle w:val="Normal-pool"/>
              <w:spacing w:before="40" w:after="40"/>
              <w:jc w:val="right"/>
              <w:rPr>
                <w:b/>
                <w:sz w:val="18"/>
                <w:szCs w:val="18"/>
              </w:rPr>
            </w:pPr>
            <w:r w:rsidRPr="009C2953">
              <w:rPr>
                <w:sz w:val="18"/>
              </w:rPr>
              <w:t>31 397</w:t>
            </w:r>
          </w:p>
        </w:tc>
        <w:tc>
          <w:tcPr>
            <w:tcW w:w="962" w:type="dxa"/>
            <w:tcBorders>
              <w:top w:val="nil"/>
              <w:left w:val="nil"/>
              <w:bottom w:val="nil"/>
              <w:right w:val="nil"/>
            </w:tcBorders>
            <w:vAlign w:val="bottom"/>
            <w:hideMark/>
          </w:tcPr>
          <w:p w14:paraId="428E05E7" w14:textId="77777777" w:rsidR="00073FDF" w:rsidRPr="009C2953" w:rsidRDefault="00073FDF" w:rsidP="00073FDF">
            <w:pPr>
              <w:pStyle w:val="Normal-pool"/>
              <w:spacing w:before="40" w:after="40"/>
              <w:jc w:val="right"/>
              <w:rPr>
                <w:b/>
                <w:sz w:val="18"/>
                <w:szCs w:val="18"/>
              </w:rPr>
            </w:pPr>
            <w:r w:rsidRPr="009C2953">
              <w:rPr>
                <w:sz w:val="18"/>
              </w:rPr>
              <w:t>31 397</w:t>
            </w:r>
          </w:p>
        </w:tc>
      </w:tr>
      <w:tr w:rsidR="00073FDF" w:rsidRPr="009C2953" w14:paraId="6487998A" w14:textId="77777777" w:rsidTr="0072673B">
        <w:trPr>
          <w:trHeight w:val="57"/>
          <w:jc w:val="right"/>
        </w:trPr>
        <w:tc>
          <w:tcPr>
            <w:tcW w:w="1962" w:type="dxa"/>
            <w:tcBorders>
              <w:top w:val="nil"/>
              <w:left w:val="nil"/>
              <w:bottom w:val="nil"/>
              <w:right w:val="nil"/>
            </w:tcBorders>
            <w:hideMark/>
          </w:tcPr>
          <w:p w14:paraId="5A486E8C" w14:textId="77777777" w:rsidR="00073FDF" w:rsidRPr="009C2953" w:rsidRDefault="00073FDF" w:rsidP="00073FDF">
            <w:pPr>
              <w:pStyle w:val="Normal-pool"/>
              <w:spacing w:before="40" w:after="40"/>
              <w:rPr>
                <w:b/>
                <w:sz w:val="18"/>
                <w:szCs w:val="18"/>
              </w:rPr>
            </w:pPr>
            <w:r w:rsidRPr="009C2953">
              <w:rPr>
                <w:sz w:val="18"/>
              </w:rPr>
              <w:t>Finlande</w:t>
            </w:r>
          </w:p>
        </w:tc>
        <w:tc>
          <w:tcPr>
            <w:tcW w:w="2717" w:type="dxa"/>
            <w:tcBorders>
              <w:top w:val="nil"/>
              <w:left w:val="nil"/>
              <w:bottom w:val="nil"/>
              <w:right w:val="nil"/>
            </w:tcBorders>
            <w:hideMark/>
          </w:tcPr>
          <w:p w14:paraId="27C5E048" w14:textId="75BD44CA" w:rsidR="00073FDF" w:rsidRPr="009C2953" w:rsidRDefault="00073FDF" w:rsidP="00073FDF">
            <w:pPr>
              <w:pStyle w:val="Normal-pool"/>
              <w:spacing w:before="40" w:after="40"/>
              <w:rPr>
                <w:b/>
                <w:sz w:val="18"/>
                <w:szCs w:val="18"/>
              </w:rPr>
            </w:pPr>
            <w:r w:rsidRPr="009C2953">
              <w:rPr>
                <w:sz w:val="18"/>
              </w:rPr>
              <w:t>Appui au programme de travail et aux participant(e)s aux réunions des organes de l</w:t>
            </w:r>
            <w:r w:rsidR="00EA2966" w:rsidRPr="009C2953">
              <w:rPr>
                <w:sz w:val="18"/>
              </w:rPr>
              <w:t>’</w:t>
            </w:r>
            <w:r w:rsidRPr="009C2953">
              <w:rPr>
                <w:sz w:val="18"/>
              </w:rPr>
              <w:t>IPBES</w:t>
            </w:r>
          </w:p>
        </w:tc>
        <w:tc>
          <w:tcPr>
            <w:tcW w:w="1275" w:type="dxa"/>
            <w:tcBorders>
              <w:top w:val="nil"/>
              <w:left w:val="nil"/>
              <w:bottom w:val="nil"/>
              <w:right w:val="nil"/>
            </w:tcBorders>
            <w:hideMark/>
          </w:tcPr>
          <w:p w14:paraId="6D39E173" w14:textId="25B6CC3A"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608AFAED"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32" w:type="dxa"/>
            <w:tcBorders>
              <w:top w:val="nil"/>
              <w:left w:val="nil"/>
              <w:bottom w:val="nil"/>
              <w:right w:val="nil"/>
            </w:tcBorders>
            <w:vAlign w:val="bottom"/>
            <w:hideMark/>
          </w:tcPr>
          <w:p w14:paraId="4EC94391"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1013" w:type="dxa"/>
            <w:tcBorders>
              <w:top w:val="nil"/>
              <w:left w:val="nil"/>
              <w:bottom w:val="nil"/>
              <w:right w:val="nil"/>
            </w:tcBorders>
            <w:vAlign w:val="bottom"/>
            <w:hideMark/>
          </w:tcPr>
          <w:p w14:paraId="1A31F9FB"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851" w:type="dxa"/>
            <w:tcBorders>
              <w:top w:val="nil"/>
              <w:left w:val="nil"/>
              <w:bottom w:val="nil"/>
              <w:right w:val="nil"/>
            </w:tcBorders>
            <w:vAlign w:val="bottom"/>
            <w:hideMark/>
          </w:tcPr>
          <w:p w14:paraId="0A4FBFAB" w14:textId="77777777" w:rsidR="00073FDF" w:rsidRPr="009C2953" w:rsidRDefault="00073FDF" w:rsidP="00073FDF">
            <w:pPr>
              <w:pStyle w:val="Normal-pool"/>
              <w:spacing w:before="40" w:after="40"/>
              <w:jc w:val="right"/>
              <w:rPr>
                <w:b/>
                <w:sz w:val="18"/>
                <w:szCs w:val="18"/>
              </w:rPr>
            </w:pPr>
            <w:r w:rsidRPr="009C2953">
              <w:rPr>
                <w:sz w:val="18"/>
              </w:rPr>
              <w:t>23 866</w:t>
            </w:r>
          </w:p>
        </w:tc>
        <w:tc>
          <w:tcPr>
            <w:tcW w:w="992" w:type="dxa"/>
            <w:tcBorders>
              <w:top w:val="nil"/>
              <w:left w:val="nil"/>
              <w:bottom w:val="nil"/>
              <w:right w:val="nil"/>
            </w:tcBorders>
            <w:vAlign w:val="bottom"/>
            <w:hideMark/>
          </w:tcPr>
          <w:p w14:paraId="3078C06A" w14:textId="77777777" w:rsidR="00073FDF" w:rsidRPr="009C2953" w:rsidRDefault="00073FDF" w:rsidP="00073FDF">
            <w:pPr>
              <w:pStyle w:val="Normal-pool"/>
              <w:spacing w:before="40" w:after="40"/>
              <w:jc w:val="right"/>
              <w:rPr>
                <w:b/>
                <w:sz w:val="18"/>
                <w:szCs w:val="18"/>
              </w:rPr>
            </w:pPr>
            <w:r w:rsidRPr="009C2953">
              <w:rPr>
                <w:sz w:val="18"/>
              </w:rPr>
              <w:t>30 060</w:t>
            </w:r>
          </w:p>
        </w:tc>
        <w:tc>
          <w:tcPr>
            <w:tcW w:w="903" w:type="dxa"/>
            <w:tcBorders>
              <w:top w:val="nil"/>
              <w:left w:val="nil"/>
              <w:bottom w:val="nil"/>
              <w:right w:val="single" w:sz="4" w:space="0" w:color="000000"/>
            </w:tcBorders>
            <w:vAlign w:val="bottom"/>
          </w:tcPr>
          <w:p w14:paraId="237A6C50"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2A9A0FAE" w14:textId="77777777" w:rsidR="00073FDF" w:rsidRPr="009C2953" w:rsidRDefault="00073FDF" w:rsidP="00073FDF">
            <w:pPr>
              <w:pStyle w:val="Normal-pool"/>
              <w:spacing w:before="40" w:after="40"/>
              <w:jc w:val="right"/>
              <w:rPr>
                <w:b/>
                <w:sz w:val="18"/>
                <w:szCs w:val="18"/>
              </w:rPr>
            </w:pPr>
            <w:r w:rsidRPr="009C2953">
              <w:rPr>
                <w:sz w:val="18"/>
              </w:rPr>
              <w:t xml:space="preserve">38 504 </w:t>
            </w:r>
          </w:p>
        </w:tc>
        <w:tc>
          <w:tcPr>
            <w:tcW w:w="962" w:type="dxa"/>
            <w:tcBorders>
              <w:top w:val="nil"/>
              <w:left w:val="nil"/>
              <w:bottom w:val="nil"/>
              <w:right w:val="nil"/>
            </w:tcBorders>
            <w:vAlign w:val="bottom"/>
            <w:hideMark/>
          </w:tcPr>
          <w:p w14:paraId="73585F26"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204725F3" w14:textId="77777777" w:rsidR="00073FDF" w:rsidRPr="009C2953" w:rsidRDefault="00073FDF" w:rsidP="00073FDF">
            <w:pPr>
              <w:pStyle w:val="Normal-pool"/>
              <w:spacing w:before="40" w:after="40"/>
              <w:jc w:val="right"/>
              <w:rPr>
                <w:b/>
                <w:sz w:val="18"/>
                <w:szCs w:val="18"/>
              </w:rPr>
            </w:pPr>
            <w:r w:rsidRPr="009C2953">
              <w:rPr>
                <w:sz w:val="18"/>
              </w:rPr>
              <w:t>38 504</w:t>
            </w:r>
          </w:p>
        </w:tc>
      </w:tr>
      <w:tr w:rsidR="00073FDF" w:rsidRPr="009C2953" w14:paraId="29805F49" w14:textId="77777777" w:rsidTr="0072673B">
        <w:trPr>
          <w:trHeight w:val="57"/>
          <w:jc w:val="right"/>
        </w:trPr>
        <w:tc>
          <w:tcPr>
            <w:tcW w:w="1962" w:type="dxa"/>
            <w:tcBorders>
              <w:top w:val="nil"/>
              <w:left w:val="nil"/>
              <w:bottom w:val="nil"/>
              <w:right w:val="nil"/>
            </w:tcBorders>
            <w:hideMark/>
          </w:tcPr>
          <w:p w14:paraId="411A412A" w14:textId="746E253F" w:rsidR="00073FDF" w:rsidRPr="009C2953" w:rsidRDefault="00073FDF" w:rsidP="00073FDF">
            <w:pPr>
              <w:pStyle w:val="Normal-pool"/>
              <w:spacing w:before="40" w:after="40"/>
              <w:rPr>
                <w:b/>
                <w:sz w:val="18"/>
                <w:szCs w:val="18"/>
              </w:rPr>
            </w:pPr>
            <w:r w:rsidRPr="009C2953">
              <w:rPr>
                <w:sz w:val="18"/>
              </w:rPr>
              <w:t>France (Office français de la biodiversité)</w:t>
            </w:r>
          </w:p>
        </w:tc>
        <w:tc>
          <w:tcPr>
            <w:tcW w:w="2717" w:type="dxa"/>
            <w:tcBorders>
              <w:top w:val="nil"/>
              <w:left w:val="nil"/>
              <w:bottom w:val="nil"/>
              <w:right w:val="nil"/>
            </w:tcBorders>
            <w:hideMark/>
          </w:tcPr>
          <w:p w14:paraId="2742AFAB" w14:textId="4FF5F515" w:rsidR="00073FDF" w:rsidRPr="009C2953" w:rsidRDefault="00073FDF"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évaluation mondiale de la biodiversité et des services écosystémiques</w:t>
            </w:r>
          </w:p>
        </w:tc>
        <w:tc>
          <w:tcPr>
            <w:tcW w:w="1275" w:type="dxa"/>
            <w:tcBorders>
              <w:top w:val="nil"/>
              <w:left w:val="nil"/>
              <w:bottom w:val="nil"/>
              <w:right w:val="nil"/>
            </w:tcBorders>
            <w:hideMark/>
          </w:tcPr>
          <w:p w14:paraId="4459EA91" w14:textId="2141F6C7"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4888A666" w14:textId="77777777" w:rsidR="00073FDF" w:rsidRPr="009C2953" w:rsidRDefault="00073FDF" w:rsidP="00073FDF">
            <w:pPr>
              <w:pStyle w:val="Normal-pool"/>
              <w:spacing w:before="40" w:after="40"/>
              <w:jc w:val="right"/>
              <w:rPr>
                <w:b/>
                <w:sz w:val="18"/>
                <w:szCs w:val="18"/>
              </w:rPr>
            </w:pPr>
            <w:r w:rsidRPr="009C2953">
              <w:rPr>
                <w:sz w:val="18"/>
              </w:rPr>
              <w:t>102 740</w:t>
            </w:r>
          </w:p>
        </w:tc>
        <w:tc>
          <w:tcPr>
            <w:tcW w:w="932" w:type="dxa"/>
            <w:tcBorders>
              <w:top w:val="nil"/>
              <w:left w:val="nil"/>
              <w:bottom w:val="nil"/>
              <w:right w:val="nil"/>
            </w:tcBorders>
            <w:vAlign w:val="bottom"/>
            <w:hideMark/>
          </w:tcPr>
          <w:p w14:paraId="3D647C35" w14:textId="77777777" w:rsidR="00073FDF" w:rsidRPr="009C2953" w:rsidRDefault="00073FDF" w:rsidP="00073FDF">
            <w:pPr>
              <w:pStyle w:val="Normal-pool"/>
              <w:spacing w:before="40" w:after="40"/>
              <w:jc w:val="right"/>
              <w:rPr>
                <w:b/>
                <w:sz w:val="18"/>
                <w:szCs w:val="18"/>
              </w:rPr>
            </w:pPr>
            <w:r w:rsidRPr="009C2953">
              <w:rPr>
                <w:sz w:val="18"/>
              </w:rPr>
              <w:t>71 903</w:t>
            </w:r>
          </w:p>
        </w:tc>
        <w:tc>
          <w:tcPr>
            <w:tcW w:w="1013" w:type="dxa"/>
            <w:tcBorders>
              <w:top w:val="nil"/>
              <w:left w:val="nil"/>
              <w:bottom w:val="nil"/>
              <w:right w:val="nil"/>
            </w:tcBorders>
            <w:vAlign w:val="bottom"/>
            <w:hideMark/>
          </w:tcPr>
          <w:p w14:paraId="52FDDF56"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851" w:type="dxa"/>
            <w:tcBorders>
              <w:top w:val="nil"/>
              <w:left w:val="nil"/>
              <w:bottom w:val="nil"/>
              <w:right w:val="nil"/>
            </w:tcBorders>
            <w:vAlign w:val="bottom"/>
          </w:tcPr>
          <w:p w14:paraId="706DB72A" w14:textId="77777777" w:rsidR="00073FDF" w:rsidRPr="009C2953" w:rsidRDefault="00073FDF"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3C18A6B1" w14:textId="77777777" w:rsidR="00073FDF" w:rsidRPr="009C2953" w:rsidRDefault="00073FDF"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18BFA573"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0B3AFBC1"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70D8DFD2"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4B0F6AC8" w14:textId="77777777" w:rsidR="00073FDF" w:rsidRPr="009C2953" w:rsidRDefault="00073FDF" w:rsidP="00073FDF">
            <w:pPr>
              <w:pStyle w:val="Normal-pool"/>
              <w:spacing w:before="40" w:after="40"/>
              <w:jc w:val="right"/>
              <w:rPr>
                <w:b/>
                <w:sz w:val="18"/>
                <w:szCs w:val="18"/>
              </w:rPr>
            </w:pPr>
          </w:p>
        </w:tc>
      </w:tr>
      <w:tr w:rsidR="00073FDF" w:rsidRPr="009C2953" w14:paraId="2C3680B8" w14:textId="77777777" w:rsidTr="0072673B">
        <w:trPr>
          <w:trHeight w:val="57"/>
          <w:jc w:val="right"/>
        </w:trPr>
        <w:tc>
          <w:tcPr>
            <w:tcW w:w="1962" w:type="dxa"/>
            <w:tcBorders>
              <w:top w:val="nil"/>
              <w:left w:val="nil"/>
              <w:bottom w:val="nil"/>
              <w:right w:val="nil"/>
            </w:tcBorders>
            <w:hideMark/>
          </w:tcPr>
          <w:p w14:paraId="3CD44B30" w14:textId="79DA7105" w:rsidR="00073FDF" w:rsidRPr="009C2953" w:rsidRDefault="00073FDF" w:rsidP="00073FDF">
            <w:pPr>
              <w:pStyle w:val="Normal-pool"/>
              <w:spacing w:before="40" w:after="40"/>
              <w:rPr>
                <w:b/>
                <w:sz w:val="18"/>
                <w:szCs w:val="18"/>
              </w:rPr>
            </w:pPr>
            <w:r w:rsidRPr="009C2953">
              <w:rPr>
                <w:sz w:val="18"/>
              </w:rPr>
              <w:lastRenderedPageBreak/>
              <w:t>France (Office français de la biodiversité)</w:t>
            </w:r>
          </w:p>
        </w:tc>
        <w:tc>
          <w:tcPr>
            <w:tcW w:w="2717" w:type="dxa"/>
            <w:tcBorders>
              <w:top w:val="nil"/>
              <w:left w:val="nil"/>
              <w:bottom w:val="nil"/>
              <w:right w:val="nil"/>
            </w:tcBorders>
            <w:hideMark/>
          </w:tcPr>
          <w:p w14:paraId="375537D8" w14:textId="79340859" w:rsidR="00073FDF" w:rsidRPr="009C2953" w:rsidRDefault="00073FDF"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évaluation thématique des espèces exotiques envahissantes</w:t>
            </w:r>
          </w:p>
        </w:tc>
        <w:tc>
          <w:tcPr>
            <w:tcW w:w="1275" w:type="dxa"/>
            <w:tcBorders>
              <w:top w:val="nil"/>
              <w:left w:val="nil"/>
              <w:bottom w:val="nil"/>
              <w:right w:val="nil"/>
            </w:tcBorders>
            <w:hideMark/>
          </w:tcPr>
          <w:p w14:paraId="5B4C3747" w14:textId="5EA2623B"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15F18885"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32" w:type="dxa"/>
            <w:tcBorders>
              <w:top w:val="nil"/>
              <w:left w:val="nil"/>
              <w:bottom w:val="nil"/>
              <w:right w:val="nil"/>
            </w:tcBorders>
            <w:vAlign w:val="bottom"/>
            <w:hideMark/>
          </w:tcPr>
          <w:p w14:paraId="6E0F151B" w14:textId="77777777" w:rsidR="00073FDF" w:rsidRPr="009C2953" w:rsidRDefault="00073FDF" w:rsidP="00073FDF">
            <w:pPr>
              <w:pStyle w:val="Normal-pool"/>
              <w:spacing w:before="40" w:after="40"/>
              <w:jc w:val="right"/>
              <w:rPr>
                <w:b/>
                <w:sz w:val="18"/>
                <w:szCs w:val="18"/>
              </w:rPr>
            </w:pPr>
            <w:r w:rsidRPr="009C2953">
              <w:rPr>
                <w:sz w:val="18"/>
              </w:rPr>
              <w:t>79 545</w:t>
            </w:r>
          </w:p>
        </w:tc>
        <w:tc>
          <w:tcPr>
            <w:tcW w:w="1013" w:type="dxa"/>
            <w:tcBorders>
              <w:top w:val="nil"/>
              <w:left w:val="nil"/>
              <w:bottom w:val="nil"/>
              <w:right w:val="nil"/>
            </w:tcBorders>
            <w:vAlign w:val="bottom"/>
            <w:hideMark/>
          </w:tcPr>
          <w:p w14:paraId="53A98EE4" w14:textId="77777777" w:rsidR="00073FDF" w:rsidRPr="009C2953" w:rsidRDefault="00073FDF" w:rsidP="00073FDF">
            <w:pPr>
              <w:pStyle w:val="Normal-pool"/>
              <w:spacing w:before="40" w:after="40"/>
              <w:jc w:val="right"/>
              <w:rPr>
                <w:b/>
                <w:sz w:val="18"/>
                <w:szCs w:val="18"/>
              </w:rPr>
            </w:pPr>
            <w:r w:rsidRPr="009C2953">
              <w:rPr>
                <w:sz w:val="18"/>
              </w:rPr>
              <w:t>116 959</w:t>
            </w:r>
          </w:p>
        </w:tc>
        <w:tc>
          <w:tcPr>
            <w:tcW w:w="851" w:type="dxa"/>
            <w:tcBorders>
              <w:top w:val="nil"/>
              <w:left w:val="nil"/>
              <w:bottom w:val="nil"/>
              <w:right w:val="nil"/>
            </w:tcBorders>
            <w:vAlign w:val="bottom"/>
          </w:tcPr>
          <w:p w14:paraId="2ADB91D4" w14:textId="77777777" w:rsidR="00073FDF" w:rsidRPr="009C2953" w:rsidRDefault="00073FDF"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4476330E" w14:textId="77777777" w:rsidR="00073FDF" w:rsidRPr="009C2953" w:rsidRDefault="00073FDF"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05916D0B"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3710E104" w14:textId="77777777" w:rsidR="00073FDF" w:rsidRPr="009C2953" w:rsidRDefault="00073FDF" w:rsidP="00073FDF">
            <w:pPr>
              <w:pStyle w:val="Normal-pool"/>
              <w:spacing w:before="40" w:after="40"/>
              <w:jc w:val="right"/>
              <w:rPr>
                <w:b/>
                <w:sz w:val="18"/>
                <w:szCs w:val="18"/>
              </w:rPr>
            </w:pPr>
            <w:r w:rsidRPr="009C2953">
              <w:rPr>
                <w:sz w:val="18"/>
              </w:rPr>
              <w:t>60 506</w:t>
            </w:r>
          </w:p>
        </w:tc>
        <w:tc>
          <w:tcPr>
            <w:tcW w:w="962" w:type="dxa"/>
            <w:tcBorders>
              <w:top w:val="nil"/>
              <w:left w:val="nil"/>
              <w:bottom w:val="nil"/>
              <w:right w:val="nil"/>
            </w:tcBorders>
            <w:vAlign w:val="bottom"/>
            <w:hideMark/>
          </w:tcPr>
          <w:p w14:paraId="1D951BC4"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7C56E25A" w14:textId="77777777" w:rsidR="00073FDF" w:rsidRPr="009C2953" w:rsidRDefault="00073FDF" w:rsidP="00073FDF">
            <w:pPr>
              <w:pStyle w:val="Normal-pool"/>
              <w:spacing w:before="40" w:after="40"/>
              <w:jc w:val="right"/>
              <w:rPr>
                <w:b/>
                <w:sz w:val="18"/>
                <w:szCs w:val="18"/>
              </w:rPr>
            </w:pPr>
            <w:r w:rsidRPr="009C2953">
              <w:rPr>
                <w:sz w:val="18"/>
              </w:rPr>
              <w:t>60 506</w:t>
            </w:r>
          </w:p>
        </w:tc>
      </w:tr>
      <w:tr w:rsidR="00073FDF" w:rsidRPr="009C2953" w14:paraId="28DBF2DA" w14:textId="77777777" w:rsidTr="0072673B">
        <w:trPr>
          <w:trHeight w:val="57"/>
          <w:jc w:val="right"/>
        </w:trPr>
        <w:tc>
          <w:tcPr>
            <w:tcW w:w="1962" w:type="dxa"/>
            <w:tcBorders>
              <w:top w:val="nil"/>
              <w:left w:val="nil"/>
              <w:bottom w:val="nil"/>
              <w:right w:val="nil"/>
            </w:tcBorders>
            <w:hideMark/>
          </w:tcPr>
          <w:p w14:paraId="41F4ED95" w14:textId="62ABAD4C" w:rsidR="00073FDF" w:rsidRPr="009C2953" w:rsidRDefault="00073FDF" w:rsidP="00073FDF">
            <w:pPr>
              <w:pStyle w:val="Normal-pool"/>
              <w:spacing w:before="40" w:after="40"/>
              <w:rPr>
                <w:b/>
                <w:sz w:val="18"/>
                <w:szCs w:val="18"/>
              </w:rPr>
            </w:pPr>
            <w:r w:rsidRPr="009C2953">
              <w:rPr>
                <w:sz w:val="18"/>
              </w:rPr>
              <w:t>France (Office français de la biodiversité)</w:t>
            </w:r>
          </w:p>
        </w:tc>
        <w:tc>
          <w:tcPr>
            <w:tcW w:w="2717" w:type="dxa"/>
            <w:tcBorders>
              <w:top w:val="nil"/>
              <w:left w:val="nil"/>
              <w:bottom w:val="nil"/>
              <w:right w:val="nil"/>
            </w:tcBorders>
            <w:hideMark/>
          </w:tcPr>
          <w:p w14:paraId="6C4B45B1" w14:textId="67AEE5B9" w:rsidR="00073FDF" w:rsidRPr="009C2953" w:rsidRDefault="00073FDF"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évaluation méthodologique des diverses valeurs de la nature et de leur estimation</w:t>
            </w:r>
          </w:p>
        </w:tc>
        <w:tc>
          <w:tcPr>
            <w:tcW w:w="1275" w:type="dxa"/>
            <w:tcBorders>
              <w:top w:val="nil"/>
              <w:left w:val="nil"/>
              <w:bottom w:val="nil"/>
              <w:right w:val="nil"/>
            </w:tcBorders>
            <w:hideMark/>
          </w:tcPr>
          <w:p w14:paraId="1EBD8BF7" w14:textId="524D8230"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68AF5586" w14:textId="77777777" w:rsidR="00073FDF" w:rsidRPr="009C2953" w:rsidRDefault="00073FDF" w:rsidP="00073FDF">
            <w:pPr>
              <w:pStyle w:val="Normal-pool"/>
              <w:spacing w:before="40" w:after="40"/>
              <w:jc w:val="right"/>
              <w:rPr>
                <w:b/>
                <w:sz w:val="18"/>
                <w:szCs w:val="18"/>
              </w:rPr>
            </w:pPr>
            <w:r w:rsidRPr="009C2953">
              <w:rPr>
                <w:sz w:val="18"/>
              </w:rPr>
              <w:t>84 541</w:t>
            </w:r>
          </w:p>
        </w:tc>
        <w:tc>
          <w:tcPr>
            <w:tcW w:w="932" w:type="dxa"/>
            <w:tcBorders>
              <w:top w:val="nil"/>
              <w:left w:val="nil"/>
              <w:bottom w:val="nil"/>
              <w:right w:val="nil"/>
            </w:tcBorders>
            <w:vAlign w:val="bottom"/>
            <w:hideMark/>
          </w:tcPr>
          <w:p w14:paraId="2970EADF" w14:textId="77777777" w:rsidR="00073FDF" w:rsidRPr="009C2953" w:rsidRDefault="00073FDF" w:rsidP="00073FDF">
            <w:pPr>
              <w:pStyle w:val="Normal-pool"/>
              <w:spacing w:before="40" w:after="40"/>
              <w:jc w:val="right"/>
              <w:rPr>
                <w:b/>
                <w:sz w:val="18"/>
                <w:szCs w:val="18"/>
              </w:rPr>
            </w:pPr>
            <w:r w:rsidRPr="009C2953">
              <w:rPr>
                <w:sz w:val="18"/>
              </w:rPr>
              <w:t>55 741</w:t>
            </w:r>
          </w:p>
        </w:tc>
        <w:tc>
          <w:tcPr>
            <w:tcW w:w="1013" w:type="dxa"/>
            <w:tcBorders>
              <w:top w:val="nil"/>
              <w:left w:val="nil"/>
              <w:bottom w:val="nil"/>
              <w:right w:val="nil"/>
            </w:tcBorders>
            <w:vAlign w:val="bottom"/>
            <w:hideMark/>
          </w:tcPr>
          <w:p w14:paraId="6BEF23C8" w14:textId="77777777" w:rsidR="00073FDF" w:rsidRPr="009C2953" w:rsidRDefault="00073FDF" w:rsidP="00073FDF">
            <w:pPr>
              <w:pStyle w:val="Normal-pool"/>
              <w:spacing w:before="40" w:after="40"/>
              <w:jc w:val="right"/>
              <w:rPr>
                <w:b/>
                <w:sz w:val="18"/>
                <w:szCs w:val="18"/>
              </w:rPr>
            </w:pPr>
            <w:r w:rsidRPr="009C2953">
              <w:rPr>
                <w:sz w:val="18"/>
              </w:rPr>
              <w:t>58 480</w:t>
            </w:r>
          </w:p>
        </w:tc>
        <w:tc>
          <w:tcPr>
            <w:tcW w:w="851" w:type="dxa"/>
            <w:tcBorders>
              <w:top w:val="nil"/>
              <w:left w:val="nil"/>
              <w:bottom w:val="nil"/>
              <w:right w:val="nil"/>
            </w:tcBorders>
            <w:vAlign w:val="bottom"/>
          </w:tcPr>
          <w:p w14:paraId="503CA764" w14:textId="77777777" w:rsidR="00073FDF" w:rsidRPr="009C2953" w:rsidRDefault="00073FDF" w:rsidP="00073FDF">
            <w:pPr>
              <w:pStyle w:val="Normal-pool"/>
              <w:spacing w:before="40" w:after="40"/>
              <w:jc w:val="right"/>
              <w:rPr>
                <w:b/>
                <w:sz w:val="18"/>
                <w:szCs w:val="18"/>
              </w:rPr>
            </w:pPr>
          </w:p>
        </w:tc>
        <w:tc>
          <w:tcPr>
            <w:tcW w:w="992" w:type="dxa"/>
            <w:tcBorders>
              <w:top w:val="nil"/>
              <w:left w:val="nil"/>
              <w:bottom w:val="nil"/>
              <w:right w:val="nil"/>
            </w:tcBorders>
            <w:vAlign w:val="bottom"/>
            <w:hideMark/>
          </w:tcPr>
          <w:p w14:paraId="41EE8B5C" w14:textId="77777777" w:rsidR="00073FDF" w:rsidRPr="009C2953" w:rsidRDefault="00073FDF" w:rsidP="00073FDF">
            <w:pPr>
              <w:pStyle w:val="Normal-pool"/>
              <w:spacing w:before="40" w:after="40"/>
              <w:jc w:val="right"/>
              <w:rPr>
                <w:b/>
                <w:sz w:val="18"/>
                <w:szCs w:val="18"/>
              </w:rPr>
            </w:pPr>
            <w:r w:rsidRPr="009C2953">
              <w:rPr>
                <w:sz w:val="18"/>
              </w:rPr>
              <w:t>56 584</w:t>
            </w:r>
          </w:p>
        </w:tc>
        <w:tc>
          <w:tcPr>
            <w:tcW w:w="903" w:type="dxa"/>
            <w:tcBorders>
              <w:top w:val="nil"/>
              <w:left w:val="nil"/>
              <w:bottom w:val="nil"/>
              <w:right w:val="single" w:sz="4" w:space="0" w:color="000000"/>
            </w:tcBorders>
            <w:vAlign w:val="bottom"/>
          </w:tcPr>
          <w:p w14:paraId="77650EB4"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7AF1F7C3"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2FBAF518"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325959EF" w14:textId="77777777" w:rsidR="00073FDF" w:rsidRPr="009C2953" w:rsidRDefault="00073FDF" w:rsidP="00073FDF">
            <w:pPr>
              <w:pStyle w:val="Normal-pool"/>
              <w:spacing w:before="40" w:after="40"/>
              <w:jc w:val="right"/>
              <w:rPr>
                <w:b/>
                <w:sz w:val="18"/>
                <w:szCs w:val="18"/>
              </w:rPr>
            </w:pPr>
          </w:p>
        </w:tc>
      </w:tr>
      <w:tr w:rsidR="00073FDF" w:rsidRPr="009C2953" w14:paraId="076D4FD3" w14:textId="77777777" w:rsidTr="0072673B">
        <w:trPr>
          <w:trHeight w:val="57"/>
          <w:jc w:val="right"/>
        </w:trPr>
        <w:tc>
          <w:tcPr>
            <w:tcW w:w="1962" w:type="dxa"/>
            <w:tcBorders>
              <w:top w:val="nil"/>
              <w:left w:val="nil"/>
              <w:bottom w:val="nil"/>
              <w:right w:val="nil"/>
            </w:tcBorders>
            <w:hideMark/>
          </w:tcPr>
          <w:p w14:paraId="1900648C" w14:textId="5BDC6D1C" w:rsidR="00073FDF" w:rsidRPr="009C2953" w:rsidRDefault="00073FDF" w:rsidP="00073FDF">
            <w:pPr>
              <w:pStyle w:val="Normal-pool"/>
              <w:spacing w:before="40" w:after="40"/>
              <w:rPr>
                <w:b/>
                <w:sz w:val="18"/>
                <w:szCs w:val="18"/>
              </w:rPr>
            </w:pPr>
            <w:r w:rsidRPr="009C2953">
              <w:rPr>
                <w:sz w:val="18"/>
              </w:rPr>
              <w:t>France (Office français de la biodiversité)</w:t>
            </w:r>
          </w:p>
        </w:tc>
        <w:tc>
          <w:tcPr>
            <w:tcW w:w="2717" w:type="dxa"/>
            <w:tcBorders>
              <w:top w:val="nil"/>
              <w:left w:val="nil"/>
              <w:bottom w:val="nil"/>
              <w:right w:val="nil"/>
            </w:tcBorders>
            <w:hideMark/>
          </w:tcPr>
          <w:p w14:paraId="3F1E100C" w14:textId="1E71C1B3" w:rsidR="00073FDF" w:rsidRPr="009C2953" w:rsidRDefault="00073FDF"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évaluation thématique de l</w:t>
            </w:r>
            <w:r w:rsidR="00EA2966" w:rsidRPr="009C2953">
              <w:rPr>
                <w:sz w:val="18"/>
              </w:rPr>
              <w:t>’</w:t>
            </w:r>
            <w:r w:rsidRPr="009C2953">
              <w:rPr>
                <w:sz w:val="18"/>
              </w:rPr>
              <w:t>utilisation durable des espèces sauvages</w:t>
            </w:r>
          </w:p>
        </w:tc>
        <w:tc>
          <w:tcPr>
            <w:tcW w:w="1275" w:type="dxa"/>
            <w:tcBorders>
              <w:top w:val="nil"/>
              <w:left w:val="nil"/>
              <w:bottom w:val="nil"/>
              <w:right w:val="nil"/>
            </w:tcBorders>
            <w:hideMark/>
          </w:tcPr>
          <w:p w14:paraId="7F5A773E" w14:textId="12BF33E0"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w:t>
            </w:r>
            <w:r w:rsidR="00BD4464" w:rsidRPr="009C2953">
              <w:rPr>
                <w:sz w:val="18"/>
              </w:rPr>
              <w:t> </w:t>
            </w:r>
            <w:r w:rsidRPr="009C2953">
              <w:rPr>
                <w:sz w:val="18"/>
              </w:rPr>
              <w:t>produits livrables</w:t>
            </w:r>
          </w:p>
        </w:tc>
        <w:tc>
          <w:tcPr>
            <w:tcW w:w="891" w:type="dxa"/>
            <w:tcBorders>
              <w:top w:val="nil"/>
              <w:left w:val="nil"/>
              <w:bottom w:val="nil"/>
              <w:right w:val="nil"/>
            </w:tcBorders>
            <w:vAlign w:val="bottom"/>
            <w:hideMark/>
          </w:tcPr>
          <w:p w14:paraId="4C9D9263" w14:textId="77777777" w:rsidR="00073FDF" w:rsidRPr="009C2953" w:rsidRDefault="00073FDF" w:rsidP="00073FDF">
            <w:pPr>
              <w:pStyle w:val="Normal-pool"/>
              <w:spacing w:before="40" w:after="40"/>
              <w:jc w:val="right"/>
              <w:rPr>
                <w:b/>
                <w:sz w:val="18"/>
                <w:szCs w:val="18"/>
              </w:rPr>
            </w:pPr>
            <w:r w:rsidRPr="009C2953">
              <w:rPr>
                <w:sz w:val="18"/>
              </w:rPr>
              <w:t>84 541</w:t>
            </w:r>
          </w:p>
        </w:tc>
        <w:tc>
          <w:tcPr>
            <w:tcW w:w="932" w:type="dxa"/>
            <w:tcBorders>
              <w:top w:val="nil"/>
              <w:left w:val="nil"/>
              <w:bottom w:val="nil"/>
              <w:right w:val="nil"/>
            </w:tcBorders>
            <w:vAlign w:val="bottom"/>
            <w:hideMark/>
          </w:tcPr>
          <w:p w14:paraId="5405CC63" w14:textId="77777777" w:rsidR="00073FDF" w:rsidRPr="009C2953" w:rsidRDefault="00073FDF" w:rsidP="00073FDF">
            <w:pPr>
              <w:pStyle w:val="Normal-pool"/>
              <w:spacing w:before="40" w:after="40"/>
              <w:jc w:val="right"/>
              <w:rPr>
                <w:b/>
                <w:sz w:val="18"/>
                <w:szCs w:val="18"/>
              </w:rPr>
            </w:pPr>
            <w:r w:rsidRPr="009C2953">
              <w:rPr>
                <w:sz w:val="18"/>
              </w:rPr>
              <w:t>55 741</w:t>
            </w:r>
          </w:p>
        </w:tc>
        <w:tc>
          <w:tcPr>
            <w:tcW w:w="1013" w:type="dxa"/>
            <w:tcBorders>
              <w:top w:val="nil"/>
              <w:left w:val="nil"/>
              <w:bottom w:val="nil"/>
              <w:right w:val="nil"/>
            </w:tcBorders>
            <w:vAlign w:val="bottom"/>
            <w:hideMark/>
          </w:tcPr>
          <w:p w14:paraId="7D7EC56E" w14:textId="77777777" w:rsidR="00073FDF" w:rsidRPr="009C2953" w:rsidRDefault="00073FDF" w:rsidP="00073FDF">
            <w:pPr>
              <w:pStyle w:val="Normal-pool"/>
              <w:spacing w:before="40" w:after="40"/>
              <w:jc w:val="right"/>
              <w:rPr>
                <w:b/>
                <w:sz w:val="18"/>
                <w:szCs w:val="18"/>
              </w:rPr>
            </w:pPr>
            <w:r w:rsidRPr="009C2953">
              <w:rPr>
                <w:sz w:val="18"/>
              </w:rPr>
              <w:t>58 480</w:t>
            </w:r>
          </w:p>
        </w:tc>
        <w:tc>
          <w:tcPr>
            <w:tcW w:w="851" w:type="dxa"/>
            <w:tcBorders>
              <w:top w:val="nil"/>
              <w:left w:val="nil"/>
              <w:bottom w:val="nil"/>
              <w:right w:val="nil"/>
            </w:tcBorders>
            <w:vAlign w:val="bottom"/>
          </w:tcPr>
          <w:p w14:paraId="03691A81" w14:textId="77777777" w:rsidR="00073FDF" w:rsidRPr="009C2953" w:rsidRDefault="00073FDF" w:rsidP="00073FDF">
            <w:pPr>
              <w:pStyle w:val="Normal-pool"/>
              <w:spacing w:before="40" w:after="40"/>
              <w:jc w:val="right"/>
              <w:rPr>
                <w:b/>
                <w:sz w:val="18"/>
                <w:szCs w:val="18"/>
              </w:rPr>
            </w:pPr>
          </w:p>
        </w:tc>
        <w:tc>
          <w:tcPr>
            <w:tcW w:w="992" w:type="dxa"/>
            <w:tcBorders>
              <w:top w:val="nil"/>
              <w:left w:val="nil"/>
              <w:bottom w:val="nil"/>
              <w:right w:val="nil"/>
            </w:tcBorders>
            <w:vAlign w:val="bottom"/>
            <w:hideMark/>
          </w:tcPr>
          <w:p w14:paraId="722A7EFB" w14:textId="77777777" w:rsidR="00073FDF" w:rsidRPr="009C2953" w:rsidRDefault="00073FDF" w:rsidP="00073FDF">
            <w:pPr>
              <w:pStyle w:val="Normal-pool"/>
              <w:spacing w:before="40" w:after="40"/>
              <w:jc w:val="right"/>
              <w:rPr>
                <w:b/>
                <w:sz w:val="18"/>
                <w:szCs w:val="18"/>
              </w:rPr>
            </w:pPr>
            <w:r w:rsidRPr="009C2953">
              <w:rPr>
                <w:sz w:val="18"/>
              </w:rPr>
              <w:t>56 584</w:t>
            </w:r>
          </w:p>
        </w:tc>
        <w:tc>
          <w:tcPr>
            <w:tcW w:w="903" w:type="dxa"/>
            <w:tcBorders>
              <w:top w:val="nil"/>
              <w:left w:val="nil"/>
              <w:bottom w:val="nil"/>
              <w:right w:val="single" w:sz="4" w:space="0" w:color="000000"/>
            </w:tcBorders>
            <w:vAlign w:val="bottom"/>
          </w:tcPr>
          <w:p w14:paraId="63566542"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04777B68"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76C603DE"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258F599B" w14:textId="77777777" w:rsidR="00073FDF" w:rsidRPr="009C2953" w:rsidRDefault="00073FDF" w:rsidP="00073FDF">
            <w:pPr>
              <w:pStyle w:val="Normal-pool"/>
              <w:spacing w:before="40" w:after="40"/>
              <w:jc w:val="right"/>
              <w:rPr>
                <w:b/>
                <w:sz w:val="18"/>
                <w:szCs w:val="18"/>
              </w:rPr>
            </w:pPr>
          </w:p>
        </w:tc>
      </w:tr>
      <w:tr w:rsidR="00073FDF" w:rsidRPr="009C2953" w14:paraId="6CDFAA1D" w14:textId="77777777" w:rsidTr="0072673B">
        <w:trPr>
          <w:trHeight w:val="57"/>
          <w:jc w:val="right"/>
        </w:trPr>
        <w:tc>
          <w:tcPr>
            <w:tcW w:w="1962" w:type="dxa"/>
            <w:tcBorders>
              <w:top w:val="nil"/>
              <w:left w:val="nil"/>
              <w:bottom w:val="nil"/>
              <w:right w:val="nil"/>
            </w:tcBorders>
            <w:hideMark/>
          </w:tcPr>
          <w:p w14:paraId="55164C5B" w14:textId="77777777" w:rsidR="00073FDF" w:rsidRPr="009C2953" w:rsidRDefault="00073FDF" w:rsidP="00073FDF">
            <w:pPr>
              <w:pStyle w:val="Normal-pool"/>
              <w:spacing w:before="40" w:after="40"/>
              <w:rPr>
                <w:b/>
                <w:sz w:val="18"/>
                <w:szCs w:val="18"/>
              </w:rPr>
            </w:pPr>
            <w:r w:rsidRPr="009C2953">
              <w:rPr>
                <w:sz w:val="18"/>
              </w:rPr>
              <w:t>République de Corée</w:t>
            </w:r>
          </w:p>
        </w:tc>
        <w:tc>
          <w:tcPr>
            <w:tcW w:w="2717" w:type="dxa"/>
            <w:tcBorders>
              <w:top w:val="nil"/>
              <w:left w:val="nil"/>
              <w:bottom w:val="nil"/>
              <w:right w:val="nil"/>
            </w:tcBorders>
            <w:hideMark/>
          </w:tcPr>
          <w:p w14:paraId="537C2902" w14:textId="39EAE97E" w:rsidR="00073FDF" w:rsidRPr="009C2953" w:rsidRDefault="00073FDF" w:rsidP="00073FDF">
            <w:pPr>
              <w:pStyle w:val="Normal-pool"/>
              <w:spacing w:before="40" w:after="40"/>
              <w:rPr>
                <w:b/>
                <w:sz w:val="18"/>
                <w:szCs w:val="18"/>
              </w:rPr>
            </w:pPr>
            <w:r w:rsidRPr="009C2953">
              <w:rPr>
                <w:sz w:val="18"/>
              </w:rPr>
              <w:t>Réunion de l</w:t>
            </w:r>
            <w:r w:rsidR="00EA2966" w:rsidRPr="009C2953">
              <w:rPr>
                <w:sz w:val="18"/>
              </w:rPr>
              <w:t>’</w:t>
            </w:r>
            <w:r w:rsidRPr="009C2953">
              <w:rPr>
                <w:sz w:val="18"/>
              </w:rPr>
              <w:t>équipe spéciale sur les connaissances et les données</w:t>
            </w:r>
          </w:p>
        </w:tc>
        <w:tc>
          <w:tcPr>
            <w:tcW w:w="1275" w:type="dxa"/>
            <w:tcBorders>
              <w:top w:val="nil"/>
              <w:left w:val="nil"/>
              <w:bottom w:val="nil"/>
              <w:right w:val="nil"/>
            </w:tcBorders>
            <w:hideMark/>
          </w:tcPr>
          <w:p w14:paraId="5D3E056C" w14:textId="47260229" w:rsidR="00073FDF" w:rsidRPr="00FA7442" w:rsidRDefault="00073FDF" w:rsidP="00FA7442">
            <w:pPr>
              <w:pStyle w:val="Normal-pool"/>
              <w:spacing w:before="40" w:after="40"/>
              <w:ind w:right="-57"/>
              <w:rPr>
                <w:sz w:val="18"/>
              </w:rPr>
            </w:pPr>
            <w:r w:rsidRPr="009C2953">
              <w:rPr>
                <w:sz w:val="18"/>
              </w:rPr>
              <w:t>Aide aux</w:t>
            </w:r>
            <w:r w:rsidR="00C00BBF" w:rsidRPr="009C2953">
              <w:rPr>
                <w:sz w:val="18"/>
              </w:rPr>
              <w:t xml:space="preserve"> </w:t>
            </w:r>
            <w:r w:rsidRPr="009C2953">
              <w:rPr>
                <w:sz w:val="18"/>
              </w:rPr>
              <w:t>participant(e)s</w:t>
            </w:r>
          </w:p>
        </w:tc>
        <w:tc>
          <w:tcPr>
            <w:tcW w:w="891" w:type="dxa"/>
            <w:tcBorders>
              <w:top w:val="nil"/>
              <w:left w:val="nil"/>
              <w:bottom w:val="nil"/>
              <w:right w:val="nil"/>
            </w:tcBorders>
            <w:vAlign w:val="bottom"/>
            <w:hideMark/>
          </w:tcPr>
          <w:p w14:paraId="2F62D5F4" w14:textId="4F394756" w:rsidR="00073FDF" w:rsidRPr="009C2953" w:rsidRDefault="00073FDF" w:rsidP="00073FDF">
            <w:pPr>
              <w:pStyle w:val="Normal-pool"/>
              <w:spacing w:before="40" w:after="40"/>
              <w:jc w:val="right"/>
              <w:rPr>
                <w:b/>
                <w:sz w:val="18"/>
                <w:szCs w:val="18"/>
              </w:rPr>
            </w:pPr>
            <w:r w:rsidRPr="009C2953">
              <w:rPr>
                <w:sz w:val="18"/>
              </w:rPr>
              <w:t>123 378</w:t>
            </w:r>
          </w:p>
        </w:tc>
        <w:tc>
          <w:tcPr>
            <w:tcW w:w="932" w:type="dxa"/>
            <w:tcBorders>
              <w:top w:val="nil"/>
              <w:left w:val="nil"/>
              <w:bottom w:val="nil"/>
              <w:right w:val="nil"/>
            </w:tcBorders>
            <w:vAlign w:val="bottom"/>
            <w:hideMark/>
          </w:tcPr>
          <w:p w14:paraId="7DB6C3AF"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1013" w:type="dxa"/>
            <w:tcBorders>
              <w:top w:val="nil"/>
              <w:left w:val="nil"/>
              <w:bottom w:val="nil"/>
              <w:right w:val="nil"/>
            </w:tcBorders>
            <w:vAlign w:val="bottom"/>
            <w:hideMark/>
          </w:tcPr>
          <w:p w14:paraId="677E0CCE"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851" w:type="dxa"/>
            <w:tcBorders>
              <w:top w:val="nil"/>
              <w:left w:val="nil"/>
              <w:bottom w:val="nil"/>
              <w:right w:val="nil"/>
            </w:tcBorders>
            <w:vAlign w:val="bottom"/>
            <w:hideMark/>
          </w:tcPr>
          <w:p w14:paraId="69BE1AF7"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92" w:type="dxa"/>
            <w:tcBorders>
              <w:top w:val="nil"/>
              <w:left w:val="nil"/>
              <w:bottom w:val="nil"/>
              <w:right w:val="nil"/>
            </w:tcBorders>
            <w:vAlign w:val="bottom"/>
            <w:hideMark/>
          </w:tcPr>
          <w:p w14:paraId="3D1D77A8"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03" w:type="dxa"/>
            <w:tcBorders>
              <w:top w:val="nil"/>
              <w:left w:val="nil"/>
              <w:bottom w:val="nil"/>
              <w:right w:val="single" w:sz="4" w:space="0" w:color="000000"/>
            </w:tcBorders>
            <w:vAlign w:val="bottom"/>
          </w:tcPr>
          <w:p w14:paraId="2E844086"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hideMark/>
          </w:tcPr>
          <w:p w14:paraId="22AC1C03"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hideMark/>
          </w:tcPr>
          <w:p w14:paraId="3FBB75EF"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nil"/>
              <w:right w:val="nil"/>
            </w:tcBorders>
            <w:vAlign w:val="bottom"/>
          </w:tcPr>
          <w:p w14:paraId="15A8194F" w14:textId="77777777" w:rsidR="00073FDF" w:rsidRPr="009C2953" w:rsidRDefault="00073FDF" w:rsidP="00073FDF">
            <w:pPr>
              <w:pStyle w:val="Normal-pool"/>
              <w:spacing w:before="40" w:after="40"/>
              <w:jc w:val="right"/>
              <w:rPr>
                <w:b/>
                <w:sz w:val="18"/>
                <w:szCs w:val="18"/>
              </w:rPr>
            </w:pPr>
          </w:p>
        </w:tc>
      </w:tr>
      <w:tr w:rsidR="00073FDF" w:rsidRPr="009C2953" w14:paraId="0748618A" w14:textId="77777777" w:rsidTr="0072673B">
        <w:trPr>
          <w:trHeight w:val="57"/>
          <w:jc w:val="right"/>
        </w:trPr>
        <w:tc>
          <w:tcPr>
            <w:tcW w:w="1962" w:type="dxa"/>
            <w:tcBorders>
              <w:top w:val="nil"/>
              <w:left w:val="nil"/>
              <w:bottom w:val="single" w:sz="4" w:space="0" w:color="000000"/>
              <w:right w:val="nil"/>
            </w:tcBorders>
            <w:hideMark/>
          </w:tcPr>
          <w:p w14:paraId="5B8E0023" w14:textId="77777777" w:rsidR="00073FDF" w:rsidRPr="009C2953" w:rsidRDefault="00073FDF" w:rsidP="00073FDF">
            <w:pPr>
              <w:pStyle w:val="Normal-pool"/>
              <w:spacing w:before="40" w:after="40"/>
              <w:rPr>
                <w:b/>
                <w:sz w:val="18"/>
                <w:szCs w:val="18"/>
              </w:rPr>
            </w:pPr>
            <w:r w:rsidRPr="009C2953">
              <w:rPr>
                <w:sz w:val="18"/>
              </w:rPr>
              <w:t>Suède</w:t>
            </w:r>
          </w:p>
        </w:tc>
        <w:tc>
          <w:tcPr>
            <w:tcW w:w="2717" w:type="dxa"/>
            <w:tcBorders>
              <w:top w:val="nil"/>
              <w:left w:val="nil"/>
              <w:bottom w:val="single" w:sz="4" w:space="0" w:color="000000"/>
              <w:right w:val="nil"/>
            </w:tcBorders>
            <w:hideMark/>
          </w:tcPr>
          <w:p w14:paraId="71A8243D" w14:textId="6614C48C" w:rsidR="00073FDF" w:rsidRPr="009C2953" w:rsidRDefault="00073FDF" w:rsidP="00073FDF">
            <w:pPr>
              <w:pStyle w:val="Normal-pool"/>
              <w:spacing w:before="40" w:after="40"/>
              <w:rPr>
                <w:b/>
                <w:sz w:val="18"/>
                <w:szCs w:val="18"/>
              </w:rPr>
            </w:pPr>
            <w:r w:rsidRPr="009C2953">
              <w:rPr>
                <w:sz w:val="18"/>
              </w:rPr>
              <w:t>Destiné à financer la participation des membres du Groupe d</w:t>
            </w:r>
            <w:r w:rsidR="00EA2966" w:rsidRPr="009C2953">
              <w:rPr>
                <w:sz w:val="18"/>
              </w:rPr>
              <w:t>’</w:t>
            </w:r>
            <w:r w:rsidRPr="009C2953">
              <w:rPr>
                <w:sz w:val="18"/>
              </w:rPr>
              <w:t>experts multidisciplinaire issu(e)s de pays en développement</w:t>
            </w:r>
          </w:p>
        </w:tc>
        <w:tc>
          <w:tcPr>
            <w:tcW w:w="1275" w:type="dxa"/>
            <w:tcBorders>
              <w:top w:val="nil"/>
              <w:left w:val="nil"/>
              <w:bottom w:val="single" w:sz="4" w:space="0" w:color="000000"/>
              <w:right w:val="nil"/>
            </w:tcBorders>
            <w:hideMark/>
          </w:tcPr>
          <w:p w14:paraId="5A833D15" w14:textId="0E0DC2EB" w:rsidR="00073FDF" w:rsidRPr="00FA7442" w:rsidRDefault="00073FDF" w:rsidP="00FA7442">
            <w:pPr>
              <w:pStyle w:val="Normal-pool"/>
              <w:spacing w:before="40" w:after="40"/>
              <w:ind w:right="-57"/>
              <w:rPr>
                <w:sz w:val="18"/>
              </w:rPr>
            </w:pPr>
            <w:r w:rsidRPr="009C2953">
              <w:rPr>
                <w:sz w:val="18"/>
              </w:rPr>
              <w:t>Aide aux</w:t>
            </w:r>
            <w:r w:rsidR="00C00BBF" w:rsidRPr="009C2953">
              <w:rPr>
                <w:sz w:val="18"/>
              </w:rPr>
              <w:t xml:space="preserve"> </w:t>
            </w:r>
            <w:r w:rsidRPr="009C2953">
              <w:rPr>
                <w:sz w:val="18"/>
              </w:rPr>
              <w:t>participant(e)s</w:t>
            </w:r>
          </w:p>
        </w:tc>
        <w:tc>
          <w:tcPr>
            <w:tcW w:w="891" w:type="dxa"/>
            <w:tcBorders>
              <w:top w:val="nil"/>
              <w:left w:val="nil"/>
              <w:bottom w:val="single" w:sz="4" w:space="0" w:color="000000"/>
              <w:right w:val="nil"/>
            </w:tcBorders>
            <w:vAlign w:val="bottom"/>
            <w:hideMark/>
          </w:tcPr>
          <w:p w14:paraId="77CB3175" w14:textId="77777777" w:rsidR="00073FDF" w:rsidRPr="009C2953" w:rsidRDefault="00073FDF" w:rsidP="00073FDF">
            <w:pPr>
              <w:pStyle w:val="Normal-pool"/>
              <w:spacing w:before="40" w:after="40"/>
              <w:jc w:val="right"/>
              <w:rPr>
                <w:b/>
                <w:sz w:val="18"/>
                <w:szCs w:val="18"/>
              </w:rPr>
            </w:pPr>
            <w:r w:rsidRPr="009C2953">
              <w:rPr>
                <w:sz w:val="18"/>
              </w:rPr>
              <w:t>84 603</w:t>
            </w:r>
          </w:p>
        </w:tc>
        <w:tc>
          <w:tcPr>
            <w:tcW w:w="932" w:type="dxa"/>
            <w:tcBorders>
              <w:top w:val="nil"/>
              <w:left w:val="nil"/>
              <w:bottom w:val="single" w:sz="4" w:space="0" w:color="000000"/>
              <w:right w:val="nil"/>
            </w:tcBorders>
            <w:vAlign w:val="bottom"/>
            <w:hideMark/>
          </w:tcPr>
          <w:p w14:paraId="493545BF"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1013" w:type="dxa"/>
            <w:tcBorders>
              <w:top w:val="nil"/>
              <w:left w:val="nil"/>
              <w:bottom w:val="single" w:sz="4" w:space="0" w:color="000000"/>
              <w:right w:val="nil"/>
            </w:tcBorders>
            <w:vAlign w:val="bottom"/>
            <w:hideMark/>
          </w:tcPr>
          <w:p w14:paraId="1BC18E20"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851" w:type="dxa"/>
            <w:tcBorders>
              <w:top w:val="nil"/>
              <w:left w:val="nil"/>
              <w:bottom w:val="single" w:sz="4" w:space="0" w:color="000000"/>
              <w:right w:val="nil"/>
            </w:tcBorders>
            <w:vAlign w:val="bottom"/>
            <w:hideMark/>
          </w:tcPr>
          <w:p w14:paraId="6B761E04"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92" w:type="dxa"/>
            <w:tcBorders>
              <w:top w:val="nil"/>
              <w:left w:val="nil"/>
              <w:bottom w:val="single" w:sz="4" w:space="0" w:color="000000"/>
              <w:right w:val="nil"/>
            </w:tcBorders>
            <w:vAlign w:val="bottom"/>
            <w:hideMark/>
          </w:tcPr>
          <w:p w14:paraId="2D6A68BB"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03" w:type="dxa"/>
            <w:tcBorders>
              <w:top w:val="nil"/>
              <w:left w:val="nil"/>
              <w:bottom w:val="single" w:sz="4" w:space="0" w:color="000000"/>
              <w:right w:val="single" w:sz="4" w:space="0" w:color="000000"/>
            </w:tcBorders>
            <w:vAlign w:val="bottom"/>
          </w:tcPr>
          <w:p w14:paraId="6640895A"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single" w:sz="4" w:space="0" w:color="000000"/>
              <w:right w:val="nil"/>
            </w:tcBorders>
            <w:vAlign w:val="bottom"/>
            <w:hideMark/>
          </w:tcPr>
          <w:p w14:paraId="54E21D1B"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single" w:sz="4" w:space="0" w:color="000000"/>
              <w:right w:val="nil"/>
            </w:tcBorders>
            <w:vAlign w:val="bottom"/>
            <w:hideMark/>
          </w:tcPr>
          <w:p w14:paraId="018385BB" w14:textId="77777777" w:rsidR="00073FDF" w:rsidRPr="009C2953" w:rsidRDefault="00073FDF" w:rsidP="00073FDF">
            <w:pPr>
              <w:pStyle w:val="Normal-pool"/>
              <w:spacing w:before="40" w:after="40"/>
              <w:jc w:val="right"/>
              <w:rPr>
                <w:b/>
                <w:sz w:val="18"/>
                <w:szCs w:val="18"/>
              </w:rPr>
            </w:pPr>
            <w:r w:rsidRPr="009C2953">
              <w:rPr>
                <w:sz w:val="18"/>
              </w:rPr>
              <w:t xml:space="preserve"> </w:t>
            </w:r>
          </w:p>
        </w:tc>
        <w:tc>
          <w:tcPr>
            <w:tcW w:w="962" w:type="dxa"/>
            <w:tcBorders>
              <w:top w:val="nil"/>
              <w:left w:val="nil"/>
              <w:bottom w:val="single" w:sz="4" w:space="0" w:color="000000"/>
              <w:right w:val="nil"/>
            </w:tcBorders>
            <w:vAlign w:val="bottom"/>
          </w:tcPr>
          <w:p w14:paraId="2DAE0025" w14:textId="77777777" w:rsidR="00073FDF" w:rsidRPr="009C2953" w:rsidRDefault="00073FDF" w:rsidP="00073FDF">
            <w:pPr>
              <w:pStyle w:val="Normal-pool"/>
              <w:spacing w:before="40" w:after="40"/>
              <w:jc w:val="right"/>
              <w:rPr>
                <w:b/>
                <w:sz w:val="18"/>
                <w:szCs w:val="18"/>
              </w:rPr>
            </w:pPr>
          </w:p>
        </w:tc>
      </w:tr>
      <w:tr w:rsidR="00073FDF" w:rsidRPr="009C2953" w14:paraId="1CEFDFAA" w14:textId="77777777" w:rsidTr="0072673B">
        <w:trPr>
          <w:trHeight w:val="57"/>
          <w:jc w:val="right"/>
        </w:trPr>
        <w:tc>
          <w:tcPr>
            <w:tcW w:w="1962" w:type="dxa"/>
            <w:tcBorders>
              <w:top w:val="single" w:sz="4" w:space="0" w:color="000000"/>
              <w:left w:val="nil"/>
              <w:bottom w:val="single" w:sz="4" w:space="0" w:color="000000"/>
              <w:right w:val="nil"/>
            </w:tcBorders>
            <w:hideMark/>
          </w:tcPr>
          <w:p w14:paraId="7ED29ECB" w14:textId="77777777" w:rsidR="00073FDF" w:rsidRPr="009C2953" w:rsidRDefault="00073FDF" w:rsidP="00073FDF">
            <w:pPr>
              <w:pStyle w:val="Normal-pool"/>
              <w:spacing w:before="40" w:after="40"/>
              <w:rPr>
                <w:b/>
                <w:bCs/>
                <w:sz w:val="18"/>
                <w:szCs w:val="18"/>
              </w:rPr>
            </w:pPr>
            <w:r w:rsidRPr="009C2953">
              <w:rPr>
                <w:b/>
                <w:sz w:val="18"/>
              </w:rPr>
              <w:t>Total partiel 1.1</w:t>
            </w:r>
          </w:p>
        </w:tc>
        <w:tc>
          <w:tcPr>
            <w:tcW w:w="2717" w:type="dxa"/>
            <w:tcBorders>
              <w:top w:val="single" w:sz="4" w:space="0" w:color="000000"/>
              <w:left w:val="nil"/>
              <w:bottom w:val="single" w:sz="4" w:space="0" w:color="000000"/>
              <w:right w:val="nil"/>
            </w:tcBorders>
            <w:hideMark/>
          </w:tcPr>
          <w:p w14:paraId="7122C805" w14:textId="77777777" w:rsidR="00073FDF" w:rsidRPr="009C2953" w:rsidRDefault="00073FDF" w:rsidP="00073FDF">
            <w:pPr>
              <w:pStyle w:val="Normal-pool"/>
              <w:spacing w:before="40" w:after="40"/>
              <w:rPr>
                <w:b/>
                <w:bCs/>
                <w:sz w:val="18"/>
                <w:szCs w:val="18"/>
              </w:rPr>
            </w:pPr>
            <w:r w:rsidRPr="009C2953">
              <w:rPr>
                <w:b/>
                <w:sz w:val="18"/>
              </w:rPr>
              <w:t xml:space="preserve"> </w:t>
            </w:r>
          </w:p>
        </w:tc>
        <w:tc>
          <w:tcPr>
            <w:tcW w:w="1275" w:type="dxa"/>
            <w:tcBorders>
              <w:top w:val="single" w:sz="4" w:space="0" w:color="000000"/>
              <w:left w:val="nil"/>
              <w:bottom w:val="single" w:sz="4" w:space="0" w:color="000000"/>
              <w:right w:val="nil"/>
            </w:tcBorders>
            <w:hideMark/>
          </w:tcPr>
          <w:p w14:paraId="5E604A32" w14:textId="77777777" w:rsidR="00073FDF" w:rsidRPr="009C2953" w:rsidRDefault="00073FDF" w:rsidP="00073FDF">
            <w:pPr>
              <w:pStyle w:val="Normal-pool"/>
              <w:spacing w:before="40" w:after="40"/>
              <w:rPr>
                <w:b/>
                <w:bCs/>
                <w:sz w:val="18"/>
                <w:szCs w:val="18"/>
              </w:rPr>
            </w:pPr>
            <w:r w:rsidRPr="009C2953">
              <w:rPr>
                <w:b/>
                <w:sz w:val="18"/>
              </w:rPr>
              <w:t xml:space="preserve"> </w:t>
            </w:r>
          </w:p>
        </w:tc>
        <w:tc>
          <w:tcPr>
            <w:tcW w:w="891" w:type="dxa"/>
            <w:tcBorders>
              <w:top w:val="single" w:sz="4" w:space="0" w:color="000000"/>
              <w:left w:val="nil"/>
              <w:bottom w:val="single" w:sz="4" w:space="0" w:color="000000"/>
              <w:right w:val="nil"/>
            </w:tcBorders>
            <w:vAlign w:val="bottom"/>
            <w:hideMark/>
          </w:tcPr>
          <w:p w14:paraId="2F0B4D09" w14:textId="77777777" w:rsidR="00073FDF" w:rsidRPr="009C2953" w:rsidRDefault="00073FDF" w:rsidP="00073FDF">
            <w:pPr>
              <w:pStyle w:val="Normal-pool"/>
              <w:spacing w:before="40" w:after="40"/>
              <w:jc w:val="right"/>
              <w:rPr>
                <w:b/>
                <w:bCs/>
                <w:sz w:val="18"/>
                <w:szCs w:val="18"/>
              </w:rPr>
            </w:pPr>
            <w:r w:rsidRPr="009C2953">
              <w:rPr>
                <w:b/>
                <w:sz w:val="18"/>
              </w:rPr>
              <w:t>762 831</w:t>
            </w:r>
          </w:p>
        </w:tc>
        <w:tc>
          <w:tcPr>
            <w:tcW w:w="932" w:type="dxa"/>
            <w:tcBorders>
              <w:top w:val="single" w:sz="4" w:space="0" w:color="000000"/>
              <w:left w:val="nil"/>
              <w:bottom w:val="single" w:sz="4" w:space="0" w:color="000000"/>
              <w:right w:val="nil"/>
            </w:tcBorders>
            <w:vAlign w:val="bottom"/>
            <w:hideMark/>
          </w:tcPr>
          <w:p w14:paraId="5F97292F" w14:textId="77777777" w:rsidR="00073FDF" w:rsidRPr="009C2953" w:rsidRDefault="00073FDF" w:rsidP="00073FDF">
            <w:pPr>
              <w:pStyle w:val="Normal-pool"/>
              <w:spacing w:before="40" w:after="40"/>
              <w:jc w:val="right"/>
              <w:rPr>
                <w:b/>
                <w:bCs/>
                <w:sz w:val="18"/>
                <w:szCs w:val="18"/>
              </w:rPr>
            </w:pPr>
            <w:r w:rsidRPr="009C2953">
              <w:rPr>
                <w:b/>
                <w:sz w:val="18"/>
              </w:rPr>
              <w:t>418 336</w:t>
            </w:r>
          </w:p>
        </w:tc>
        <w:tc>
          <w:tcPr>
            <w:tcW w:w="1013" w:type="dxa"/>
            <w:tcBorders>
              <w:top w:val="single" w:sz="4" w:space="0" w:color="000000"/>
              <w:left w:val="nil"/>
              <w:bottom w:val="single" w:sz="4" w:space="0" w:color="000000"/>
              <w:right w:val="nil"/>
            </w:tcBorders>
            <w:vAlign w:val="bottom"/>
            <w:hideMark/>
          </w:tcPr>
          <w:p w14:paraId="4513E4E3" w14:textId="77777777" w:rsidR="00073FDF" w:rsidRPr="009C2953" w:rsidRDefault="00073FDF" w:rsidP="00073FDF">
            <w:pPr>
              <w:pStyle w:val="Normal-pool"/>
              <w:spacing w:before="40" w:after="40"/>
              <w:jc w:val="right"/>
              <w:rPr>
                <w:b/>
                <w:bCs/>
                <w:sz w:val="18"/>
                <w:szCs w:val="18"/>
              </w:rPr>
            </w:pPr>
            <w:r w:rsidRPr="009C2953">
              <w:rPr>
                <w:b/>
                <w:sz w:val="18"/>
              </w:rPr>
              <w:t>265 179</w:t>
            </w:r>
          </w:p>
        </w:tc>
        <w:tc>
          <w:tcPr>
            <w:tcW w:w="851" w:type="dxa"/>
            <w:tcBorders>
              <w:top w:val="single" w:sz="4" w:space="0" w:color="000000"/>
              <w:left w:val="nil"/>
              <w:bottom w:val="single" w:sz="4" w:space="0" w:color="000000"/>
              <w:right w:val="nil"/>
            </w:tcBorders>
            <w:vAlign w:val="bottom"/>
            <w:hideMark/>
          </w:tcPr>
          <w:p w14:paraId="2740B920" w14:textId="77777777" w:rsidR="00073FDF" w:rsidRPr="009C2953" w:rsidRDefault="00073FDF" w:rsidP="00073FDF">
            <w:pPr>
              <w:pStyle w:val="Normal-pool"/>
              <w:spacing w:before="40" w:after="40"/>
              <w:jc w:val="right"/>
              <w:rPr>
                <w:b/>
                <w:bCs/>
                <w:sz w:val="18"/>
                <w:szCs w:val="18"/>
              </w:rPr>
            </w:pPr>
            <w:r w:rsidRPr="009C2953">
              <w:rPr>
                <w:b/>
                <w:sz w:val="18"/>
              </w:rPr>
              <w:t>158 082</w:t>
            </w:r>
          </w:p>
        </w:tc>
        <w:tc>
          <w:tcPr>
            <w:tcW w:w="992" w:type="dxa"/>
            <w:tcBorders>
              <w:top w:val="single" w:sz="4" w:space="0" w:color="000000"/>
              <w:left w:val="nil"/>
              <w:bottom w:val="single" w:sz="4" w:space="0" w:color="000000"/>
              <w:right w:val="nil"/>
            </w:tcBorders>
            <w:vAlign w:val="bottom"/>
            <w:hideMark/>
          </w:tcPr>
          <w:p w14:paraId="790AC03C" w14:textId="77777777" w:rsidR="00073FDF" w:rsidRPr="009C2953" w:rsidRDefault="00073FDF" w:rsidP="00073FDF">
            <w:pPr>
              <w:pStyle w:val="Normal-pool"/>
              <w:spacing w:before="40" w:after="40"/>
              <w:jc w:val="right"/>
              <w:rPr>
                <w:b/>
                <w:bCs/>
                <w:sz w:val="18"/>
                <w:szCs w:val="18"/>
              </w:rPr>
            </w:pPr>
            <w:r w:rsidRPr="009C2953">
              <w:rPr>
                <w:b/>
                <w:sz w:val="18"/>
              </w:rPr>
              <w:t>383 116</w:t>
            </w:r>
          </w:p>
        </w:tc>
        <w:tc>
          <w:tcPr>
            <w:tcW w:w="903" w:type="dxa"/>
            <w:tcBorders>
              <w:top w:val="single" w:sz="4" w:space="0" w:color="000000"/>
              <w:left w:val="nil"/>
              <w:bottom w:val="single" w:sz="4" w:space="0" w:color="000000"/>
              <w:right w:val="single" w:sz="4" w:space="0" w:color="000000"/>
            </w:tcBorders>
            <w:vAlign w:val="bottom"/>
            <w:hideMark/>
          </w:tcPr>
          <w:p w14:paraId="2C7DC62B" w14:textId="77777777" w:rsidR="00073FDF" w:rsidRPr="009C2953" w:rsidRDefault="00073FDF" w:rsidP="00073FDF">
            <w:pPr>
              <w:pStyle w:val="Normal-pool"/>
              <w:spacing w:before="40" w:after="40"/>
              <w:jc w:val="right"/>
              <w:rPr>
                <w:b/>
                <w:bCs/>
                <w:sz w:val="18"/>
                <w:szCs w:val="18"/>
              </w:rPr>
            </w:pPr>
            <w:r w:rsidRPr="009C2953">
              <w:rPr>
                <w:b/>
                <w:sz w:val="18"/>
              </w:rPr>
              <w:t>29 577</w:t>
            </w:r>
          </w:p>
        </w:tc>
        <w:tc>
          <w:tcPr>
            <w:tcW w:w="969" w:type="dxa"/>
            <w:tcBorders>
              <w:top w:val="single" w:sz="4" w:space="0" w:color="000000"/>
              <w:left w:val="single" w:sz="4" w:space="0" w:color="000000"/>
              <w:bottom w:val="single" w:sz="4" w:space="0" w:color="000000"/>
              <w:right w:val="nil"/>
            </w:tcBorders>
            <w:vAlign w:val="bottom"/>
            <w:hideMark/>
          </w:tcPr>
          <w:p w14:paraId="70282993" w14:textId="77777777" w:rsidR="00073FDF" w:rsidRPr="009C2953" w:rsidRDefault="00073FDF" w:rsidP="00073FDF">
            <w:pPr>
              <w:pStyle w:val="Normal-pool"/>
              <w:spacing w:before="40" w:after="40"/>
              <w:jc w:val="right"/>
              <w:rPr>
                <w:b/>
                <w:bCs/>
                <w:sz w:val="18"/>
                <w:szCs w:val="18"/>
              </w:rPr>
            </w:pPr>
            <w:r w:rsidRPr="009C2953">
              <w:rPr>
                <w:b/>
                <w:sz w:val="18"/>
              </w:rPr>
              <w:t>99 010</w:t>
            </w:r>
          </w:p>
        </w:tc>
        <w:tc>
          <w:tcPr>
            <w:tcW w:w="962" w:type="dxa"/>
            <w:tcBorders>
              <w:top w:val="single" w:sz="4" w:space="0" w:color="000000"/>
              <w:left w:val="nil"/>
              <w:bottom w:val="single" w:sz="4" w:space="0" w:color="000000"/>
              <w:right w:val="nil"/>
            </w:tcBorders>
            <w:vAlign w:val="bottom"/>
            <w:hideMark/>
          </w:tcPr>
          <w:p w14:paraId="4FCFD0F5" w14:textId="77777777" w:rsidR="00073FDF" w:rsidRPr="009C2953" w:rsidRDefault="00073FDF" w:rsidP="00073FDF">
            <w:pPr>
              <w:pStyle w:val="Normal-pool"/>
              <w:spacing w:before="40" w:after="40"/>
              <w:jc w:val="right"/>
              <w:rPr>
                <w:b/>
                <w:bCs/>
                <w:sz w:val="18"/>
                <w:szCs w:val="18"/>
              </w:rPr>
            </w:pPr>
            <w:r w:rsidRPr="009C2953">
              <w:rPr>
                <w:b/>
                <w:sz w:val="18"/>
              </w:rPr>
              <w:t>31 397</w:t>
            </w:r>
          </w:p>
        </w:tc>
        <w:tc>
          <w:tcPr>
            <w:tcW w:w="962" w:type="dxa"/>
            <w:tcBorders>
              <w:top w:val="single" w:sz="4" w:space="0" w:color="000000"/>
              <w:left w:val="nil"/>
              <w:bottom w:val="single" w:sz="4" w:space="0" w:color="000000"/>
              <w:right w:val="nil"/>
            </w:tcBorders>
            <w:vAlign w:val="bottom"/>
            <w:hideMark/>
          </w:tcPr>
          <w:p w14:paraId="729017D9" w14:textId="77777777" w:rsidR="00073FDF" w:rsidRPr="009C2953" w:rsidRDefault="00073FDF" w:rsidP="00073FDF">
            <w:pPr>
              <w:pStyle w:val="Normal-pool"/>
              <w:spacing w:before="40" w:after="40"/>
              <w:jc w:val="right"/>
              <w:rPr>
                <w:b/>
                <w:bCs/>
                <w:sz w:val="18"/>
                <w:szCs w:val="18"/>
              </w:rPr>
            </w:pPr>
            <w:r w:rsidRPr="009C2953">
              <w:rPr>
                <w:b/>
                <w:sz w:val="18"/>
              </w:rPr>
              <w:t>130 407</w:t>
            </w:r>
          </w:p>
        </w:tc>
      </w:tr>
      <w:tr w:rsidR="00073FDF" w:rsidRPr="009C2953" w14:paraId="1F58FE2B" w14:textId="77777777" w:rsidTr="00073FDF">
        <w:trPr>
          <w:trHeight w:val="57"/>
          <w:jc w:val="right"/>
        </w:trPr>
        <w:tc>
          <w:tcPr>
            <w:tcW w:w="10633" w:type="dxa"/>
            <w:gridSpan w:val="8"/>
            <w:tcBorders>
              <w:top w:val="single" w:sz="4" w:space="0" w:color="000000"/>
              <w:left w:val="nil"/>
              <w:bottom w:val="single" w:sz="4" w:space="0" w:color="000000"/>
              <w:right w:val="nil"/>
            </w:tcBorders>
            <w:hideMark/>
          </w:tcPr>
          <w:p w14:paraId="39642BBD" w14:textId="5C101911" w:rsidR="00073FDF" w:rsidRPr="009C2953" w:rsidRDefault="00073FDF" w:rsidP="00073FDF">
            <w:pPr>
              <w:pStyle w:val="Normal-pool"/>
              <w:tabs>
                <w:tab w:val="left" w:pos="322"/>
              </w:tabs>
              <w:spacing w:before="40" w:after="40"/>
              <w:rPr>
                <w:sz w:val="18"/>
                <w:szCs w:val="18"/>
              </w:rPr>
            </w:pPr>
            <w:r w:rsidRPr="009C2953">
              <w:rPr>
                <w:sz w:val="18"/>
              </w:rPr>
              <w:t>1.2</w:t>
            </w:r>
            <w:r w:rsidRPr="009C2953">
              <w:rPr>
                <w:sz w:val="18"/>
              </w:rPr>
              <w:tab/>
              <w:t xml:space="preserve">Contributions </w:t>
            </w:r>
            <w:proofErr w:type="spellStart"/>
            <w:r w:rsidRPr="009C2953">
              <w:rPr>
                <w:sz w:val="18"/>
              </w:rPr>
              <w:t>préaffectées</w:t>
            </w:r>
            <w:proofErr w:type="spellEnd"/>
            <w:r w:rsidRPr="009C2953">
              <w:rPr>
                <w:sz w:val="18"/>
              </w:rPr>
              <w:t xml:space="preserve"> reçues en espèces d</w:t>
            </w:r>
            <w:r w:rsidR="00EA2966" w:rsidRPr="009C2953">
              <w:rPr>
                <w:sz w:val="18"/>
              </w:rPr>
              <w:t>’</w:t>
            </w:r>
            <w:r w:rsidRPr="009C2953">
              <w:rPr>
                <w:sz w:val="18"/>
              </w:rPr>
              <w:t>autres donateurs à l</w:t>
            </w:r>
            <w:r w:rsidR="00EA2966" w:rsidRPr="009C2953">
              <w:rPr>
                <w:sz w:val="18"/>
              </w:rPr>
              <w:t>’</w:t>
            </w:r>
            <w:r w:rsidRPr="009C2953">
              <w:rPr>
                <w:sz w:val="18"/>
              </w:rPr>
              <w:t xml:space="preserve">appui du programme de travail approuvé </w:t>
            </w:r>
          </w:p>
        </w:tc>
        <w:tc>
          <w:tcPr>
            <w:tcW w:w="903" w:type="dxa"/>
            <w:tcBorders>
              <w:top w:val="single" w:sz="4" w:space="0" w:color="000000"/>
              <w:left w:val="nil"/>
              <w:bottom w:val="single" w:sz="4" w:space="0" w:color="000000"/>
              <w:right w:val="nil"/>
            </w:tcBorders>
          </w:tcPr>
          <w:p w14:paraId="52EEC73A" w14:textId="77777777" w:rsidR="00073FDF" w:rsidRPr="009C2953" w:rsidRDefault="00073FDF" w:rsidP="00073FDF">
            <w:pPr>
              <w:pStyle w:val="Normal-pool"/>
              <w:spacing w:before="40" w:after="40"/>
              <w:rPr>
                <w:sz w:val="18"/>
                <w:szCs w:val="18"/>
              </w:rPr>
            </w:pPr>
          </w:p>
        </w:tc>
        <w:tc>
          <w:tcPr>
            <w:tcW w:w="969" w:type="dxa"/>
            <w:tcBorders>
              <w:top w:val="single" w:sz="4" w:space="0" w:color="000000"/>
              <w:left w:val="nil"/>
              <w:bottom w:val="single" w:sz="4" w:space="0" w:color="000000"/>
              <w:right w:val="nil"/>
            </w:tcBorders>
            <w:hideMark/>
          </w:tcPr>
          <w:p w14:paraId="2D5DE68B" w14:textId="77777777" w:rsidR="00073FDF" w:rsidRPr="009C2953" w:rsidRDefault="00073FDF" w:rsidP="00073FDF">
            <w:pPr>
              <w:pStyle w:val="Normal-pool"/>
              <w:spacing w:before="40" w:after="40"/>
              <w:rPr>
                <w:sz w:val="18"/>
                <w:szCs w:val="18"/>
              </w:rPr>
            </w:pPr>
            <w:r w:rsidRPr="009C2953">
              <w:rPr>
                <w:sz w:val="18"/>
              </w:rPr>
              <w:t xml:space="preserve"> </w:t>
            </w:r>
          </w:p>
        </w:tc>
        <w:tc>
          <w:tcPr>
            <w:tcW w:w="962" w:type="dxa"/>
            <w:tcBorders>
              <w:top w:val="single" w:sz="4" w:space="0" w:color="000000"/>
              <w:left w:val="nil"/>
              <w:bottom w:val="single" w:sz="4" w:space="0" w:color="000000"/>
              <w:right w:val="nil"/>
            </w:tcBorders>
            <w:hideMark/>
          </w:tcPr>
          <w:p w14:paraId="0662409C" w14:textId="77777777" w:rsidR="00073FDF" w:rsidRPr="009C2953" w:rsidRDefault="00073FDF" w:rsidP="00073FDF">
            <w:pPr>
              <w:pStyle w:val="Normal-pool"/>
              <w:spacing w:before="40" w:after="40"/>
              <w:rPr>
                <w:sz w:val="18"/>
                <w:szCs w:val="18"/>
              </w:rPr>
            </w:pPr>
            <w:r w:rsidRPr="009C2953">
              <w:rPr>
                <w:sz w:val="18"/>
              </w:rPr>
              <w:t xml:space="preserve"> </w:t>
            </w:r>
          </w:p>
        </w:tc>
        <w:tc>
          <w:tcPr>
            <w:tcW w:w="962" w:type="dxa"/>
            <w:tcBorders>
              <w:top w:val="single" w:sz="4" w:space="0" w:color="000000"/>
              <w:left w:val="nil"/>
              <w:bottom w:val="single" w:sz="4" w:space="0" w:color="000000"/>
              <w:right w:val="nil"/>
            </w:tcBorders>
          </w:tcPr>
          <w:p w14:paraId="0255598C" w14:textId="77777777" w:rsidR="00073FDF" w:rsidRPr="009C2953" w:rsidRDefault="00073FDF" w:rsidP="00073FDF">
            <w:pPr>
              <w:pStyle w:val="Normal-pool"/>
              <w:spacing w:before="40" w:after="40"/>
              <w:rPr>
                <w:sz w:val="18"/>
                <w:szCs w:val="18"/>
              </w:rPr>
            </w:pPr>
          </w:p>
        </w:tc>
      </w:tr>
      <w:tr w:rsidR="00073FDF" w:rsidRPr="009C2953" w14:paraId="289F4CB3" w14:textId="77777777" w:rsidTr="0072673B">
        <w:trPr>
          <w:trHeight w:val="57"/>
          <w:jc w:val="right"/>
        </w:trPr>
        <w:tc>
          <w:tcPr>
            <w:tcW w:w="1962" w:type="dxa"/>
            <w:tcBorders>
              <w:top w:val="single" w:sz="4" w:space="0" w:color="000000"/>
              <w:left w:val="nil"/>
              <w:bottom w:val="nil"/>
              <w:right w:val="nil"/>
            </w:tcBorders>
            <w:hideMark/>
          </w:tcPr>
          <w:p w14:paraId="341B74D7" w14:textId="77777777" w:rsidR="00073FDF" w:rsidRPr="009C2953" w:rsidRDefault="00073FDF" w:rsidP="00073FDF">
            <w:pPr>
              <w:pStyle w:val="Normal-pool"/>
              <w:spacing w:before="40" w:after="40"/>
              <w:rPr>
                <w:b/>
                <w:sz w:val="18"/>
                <w:szCs w:val="18"/>
              </w:rPr>
            </w:pPr>
            <w:r w:rsidRPr="009C2953">
              <w:rPr>
                <w:sz w:val="18"/>
              </w:rPr>
              <w:t>AXA SA</w:t>
            </w:r>
          </w:p>
        </w:tc>
        <w:tc>
          <w:tcPr>
            <w:tcW w:w="2717" w:type="dxa"/>
            <w:tcBorders>
              <w:top w:val="single" w:sz="4" w:space="0" w:color="000000"/>
              <w:left w:val="nil"/>
              <w:bottom w:val="nil"/>
              <w:right w:val="nil"/>
            </w:tcBorders>
            <w:hideMark/>
          </w:tcPr>
          <w:p w14:paraId="1C5E35F2" w14:textId="6ADD9BAC" w:rsidR="00073FDF" w:rsidRPr="009C2953" w:rsidRDefault="00073FDF" w:rsidP="00073FDF">
            <w:pPr>
              <w:pStyle w:val="Normal-pool"/>
              <w:spacing w:before="40" w:after="40"/>
              <w:rPr>
                <w:b/>
                <w:sz w:val="18"/>
                <w:szCs w:val="18"/>
              </w:rPr>
            </w:pPr>
            <w:r w:rsidRPr="009C2953">
              <w:rPr>
                <w:sz w:val="18"/>
              </w:rPr>
              <w:t>Appui au programme de travail – évaluation des interdépendances et du changement transformateur</w:t>
            </w:r>
          </w:p>
        </w:tc>
        <w:tc>
          <w:tcPr>
            <w:tcW w:w="1275" w:type="dxa"/>
            <w:tcBorders>
              <w:top w:val="single" w:sz="4" w:space="0" w:color="000000"/>
              <w:left w:val="nil"/>
              <w:bottom w:val="nil"/>
              <w:right w:val="nil"/>
            </w:tcBorders>
            <w:hideMark/>
          </w:tcPr>
          <w:p w14:paraId="65485695" w14:textId="6BF12176" w:rsidR="00073FDF" w:rsidRPr="00FA7442" w:rsidRDefault="00073FDF" w:rsidP="00FA7442">
            <w:pPr>
              <w:pStyle w:val="Normal-pool"/>
              <w:spacing w:before="40" w:after="40"/>
              <w:ind w:right="-57"/>
              <w:rPr>
                <w:sz w:val="18"/>
              </w:rPr>
            </w:pPr>
            <w:r w:rsidRPr="009C2953">
              <w:rPr>
                <w:sz w:val="18"/>
              </w:rPr>
              <w:t>Appui à la</w:t>
            </w:r>
            <w:r w:rsidR="00BD4464" w:rsidRPr="009C2953">
              <w:rPr>
                <w:sz w:val="18"/>
              </w:rPr>
              <w:t> </w:t>
            </w:r>
            <w:r w:rsidRPr="009C2953">
              <w:rPr>
                <w:sz w:val="18"/>
              </w:rPr>
              <w:t>réalisation des produits livrables</w:t>
            </w:r>
          </w:p>
        </w:tc>
        <w:tc>
          <w:tcPr>
            <w:tcW w:w="891" w:type="dxa"/>
            <w:tcBorders>
              <w:top w:val="single" w:sz="4" w:space="0" w:color="000000"/>
              <w:left w:val="nil"/>
              <w:bottom w:val="nil"/>
              <w:right w:val="nil"/>
            </w:tcBorders>
            <w:vAlign w:val="bottom"/>
          </w:tcPr>
          <w:p w14:paraId="232E91E2" w14:textId="77777777" w:rsidR="00073FDF" w:rsidRPr="009C2953" w:rsidRDefault="00073FDF" w:rsidP="00073FDF">
            <w:pPr>
              <w:pStyle w:val="Normal-pool"/>
              <w:spacing w:before="40" w:after="40"/>
              <w:rPr>
                <w:b/>
                <w:sz w:val="18"/>
                <w:szCs w:val="18"/>
              </w:rPr>
            </w:pPr>
          </w:p>
        </w:tc>
        <w:tc>
          <w:tcPr>
            <w:tcW w:w="932" w:type="dxa"/>
            <w:tcBorders>
              <w:top w:val="single" w:sz="4" w:space="0" w:color="000000"/>
              <w:left w:val="nil"/>
              <w:bottom w:val="nil"/>
              <w:right w:val="nil"/>
            </w:tcBorders>
            <w:vAlign w:val="bottom"/>
          </w:tcPr>
          <w:p w14:paraId="4C9F5954" w14:textId="77777777" w:rsidR="00073FDF" w:rsidRPr="009C2953" w:rsidRDefault="00073FDF" w:rsidP="00073FDF">
            <w:pPr>
              <w:pStyle w:val="Normal-pool"/>
              <w:spacing w:before="40" w:after="40"/>
              <w:rPr>
                <w:b/>
                <w:sz w:val="18"/>
                <w:szCs w:val="18"/>
              </w:rPr>
            </w:pPr>
          </w:p>
        </w:tc>
        <w:tc>
          <w:tcPr>
            <w:tcW w:w="1013" w:type="dxa"/>
            <w:tcBorders>
              <w:top w:val="single" w:sz="4" w:space="0" w:color="000000"/>
              <w:left w:val="nil"/>
              <w:bottom w:val="nil"/>
              <w:right w:val="nil"/>
            </w:tcBorders>
            <w:vAlign w:val="bottom"/>
          </w:tcPr>
          <w:p w14:paraId="1832B745" w14:textId="77777777" w:rsidR="00073FDF" w:rsidRPr="009C2953" w:rsidRDefault="00073FDF" w:rsidP="00073FDF">
            <w:pPr>
              <w:pStyle w:val="Normal-pool"/>
              <w:spacing w:before="40" w:after="40"/>
              <w:rPr>
                <w:b/>
                <w:sz w:val="18"/>
                <w:szCs w:val="18"/>
              </w:rPr>
            </w:pPr>
          </w:p>
        </w:tc>
        <w:tc>
          <w:tcPr>
            <w:tcW w:w="851" w:type="dxa"/>
            <w:tcBorders>
              <w:top w:val="single" w:sz="4" w:space="0" w:color="000000"/>
              <w:left w:val="nil"/>
              <w:bottom w:val="nil"/>
              <w:right w:val="nil"/>
            </w:tcBorders>
            <w:vAlign w:val="bottom"/>
          </w:tcPr>
          <w:p w14:paraId="6CAD9E0B" w14:textId="77777777" w:rsidR="00073FDF" w:rsidRPr="009C2953" w:rsidRDefault="00073FDF" w:rsidP="00073FDF">
            <w:pPr>
              <w:pStyle w:val="Normal-pool"/>
              <w:spacing w:before="40" w:after="40"/>
              <w:jc w:val="right"/>
              <w:rPr>
                <w:b/>
                <w:sz w:val="18"/>
                <w:szCs w:val="18"/>
              </w:rPr>
            </w:pPr>
          </w:p>
        </w:tc>
        <w:tc>
          <w:tcPr>
            <w:tcW w:w="992" w:type="dxa"/>
            <w:tcBorders>
              <w:top w:val="single" w:sz="4" w:space="0" w:color="000000"/>
              <w:left w:val="nil"/>
              <w:bottom w:val="nil"/>
              <w:right w:val="nil"/>
            </w:tcBorders>
            <w:vAlign w:val="bottom"/>
            <w:hideMark/>
          </w:tcPr>
          <w:p w14:paraId="5B94ECE1" w14:textId="77777777" w:rsidR="00073FDF" w:rsidRPr="009C2953" w:rsidRDefault="00073FDF" w:rsidP="00073FDF">
            <w:pPr>
              <w:pStyle w:val="Normal-pool"/>
              <w:spacing w:before="40" w:after="40"/>
              <w:jc w:val="right"/>
              <w:rPr>
                <w:b/>
                <w:sz w:val="18"/>
                <w:szCs w:val="18"/>
              </w:rPr>
            </w:pPr>
            <w:r w:rsidRPr="009C2953">
              <w:rPr>
                <w:sz w:val="18"/>
              </w:rPr>
              <w:t>184 009</w:t>
            </w:r>
          </w:p>
        </w:tc>
        <w:tc>
          <w:tcPr>
            <w:tcW w:w="903" w:type="dxa"/>
            <w:tcBorders>
              <w:top w:val="single" w:sz="4" w:space="0" w:color="000000"/>
              <w:left w:val="nil"/>
              <w:bottom w:val="nil"/>
              <w:right w:val="single" w:sz="4" w:space="0" w:color="000000"/>
            </w:tcBorders>
            <w:vAlign w:val="bottom"/>
            <w:hideMark/>
          </w:tcPr>
          <w:p w14:paraId="7B504854" w14:textId="77777777" w:rsidR="00073FDF" w:rsidRPr="009C2953" w:rsidRDefault="00073FDF" w:rsidP="00073FDF">
            <w:pPr>
              <w:pStyle w:val="Normal-pool"/>
              <w:spacing w:before="40" w:after="40"/>
              <w:jc w:val="right"/>
              <w:rPr>
                <w:b/>
                <w:sz w:val="18"/>
                <w:szCs w:val="18"/>
              </w:rPr>
            </w:pPr>
            <w:r w:rsidRPr="009C2953">
              <w:rPr>
                <w:sz w:val="18"/>
              </w:rPr>
              <w:t>92 004</w:t>
            </w:r>
          </w:p>
        </w:tc>
        <w:tc>
          <w:tcPr>
            <w:tcW w:w="969" w:type="dxa"/>
            <w:tcBorders>
              <w:top w:val="single" w:sz="4" w:space="0" w:color="000000"/>
              <w:left w:val="single" w:sz="4" w:space="0" w:color="000000"/>
              <w:bottom w:val="nil"/>
              <w:right w:val="nil"/>
            </w:tcBorders>
            <w:vAlign w:val="bottom"/>
          </w:tcPr>
          <w:p w14:paraId="51F3C17D" w14:textId="77777777" w:rsidR="00073FDF" w:rsidRPr="009C2953" w:rsidRDefault="00073FDF" w:rsidP="00073FDF">
            <w:pPr>
              <w:pStyle w:val="Normal-pool"/>
              <w:spacing w:before="40" w:after="40"/>
              <w:rPr>
                <w:b/>
                <w:sz w:val="18"/>
                <w:szCs w:val="18"/>
              </w:rPr>
            </w:pPr>
          </w:p>
        </w:tc>
        <w:tc>
          <w:tcPr>
            <w:tcW w:w="962" w:type="dxa"/>
            <w:tcBorders>
              <w:top w:val="single" w:sz="4" w:space="0" w:color="000000"/>
              <w:left w:val="nil"/>
              <w:bottom w:val="nil"/>
              <w:right w:val="nil"/>
            </w:tcBorders>
            <w:vAlign w:val="bottom"/>
            <w:hideMark/>
          </w:tcPr>
          <w:p w14:paraId="0F52C5BC" w14:textId="77777777" w:rsidR="00073FDF" w:rsidRPr="009C2953" w:rsidRDefault="00073FDF" w:rsidP="00073FDF">
            <w:pPr>
              <w:pStyle w:val="Normal-pool"/>
              <w:spacing w:before="40" w:after="40"/>
              <w:rPr>
                <w:b/>
                <w:sz w:val="18"/>
                <w:szCs w:val="18"/>
              </w:rPr>
            </w:pPr>
            <w:r w:rsidRPr="009C2953">
              <w:rPr>
                <w:sz w:val="18"/>
              </w:rPr>
              <w:t xml:space="preserve"> </w:t>
            </w:r>
          </w:p>
        </w:tc>
        <w:tc>
          <w:tcPr>
            <w:tcW w:w="962" w:type="dxa"/>
            <w:tcBorders>
              <w:top w:val="single" w:sz="4" w:space="0" w:color="000000"/>
              <w:left w:val="nil"/>
              <w:bottom w:val="nil"/>
              <w:right w:val="nil"/>
            </w:tcBorders>
            <w:vAlign w:val="bottom"/>
          </w:tcPr>
          <w:p w14:paraId="7578714B" w14:textId="77777777" w:rsidR="00073FDF" w:rsidRPr="009C2953" w:rsidRDefault="00073FDF" w:rsidP="00073FDF">
            <w:pPr>
              <w:pStyle w:val="Normal-pool"/>
              <w:spacing w:before="40" w:after="40"/>
              <w:rPr>
                <w:b/>
                <w:sz w:val="18"/>
                <w:szCs w:val="18"/>
              </w:rPr>
            </w:pPr>
          </w:p>
        </w:tc>
      </w:tr>
      <w:tr w:rsidR="00073FDF" w:rsidRPr="009C2953" w14:paraId="1A6BE290" w14:textId="77777777" w:rsidTr="0072673B">
        <w:trPr>
          <w:trHeight w:val="57"/>
          <w:jc w:val="right"/>
        </w:trPr>
        <w:tc>
          <w:tcPr>
            <w:tcW w:w="1962" w:type="dxa"/>
            <w:tcBorders>
              <w:top w:val="nil"/>
              <w:left w:val="nil"/>
              <w:bottom w:val="single" w:sz="4" w:space="0" w:color="000000"/>
              <w:right w:val="nil"/>
            </w:tcBorders>
            <w:hideMark/>
          </w:tcPr>
          <w:p w14:paraId="024E2BA6" w14:textId="77777777" w:rsidR="00073FDF" w:rsidRPr="009C2953" w:rsidRDefault="00073FDF" w:rsidP="00073FDF">
            <w:pPr>
              <w:pStyle w:val="Normal-pool"/>
              <w:spacing w:before="40" w:after="40"/>
              <w:rPr>
                <w:b/>
                <w:sz w:val="18"/>
                <w:szCs w:val="18"/>
              </w:rPr>
            </w:pPr>
            <w:r w:rsidRPr="009C2953">
              <w:rPr>
                <w:sz w:val="18"/>
              </w:rPr>
              <w:t>Fondation Bill et Melinda Gates</w:t>
            </w:r>
          </w:p>
        </w:tc>
        <w:tc>
          <w:tcPr>
            <w:tcW w:w="2717" w:type="dxa"/>
            <w:tcBorders>
              <w:top w:val="nil"/>
              <w:left w:val="nil"/>
              <w:bottom w:val="single" w:sz="4" w:space="0" w:color="000000"/>
              <w:right w:val="nil"/>
            </w:tcBorders>
            <w:hideMark/>
          </w:tcPr>
          <w:p w14:paraId="0BED30C3" w14:textId="5D9A9A00" w:rsidR="00073FDF" w:rsidRPr="009C2953" w:rsidRDefault="00073FDF" w:rsidP="00073FDF">
            <w:pPr>
              <w:pStyle w:val="Normal-pool"/>
              <w:spacing w:before="40" w:after="40"/>
              <w:rPr>
                <w:b/>
                <w:sz w:val="18"/>
                <w:szCs w:val="18"/>
              </w:rPr>
            </w:pPr>
            <w:r w:rsidRPr="009C2953">
              <w:rPr>
                <w:sz w:val="18"/>
              </w:rPr>
              <w:t>Appui au programme de travail – évaluation des interdépendances</w:t>
            </w:r>
          </w:p>
        </w:tc>
        <w:tc>
          <w:tcPr>
            <w:tcW w:w="1275" w:type="dxa"/>
            <w:tcBorders>
              <w:top w:val="nil"/>
              <w:left w:val="nil"/>
              <w:bottom w:val="single" w:sz="4" w:space="0" w:color="000000"/>
              <w:right w:val="nil"/>
            </w:tcBorders>
            <w:hideMark/>
          </w:tcPr>
          <w:p w14:paraId="257457D3" w14:textId="4C1A8F88" w:rsidR="00073FDF" w:rsidRPr="00FA7442" w:rsidRDefault="00073FDF" w:rsidP="00FA7442">
            <w:pPr>
              <w:pStyle w:val="Normal-pool"/>
              <w:spacing w:before="40" w:after="40"/>
              <w:ind w:right="-57"/>
              <w:rPr>
                <w:sz w:val="18"/>
              </w:rPr>
            </w:pPr>
            <w:r w:rsidRPr="009C2953">
              <w:rPr>
                <w:sz w:val="18"/>
              </w:rPr>
              <w:t>Dépenses de</w:t>
            </w:r>
            <w:r w:rsidR="00BD4464" w:rsidRPr="009C2953">
              <w:rPr>
                <w:sz w:val="18"/>
              </w:rPr>
              <w:t> </w:t>
            </w:r>
            <w:r w:rsidRPr="009C2953">
              <w:rPr>
                <w:sz w:val="18"/>
              </w:rPr>
              <w:t>personnel</w:t>
            </w:r>
          </w:p>
        </w:tc>
        <w:tc>
          <w:tcPr>
            <w:tcW w:w="891" w:type="dxa"/>
            <w:tcBorders>
              <w:top w:val="nil"/>
              <w:left w:val="nil"/>
              <w:bottom w:val="single" w:sz="4" w:space="0" w:color="000000"/>
              <w:right w:val="nil"/>
            </w:tcBorders>
            <w:vAlign w:val="bottom"/>
          </w:tcPr>
          <w:p w14:paraId="7B59FFD9" w14:textId="77777777" w:rsidR="00073FDF" w:rsidRPr="009C2953" w:rsidRDefault="00073FDF" w:rsidP="00073FDF">
            <w:pPr>
              <w:pStyle w:val="Normal-pool"/>
              <w:spacing w:before="40" w:after="40"/>
              <w:rPr>
                <w:b/>
                <w:sz w:val="18"/>
                <w:szCs w:val="18"/>
              </w:rPr>
            </w:pPr>
          </w:p>
        </w:tc>
        <w:tc>
          <w:tcPr>
            <w:tcW w:w="932" w:type="dxa"/>
            <w:tcBorders>
              <w:top w:val="nil"/>
              <w:left w:val="nil"/>
              <w:bottom w:val="single" w:sz="4" w:space="0" w:color="000000"/>
              <w:right w:val="nil"/>
            </w:tcBorders>
            <w:vAlign w:val="bottom"/>
          </w:tcPr>
          <w:p w14:paraId="46B9205B" w14:textId="77777777" w:rsidR="00073FDF" w:rsidRPr="009C2953" w:rsidRDefault="00073FDF" w:rsidP="00073FDF">
            <w:pPr>
              <w:pStyle w:val="Normal-pool"/>
              <w:spacing w:before="40" w:after="40"/>
              <w:rPr>
                <w:b/>
                <w:sz w:val="18"/>
                <w:szCs w:val="18"/>
              </w:rPr>
            </w:pPr>
          </w:p>
        </w:tc>
        <w:tc>
          <w:tcPr>
            <w:tcW w:w="1013" w:type="dxa"/>
            <w:tcBorders>
              <w:top w:val="nil"/>
              <w:left w:val="nil"/>
              <w:bottom w:val="single" w:sz="4" w:space="0" w:color="000000"/>
              <w:right w:val="nil"/>
            </w:tcBorders>
            <w:vAlign w:val="bottom"/>
          </w:tcPr>
          <w:p w14:paraId="471B104F" w14:textId="77777777" w:rsidR="00073FDF" w:rsidRPr="009C2953" w:rsidRDefault="00073FDF" w:rsidP="00073FDF">
            <w:pPr>
              <w:pStyle w:val="Normal-pool"/>
              <w:spacing w:before="40" w:after="40"/>
              <w:rPr>
                <w:b/>
                <w:sz w:val="18"/>
                <w:szCs w:val="18"/>
              </w:rPr>
            </w:pPr>
          </w:p>
        </w:tc>
        <w:tc>
          <w:tcPr>
            <w:tcW w:w="851" w:type="dxa"/>
            <w:tcBorders>
              <w:top w:val="nil"/>
              <w:left w:val="nil"/>
              <w:bottom w:val="single" w:sz="4" w:space="0" w:color="000000"/>
              <w:right w:val="nil"/>
            </w:tcBorders>
            <w:vAlign w:val="bottom"/>
          </w:tcPr>
          <w:p w14:paraId="744D8AF3" w14:textId="77777777" w:rsidR="00073FDF" w:rsidRPr="009C2953" w:rsidRDefault="00073FDF" w:rsidP="00073FDF">
            <w:pPr>
              <w:pStyle w:val="Normal-pool"/>
              <w:spacing w:before="40" w:after="40"/>
              <w:jc w:val="right"/>
              <w:rPr>
                <w:b/>
                <w:sz w:val="18"/>
                <w:szCs w:val="18"/>
              </w:rPr>
            </w:pPr>
          </w:p>
        </w:tc>
        <w:tc>
          <w:tcPr>
            <w:tcW w:w="992" w:type="dxa"/>
            <w:tcBorders>
              <w:top w:val="nil"/>
              <w:left w:val="nil"/>
              <w:bottom w:val="single" w:sz="4" w:space="0" w:color="000000"/>
              <w:right w:val="nil"/>
            </w:tcBorders>
            <w:vAlign w:val="bottom"/>
            <w:hideMark/>
          </w:tcPr>
          <w:p w14:paraId="5DD88DD4" w14:textId="77777777" w:rsidR="00073FDF" w:rsidRPr="009C2953" w:rsidRDefault="00073FDF" w:rsidP="00073FDF">
            <w:pPr>
              <w:pStyle w:val="Normal-pool"/>
              <w:spacing w:before="40" w:after="40"/>
              <w:jc w:val="right"/>
              <w:rPr>
                <w:b/>
                <w:sz w:val="18"/>
                <w:szCs w:val="18"/>
              </w:rPr>
            </w:pPr>
            <w:r w:rsidRPr="009C2953">
              <w:rPr>
                <w:sz w:val="18"/>
              </w:rPr>
              <w:t>286 740</w:t>
            </w:r>
          </w:p>
        </w:tc>
        <w:tc>
          <w:tcPr>
            <w:tcW w:w="903" w:type="dxa"/>
            <w:tcBorders>
              <w:top w:val="nil"/>
              <w:left w:val="nil"/>
              <w:bottom w:val="single" w:sz="4" w:space="0" w:color="000000"/>
              <w:right w:val="single" w:sz="4" w:space="0" w:color="000000"/>
            </w:tcBorders>
            <w:vAlign w:val="bottom"/>
          </w:tcPr>
          <w:p w14:paraId="57C5DA1A" w14:textId="77777777" w:rsidR="00073FDF" w:rsidRPr="009C2953" w:rsidRDefault="00073FDF" w:rsidP="00073FDF">
            <w:pPr>
              <w:pStyle w:val="Normal-pool"/>
              <w:spacing w:before="40" w:after="40"/>
              <w:jc w:val="right"/>
              <w:rPr>
                <w:b/>
                <w:sz w:val="18"/>
                <w:szCs w:val="18"/>
              </w:rPr>
            </w:pPr>
          </w:p>
        </w:tc>
        <w:tc>
          <w:tcPr>
            <w:tcW w:w="969" w:type="dxa"/>
            <w:tcBorders>
              <w:top w:val="nil"/>
              <w:left w:val="single" w:sz="4" w:space="0" w:color="000000"/>
              <w:bottom w:val="single" w:sz="4" w:space="0" w:color="000000"/>
              <w:right w:val="nil"/>
            </w:tcBorders>
            <w:vAlign w:val="bottom"/>
            <w:hideMark/>
          </w:tcPr>
          <w:p w14:paraId="5C4CFA59" w14:textId="77777777" w:rsidR="00073FDF" w:rsidRPr="009C2953" w:rsidRDefault="00073FDF" w:rsidP="00073FDF">
            <w:pPr>
              <w:pStyle w:val="Normal-pool"/>
              <w:spacing w:before="40" w:after="40"/>
              <w:rPr>
                <w:b/>
                <w:sz w:val="18"/>
                <w:szCs w:val="18"/>
              </w:rPr>
            </w:pPr>
            <w:r w:rsidRPr="009C2953">
              <w:rPr>
                <w:sz w:val="18"/>
              </w:rPr>
              <w:t xml:space="preserve"> </w:t>
            </w:r>
          </w:p>
        </w:tc>
        <w:tc>
          <w:tcPr>
            <w:tcW w:w="962" w:type="dxa"/>
            <w:tcBorders>
              <w:top w:val="nil"/>
              <w:left w:val="nil"/>
              <w:bottom w:val="single" w:sz="4" w:space="0" w:color="000000"/>
              <w:right w:val="nil"/>
            </w:tcBorders>
            <w:vAlign w:val="bottom"/>
            <w:hideMark/>
          </w:tcPr>
          <w:p w14:paraId="102D1F8C" w14:textId="77777777" w:rsidR="00073FDF" w:rsidRPr="009C2953" w:rsidRDefault="00073FDF" w:rsidP="00073FDF">
            <w:pPr>
              <w:pStyle w:val="Normal-pool"/>
              <w:spacing w:before="40" w:after="40"/>
              <w:rPr>
                <w:b/>
                <w:sz w:val="18"/>
                <w:szCs w:val="18"/>
              </w:rPr>
            </w:pPr>
            <w:r w:rsidRPr="009C2953">
              <w:rPr>
                <w:sz w:val="18"/>
              </w:rPr>
              <w:t xml:space="preserve"> </w:t>
            </w:r>
          </w:p>
        </w:tc>
        <w:tc>
          <w:tcPr>
            <w:tcW w:w="962" w:type="dxa"/>
            <w:tcBorders>
              <w:top w:val="nil"/>
              <w:left w:val="nil"/>
              <w:bottom w:val="single" w:sz="4" w:space="0" w:color="000000"/>
              <w:right w:val="nil"/>
            </w:tcBorders>
            <w:vAlign w:val="bottom"/>
          </w:tcPr>
          <w:p w14:paraId="2E1FF0F6" w14:textId="77777777" w:rsidR="00073FDF" w:rsidRPr="009C2953" w:rsidRDefault="00073FDF" w:rsidP="00073FDF">
            <w:pPr>
              <w:pStyle w:val="Normal-pool"/>
              <w:spacing w:before="40" w:after="40"/>
              <w:rPr>
                <w:b/>
                <w:sz w:val="18"/>
                <w:szCs w:val="18"/>
              </w:rPr>
            </w:pPr>
          </w:p>
        </w:tc>
      </w:tr>
      <w:tr w:rsidR="00073FDF" w:rsidRPr="009C2953" w14:paraId="7E67016D" w14:textId="77777777" w:rsidTr="0072673B">
        <w:trPr>
          <w:trHeight w:val="57"/>
          <w:jc w:val="right"/>
        </w:trPr>
        <w:tc>
          <w:tcPr>
            <w:tcW w:w="1962" w:type="dxa"/>
            <w:tcBorders>
              <w:top w:val="single" w:sz="4" w:space="0" w:color="000000"/>
              <w:left w:val="nil"/>
              <w:bottom w:val="single" w:sz="4" w:space="0" w:color="000000"/>
              <w:right w:val="nil"/>
            </w:tcBorders>
            <w:hideMark/>
          </w:tcPr>
          <w:p w14:paraId="37DF75F2" w14:textId="77777777" w:rsidR="00073FDF" w:rsidRPr="009C2953" w:rsidRDefault="00073FDF" w:rsidP="00073FDF">
            <w:pPr>
              <w:pStyle w:val="Normal-pool"/>
              <w:spacing w:before="40" w:after="40"/>
              <w:rPr>
                <w:b/>
                <w:bCs/>
                <w:sz w:val="18"/>
                <w:szCs w:val="18"/>
              </w:rPr>
            </w:pPr>
            <w:r w:rsidRPr="009C2953">
              <w:rPr>
                <w:b/>
                <w:sz w:val="18"/>
              </w:rPr>
              <w:t>Total partiel 1.2</w:t>
            </w:r>
          </w:p>
        </w:tc>
        <w:tc>
          <w:tcPr>
            <w:tcW w:w="2717" w:type="dxa"/>
            <w:tcBorders>
              <w:top w:val="single" w:sz="4" w:space="0" w:color="000000"/>
              <w:left w:val="nil"/>
              <w:bottom w:val="single" w:sz="4" w:space="0" w:color="000000"/>
              <w:right w:val="nil"/>
            </w:tcBorders>
          </w:tcPr>
          <w:p w14:paraId="12BC9145" w14:textId="77777777" w:rsidR="00073FDF" w:rsidRPr="009C2953" w:rsidRDefault="00073FDF" w:rsidP="00073FDF">
            <w:pPr>
              <w:pStyle w:val="Normal-pool"/>
              <w:spacing w:before="40" w:after="40"/>
              <w:rPr>
                <w:b/>
                <w:bCs/>
                <w:sz w:val="18"/>
                <w:szCs w:val="18"/>
              </w:rPr>
            </w:pPr>
          </w:p>
        </w:tc>
        <w:tc>
          <w:tcPr>
            <w:tcW w:w="1275" w:type="dxa"/>
            <w:tcBorders>
              <w:top w:val="single" w:sz="4" w:space="0" w:color="000000"/>
              <w:left w:val="nil"/>
              <w:bottom w:val="single" w:sz="4" w:space="0" w:color="000000"/>
              <w:right w:val="nil"/>
            </w:tcBorders>
          </w:tcPr>
          <w:p w14:paraId="671DBB10" w14:textId="77777777" w:rsidR="00073FDF" w:rsidRPr="009C2953" w:rsidRDefault="00073FDF" w:rsidP="00073FDF">
            <w:pPr>
              <w:pStyle w:val="Normal-pool"/>
              <w:spacing w:before="40" w:after="40"/>
              <w:rPr>
                <w:b/>
                <w:bCs/>
                <w:sz w:val="18"/>
                <w:szCs w:val="18"/>
              </w:rPr>
            </w:pPr>
          </w:p>
        </w:tc>
        <w:tc>
          <w:tcPr>
            <w:tcW w:w="891" w:type="dxa"/>
            <w:tcBorders>
              <w:top w:val="single" w:sz="4" w:space="0" w:color="000000"/>
              <w:left w:val="nil"/>
              <w:bottom w:val="single" w:sz="4" w:space="0" w:color="000000"/>
              <w:right w:val="nil"/>
            </w:tcBorders>
            <w:vAlign w:val="bottom"/>
          </w:tcPr>
          <w:p w14:paraId="7A9E3B16" w14:textId="77777777" w:rsidR="00073FDF" w:rsidRPr="009C2953" w:rsidRDefault="00073FDF" w:rsidP="00073FDF">
            <w:pPr>
              <w:pStyle w:val="Normal-pool"/>
              <w:spacing w:before="40" w:after="40"/>
              <w:rPr>
                <w:b/>
                <w:bCs/>
                <w:sz w:val="18"/>
                <w:szCs w:val="18"/>
              </w:rPr>
            </w:pPr>
          </w:p>
        </w:tc>
        <w:tc>
          <w:tcPr>
            <w:tcW w:w="932" w:type="dxa"/>
            <w:tcBorders>
              <w:top w:val="single" w:sz="4" w:space="0" w:color="000000"/>
              <w:left w:val="nil"/>
              <w:bottom w:val="single" w:sz="4" w:space="0" w:color="000000"/>
              <w:right w:val="nil"/>
            </w:tcBorders>
            <w:vAlign w:val="bottom"/>
          </w:tcPr>
          <w:p w14:paraId="234DB8E0" w14:textId="77777777" w:rsidR="00073FDF" w:rsidRPr="009C2953" w:rsidRDefault="00073FDF" w:rsidP="00073FDF">
            <w:pPr>
              <w:pStyle w:val="Normal-pool"/>
              <w:spacing w:before="40" w:after="40"/>
              <w:rPr>
                <w:b/>
                <w:bCs/>
                <w:sz w:val="18"/>
                <w:szCs w:val="18"/>
              </w:rPr>
            </w:pPr>
          </w:p>
        </w:tc>
        <w:tc>
          <w:tcPr>
            <w:tcW w:w="1013" w:type="dxa"/>
            <w:tcBorders>
              <w:top w:val="single" w:sz="4" w:space="0" w:color="000000"/>
              <w:left w:val="nil"/>
              <w:bottom w:val="single" w:sz="4" w:space="0" w:color="000000"/>
              <w:right w:val="nil"/>
            </w:tcBorders>
            <w:vAlign w:val="bottom"/>
          </w:tcPr>
          <w:p w14:paraId="77BA22D8" w14:textId="77777777" w:rsidR="00073FDF" w:rsidRPr="009C2953" w:rsidRDefault="00073FDF" w:rsidP="00073FDF">
            <w:pPr>
              <w:pStyle w:val="Normal-pool"/>
              <w:spacing w:before="40" w:after="40"/>
              <w:rPr>
                <w:b/>
                <w:bCs/>
                <w:sz w:val="18"/>
                <w:szCs w:val="18"/>
              </w:rPr>
            </w:pPr>
          </w:p>
        </w:tc>
        <w:tc>
          <w:tcPr>
            <w:tcW w:w="851" w:type="dxa"/>
            <w:tcBorders>
              <w:top w:val="single" w:sz="4" w:space="0" w:color="000000"/>
              <w:left w:val="nil"/>
              <w:bottom w:val="single" w:sz="4" w:space="0" w:color="000000"/>
              <w:right w:val="nil"/>
            </w:tcBorders>
            <w:vAlign w:val="bottom"/>
          </w:tcPr>
          <w:p w14:paraId="3AD79E86" w14:textId="77777777" w:rsidR="00073FDF" w:rsidRPr="009C2953" w:rsidRDefault="00073FDF" w:rsidP="00073FDF">
            <w:pPr>
              <w:pStyle w:val="Normal-pool"/>
              <w:spacing w:before="40" w:after="40"/>
              <w:jc w:val="right"/>
              <w:rPr>
                <w:b/>
                <w:bCs/>
                <w:sz w:val="18"/>
                <w:szCs w:val="18"/>
              </w:rPr>
            </w:pPr>
          </w:p>
        </w:tc>
        <w:tc>
          <w:tcPr>
            <w:tcW w:w="992" w:type="dxa"/>
            <w:tcBorders>
              <w:top w:val="single" w:sz="4" w:space="0" w:color="000000"/>
              <w:left w:val="nil"/>
              <w:bottom w:val="single" w:sz="4" w:space="0" w:color="000000"/>
              <w:right w:val="nil"/>
            </w:tcBorders>
            <w:vAlign w:val="bottom"/>
            <w:hideMark/>
          </w:tcPr>
          <w:p w14:paraId="7CE93D70" w14:textId="77777777" w:rsidR="00073FDF" w:rsidRPr="009C2953" w:rsidRDefault="00073FDF" w:rsidP="00073FDF">
            <w:pPr>
              <w:pStyle w:val="Normal-pool"/>
              <w:spacing w:before="40" w:after="40"/>
              <w:jc w:val="right"/>
              <w:rPr>
                <w:b/>
                <w:bCs/>
                <w:sz w:val="18"/>
                <w:szCs w:val="18"/>
              </w:rPr>
            </w:pPr>
            <w:r w:rsidRPr="009C2953">
              <w:rPr>
                <w:b/>
                <w:sz w:val="18"/>
              </w:rPr>
              <w:t>470 749</w:t>
            </w:r>
          </w:p>
        </w:tc>
        <w:tc>
          <w:tcPr>
            <w:tcW w:w="903" w:type="dxa"/>
            <w:tcBorders>
              <w:top w:val="single" w:sz="4" w:space="0" w:color="000000"/>
              <w:left w:val="nil"/>
              <w:bottom w:val="single" w:sz="4" w:space="0" w:color="000000"/>
              <w:right w:val="single" w:sz="4" w:space="0" w:color="000000"/>
            </w:tcBorders>
            <w:vAlign w:val="bottom"/>
            <w:hideMark/>
          </w:tcPr>
          <w:p w14:paraId="1AE6EBD3" w14:textId="77777777" w:rsidR="00073FDF" w:rsidRPr="009C2953" w:rsidRDefault="00073FDF" w:rsidP="00073FDF">
            <w:pPr>
              <w:pStyle w:val="Normal-pool"/>
              <w:spacing w:before="40" w:after="40"/>
              <w:jc w:val="right"/>
              <w:rPr>
                <w:b/>
                <w:bCs/>
                <w:sz w:val="18"/>
                <w:szCs w:val="18"/>
              </w:rPr>
            </w:pPr>
            <w:r w:rsidRPr="009C2953">
              <w:rPr>
                <w:b/>
                <w:sz w:val="18"/>
              </w:rPr>
              <w:t>92 004</w:t>
            </w:r>
          </w:p>
        </w:tc>
        <w:tc>
          <w:tcPr>
            <w:tcW w:w="969" w:type="dxa"/>
            <w:tcBorders>
              <w:top w:val="single" w:sz="4" w:space="0" w:color="000000"/>
              <w:left w:val="single" w:sz="4" w:space="0" w:color="000000"/>
              <w:bottom w:val="single" w:sz="4" w:space="0" w:color="000000"/>
              <w:right w:val="nil"/>
            </w:tcBorders>
            <w:vAlign w:val="bottom"/>
          </w:tcPr>
          <w:p w14:paraId="27F1B421" w14:textId="77777777" w:rsidR="00073FDF" w:rsidRPr="009C2953" w:rsidRDefault="00073FDF" w:rsidP="00073FDF">
            <w:pPr>
              <w:pStyle w:val="Normal-pool"/>
              <w:spacing w:before="40" w:after="40"/>
              <w:rPr>
                <w:b/>
                <w:bCs/>
                <w:sz w:val="18"/>
                <w:szCs w:val="18"/>
              </w:rPr>
            </w:pPr>
          </w:p>
        </w:tc>
        <w:tc>
          <w:tcPr>
            <w:tcW w:w="962" w:type="dxa"/>
            <w:tcBorders>
              <w:top w:val="single" w:sz="4" w:space="0" w:color="000000"/>
              <w:left w:val="nil"/>
              <w:bottom w:val="single" w:sz="4" w:space="0" w:color="000000"/>
              <w:right w:val="nil"/>
            </w:tcBorders>
            <w:vAlign w:val="bottom"/>
          </w:tcPr>
          <w:p w14:paraId="7E980B7C" w14:textId="77777777" w:rsidR="00073FDF" w:rsidRPr="009C2953" w:rsidRDefault="00073FDF" w:rsidP="00073FDF">
            <w:pPr>
              <w:pStyle w:val="Normal-pool"/>
              <w:spacing w:before="40" w:after="40"/>
              <w:rPr>
                <w:b/>
                <w:bCs/>
                <w:sz w:val="18"/>
                <w:szCs w:val="18"/>
              </w:rPr>
            </w:pPr>
          </w:p>
        </w:tc>
        <w:tc>
          <w:tcPr>
            <w:tcW w:w="962" w:type="dxa"/>
            <w:tcBorders>
              <w:top w:val="single" w:sz="4" w:space="0" w:color="000000"/>
              <w:left w:val="nil"/>
              <w:bottom w:val="single" w:sz="4" w:space="0" w:color="000000"/>
              <w:right w:val="nil"/>
            </w:tcBorders>
            <w:vAlign w:val="bottom"/>
          </w:tcPr>
          <w:p w14:paraId="29FD886A" w14:textId="77777777" w:rsidR="00073FDF" w:rsidRPr="009C2953" w:rsidRDefault="00073FDF" w:rsidP="00073FDF">
            <w:pPr>
              <w:pStyle w:val="Normal-pool"/>
              <w:spacing w:before="40" w:after="40"/>
              <w:rPr>
                <w:b/>
                <w:bCs/>
                <w:sz w:val="18"/>
                <w:szCs w:val="18"/>
              </w:rPr>
            </w:pPr>
          </w:p>
        </w:tc>
      </w:tr>
      <w:tr w:rsidR="00073FDF" w:rsidRPr="009C2953" w14:paraId="5365A7D2" w14:textId="77777777" w:rsidTr="0072673B">
        <w:trPr>
          <w:trHeight w:val="57"/>
          <w:jc w:val="right"/>
        </w:trPr>
        <w:tc>
          <w:tcPr>
            <w:tcW w:w="1962" w:type="dxa"/>
            <w:tcBorders>
              <w:top w:val="single" w:sz="4" w:space="0" w:color="000000"/>
              <w:left w:val="nil"/>
              <w:bottom w:val="single" w:sz="4" w:space="0" w:color="000000"/>
              <w:right w:val="nil"/>
            </w:tcBorders>
            <w:hideMark/>
          </w:tcPr>
          <w:p w14:paraId="50AEB845" w14:textId="77777777" w:rsidR="00073FDF" w:rsidRPr="00FA7442" w:rsidRDefault="00073FDF" w:rsidP="00073FDF">
            <w:pPr>
              <w:pStyle w:val="Normal-pool"/>
              <w:spacing w:before="40" w:after="40"/>
              <w:rPr>
                <w:b/>
                <w:bCs/>
                <w:sz w:val="18"/>
                <w:szCs w:val="18"/>
              </w:rPr>
            </w:pPr>
            <w:r w:rsidRPr="00FA7442">
              <w:rPr>
                <w:b/>
                <w:bCs/>
                <w:sz w:val="18"/>
              </w:rPr>
              <w:t>Total 1</w:t>
            </w:r>
          </w:p>
        </w:tc>
        <w:tc>
          <w:tcPr>
            <w:tcW w:w="2717" w:type="dxa"/>
            <w:tcBorders>
              <w:top w:val="single" w:sz="4" w:space="0" w:color="000000"/>
              <w:left w:val="nil"/>
              <w:bottom w:val="single" w:sz="4" w:space="0" w:color="000000"/>
              <w:right w:val="nil"/>
            </w:tcBorders>
          </w:tcPr>
          <w:p w14:paraId="59E00AB4" w14:textId="77777777" w:rsidR="00073FDF" w:rsidRPr="00FA7442" w:rsidRDefault="00073FDF" w:rsidP="00073FDF">
            <w:pPr>
              <w:pStyle w:val="Normal-pool"/>
              <w:spacing w:before="40" w:after="40"/>
              <w:rPr>
                <w:b/>
                <w:bCs/>
                <w:sz w:val="18"/>
                <w:szCs w:val="18"/>
              </w:rPr>
            </w:pPr>
          </w:p>
        </w:tc>
        <w:tc>
          <w:tcPr>
            <w:tcW w:w="1275" w:type="dxa"/>
            <w:tcBorders>
              <w:top w:val="single" w:sz="4" w:space="0" w:color="000000"/>
              <w:left w:val="nil"/>
              <w:bottom w:val="single" w:sz="4" w:space="0" w:color="000000"/>
              <w:right w:val="nil"/>
            </w:tcBorders>
          </w:tcPr>
          <w:p w14:paraId="03077ADA" w14:textId="77777777" w:rsidR="00073FDF" w:rsidRPr="00FA7442" w:rsidRDefault="00073FDF" w:rsidP="00073FDF">
            <w:pPr>
              <w:pStyle w:val="Normal-pool"/>
              <w:spacing w:before="40" w:after="40"/>
              <w:rPr>
                <w:b/>
                <w:bCs/>
                <w:sz w:val="18"/>
                <w:szCs w:val="18"/>
              </w:rPr>
            </w:pPr>
          </w:p>
        </w:tc>
        <w:tc>
          <w:tcPr>
            <w:tcW w:w="891" w:type="dxa"/>
            <w:tcBorders>
              <w:top w:val="single" w:sz="4" w:space="0" w:color="000000"/>
              <w:left w:val="nil"/>
              <w:bottom w:val="single" w:sz="4" w:space="0" w:color="000000"/>
              <w:right w:val="nil"/>
            </w:tcBorders>
            <w:vAlign w:val="bottom"/>
            <w:hideMark/>
          </w:tcPr>
          <w:p w14:paraId="5100C068" w14:textId="77777777" w:rsidR="00073FDF" w:rsidRPr="00FA7442" w:rsidRDefault="00073FDF" w:rsidP="00073FDF">
            <w:pPr>
              <w:pStyle w:val="Normal-pool"/>
              <w:spacing w:before="40" w:after="40"/>
              <w:jc w:val="right"/>
              <w:rPr>
                <w:b/>
                <w:bCs/>
                <w:sz w:val="18"/>
                <w:szCs w:val="18"/>
              </w:rPr>
            </w:pPr>
            <w:r w:rsidRPr="00FA7442">
              <w:rPr>
                <w:b/>
                <w:bCs/>
                <w:sz w:val="18"/>
              </w:rPr>
              <w:t>762 831</w:t>
            </w:r>
          </w:p>
        </w:tc>
        <w:tc>
          <w:tcPr>
            <w:tcW w:w="932" w:type="dxa"/>
            <w:tcBorders>
              <w:top w:val="single" w:sz="4" w:space="0" w:color="000000"/>
              <w:left w:val="nil"/>
              <w:bottom w:val="single" w:sz="4" w:space="0" w:color="000000"/>
              <w:right w:val="nil"/>
            </w:tcBorders>
            <w:vAlign w:val="bottom"/>
            <w:hideMark/>
          </w:tcPr>
          <w:p w14:paraId="24E22D01" w14:textId="77777777" w:rsidR="00073FDF" w:rsidRPr="00FA7442" w:rsidRDefault="00073FDF" w:rsidP="00073FDF">
            <w:pPr>
              <w:pStyle w:val="Normal-pool"/>
              <w:spacing w:before="40" w:after="40"/>
              <w:jc w:val="right"/>
              <w:rPr>
                <w:b/>
                <w:bCs/>
                <w:sz w:val="18"/>
                <w:szCs w:val="18"/>
              </w:rPr>
            </w:pPr>
            <w:r w:rsidRPr="00FA7442">
              <w:rPr>
                <w:b/>
                <w:bCs/>
                <w:sz w:val="18"/>
              </w:rPr>
              <w:t>418 336</w:t>
            </w:r>
          </w:p>
        </w:tc>
        <w:tc>
          <w:tcPr>
            <w:tcW w:w="1013" w:type="dxa"/>
            <w:tcBorders>
              <w:top w:val="single" w:sz="4" w:space="0" w:color="000000"/>
              <w:left w:val="nil"/>
              <w:bottom w:val="single" w:sz="4" w:space="0" w:color="000000"/>
              <w:right w:val="nil"/>
            </w:tcBorders>
            <w:vAlign w:val="bottom"/>
            <w:hideMark/>
          </w:tcPr>
          <w:p w14:paraId="13E533F7" w14:textId="77777777" w:rsidR="00073FDF" w:rsidRPr="00FA7442" w:rsidRDefault="00073FDF" w:rsidP="00073FDF">
            <w:pPr>
              <w:pStyle w:val="Normal-pool"/>
              <w:spacing w:before="40" w:after="40"/>
              <w:jc w:val="right"/>
              <w:rPr>
                <w:b/>
                <w:bCs/>
                <w:sz w:val="18"/>
                <w:szCs w:val="18"/>
              </w:rPr>
            </w:pPr>
            <w:r w:rsidRPr="00FA7442">
              <w:rPr>
                <w:b/>
                <w:bCs/>
                <w:sz w:val="18"/>
              </w:rPr>
              <w:t>265 179</w:t>
            </w:r>
          </w:p>
        </w:tc>
        <w:tc>
          <w:tcPr>
            <w:tcW w:w="851" w:type="dxa"/>
            <w:tcBorders>
              <w:top w:val="single" w:sz="4" w:space="0" w:color="000000"/>
              <w:left w:val="nil"/>
              <w:bottom w:val="single" w:sz="4" w:space="0" w:color="000000"/>
              <w:right w:val="nil"/>
            </w:tcBorders>
            <w:vAlign w:val="bottom"/>
            <w:hideMark/>
          </w:tcPr>
          <w:p w14:paraId="5B0751D6" w14:textId="77777777" w:rsidR="00073FDF" w:rsidRPr="00FA7442" w:rsidRDefault="00073FDF" w:rsidP="00073FDF">
            <w:pPr>
              <w:pStyle w:val="Normal-pool"/>
              <w:spacing w:before="40" w:after="40"/>
              <w:jc w:val="right"/>
              <w:rPr>
                <w:b/>
                <w:bCs/>
                <w:sz w:val="18"/>
                <w:szCs w:val="18"/>
              </w:rPr>
            </w:pPr>
            <w:r w:rsidRPr="00FA7442">
              <w:rPr>
                <w:b/>
                <w:bCs/>
                <w:sz w:val="18"/>
              </w:rPr>
              <w:t>158 082</w:t>
            </w:r>
          </w:p>
        </w:tc>
        <w:tc>
          <w:tcPr>
            <w:tcW w:w="992" w:type="dxa"/>
            <w:tcBorders>
              <w:top w:val="single" w:sz="4" w:space="0" w:color="000000"/>
              <w:left w:val="nil"/>
              <w:bottom w:val="single" w:sz="4" w:space="0" w:color="000000"/>
              <w:right w:val="nil"/>
            </w:tcBorders>
            <w:vAlign w:val="bottom"/>
            <w:hideMark/>
          </w:tcPr>
          <w:p w14:paraId="42DB670B" w14:textId="77777777" w:rsidR="00073FDF" w:rsidRPr="00FA7442" w:rsidRDefault="00073FDF" w:rsidP="00073FDF">
            <w:pPr>
              <w:pStyle w:val="Normal-pool"/>
              <w:spacing w:before="40" w:after="40"/>
              <w:jc w:val="right"/>
              <w:rPr>
                <w:b/>
                <w:bCs/>
                <w:sz w:val="18"/>
                <w:szCs w:val="18"/>
              </w:rPr>
            </w:pPr>
            <w:r w:rsidRPr="00FA7442">
              <w:rPr>
                <w:b/>
                <w:bCs/>
                <w:sz w:val="18"/>
              </w:rPr>
              <w:t>853 865</w:t>
            </w:r>
          </w:p>
        </w:tc>
        <w:tc>
          <w:tcPr>
            <w:tcW w:w="903" w:type="dxa"/>
            <w:tcBorders>
              <w:top w:val="single" w:sz="4" w:space="0" w:color="000000"/>
              <w:left w:val="nil"/>
              <w:bottom w:val="single" w:sz="4" w:space="0" w:color="000000"/>
              <w:right w:val="single" w:sz="4" w:space="0" w:color="000000"/>
            </w:tcBorders>
            <w:vAlign w:val="bottom"/>
            <w:hideMark/>
          </w:tcPr>
          <w:p w14:paraId="760CE4D6" w14:textId="77777777" w:rsidR="00073FDF" w:rsidRPr="00FA7442" w:rsidRDefault="00073FDF" w:rsidP="00073FDF">
            <w:pPr>
              <w:pStyle w:val="Normal-pool"/>
              <w:spacing w:before="40" w:after="40"/>
              <w:jc w:val="right"/>
              <w:rPr>
                <w:b/>
                <w:bCs/>
                <w:sz w:val="18"/>
                <w:szCs w:val="18"/>
              </w:rPr>
            </w:pPr>
            <w:r w:rsidRPr="00FA7442">
              <w:rPr>
                <w:b/>
                <w:bCs/>
                <w:sz w:val="18"/>
              </w:rPr>
              <w:t>121 581</w:t>
            </w:r>
          </w:p>
        </w:tc>
        <w:tc>
          <w:tcPr>
            <w:tcW w:w="969" w:type="dxa"/>
            <w:tcBorders>
              <w:top w:val="single" w:sz="4" w:space="0" w:color="000000"/>
              <w:left w:val="single" w:sz="4" w:space="0" w:color="000000"/>
              <w:bottom w:val="single" w:sz="4" w:space="0" w:color="000000"/>
              <w:right w:val="nil"/>
            </w:tcBorders>
            <w:vAlign w:val="bottom"/>
            <w:hideMark/>
          </w:tcPr>
          <w:p w14:paraId="67B3EFC2" w14:textId="77777777" w:rsidR="00073FDF" w:rsidRPr="00FA7442" w:rsidRDefault="00073FDF" w:rsidP="00073FDF">
            <w:pPr>
              <w:pStyle w:val="Normal-pool"/>
              <w:spacing w:before="40" w:after="40"/>
              <w:jc w:val="right"/>
              <w:rPr>
                <w:b/>
                <w:bCs/>
                <w:sz w:val="18"/>
                <w:szCs w:val="18"/>
              </w:rPr>
            </w:pPr>
            <w:r w:rsidRPr="00FA7442">
              <w:rPr>
                <w:b/>
                <w:bCs/>
                <w:sz w:val="18"/>
              </w:rPr>
              <w:t>99 010</w:t>
            </w:r>
          </w:p>
        </w:tc>
        <w:tc>
          <w:tcPr>
            <w:tcW w:w="962" w:type="dxa"/>
            <w:tcBorders>
              <w:top w:val="single" w:sz="4" w:space="0" w:color="000000"/>
              <w:left w:val="nil"/>
              <w:bottom w:val="single" w:sz="4" w:space="0" w:color="000000"/>
              <w:right w:val="nil"/>
            </w:tcBorders>
            <w:vAlign w:val="bottom"/>
            <w:hideMark/>
          </w:tcPr>
          <w:p w14:paraId="7D01D5CA" w14:textId="77777777" w:rsidR="00073FDF" w:rsidRPr="00FA7442" w:rsidRDefault="00073FDF" w:rsidP="00073FDF">
            <w:pPr>
              <w:pStyle w:val="Normal-pool"/>
              <w:spacing w:before="40" w:after="40"/>
              <w:jc w:val="right"/>
              <w:rPr>
                <w:b/>
                <w:bCs/>
                <w:sz w:val="18"/>
                <w:szCs w:val="18"/>
              </w:rPr>
            </w:pPr>
            <w:r w:rsidRPr="00FA7442">
              <w:rPr>
                <w:b/>
                <w:bCs/>
                <w:sz w:val="18"/>
              </w:rPr>
              <w:t>31 397</w:t>
            </w:r>
          </w:p>
        </w:tc>
        <w:tc>
          <w:tcPr>
            <w:tcW w:w="962" w:type="dxa"/>
            <w:tcBorders>
              <w:top w:val="single" w:sz="4" w:space="0" w:color="000000"/>
              <w:left w:val="nil"/>
              <w:bottom w:val="single" w:sz="4" w:space="0" w:color="000000"/>
              <w:right w:val="nil"/>
            </w:tcBorders>
            <w:vAlign w:val="bottom"/>
            <w:hideMark/>
          </w:tcPr>
          <w:p w14:paraId="4A73B14D" w14:textId="77777777" w:rsidR="00073FDF" w:rsidRPr="00FA7442" w:rsidRDefault="00073FDF" w:rsidP="00073FDF">
            <w:pPr>
              <w:pStyle w:val="Normal-pool"/>
              <w:spacing w:before="40" w:after="40"/>
              <w:jc w:val="right"/>
              <w:rPr>
                <w:b/>
                <w:bCs/>
                <w:sz w:val="18"/>
                <w:szCs w:val="18"/>
              </w:rPr>
            </w:pPr>
            <w:r w:rsidRPr="00FA7442">
              <w:rPr>
                <w:b/>
                <w:bCs/>
                <w:sz w:val="18"/>
              </w:rPr>
              <w:t>130 407</w:t>
            </w:r>
          </w:p>
        </w:tc>
      </w:tr>
      <w:tr w:rsidR="00073FDF" w:rsidRPr="009C2953" w14:paraId="58F69768" w14:textId="77777777" w:rsidTr="00073FDF">
        <w:trPr>
          <w:trHeight w:val="57"/>
          <w:jc w:val="right"/>
        </w:trPr>
        <w:tc>
          <w:tcPr>
            <w:tcW w:w="13467" w:type="dxa"/>
            <w:gridSpan w:val="11"/>
            <w:tcBorders>
              <w:top w:val="single" w:sz="4" w:space="0" w:color="000000"/>
              <w:left w:val="nil"/>
              <w:bottom w:val="single" w:sz="4" w:space="0" w:color="000000"/>
              <w:right w:val="nil"/>
            </w:tcBorders>
            <w:hideMark/>
          </w:tcPr>
          <w:p w14:paraId="7DE3FCC0" w14:textId="16F8D40C" w:rsidR="00073FDF" w:rsidRPr="009C2953" w:rsidRDefault="00073FDF" w:rsidP="00073FDF">
            <w:pPr>
              <w:pStyle w:val="Normal-pool"/>
              <w:tabs>
                <w:tab w:val="left" w:pos="269"/>
              </w:tabs>
              <w:spacing w:before="40" w:after="40"/>
              <w:rPr>
                <w:b/>
                <w:bCs/>
                <w:sz w:val="18"/>
                <w:szCs w:val="18"/>
              </w:rPr>
            </w:pPr>
            <w:r w:rsidRPr="009C2953">
              <w:rPr>
                <w:b/>
                <w:sz w:val="18"/>
              </w:rPr>
              <w:t>2.</w:t>
            </w:r>
            <w:r w:rsidRPr="009C2953">
              <w:rPr>
                <w:b/>
                <w:sz w:val="18"/>
              </w:rPr>
              <w:tab/>
              <w:t xml:space="preserve">Contributions </w:t>
            </w:r>
            <w:proofErr w:type="spellStart"/>
            <w:r w:rsidRPr="009C2953">
              <w:rPr>
                <w:b/>
                <w:sz w:val="18"/>
              </w:rPr>
              <w:t>préaffectées</w:t>
            </w:r>
            <w:proofErr w:type="spellEnd"/>
            <w:r w:rsidRPr="009C2953">
              <w:rPr>
                <w:b/>
                <w:sz w:val="18"/>
              </w:rPr>
              <w:t xml:space="preserve"> reçues en espèces à l</w:t>
            </w:r>
            <w:r w:rsidR="00EA2966" w:rsidRPr="009C2953">
              <w:rPr>
                <w:b/>
                <w:sz w:val="18"/>
              </w:rPr>
              <w:t>’</w:t>
            </w:r>
            <w:r w:rsidRPr="009C2953">
              <w:rPr>
                <w:b/>
                <w:sz w:val="18"/>
              </w:rPr>
              <w:t>appui d</w:t>
            </w:r>
            <w:r w:rsidR="00EA2966" w:rsidRPr="009C2953">
              <w:rPr>
                <w:b/>
                <w:sz w:val="18"/>
              </w:rPr>
              <w:t>’</w:t>
            </w:r>
            <w:r w:rsidRPr="009C2953">
              <w:rPr>
                <w:b/>
                <w:sz w:val="18"/>
              </w:rPr>
              <w:t>activités relevant du programme de travail, mais non incluses dans le budget approuvé</w:t>
            </w:r>
          </w:p>
        </w:tc>
        <w:tc>
          <w:tcPr>
            <w:tcW w:w="962" w:type="dxa"/>
            <w:tcBorders>
              <w:top w:val="single" w:sz="4" w:space="0" w:color="000000"/>
              <w:left w:val="nil"/>
              <w:bottom w:val="single" w:sz="4" w:space="0" w:color="000000"/>
              <w:right w:val="nil"/>
            </w:tcBorders>
          </w:tcPr>
          <w:p w14:paraId="2E644D4F" w14:textId="77777777" w:rsidR="00073FDF" w:rsidRPr="009C2953" w:rsidRDefault="00073FDF" w:rsidP="00073FDF">
            <w:pPr>
              <w:pStyle w:val="Normal-pool"/>
              <w:spacing w:before="40" w:after="40"/>
              <w:rPr>
                <w:b/>
                <w:bCs/>
                <w:sz w:val="18"/>
                <w:szCs w:val="18"/>
              </w:rPr>
            </w:pPr>
          </w:p>
        </w:tc>
      </w:tr>
      <w:tr w:rsidR="00444B7D" w:rsidRPr="009C2953" w14:paraId="7D2FC155" w14:textId="77777777" w:rsidTr="0072673B">
        <w:trPr>
          <w:trHeight w:val="57"/>
          <w:jc w:val="right"/>
        </w:trPr>
        <w:tc>
          <w:tcPr>
            <w:tcW w:w="1962" w:type="dxa"/>
            <w:tcBorders>
              <w:top w:val="nil"/>
              <w:left w:val="nil"/>
              <w:bottom w:val="nil"/>
              <w:right w:val="nil"/>
            </w:tcBorders>
            <w:hideMark/>
          </w:tcPr>
          <w:p w14:paraId="2D3E4720" w14:textId="77777777" w:rsidR="00444B7D" w:rsidRPr="009C2953" w:rsidRDefault="00444B7D" w:rsidP="00073FDF">
            <w:pPr>
              <w:pStyle w:val="Normal-pool"/>
              <w:spacing w:before="40" w:after="40"/>
              <w:rPr>
                <w:b/>
                <w:sz w:val="18"/>
                <w:szCs w:val="18"/>
              </w:rPr>
            </w:pPr>
            <w:r w:rsidRPr="009C2953">
              <w:rPr>
                <w:sz w:val="18"/>
              </w:rPr>
              <w:t>Allemagne</w:t>
            </w:r>
          </w:p>
        </w:tc>
        <w:tc>
          <w:tcPr>
            <w:tcW w:w="2717" w:type="dxa"/>
            <w:tcBorders>
              <w:top w:val="nil"/>
              <w:left w:val="nil"/>
              <w:bottom w:val="nil"/>
              <w:right w:val="nil"/>
            </w:tcBorders>
            <w:hideMark/>
          </w:tcPr>
          <w:p w14:paraId="493B508B" w14:textId="2213F1E1" w:rsidR="00444B7D" w:rsidRPr="009C2953" w:rsidRDefault="00444B7D" w:rsidP="00073FDF">
            <w:pPr>
              <w:pStyle w:val="Normal-pool"/>
              <w:spacing w:before="40" w:after="40"/>
              <w:rPr>
                <w:b/>
                <w:sz w:val="18"/>
                <w:szCs w:val="18"/>
              </w:rPr>
            </w:pPr>
            <w:r w:rsidRPr="009C2953">
              <w:rPr>
                <w:sz w:val="18"/>
              </w:rPr>
              <w:t>Appui pour couvrir le poste d</w:t>
            </w:r>
            <w:r w:rsidR="00EA2966" w:rsidRPr="009C2953">
              <w:rPr>
                <w:sz w:val="18"/>
              </w:rPr>
              <w:t>’</w:t>
            </w:r>
            <w:r w:rsidRPr="009C2953">
              <w:rPr>
                <w:sz w:val="18"/>
              </w:rPr>
              <w:t>assistant(e) aux systèmes d</w:t>
            </w:r>
            <w:r w:rsidR="00EA2966" w:rsidRPr="009C2953">
              <w:rPr>
                <w:sz w:val="18"/>
              </w:rPr>
              <w:t>’</w:t>
            </w:r>
            <w:r w:rsidRPr="009C2953">
              <w:rPr>
                <w:sz w:val="18"/>
              </w:rPr>
              <w:t>information</w:t>
            </w:r>
          </w:p>
        </w:tc>
        <w:tc>
          <w:tcPr>
            <w:tcW w:w="1275" w:type="dxa"/>
            <w:tcBorders>
              <w:top w:val="nil"/>
              <w:left w:val="nil"/>
              <w:bottom w:val="nil"/>
              <w:right w:val="nil"/>
            </w:tcBorders>
            <w:hideMark/>
          </w:tcPr>
          <w:p w14:paraId="038DCE00" w14:textId="77777777" w:rsidR="00444B7D" w:rsidRPr="009C2953" w:rsidRDefault="00444B7D" w:rsidP="00FA7442">
            <w:pPr>
              <w:pStyle w:val="Normal-pool"/>
              <w:spacing w:before="40" w:after="40"/>
              <w:ind w:right="-57"/>
              <w:rPr>
                <w:b/>
                <w:sz w:val="18"/>
                <w:szCs w:val="18"/>
              </w:rPr>
            </w:pPr>
            <w:r w:rsidRPr="009C2953">
              <w:rPr>
                <w:sz w:val="18"/>
              </w:rPr>
              <w:t>Dépenses de personnel</w:t>
            </w:r>
          </w:p>
        </w:tc>
        <w:tc>
          <w:tcPr>
            <w:tcW w:w="891" w:type="dxa"/>
            <w:tcBorders>
              <w:top w:val="nil"/>
              <w:left w:val="nil"/>
              <w:bottom w:val="nil"/>
              <w:right w:val="nil"/>
            </w:tcBorders>
            <w:vAlign w:val="bottom"/>
            <w:hideMark/>
          </w:tcPr>
          <w:p w14:paraId="72247FE2" w14:textId="77777777" w:rsidR="00444B7D" w:rsidRPr="009C2953" w:rsidRDefault="00444B7D" w:rsidP="00073FDF">
            <w:pPr>
              <w:pStyle w:val="Normal-pool"/>
              <w:spacing w:before="40" w:after="40"/>
              <w:jc w:val="right"/>
              <w:rPr>
                <w:b/>
                <w:sz w:val="18"/>
                <w:szCs w:val="18"/>
              </w:rPr>
            </w:pPr>
            <w:r w:rsidRPr="009C2953">
              <w:rPr>
                <w:sz w:val="18"/>
              </w:rPr>
              <w:t>30 000</w:t>
            </w:r>
          </w:p>
        </w:tc>
        <w:tc>
          <w:tcPr>
            <w:tcW w:w="932" w:type="dxa"/>
            <w:tcBorders>
              <w:top w:val="nil"/>
              <w:left w:val="nil"/>
              <w:bottom w:val="nil"/>
              <w:right w:val="nil"/>
            </w:tcBorders>
            <w:vAlign w:val="bottom"/>
          </w:tcPr>
          <w:p w14:paraId="7D4AEF8B" w14:textId="77777777" w:rsidR="00444B7D" w:rsidRPr="009C2953" w:rsidRDefault="00444B7D" w:rsidP="00073FDF">
            <w:pPr>
              <w:pStyle w:val="Normal-pool"/>
              <w:spacing w:before="40" w:after="40"/>
              <w:jc w:val="right"/>
              <w:rPr>
                <w:b/>
                <w:sz w:val="18"/>
                <w:szCs w:val="18"/>
              </w:rPr>
            </w:pPr>
          </w:p>
        </w:tc>
        <w:tc>
          <w:tcPr>
            <w:tcW w:w="1013" w:type="dxa"/>
            <w:tcBorders>
              <w:top w:val="nil"/>
              <w:left w:val="nil"/>
              <w:bottom w:val="nil"/>
              <w:right w:val="nil"/>
            </w:tcBorders>
            <w:vAlign w:val="bottom"/>
          </w:tcPr>
          <w:p w14:paraId="3ED49DCF" w14:textId="77777777" w:rsidR="00444B7D" w:rsidRPr="009C2953" w:rsidRDefault="00444B7D" w:rsidP="00073FDF">
            <w:pPr>
              <w:pStyle w:val="Normal-pool"/>
              <w:spacing w:before="40" w:after="40"/>
              <w:jc w:val="right"/>
              <w:rPr>
                <w:b/>
                <w:sz w:val="18"/>
                <w:szCs w:val="18"/>
              </w:rPr>
            </w:pPr>
          </w:p>
        </w:tc>
        <w:tc>
          <w:tcPr>
            <w:tcW w:w="851" w:type="dxa"/>
            <w:tcBorders>
              <w:top w:val="nil"/>
              <w:left w:val="nil"/>
              <w:bottom w:val="nil"/>
              <w:right w:val="nil"/>
            </w:tcBorders>
            <w:vAlign w:val="bottom"/>
          </w:tcPr>
          <w:p w14:paraId="7DB6E0D7"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6BDCA5B8" w14:textId="77777777" w:rsidR="00444B7D" w:rsidRPr="009C2953" w:rsidRDefault="00444B7D"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0ACE6960"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tcPr>
          <w:p w14:paraId="2BAD4026"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3082B517"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nil"/>
              <w:left w:val="nil"/>
              <w:bottom w:val="nil"/>
              <w:right w:val="nil"/>
            </w:tcBorders>
            <w:vAlign w:val="bottom"/>
          </w:tcPr>
          <w:p w14:paraId="216A118B" w14:textId="77777777" w:rsidR="00444B7D" w:rsidRPr="009C2953" w:rsidRDefault="00444B7D" w:rsidP="00073FDF">
            <w:pPr>
              <w:pStyle w:val="Normal-pool"/>
              <w:spacing w:before="40" w:after="40"/>
              <w:rPr>
                <w:b/>
                <w:sz w:val="18"/>
                <w:szCs w:val="18"/>
              </w:rPr>
            </w:pPr>
          </w:p>
        </w:tc>
      </w:tr>
      <w:tr w:rsidR="00444B7D" w:rsidRPr="009C2953" w14:paraId="347810EE" w14:textId="77777777" w:rsidTr="0072673B">
        <w:trPr>
          <w:trHeight w:val="57"/>
          <w:jc w:val="right"/>
        </w:trPr>
        <w:tc>
          <w:tcPr>
            <w:tcW w:w="1962" w:type="dxa"/>
            <w:tcBorders>
              <w:top w:val="nil"/>
              <w:left w:val="nil"/>
              <w:bottom w:val="nil"/>
              <w:right w:val="nil"/>
            </w:tcBorders>
            <w:hideMark/>
          </w:tcPr>
          <w:p w14:paraId="2C18D0CB" w14:textId="77777777" w:rsidR="00444B7D" w:rsidRPr="009C2953" w:rsidRDefault="00444B7D" w:rsidP="00073FDF">
            <w:pPr>
              <w:pStyle w:val="Normal-pool"/>
              <w:spacing w:before="40" w:after="40"/>
              <w:rPr>
                <w:b/>
                <w:sz w:val="18"/>
                <w:szCs w:val="18"/>
              </w:rPr>
            </w:pPr>
            <w:r w:rsidRPr="009C2953">
              <w:rPr>
                <w:sz w:val="18"/>
              </w:rPr>
              <w:t>Allemagne</w:t>
            </w:r>
          </w:p>
        </w:tc>
        <w:tc>
          <w:tcPr>
            <w:tcW w:w="2717" w:type="dxa"/>
            <w:tcBorders>
              <w:top w:val="nil"/>
              <w:left w:val="nil"/>
              <w:bottom w:val="nil"/>
              <w:right w:val="nil"/>
            </w:tcBorders>
            <w:hideMark/>
          </w:tcPr>
          <w:p w14:paraId="4F0EB969" w14:textId="18A98420" w:rsidR="00444B7D" w:rsidRPr="009C2953" w:rsidRDefault="00444B7D"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atelier de l</w:t>
            </w:r>
            <w:r w:rsidR="00EA2966" w:rsidRPr="009C2953">
              <w:rPr>
                <w:sz w:val="18"/>
              </w:rPr>
              <w:t>’</w:t>
            </w:r>
            <w:r w:rsidRPr="009C2953">
              <w:rPr>
                <w:sz w:val="18"/>
              </w:rPr>
              <w:t>IPBES sur la biodiversité et la pandémie</w:t>
            </w:r>
          </w:p>
        </w:tc>
        <w:tc>
          <w:tcPr>
            <w:tcW w:w="1275" w:type="dxa"/>
            <w:tcBorders>
              <w:top w:val="nil"/>
              <w:left w:val="nil"/>
              <w:bottom w:val="nil"/>
              <w:right w:val="nil"/>
            </w:tcBorders>
            <w:hideMark/>
          </w:tcPr>
          <w:p w14:paraId="02EBDDCB" w14:textId="77777777" w:rsidR="00444B7D" w:rsidRPr="009C2953" w:rsidRDefault="00444B7D" w:rsidP="00FA7442">
            <w:pPr>
              <w:pStyle w:val="Normal-pool"/>
              <w:spacing w:before="40" w:after="40"/>
              <w:ind w:right="-57"/>
              <w:rPr>
                <w:b/>
                <w:sz w:val="18"/>
                <w:szCs w:val="18"/>
              </w:rPr>
            </w:pPr>
            <w:r w:rsidRPr="009C2953">
              <w:rPr>
                <w:sz w:val="18"/>
              </w:rPr>
              <w:t>Appui aux réunions</w:t>
            </w:r>
          </w:p>
        </w:tc>
        <w:tc>
          <w:tcPr>
            <w:tcW w:w="891" w:type="dxa"/>
            <w:tcBorders>
              <w:top w:val="nil"/>
              <w:left w:val="nil"/>
              <w:bottom w:val="nil"/>
              <w:right w:val="nil"/>
            </w:tcBorders>
            <w:vAlign w:val="bottom"/>
          </w:tcPr>
          <w:p w14:paraId="2DA876C2" w14:textId="77777777" w:rsidR="00444B7D" w:rsidRPr="009C2953" w:rsidRDefault="00444B7D" w:rsidP="00073FDF">
            <w:pPr>
              <w:pStyle w:val="Normal-pool"/>
              <w:spacing w:before="40" w:after="40"/>
              <w:jc w:val="right"/>
              <w:rPr>
                <w:b/>
                <w:sz w:val="18"/>
                <w:szCs w:val="18"/>
              </w:rPr>
            </w:pPr>
          </w:p>
        </w:tc>
        <w:tc>
          <w:tcPr>
            <w:tcW w:w="932" w:type="dxa"/>
            <w:tcBorders>
              <w:top w:val="nil"/>
              <w:left w:val="nil"/>
              <w:bottom w:val="nil"/>
              <w:right w:val="nil"/>
            </w:tcBorders>
            <w:vAlign w:val="bottom"/>
          </w:tcPr>
          <w:p w14:paraId="32E0CB4B" w14:textId="77777777" w:rsidR="00444B7D" w:rsidRPr="009C2953" w:rsidRDefault="00444B7D" w:rsidP="00073FDF">
            <w:pPr>
              <w:pStyle w:val="Normal-pool"/>
              <w:spacing w:before="40" w:after="40"/>
              <w:jc w:val="right"/>
              <w:rPr>
                <w:b/>
                <w:sz w:val="18"/>
                <w:szCs w:val="18"/>
              </w:rPr>
            </w:pPr>
          </w:p>
        </w:tc>
        <w:tc>
          <w:tcPr>
            <w:tcW w:w="1013" w:type="dxa"/>
            <w:tcBorders>
              <w:top w:val="nil"/>
              <w:left w:val="nil"/>
              <w:bottom w:val="nil"/>
              <w:right w:val="nil"/>
            </w:tcBorders>
            <w:vAlign w:val="bottom"/>
            <w:hideMark/>
          </w:tcPr>
          <w:p w14:paraId="74E3CC6B" w14:textId="77777777" w:rsidR="00444B7D" w:rsidRPr="009C2953" w:rsidRDefault="00444B7D" w:rsidP="00073FDF">
            <w:pPr>
              <w:pStyle w:val="Normal-pool"/>
              <w:spacing w:before="40" w:after="40"/>
              <w:jc w:val="right"/>
              <w:rPr>
                <w:b/>
                <w:sz w:val="18"/>
                <w:szCs w:val="18"/>
              </w:rPr>
            </w:pPr>
            <w:r w:rsidRPr="009C2953">
              <w:rPr>
                <w:sz w:val="18"/>
              </w:rPr>
              <w:t>38 664</w:t>
            </w:r>
          </w:p>
        </w:tc>
        <w:tc>
          <w:tcPr>
            <w:tcW w:w="851" w:type="dxa"/>
            <w:tcBorders>
              <w:top w:val="nil"/>
              <w:left w:val="nil"/>
              <w:bottom w:val="nil"/>
              <w:right w:val="nil"/>
            </w:tcBorders>
            <w:vAlign w:val="bottom"/>
          </w:tcPr>
          <w:p w14:paraId="62260C58"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68B48653" w14:textId="77777777" w:rsidR="00444B7D" w:rsidRPr="009C2953" w:rsidRDefault="00444B7D"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70920FBE"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tcPr>
          <w:p w14:paraId="2E72D3F3"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0639E8B9"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nil"/>
              <w:left w:val="nil"/>
              <w:bottom w:val="nil"/>
              <w:right w:val="nil"/>
            </w:tcBorders>
            <w:vAlign w:val="bottom"/>
          </w:tcPr>
          <w:p w14:paraId="76A1B3B5" w14:textId="77777777" w:rsidR="00444B7D" w:rsidRPr="009C2953" w:rsidRDefault="00444B7D" w:rsidP="00073FDF">
            <w:pPr>
              <w:pStyle w:val="Normal-pool"/>
              <w:spacing w:before="40" w:after="40"/>
              <w:rPr>
                <w:b/>
                <w:sz w:val="18"/>
                <w:szCs w:val="18"/>
              </w:rPr>
            </w:pPr>
          </w:p>
        </w:tc>
      </w:tr>
      <w:tr w:rsidR="00444B7D" w:rsidRPr="009C2953" w14:paraId="12D98ECE" w14:textId="77777777" w:rsidTr="0072673B">
        <w:trPr>
          <w:trHeight w:val="57"/>
          <w:jc w:val="right"/>
        </w:trPr>
        <w:tc>
          <w:tcPr>
            <w:tcW w:w="1962" w:type="dxa"/>
            <w:tcBorders>
              <w:top w:val="nil"/>
              <w:left w:val="nil"/>
              <w:bottom w:val="nil"/>
              <w:right w:val="nil"/>
            </w:tcBorders>
            <w:hideMark/>
          </w:tcPr>
          <w:p w14:paraId="7D2E3CC5" w14:textId="77777777" w:rsidR="00444B7D" w:rsidRPr="009C2953" w:rsidRDefault="00444B7D" w:rsidP="00073FDF">
            <w:pPr>
              <w:pStyle w:val="Normal-pool"/>
              <w:spacing w:before="40" w:after="40"/>
              <w:rPr>
                <w:b/>
                <w:sz w:val="18"/>
                <w:szCs w:val="18"/>
              </w:rPr>
            </w:pPr>
            <w:r w:rsidRPr="009C2953">
              <w:rPr>
                <w:sz w:val="18"/>
              </w:rPr>
              <w:lastRenderedPageBreak/>
              <w:t>Allemagne</w:t>
            </w:r>
          </w:p>
        </w:tc>
        <w:tc>
          <w:tcPr>
            <w:tcW w:w="2717" w:type="dxa"/>
            <w:tcBorders>
              <w:top w:val="nil"/>
              <w:left w:val="nil"/>
              <w:bottom w:val="nil"/>
              <w:right w:val="nil"/>
            </w:tcBorders>
            <w:hideMark/>
          </w:tcPr>
          <w:p w14:paraId="71DE4840" w14:textId="77777777" w:rsidR="00444B7D" w:rsidRPr="009C2953" w:rsidRDefault="00444B7D" w:rsidP="00073FDF">
            <w:pPr>
              <w:pStyle w:val="Normal-pool"/>
              <w:spacing w:before="40" w:after="40"/>
              <w:rPr>
                <w:b/>
                <w:sz w:val="18"/>
                <w:szCs w:val="18"/>
              </w:rPr>
            </w:pPr>
            <w:r w:rsidRPr="009C2953">
              <w:rPr>
                <w:sz w:val="18"/>
              </w:rPr>
              <w:t>Appui à la neuvième session de la Plénière, tenue à Bonn (Allemagne) : coûts de la réunion et aide aux participant(e)s à la réunion</w:t>
            </w:r>
          </w:p>
        </w:tc>
        <w:tc>
          <w:tcPr>
            <w:tcW w:w="1275" w:type="dxa"/>
            <w:tcBorders>
              <w:top w:val="nil"/>
              <w:left w:val="nil"/>
              <w:bottom w:val="nil"/>
              <w:right w:val="nil"/>
            </w:tcBorders>
            <w:hideMark/>
          </w:tcPr>
          <w:p w14:paraId="7786B4A9" w14:textId="77777777" w:rsidR="00444B7D" w:rsidRPr="009C2953" w:rsidRDefault="00444B7D" w:rsidP="00073FDF">
            <w:pPr>
              <w:pStyle w:val="Normal-pool"/>
              <w:spacing w:before="40" w:after="40"/>
              <w:rPr>
                <w:b/>
                <w:sz w:val="18"/>
                <w:szCs w:val="18"/>
              </w:rPr>
            </w:pPr>
            <w:r w:rsidRPr="009C2953">
              <w:rPr>
                <w:sz w:val="18"/>
              </w:rPr>
              <w:t>Appui aux réunions</w:t>
            </w:r>
          </w:p>
        </w:tc>
        <w:tc>
          <w:tcPr>
            <w:tcW w:w="891" w:type="dxa"/>
            <w:tcBorders>
              <w:top w:val="nil"/>
              <w:left w:val="nil"/>
              <w:bottom w:val="nil"/>
              <w:right w:val="nil"/>
            </w:tcBorders>
            <w:vAlign w:val="bottom"/>
          </w:tcPr>
          <w:p w14:paraId="05CDA984" w14:textId="77777777" w:rsidR="00444B7D" w:rsidRPr="009C2953" w:rsidRDefault="00444B7D" w:rsidP="00073FDF">
            <w:pPr>
              <w:pStyle w:val="Normal-pool"/>
              <w:spacing w:before="40" w:after="40"/>
              <w:jc w:val="right"/>
              <w:rPr>
                <w:b/>
                <w:sz w:val="18"/>
                <w:szCs w:val="18"/>
              </w:rPr>
            </w:pPr>
          </w:p>
        </w:tc>
        <w:tc>
          <w:tcPr>
            <w:tcW w:w="932" w:type="dxa"/>
            <w:tcBorders>
              <w:top w:val="nil"/>
              <w:left w:val="nil"/>
              <w:bottom w:val="nil"/>
              <w:right w:val="nil"/>
            </w:tcBorders>
            <w:vAlign w:val="bottom"/>
          </w:tcPr>
          <w:p w14:paraId="3DECD2A4" w14:textId="77777777" w:rsidR="00444B7D" w:rsidRPr="009C2953" w:rsidRDefault="00444B7D" w:rsidP="00073FDF">
            <w:pPr>
              <w:pStyle w:val="Normal-pool"/>
              <w:spacing w:before="40" w:after="40"/>
              <w:jc w:val="right"/>
              <w:rPr>
                <w:b/>
                <w:sz w:val="18"/>
                <w:szCs w:val="18"/>
              </w:rPr>
            </w:pPr>
          </w:p>
        </w:tc>
        <w:tc>
          <w:tcPr>
            <w:tcW w:w="1013" w:type="dxa"/>
            <w:tcBorders>
              <w:top w:val="nil"/>
              <w:left w:val="nil"/>
              <w:bottom w:val="nil"/>
              <w:right w:val="nil"/>
            </w:tcBorders>
            <w:vAlign w:val="bottom"/>
          </w:tcPr>
          <w:p w14:paraId="4159C56E" w14:textId="77777777" w:rsidR="00444B7D" w:rsidRPr="009C2953" w:rsidRDefault="00444B7D" w:rsidP="00073FDF">
            <w:pPr>
              <w:pStyle w:val="Normal-pool"/>
              <w:spacing w:before="40" w:after="40"/>
              <w:jc w:val="right"/>
              <w:rPr>
                <w:b/>
                <w:sz w:val="18"/>
                <w:szCs w:val="18"/>
              </w:rPr>
            </w:pPr>
          </w:p>
        </w:tc>
        <w:tc>
          <w:tcPr>
            <w:tcW w:w="851" w:type="dxa"/>
            <w:tcBorders>
              <w:top w:val="nil"/>
              <w:left w:val="nil"/>
              <w:bottom w:val="nil"/>
              <w:right w:val="nil"/>
            </w:tcBorders>
            <w:vAlign w:val="bottom"/>
          </w:tcPr>
          <w:p w14:paraId="2BF7DD5C"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nil"/>
              <w:right w:val="nil"/>
            </w:tcBorders>
            <w:vAlign w:val="bottom"/>
            <w:hideMark/>
          </w:tcPr>
          <w:p w14:paraId="5EF3E870" w14:textId="77777777" w:rsidR="00444B7D" w:rsidRPr="009C2953" w:rsidRDefault="00444B7D" w:rsidP="00073FDF">
            <w:pPr>
              <w:pStyle w:val="Normal-pool"/>
              <w:spacing w:before="40" w:after="40"/>
              <w:jc w:val="right"/>
              <w:rPr>
                <w:b/>
                <w:sz w:val="18"/>
                <w:szCs w:val="18"/>
              </w:rPr>
            </w:pPr>
            <w:r w:rsidRPr="009C2953">
              <w:rPr>
                <w:sz w:val="18"/>
              </w:rPr>
              <w:t>982 367</w:t>
            </w:r>
          </w:p>
        </w:tc>
        <w:tc>
          <w:tcPr>
            <w:tcW w:w="903" w:type="dxa"/>
            <w:tcBorders>
              <w:top w:val="nil"/>
              <w:left w:val="nil"/>
              <w:bottom w:val="nil"/>
              <w:right w:val="single" w:sz="4" w:space="0" w:color="000000"/>
            </w:tcBorders>
            <w:vAlign w:val="bottom"/>
          </w:tcPr>
          <w:p w14:paraId="4E28FE9B"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tcPr>
          <w:p w14:paraId="15BC6C0F"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788A3691"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nil"/>
              <w:left w:val="nil"/>
              <w:bottom w:val="nil"/>
              <w:right w:val="nil"/>
            </w:tcBorders>
            <w:vAlign w:val="bottom"/>
          </w:tcPr>
          <w:p w14:paraId="695C3E93" w14:textId="77777777" w:rsidR="00444B7D" w:rsidRPr="009C2953" w:rsidRDefault="00444B7D" w:rsidP="00073FDF">
            <w:pPr>
              <w:pStyle w:val="Normal-pool"/>
              <w:spacing w:before="40" w:after="40"/>
              <w:rPr>
                <w:b/>
                <w:sz w:val="18"/>
                <w:szCs w:val="18"/>
              </w:rPr>
            </w:pPr>
          </w:p>
        </w:tc>
      </w:tr>
      <w:tr w:rsidR="00444B7D" w:rsidRPr="009C2953" w14:paraId="15263EA5" w14:textId="77777777" w:rsidTr="0072673B">
        <w:trPr>
          <w:trHeight w:val="57"/>
          <w:jc w:val="right"/>
        </w:trPr>
        <w:tc>
          <w:tcPr>
            <w:tcW w:w="1962" w:type="dxa"/>
            <w:tcBorders>
              <w:top w:val="single" w:sz="4" w:space="0" w:color="000000"/>
              <w:left w:val="nil"/>
              <w:bottom w:val="nil"/>
              <w:right w:val="nil"/>
            </w:tcBorders>
            <w:hideMark/>
          </w:tcPr>
          <w:p w14:paraId="3F4842E9" w14:textId="77777777" w:rsidR="00444B7D" w:rsidRPr="009C2953" w:rsidRDefault="00444B7D" w:rsidP="00073FDF">
            <w:pPr>
              <w:pStyle w:val="Normal-pool"/>
              <w:spacing w:before="40" w:after="40"/>
              <w:rPr>
                <w:b/>
                <w:sz w:val="18"/>
                <w:szCs w:val="18"/>
              </w:rPr>
            </w:pPr>
            <w:r w:rsidRPr="009C2953">
              <w:rPr>
                <w:sz w:val="18"/>
              </w:rPr>
              <w:t>Colombie</w:t>
            </w:r>
          </w:p>
        </w:tc>
        <w:tc>
          <w:tcPr>
            <w:tcW w:w="2717" w:type="dxa"/>
            <w:tcBorders>
              <w:top w:val="single" w:sz="4" w:space="0" w:color="000000"/>
              <w:left w:val="nil"/>
              <w:bottom w:val="nil"/>
              <w:right w:val="nil"/>
            </w:tcBorders>
            <w:hideMark/>
          </w:tcPr>
          <w:p w14:paraId="523BC8D3" w14:textId="77777777" w:rsidR="00444B7D" w:rsidRPr="009C2953" w:rsidRDefault="00444B7D" w:rsidP="00073FDF">
            <w:pPr>
              <w:pStyle w:val="Normal-pool"/>
              <w:spacing w:before="40" w:after="40"/>
              <w:rPr>
                <w:b/>
                <w:sz w:val="18"/>
                <w:szCs w:val="18"/>
              </w:rPr>
            </w:pPr>
            <w:r w:rsidRPr="009C2953">
              <w:rPr>
                <w:sz w:val="18"/>
              </w:rPr>
              <w:t>Appui à la cinquième session de la Plénière, tenue à Medellín (Colombie) : services de conférence et frais de voyages du personnel</w:t>
            </w:r>
          </w:p>
        </w:tc>
        <w:tc>
          <w:tcPr>
            <w:tcW w:w="1275" w:type="dxa"/>
            <w:tcBorders>
              <w:top w:val="single" w:sz="4" w:space="0" w:color="000000"/>
              <w:left w:val="nil"/>
              <w:bottom w:val="nil"/>
              <w:right w:val="nil"/>
            </w:tcBorders>
            <w:hideMark/>
          </w:tcPr>
          <w:p w14:paraId="5A941ADF" w14:textId="77777777" w:rsidR="00444B7D" w:rsidRPr="009C2953" w:rsidRDefault="00444B7D" w:rsidP="00073FDF">
            <w:pPr>
              <w:pStyle w:val="Normal-pool"/>
              <w:spacing w:before="40" w:after="40"/>
              <w:rPr>
                <w:b/>
                <w:sz w:val="18"/>
                <w:szCs w:val="18"/>
              </w:rPr>
            </w:pPr>
            <w:r w:rsidRPr="009C2953">
              <w:rPr>
                <w:sz w:val="18"/>
              </w:rPr>
              <w:t>Appui aux réunions</w:t>
            </w:r>
          </w:p>
        </w:tc>
        <w:tc>
          <w:tcPr>
            <w:tcW w:w="891" w:type="dxa"/>
            <w:tcBorders>
              <w:top w:val="single" w:sz="4" w:space="0" w:color="000000"/>
              <w:left w:val="nil"/>
              <w:bottom w:val="nil"/>
              <w:right w:val="nil"/>
            </w:tcBorders>
            <w:vAlign w:val="bottom"/>
            <w:hideMark/>
          </w:tcPr>
          <w:p w14:paraId="7ED7BD24" w14:textId="77777777" w:rsidR="00444B7D" w:rsidRPr="009C2953" w:rsidRDefault="00444B7D" w:rsidP="00073FDF">
            <w:pPr>
              <w:pStyle w:val="Normal-pool"/>
              <w:spacing w:before="40" w:after="40"/>
              <w:jc w:val="right"/>
              <w:rPr>
                <w:b/>
                <w:sz w:val="18"/>
                <w:szCs w:val="18"/>
              </w:rPr>
            </w:pPr>
            <w:r w:rsidRPr="009C2953">
              <w:rPr>
                <w:sz w:val="18"/>
              </w:rPr>
              <w:t>325 065</w:t>
            </w:r>
          </w:p>
        </w:tc>
        <w:tc>
          <w:tcPr>
            <w:tcW w:w="932" w:type="dxa"/>
            <w:tcBorders>
              <w:top w:val="single" w:sz="4" w:space="0" w:color="000000"/>
              <w:left w:val="nil"/>
              <w:bottom w:val="nil"/>
              <w:right w:val="nil"/>
            </w:tcBorders>
            <w:vAlign w:val="bottom"/>
          </w:tcPr>
          <w:p w14:paraId="35801001" w14:textId="77777777" w:rsidR="00444B7D" w:rsidRPr="009C2953" w:rsidRDefault="00444B7D" w:rsidP="00073FDF">
            <w:pPr>
              <w:pStyle w:val="Normal-pool"/>
              <w:spacing w:before="40" w:after="40"/>
              <w:jc w:val="right"/>
              <w:rPr>
                <w:b/>
                <w:sz w:val="18"/>
                <w:szCs w:val="18"/>
              </w:rPr>
            </w:pPr>
          </w:p>
        </w:tc>
        <w:tc>
          <w:tcPr>
            <w:tcW w:w="1013" w:type="dxa"/>
            <w:tcBorders>
              <w:top w:val="single" w:sz="4" w:space="0" w:color="000000"/>
              <w:left w:val="nil"/>
              <w:bottom w:val="nil"/>
              <w:right w:val="nil"/>
            </w:tcBorders>
            <w:vAlign w:val="bottom"/>
          </w:tcPr>
          <w:p w14:paraId="0CF2CF02" w14:textId="77777777" w:rsidR="00444B7D" w:rsidRPr="009C2953" w:rsidRDefault="00444B7D" w:rsidP="00073FDF">
            <w:pPr>
              <w:pStyle w:val="Normal-pool"/>
              <w:spacing w:before="40" w:after="40"/>
              <w:jc w:val="right"/>
              <w:rPr>
                <w:b/>
                <w:sz w:val="18"/>
                <w:szCs w:val="18"/>
              </w:rPr>
            </w:pPr>
          </w:p>
        </w:tc>
        <w:tc>
          <w:tcPr>
            <w:tcW w:w="851" w:type="dxa"/>
            <w:tcBorders>
              <w:top w:val="single" w:sz="4" w:space="0" w:color="000000"/>
              <w:left w:val="nil"/>
              <w:bottom w:val="nil"/>
              <w:right w:val="nil"/>
            </w:tcBorders>
            <w:vAlign w:val="bottom"/>
          </w:tcPr>
          <w:p w14:paraId="59FC2EA1" w14:textId="77777777" w:rsidR="00444B7D" w:rsidRPr="009C2953" w:rsidRDefault="00444B7D" w:rsidP="00073FDF">
            <w:pPr>
              <w:pStyle w:val="Normal-pool"/>
              <w:spacing w:before="40" w:after="40"/>
              <w:jc w:val="right"/>
              <w:rPr>
                <w:b/>
                <w:sz w:val="18"/>
                <w:szCs w:val="18"/>
              </w:rPr>
            </w:pPr>
          </w:p>
        </w:tc>
        <w:tc>
          <w:tcPr>
            <w:tcW w:w="992" w:type="dxa"/>
            <w:tcBorders>
              <w:top w:val="single" w:sz="4" w:space="0" w:color="000000"/>
              <w:left w:val="nil"/>
              <w:bottom w:val="nil"/>
              <w:right w:val="nil"/>
            </w:tcBorders>
            <w:vAlign w:val="bottom"/>
          </w:tcPr>
          <w:p w14:paraId="3A95CB74" w14:textId="77777777" w:rsidR="00444B7D" w:rsidRPr="009C2953" w:rsidRDefault="00444B7D" w:rsidP="00073FDF">
            <w:pPr>
              <w:pStyle w:val="Normal-pool"/>
              <w:spacing w:before="40" w:after="40"/>
              <w:jc w:val="right"/>
              <w:rPr>
                <w:b/>
                <w:sz w:val="18"/>
                <w:szCs w:val="18"/>
              </w:rPr>
            </w:pPr>
          </w:p>
        </w:tc>
        <w:tc>
          <w:tcPr>
            <w:tcW w:w="903" w:type="dxa"/>
            <w:tcBorders>
              <w:top w:val="single" w:sz="4" w:space="0" w:color="000000"/>
              <w:left w:val="nil"/>
              <w:bottom w:val="nil"/>
              <w:right w:val="single" w:sz="4" w:space="0" w:color="000000"/>
            </w:tcBorders>
            <w:vAlign w:val="bottom"/>
          </w:tcPr>
          <w:p w14:paraId="1FAAE960" w14:textId="77777777" w:rsidR="00444B7D" w:rsidRPr="009C2953" w:rsidRDefault="00444B7D" w:rsidP="00073FDF">
            <w:pPr>
              <w:pStyle w:val="Normal-pool"/>
              <w:spacing w:before="40" w:after="40"/>
              <w:jc w:val="right"/>
              <w:rPr>
                <w:b/>
                <w:sz w:val="18"/>
                <w:szCs w:val="18"/>
              </w:rPr>
            </w:pPr>
          </w:p>
        </w:tc>
        <w:tc>
          <w:tcPr>
            <w:tcW w:w="969" w:type="dxa"/>
            <w:tcBorders>
              <w:top w:val="single" w:sz="4" w:space="0" w:color="000000"/>
              <w:left w:val="single" w:sz="4" w:space="0" w:color="000000"/>
              <w:bottom w:val="nil"/>
              <w:right w:val="nil"/>
            </w:tcBorders>
            <w:vAlign w:val="bottom"/>
          </w:tcPr>
          <w:p w14:paraId="7AC7BF3E" w14:textId="77777777" w:rsidR="00444B7D" w:rsidRPr="009C2953" w:rsidRDefault="00444B7D" w:rsidP="00073FDF">
            <w:pPr>
              <w:pStyle w:val="Normal-pool"/>
              <w:spacing w:before="40" w:after="40"/>
              <w:jc w:val="right"/>
              <w:rPr>
                <w:b/>
                <w:sz w:val="18"/>
                <w:szCs w:val="18"/>
              </w:rPr>
            </w:pPr>
          </w:p>
        </w:tc>
        <w:tc>
          <w:tcPr>
            <w:tcW w:w="962" w:type="dxa"/>
            <w:tcBorders>
              <w:top w:val="single" w:sz="4" w:space="0" w:color="000000"/>
              <w:left w:val="nil"/>
              <w:bottom w:val="nil"/>
              <w:right w:val="nil"/>
            </w:tcBorders>
            <w:vAlign w:val="bottom"/>
            <w:hideMark/>
          </w:tcPr>
          <w:p w14:paraId="5C00B6A4"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single" w:sz="4" w:space="0" w:color="000000"/>
              <w:left w:val="nil"/>
              <w:bottom w:val="nil"/>
              <w:right w:val="nil"/>
            </w:tcBorders>
            <w:vAlign w:val="bottom"/>
          </w:tcPr>
          <w:p w14:paraId="226B9B01" w14:textId="77777777" w:rsidR="00444B7D" w:rsidRPr="009C2953" w:rsidRDefault="00444B7D" w:rsidP="00073FDF">
            <w:pPr>
              <w:pStyle w:val="Normal-pool"/>
              <w:spacing w:before="40" w:after="40"/>
              <w:rPr>
                <w:b/>
                <w:sz w:val="18"/>
                <w:szCs w:val="18"/>
              </w:rPr>
            </w:pPr>
          </w:p>
        </w:tc>
      </w:tr>
      <w:tr w:rsidR="00444B7D" w:rsidRPr="009C2953" w14:paraId="19206095" w14:textId="77777777" w:rsidTr="0072673B">
        <w:trPr>
          <w:trHeight w:val="57"/>
          <w:jc w:val="right"/>
        </w:trPr>
        <w:tc>
          <w:tcPr>
            <w:tcW w:w="1962" w:type="dxa"/>
            <w:tcBorders>
              <w:top w:val="nil"/>
              <w:left w:val="nil"/>
              <w:bottom w:val="single" w:sz="4" w:space="0" w:color="000000"/>
              <w:right w:val="nil"/>
            </w:tcBorders>
            <w:hideMark/>
          </w:tcPr>
          <w:p w14:paraId="773E0C24" w14:textId="098A75D8" w:rsidR="00444B7D" w:rsidRPr="009C2953" w:rsidRDefault="00444B7D" w:rsidP="00073FDF">
            <w:pPr>
              <w:pStyle w:val="Normal-pool"/>
              <w:spacing w:before="40" w:after="40"/>
              <w:rPr>
                <w:b/>
                <w:sz w:val="18"/>
                <w:szCs w:val="18"/>
              </w:rPr>
            </w:pPr>
            <w:r w:rsidRPr="009C2953">
              <w:rPr>
                <w:sz w:val="18"/>
              </w:rPr>
              <w:t>États-Unis d</w:t>
            </w:r>
            <w:r w:rsidR="00EA2966" w:rsidRPr="009C2953">
              <w:rPr>
                <w:sz w:val="18"/>
              </w:rPr>
              <w:t>’</w:t>
            </w:r>
            <w:r w:rsidRPr="009C2953">
              <w:rPr>
                <w:sz w:val="18"/>
              </w:rPr>
              <w:t>Amérique</w:t>
            </w:r>
          </w:p>
        </w:tc>
        <w:tc>
          <w:tcPr>
            <w:tcW w:w="2717" w:type="dxa"/>
            <w:tcBorders>
              <w:top w:val="nil"/>
              <w:left w:val="nil"/>
              <w:bottom w:val="single" w:sz="4" w:space="0" w:color="000000"/>
              <w:right w:val="nil"/>
            </w:tcBorders>
            <w:hideMark/>
          </w:tcPr>
          <w:p w14:paraId="2264B6DE" w14:textId="77777777" w:rsidR="00444B7D" w:rsidRPr="009C2953" w:rsidRDefault="00444B7D" w:rsidP="00073FDF">
            <w:pPr>
              <w:pStyle w:val="Normal-pool"/>
              <w:spacing w:before="40" w:after="40"/>
              <w:rPr>
                <w:b/>
                <w:sz w:val="18"/>
                <w:szCs w:val="18"/>
              </w:rPr>
            </w:pPr>
            <w:r w:rsidRPr="009C2953">
              <w:rPr>
                <w:sz w:val="18"/>
              </w:rPr>
              <w:t>Appui à la dixième session de la Plénière, tenue à Bonn (Allemagne) : coûts de la réunion et autres coûts connexes</w:t>
            </w:r>
          </w:p>
        </w:tc>
        <w:tc>
          <w:tcPr>
            <w:tcW w:w="1275" w:type="dxa"/>
            <w:tcBorders>
              <w:top w:val="nil"/>
              <w:left w:val="nil"/>
              <w:bottom w:val="single" w:sz="4" w:space="0" w:color="000000"/>
              <w:right w:val="nil"/>
            </w:tcBorders>
            <w:hideMark/>
          </w:tcPr>
          <w:p w14:paraId="0CC82ACF" w14:textId="77777777" w:rsidR="00444B7D" w:rsidRPr="009C2953" w:rsidRDefault="00444B7D" w:rsidP="00073FDF">
            <w:pPr>
              <w:pStyle w:val="Normal-pool"/>
              <w:spacing w:before="40" w:after="40"/>
              <w:rPr>
                <w:b/>
                <w:sz w:val="18"/>
                <w:szCs w:val="18"/>
              </w:rPr>
            </w:pPr>
            <w:r w:rsidRPr="009C2953">
              <w:rPr>
                <w:sz w:val="18"/>
              </w:rPr>
              <w:t>Appui aux réunions</w:t>
            </w:r>
          </w:p>
        </w:tc>
        <w:tc>
          <w:tcPr>
            <w:tcW w:w="891" w:type="dxa"/>
            <w:tcBorders>
              <w:top w:val="nil"/>
              <w:left w:val="nil"/>
              <w:bottom w:val="single" w:sz="4" w:space="0" w:color="000000"/>
              <w:right w:val="nil"/>
            </w:tcBorders>
            <w:vAlign w:val="bottom"/>
          </w:tcPr>
          <w:p w14:paraId="761EF79A" w14:textId="77777777" w:rsidR="00444B7D" w:rsidRPr="009C2953" w:rsidRDefault="00444B7D" w:rsidP="00073FDF">
            <w:pPr>
              <w:pStyle w:val="Normal-pool"/>
              <w:spacing w:before="40" w:after="40"/>
              <w:jc w:val="right"/>
              <w:rPr>
                <w:b/>
                <w:sz w:val="18"/>
                <w:szCs w:val="18"/>
              </w:rPr>
            </w:pPr>
          </w:p>
        </w:tc>
        <w:tc>
          <w:tcPr>
            <w:tcW w:w="932" w:type="dxa"/>
            <w:tcBorders>
              <w:top w:val="nil"/>
              <w:left w:val="nil"/>
              <w:bottom w:val="single" w:sz="4" w:space="0" w:color="000000"/>
              <w:right w:val="nil"/>
            </w:tcBorders>
            <w:vAlign w:val="bottom"/>
          </w:tcPr>
          <w:p w14:paraId="1D0DB5D3" w14:textId="77777777" w:rsidR="00444B7D" w:rsidRPr="009C2953" w:rsidRDefault="00444B7D" w:rsidP="00073FDF">
            <w:pPr>
              <w:pStyle w:val="Normal-pool"/>
              <w:spacing w:before="40" w:after="40"/>
              <w:jc w:val="right"/>
              <w:rPr>
                <w:b/>
                <w:sz w:val="18"/>
                <w:szCs w:val="18"/>
              </w:rPr>
            </w:pPr>
          </w:p>
        </w:tc>
        <w:tc>
          <w:tcPr>
            <w:tcW w:w="1013" w:type="dxa"/>
            <w:tcBorders>
              <w:top w:val="nil"/>
              <w:left w:val="nil"/>
              <w:bottom w:val="single" w:sz="4" w:space="0" w:color="000000"/>
              <w:right w:val="nil"/>
            </w:tcBorders>
            <w:vAlign w:val="bottom"/>
          </w:tcPr>
          <w:p w14:paraId="32052244" w14:textId="77777777" w:rsidR="00444B7D" w:rsidRPr="009C2953" w:rsidRDefault="00444B7D" w:rsidP="00073FDF">
            <w:pPr>
              <w:pStyle w:val="Normal-pool"/>
              <w:spacing w:before="40" w:after="40"/>
              <w:jc w:val="right"/>
              <w:rPr>
                <w:b/>
                <w:sz w:val="18"/>
                <w:szCs w:val="18"/>
              </w:rPr>
            </w:pPr>
          </w:p>
        </w:tc>
        <w:tc>
          <w:tcPr>
            <w:tcW w:w="851" w:type="dxa"/>
            <w:tcBorders>
              <w:top w:val="nil"/>
              <w:left w:val="nil"/>
              <w:bottom w:val="single" w:sz="4" w:space="0" w:color="000000"/>
              <w:right w:val="nil"/>
            </w:tcBorders>
            <w:vAlign w:val="bottom"/>
          </w:tcPr>
          <w:p w14:paraId="0A00508A"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single" w:sz="4" w:space="0" w:color="000000"/>
              <w:right w:val="nil"/>
            </w:tcBorders>
            <w:vAlign w:val="bottom"/>
            <w:hideMark/>
          </w:tcPr>
          <w:p w14:paraId="491E7CB3" w14:textId="77777777" w:rsidR="00444B7D" w:rsidRPr="009C2953" w:rsidRDefault="00444B7D" w:rsidP="00073FDF">
            <w:pPr>
              <w:pStyle w:val="Normal-pool"/>
              <w:spacing w:before="40" w:after="40"/>
              <w:jc w:val="right"/>
              <w:rPr>
                <w:b/>
                <w:sz w:val="18"/>
                <w:szCs w:val="18"/>
              </w:rPr>
            </w:pPr>
            <w:r w:rsidRPr="009C2953">
              <w:rPr>
                <w:sz w:val="18"/>
              </w:rPr>
              <w:t>1 295 000</w:t>
            </w:r>
          </w:p>
        </w:tc>
        <w:tc>
          <w:tcPr>
            <w:tcW w:w="903" w:type="dxa"/>
            <w:tcBorders>
              <w:top w:val="nil"/>
              <w:left w:val="nil"/>
              <w:bottom w:val="single" w:sz="4" w:space="0" w:color="000000"/>
              <w:right w:val="single" w:sz="4" w:space="0" w:color="000000"/>
            </w:tcBorders>
            <w:vAlign w:val="bottom"/>
          </w:tcPr>
          <w:p w14:paraId="31A2AC34"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single" w:sz="4" w:space="0" w:color="000000"/>
              <w:right w:val="nil"/>
            </w:tcBorders>
            <w:vAlign w:val="bottom"/>
          </w:tcPr>
          <w:p w14:paraId="48B5242D"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single" w:sz="4" w:space="0" w:color="000000"/>
              <w:right w:val="nil"/>
            </w:tcBorders>
            <w:vAlign w:val="bottom"/>
          </w:tcPr>
          <w:p w14:paraId="6839B1A8"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single" w:sz="4" w:space="0" w:color="000000"/>
              <w:right w:val="nil"/>
            </w:tcBorders>
            <w:vAlign w:val="bottom"/>
          </w:tcPr>
          <w:p w14:paraId="086155AC" w14:textId="77777777" w:rsidR="00444B7D" w:rsidRPr="009C2953" w:rsidRDefault="00444B7D" w:rsidP="00073FDF">
            <w:pPr>
              <w:pStyle w:val="Normal-pool"/>
              <w:spacing w:before="40" w:after="40"/>
              <w:jc w:val="right"/>
              <w:rPr>
                <w:b/>
                <w:sz w:val="18"/>
                <w:szCs w:val="18"/>
              </w:rPr>
            </w:pPr>
          </w:p>
        </w:tc>
      </w:tr>
      <w:tr w:rsidR="00444B7D" w:rsidRPr="009C2953" w14:paraId="23AA6D9E" w14:textId="77777777" w:rsidTr="0072673B">
        <w:trPr>
          <w:trHeight w:val="57"/>
          <w:jc w:val="right"/>
        </w:trPr>
        <w:tc>
          <w:tcPr>
            <w:tcW w:w="1962" w:type="dxa"/>
            <w:tcBorders>
              <w:top w:val="nil"/>
              <w:left w:val="nil"/>
              <w:bottom w:val="nil"/>
              <w:right w:val="nil"/>
            </w:tcBorders>
            <w:hideMark/>
          </w:tcPr>
          <w:p w14:paraId="0A25F758" w14:textId="77777777" w:rsidR="00444B7D" w:rsidRPr="009C2953" w:rsidRDefault="00444B7D" w:rsidP="00073FDF">
            <w:pPr>
              <w:pStyle w:val="Normal-pool"/>
              <w:spacing w:before="40" w:after="40"/>
              <w:rPr>
                <w:b/>
                <w:sz w:val="18"/>
                <w:szCs w:val="18"/>
              </w:rPr>
            </w:pPr>
            <w:r w:rsidRPr="009C2953">
              <w:rPr>
                <w:sz w:val="18"/>
              </w:rPr>
              <w:t>France</w:t>
            </w:r>
          </w:p>
        </w:tc>
        <w:tc>
          <w:tcPr>
            <w:tcW w:w="2717" w:type="dxa"/>
            <w:tcBorders>
              <w:top w:val="nil"/>
              <w:left w:val="nil"/>
              <w:bottom w:val="nil"/>
              <w:right w:val="nil"/>
            </w:tcBorders>
            <w:hideMark/>
          </w:tcPr>
          <w:p w14:paraId="6D8E9BD2" w14:textId="77777777" w:rsidR="00444B7D" w:rsidRPr="009C2953" w:rsidRDefault="00444B7D" w:rsidP="00073FDF">
            <w:pPr>
              <w:pStyle w:val="Normal-pool"/>
              <w:spacing w:before="40" w:after="40"/>
              <w:rPr>
                <w:b/>
                <w:sz w:val="18"/>
                <w:szCs w:val="18"/>
              </w:rPr>
            </w:pPr>
            <w:r w:rsidRPr="009C2953">
              <w:rPr>
                <w:sz w:val="18"/>
              </w:rPr>
              <w:t>Appui à la septième session de la Plénière, tenue à Paris (France) : services de conférence et frais de voyages du personnel</w:t>
            </w:r>
          </w:p>
        </w:tc>
        <w:tc>
          <w:tcPr>
            <w:tcW w:w="1275" w:type="dxa"/>
            <w:tcBorders>
              <w:top w:val="nil"/>
              <w:left w:val="nil"/>
              <w:bottom w:val="nil"/>
              <w:right w:val="nil"/>
            </w:tcBorders>
            <w:hideMark/>
          </w:tcPr>
          <w:p w14:paraId="12FCB19E" w14:textId="77777777" w:rsidR="00444B7D" w:rsidRPr="009C2953" w:rsidRDefault="00444B7D" w:rsidP="00073FDF">
            <w:pPr>
              <w:pStyle w:val="Normal-pool"/>
              <w:spacing w:before="40" w:after="40"/>
              <w:rPr>
                <w:b/>
                <w:sz w:val="18"/>
                <w:szCs w:val="18"/>
              </w:rPr>
            </w:pPr>
            <w:r w:rsidRPr="009C2953">
              <w:rPr>
                <w:sz w:val="18"/>
              </w:rPr>
              <w:t>Appui aux réunions</w:t>
            </w:r>
          </w:p>
        </w:tc>
        <w:tc>
          <w:tcPr>
            <w:tcW w:w="891" w:type="dxa"/>
            <w:tcBorders>
              <w:top w:val="nil"/>
              <w:left w:val="nil"/>
              <w:bottom w:val="nil"/>
              <w:right w:val="nil"/>
            </w:tcBorders>
            <w:vAlign w:val="bottom"/>
          </w:tcPr>
          <w:p w14:paraId="0336A44A" w14:textId="77777777" w:rsidR="00444B7D" w:rsidRPr="009C2953" w:rsidRDefault="00444B7D" w:rsidP="00073FDF">
            <w:pPr>
              <w:pStyle w:val="Normal-pool"/>
              <w:spacing w:before="40" w:after="40"/>
              <w:jc w:val="right"/>
              <w:rPr>
                <w:b/>
                <w:sz w:val="18"/>
                <w:szCs w:val="18"/>
              </w:rPr>
            </w:pPr>
          </w:p>
        </w:tc>
        <w:tc>
          <w:tcPr>
            <w:tcW w:w="932" w:type="dxa"/>
            <w:tcBorders>
              <w:top w:val="nil"/>
              <w:left w:val="nil"/>
              <w:bottom w:val="nil"/>
              <w:right w:val="nil"/>
            </w:tcBorders>
            <w:vAlign w:val="bottom"/>
            <w:hideMark/>
          </w:tcPr>
          <w:p w14:paraId="62494C99" w14:textId="77777777" w:rsidR="00444B7D" w:rsidRPr="009C2953" w:rsidRDefault="00444B7D" w:rsidP="00073FDF">
            <w:pPr>
              <w:pStyle w:val="Normal-pool"/>
              <w:spacing w:before="40" w:after="40"/>
              <w:jc w:val="right"/>
              <w:rPr>
                <w:b/>
                <w:sz w:val="18"/>
                <w:szCs w:val="18"/>
              </w:rPr>
            </w:pPr>
            <w:r w:rsidRPr="009C2953">
              <w:rPr>
                <w:sz w:val="18"/>
              </w:rPr>
              <w:t>265 114</w:t>
            </w:r>
          </w:p>
        </w:tc>
        <w:tc>
          <w:tcPr>
            <w:tcW w:w="1013" w:type="dxa"/>
            <w:tcBorders>
              <w:top w:val="nil"/>
              <w:left w:val="nil"/>
              <w:bottom w:val="nil"/>
              <w:right w:val="nil"/>
            </w:tcBorders>
            <w:vAlign w:val="bottom"/>
          </w:tcPr>
          <w:p w14:paraId="310C7FBF" w14:textId="77777777" w:rsidR="00444B7D" w:rsidRPr="009C2953" w:rsidRDefault="00444B7D" w:rsidP="00073FDF">
            <w:pPr>
              <w:pStyle w:val="Normal-pool"/>
              <w:spacing w:before="40" w:after="40"/>
              <w:jc w:val="right"/>
              <w:rPr>
                <w:b/>
                <w:sz w:val="18"/>
                <w:szCs w:val="18"/>
              </w:rPr>
            </w:pPr>
          </w:p>
        </w:tc>
        <w:tc>
          <w:tcPr>
            <w:tcW w:w="851" w:type="dxa"/>
            <w:tcBorders>
              <w:top w:val="nil"/>
              <w:left w:val="nil"/>
              <w:bottom w:val="nil"/>
              <w:right w:val="nil"/>
            </w:tcBorders>
            <w:vAlign w:val="bottom"/>
          </w:tcPr>
          <w:p w14:paraId="478D9E06"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1EF42BA4" w14:textId="77777777" w:rsidR="00444B7D" w:rsidRPr="009C2953" w:rsidRDefault="00444B7D"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183AF5CB"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tcPr>
          <w:p w14:paraId="28F41D9A"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382060E8"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nil"/>
              <w:left w:val="nil"/>
              <w:bottom w:val="nil"/>
              <w:right w:val="nil"/>
            </w:tcBorders>
            <w:vAlign w:val="bottom"/>
          </w:tcPr>
          <w:p w14:paraId="4D327474" w14:textId="77777777" w:rsidR="00444B7D" w:rsidRPr="009C2953" w:rsidRDefault="00444B7D" w:rsidP="00073FDF">
            <w:pPr>
              <w:pStyle w:val="Normal-pool"/>
              <w:spacing w:before="40" w:after="40"/>
              <w:rPr>
                <w:b/>
                <w:sz w:val="18"/>
                <w:szCs w:val="18"/>
              </w:rPr>
            </w:pPr>
          </w:p>
        </w:tc>
      </w:tr>
      <w:tr w:rsidR="00444B7D" w:rsidRPr="009C2953" w14:paraId="1EACDE63" w14:textId="77777777" w:rsidTr="0072673B">
        <w:trPr>
          <w:trHeight w:val="57"/>
          <w:jc w:val="right"/>
        </w:trPr>
        <w:tc>
          <w:tcPr>
            <w:tcW w:w="1962" w:type="dxa"/>
            <w:tcBorders>
              <w:top w:val="nil"/>
              <w:left w:val="nil"/>
              <w:bottom w:val="nil"/>
              <w:right w:val="nil"/>
            </w:tcBorders>
            <w:hideMark/>
          </w:tcPr>
          <w:p w14:paraId="5C3C1A51" w14:textId="77777777" w:rsidR="00444B7D" w:rsidRPr="009C2953" w:rsidRDefault="00444B7D" w:rsidP="00073FDF">
            <w:pPr>
              <w:pStyle w:val="Normal-pool"/>
              <w:spacing w:before="40" w:after="40"/>
              <w:rPr>
                <w:b/>
                <w:sz w:val="18"/>
                <w:szCs w:val="18"/>
              </w:rPr>
            </w:pPr>
            <w:proofErr w:type="spellStart"/>
            <w:r w:rsidRPr="009C2953">
              <w:rPr>
                <w:sz w:val="18"/>
              </w:rPr>
              <w:t>Norvège</w:t>
            </w:r>
            <w:r w:rsidRPr="009C2953">
              <w:rPr>
                <w:sz w:val="18"/>
                <w:vertAlign w:val="superscript"/>
              </w:rPr>
              <w:t>b</w:t>
            </w:r>
            <w:proofErr w:type="spellEnd"/>
          </w:p>
        </w:tc>
        <w:tc>
          <w:tcPr>
            <w:tcW w:w="2717" w:type="dxa"/>
            <w:tcBorders>
              <w:top w:val="nil"/>
              <w:left w:val="nil"/>
              <w:bottom w:val="nil"/>
              <w:right w:val="nil"/>
            </w:tcBorders>
            <w:hideMark/>
          </w:tcPr>
          <w:p w14:paraId="08CA800D" w14:textId="14F05617" w:rsidR="00444B7D" w:rsidRPr="009C2953" w:rsidRDefault="00444B7D" w:rsidP="00073FDF">
            <w:pPr>
              <w:pStyle w:val="Normal-pool"/>
              <w:spacing w:before="40" w:after="40"/>
              <w:rPr>
                <w:b/>
                <w:sz w:val="18"/>
                <w:szCs w:val="18"/>
              </w:rPr>
            </w:pPr>
            <w:r w:rsidRPr="009C2953">
              <w:rPr>
                <w:sz w:val="18"/>
              </w:rPr>
              <w:t>Appui à l</w:t>
            </w:r>
            <w:r w:rsidR="00EA2966" w:rsidRPr="009C2953">
              <w:rPr>
                <w:sz w:val="18"/>
              </w:rPr>
              <w:t>’</w:t>
            </w:r>
            <w:r w:rsidRPr="009C2953">
              <w:rPr>
                <w:sz w:val="18"/>
              </w:rPr>
              <w:t>atelier sur le climat et la biodiversité coparrainé par le GIEC et l</w:t>
            </w:r>
            <w:r w:rsidR="00EA2966" w:rsidRPr="009C2953">
              <w:rPr>
                <w:sz w:val="18"/>
              </w:rPr>
              <w:t>’</w:t>
            </w:r>
            <w:r w:rsidRPr="009C2953">
              <w:rPr>
                <w:sz w:val="18"/>
              </w:rPr>
              <w:t>IPBES</w:t>
            </w:r>
          </w:p>
        </w:tc>
        <w:tc>
          <w:tcPr>
            <w:tcW w:w="1275" w:type="dxa"/>
            <w:tcBorders>
              <w:top w:val="nil"/>
              <w:left w:val="nil"/>
              <w:bottom w:val="nil"/>
              <w:right w:val="nil"/>
            </w:tcBorders>
            <w:hideMark/>
          </w:tcPr>
          <w:p w14:paraId="5B9F3868" w14:textId="77777777" w:rsidR="00444B7D" w:rsidRPr="009C2953" w:rsidRDefault="00444B7D" w:rsidP="00073FDF">
            <w:pPr>
              <w:pStyle w:val="Normal-pool"/>
              <w:spacing w:before="40" w:after="40"/>
              <w:rPr>
                <w:b/>
                <w:sz w:val="18"/>
                <w:szCs w:val="18"/>
              </w:rPr>
            </w:pPr>
            <w:r w:rsidRPr="009C2953">
              <w:rPr>
                <w:sz w:val="18"/>
              </w:rPr>
              <w:t>Appui aux réunions</w:t>
            </w:r>
          </w:p>
        </w:tc>
        <w:tc>
          <w:tcPr>
            <w:tcW w:w="891" w:type="dxa"/>
            <w:tcBorders>
              <w:top w:val="nil"/>
              <w:left w:val="nil"/>
              <w:bottom w:val="nil"/>
              <w:right w:val="nil"/>
            </w:tcBorders>
            <w:vAlign w:val="bottom"/>
          </w:tcPr>
          <w:p w14:paraId="0643C4C7" w14:textId="77777777" w:rsidR="00444B7D" w:rsidRPr="009C2953" w:rsidRDefault="00444B7D" w:rsidP="00073FDF">
            <w:pPr>
              <w:pStyle w:val="Normal-pool"/>
              <w:spacing w:before="40" w:after="40"/>
              <w:jc w:val="right"/>
              <w:rPr>
                <w:b/>
                <w:sz w:val="18"/>
                <w:szCs w:val="18"/>
              </w:rPr>
            </w:pPr>
          </w:p>
        </w:tc>
        <w:tc>
          <w:tcPr>
            <w:tcW w:w="932" w:type="dxa"/>
            <w:tcBorders>
              <w:top w:val="nil"/>
              <w:left w:val="nil"/>
              <w:bottom w:val="nil"/>
              <w:right w:val="nil"/>
            </w:tcBorders>
            <w:vAlign w:val="bottom"/>
          </w:tcPr>
          <w:p w14:paraId="70E0B558" w14:textId="77777777" w:rsidR="00444B7D" w:rsidRPr="009C2953" w:rsidRDefault="00444B7D" w:rsidP="00073FDF">
            <w:pPr>
              <w:pStyle w:val="Normal-pool"/>
              <w:spacing w:before="40" w:after="40"/>
              <w:jc w:val="right"/>
              <w:rPr>
                <w:b/>
                <w:sz w:val="18"/>
                <w:szCs w:val="18"/>
              </w:rPr>
            </w:pPr>
          </w:p>
        </w:tc>
        <w:tc>
          <w:tcPr>
            <w:tcW w:w="1013" w:type="dxa"/>
            <w:tcBorders>
              <w:top w:val="nil"/>
              <w:left w:val="nil"/>
              <w:bottom w:val="nil"/>
              <w:right w:val="nil"/>
            </w:tcBorders>
            <w:vAlign w:val="bottom"/>
            <w:hideMark/>
          </w:tcPr>
          <w:p w14:paraId="7799F3DE" w14:textId="77777777" w:rsidR="00444B7D" w:rsidRPr="009C2953" w:rsidRDefault="00444B7D" w:rsidP="00073FDF">
            <w:pPr>
              <w:pStyle w:val="Normal-pool"/>
              <w:spacing w:before="40" w:after="40"/>
              <w:jc w:val="right"/>
              <w:rPr>
                <w:b/>
                <w:sz w:val="18"/>
                <w:szCs w:val="18"/>
              </w:rPr>
            </w:pPr>
            <w:r w:rsidRPr="009C2953">
              <w:rPr>
                <w:sz w:val="18"/>
              </w:rPr>
              <w:t>39 325</w:t>
            </w:r>
          </w:p>
        </w:tc>
        <w:tc>
          <w:tcPr>
            <w:tcW w:w="851" w:type="dxa"/>
            <w:tcBorders>
              <w:top w:val="nil"/>
              <w:left w:val="nil"/>
              <w:bottom w:val="nil"/>
              <w:right w:val="nil"/>
            </w:tcBorders>
            <w:vAlign w:val="bottom"/>
          </w:tcPr>
          <w:p w14:paraId="682D7213" w14:textId="77777777" w:rsidR="00444B7D" w:rsidRPr="009C2953" w:rsidRDefault="00444B7D" w:rsidP="00073FDF">
            <w:pPr>
              <w:pStyle w:val="Normal-pool"/>
              <w:spacing w:before="40" w:after="40"/>
              <w:jc w:val="right"/>
              <w:rPr>
                <w:b/>
                <w:sz w:val="18"/>
                <w:szCs w:val="18"/>
              </w:rPr>
            </w:pPr>
          </w:p>
        </w:tc>
        <w:tc>
          <w:tcPr>
            <w:tcW w:w="992" w:type="dxa"/>
            <w:tcBorders>
              <w:top w:val="nil"/>
              <w:left w:val="nil"/>
              <w:bottom w:val="nil"/>
              <w:right w:val="nil"/>
            </w:tcBorders>
            <w:vAlign w:val="bottom"/>
          </w:tcPr>
          <w:p w14:paraId="327E286E" w14:textId="77777777" w:rsidR="00444B7D" w:rsidRPr="009C2953" w:rsidRDefault="00444B7D" w:rsidP="00073FDF">
            <w:pPr>
              <w:pStyle w:val="Normal-pool"/>
              <w:spacing w:before="40" w:after="40"/>
              <w:jc w:val="right"/>
              <w:rPr>
                <w:b/>
                <w:sz w:val="18"/>
                <w:szCs w:val="18"/>
              </w:rPr>
            </w:pPr>
          </w:p>
        </w:tc>
        <w:tc>
          <w:tcPr>
            <w:tcW w:w="903" w:type="dxa"/>
            <w:tcBorders>
              <w:top w:val="nil"/>
              <w:left w:val="nil"/>
              <w:bottom w:val="nil"/>
              <w:right w:val="single" w:sz="4" w:space="0" w:color="000000"/>
            </w:tcBorders>
            <w:vAlign w:val="bottom"/>
          </w:tcPr>
          <w:p w14:paraId="2CE1E286" w14:textId="77777777" w:rsidR="00444B7D" w:rsidRPr="009C2953" w:rsidRDefault="00444B7D" w:rsidP="00073FDF">
            <w:pPr>
              <w:pStyle w:val="Normal-pool"/>
              <w:spacing w:before="40" w:after="40"/>
              <w:jc w:val="right"/>
              <w:rPr>
                <w:b/>
                <w:sz w:val="18"/>
                <w:szCs w:val="18"/>
              </w:rPr>
            </w:pPr>
          </w:p>
        </w:tc>
        <w:tc>
          <w:tcPr>
            <w:tcW w:w="969" w:type="dxa"/>
            <w:tcBorders>
              <w:top w:val="nil"/>
              <w:left w:val="single" w:sz="4" w:space="0" w:color="000000"/>
              <w:bottom w:val="nil"/>
              <w:right w:val="nil"/>
            </w:tcBorders>
            <w:vAlign w:val="bottom"/>
          </w:tcPr>
          <w:p w14:paraId="70BBEAFF" w14:textId="77777777" w:rsidR="00444B7D" w:rsidRPr="009C2953" w:rsidRDefault="00444B7D" w:rsidP="00073FDF">
            <w:pPr>
              <w:pStyle w:val="Normal-pool"/>
              <w:spacing w:before="40" w:after="40"/>
              <w:jc w:val="right"/>
              <w:rPr>
                <w:b/>
                <w:sz w:val="18"/>
                <w:szCs w:val="18"/>
              </w:rPr>
            </w:pPr>
          </w:p>
        </w:tc>
        <w:tc>
          <w:tcPr>
            <w:tcW w:w="962" w:type="dxa"/>
            <w:tcBorders>
              <w:top w:val="nil"/>
              <w:left w:val="nil"/>
              <w:bottom w:val="nil"/>
              <w:right w:val="nil"/>
            </w:tcBorders>
            <w:vAlign w:val="bottom"/>
            <w:hideMark/>
          </w:tcPr>
          <w:p w14:paraId="74331AF1" w14:textId="77777777" w:rsidR="00444B7D" w:rsidRPr="009C2953" w:rsidRDefault="00444B7D" w:rsidP="00073FDF">
            <w:pPr>
              <w:pStyle w:val="Normal-pool"/>
              <w:spacing w:before="40" w:after="40"/>
              <w:rPr>
                <w:b/>
                <w:sz w:val="18"/>
                <w:szCs w:val="18"/>
              </w:rPr>
            </w:pPr>
            <w:r w:rsidRPr="009C2953">
              <w:rPr>
                <w:sz w:val="18"/>
              </w:rPr>
              <w:t xml:space="preserve"> </w:t>
            </w:r>
          </w:p>
        </w:tc>
        <w:tc>
          <w:tcPr>
            <w:tcW w:w="962" w:type="dxa"/>
            <w:tcBorders>
              <w:top w:val="nil"/>
              <w:left w:val="nil"/>
              <w:bottom w:val="nil"/>
              <w:right w:val="nil"/>
            </w:tcBorders>
            <w:vAlign w:val="bottom"/>
          </w:tcPr>
          <w:p w14:paraId="679D7560" w14:textId="77777777" w:rsidR="00444B7D" w:rsidRPr="009C2953" w:rsidRDefault="00444B7D" w:rsidP="00073FDF">
            <w:pPr>
              <w:pStyle w:val="Normal-pool"/>
              <w:spacing w:before="40" w:after="40"/>
              <w:rPr>
                <w:b/>
                <w:sz w:val="18"/>
                <w:szCs w:val="18"/>
              </w:rPr>
            </w:pPr>
          </w:p>
        </w:tc>
      </w:tr>
      <w:tr w:rsidR="00073FDF" w:rsidRPr="009C2953" w14:paraId="16DD9953" w14:textId="77777777" w:rsidTr="0072673B">
        <w:trPr>
          <w:trHeight w:val="57"/>
          <w:jc w:val="right"/>
        </w:trPr>
        <w:tc>
          <w:tcPr>
            <w:tcW w:w="1962" w:type="dxa"/>
            <w:tcBorders>
              <w:top w:val="single" w:sz="4" w:space="0" w:color="000000"/>
              <w:left w:val="nil"/>
              <w:bottom w:val="single" w:sz="4" w:space="0" w:color="000000"/>
              <w:right w:val="nil"/>
            </w:tcBorders>
            <w:hideMark/>
          </w:tcPr>
          <w:p w14:paraId="0E1A5F2D" w14:textId="77777777" w:rsidR="00073FDF" w:rsidRPr="009C2953" w:rsidRDefault="00073FDF" w:rsidP="00073FDF">
            <w:pPr>
              <w:pStyle w:val="Normal-pool"/>
              <w:spacing w:before="40" w:after="40"/>
              <w:rPr>
                <w:b/>
                <w:bCs/>
                <w:sz w:val="18"/>
                <w:szCs w:val="18"/>
              </w:rPr>
            </w:pPr>
            <w:r w:rsidRPr="009C2953">
              <w:rPr>
                <w:b/>
                <w:sz w:val="18"/>
              </w:rPr>
              <w:t>Total 2</w:t>
            </w:r>
          </w:p>
        </w:tc>
        <w:tc>
          <w:tcPr>
            <w:tcW w:w="2717" w:type="dxa"/>
            <w:tcBorders>
              <w:top w:val="single" w:sz="4" w:space="0" w:color="000000"/>
              <w:left w:val="nil"/>
              <w:bottom w:val="single" w:sz="4" w:space="0" w:color="000000"/>
              <w:right w:val="nil"/>
            </w:tcBorders>
          </w:tcPr>
          <w:p w14:paraId="24C1E82A" w14:textId="77777777" w:rsidR="00073FDF" w:rsidRPr="009C2953" w:rsidRDefault="00073FDF" w:rsidP="00073FDF">
            <w:pPr>
              <w:pStyle w:val="Normal-pool"/>
              <w:spacing w:before="40" w:after="40"/>
              <w:rPr>
                <w:b/>
                <w:bCs/>
                <w:sz w:val="18"/>
                <w:szCs w:val="18"/>
              </w:rPr>
            </w:pPr>
          </w:p>
        </w:tc>
        <w:tc>
          <w:tcPr>
            <w:tcW w:w="1275" w:type="dxa"/>
            <w:tcBorders>
              <w:top w:val="single" w:sz="4" w:space="0" w:color="000000"/>
              <w:left w:val="nil"/>
              <w:bottom w:val="single" w:sz="4" w:space="0" w:color="000000"/>
              <w:right w:val="nil"/>
            </w:tcBorders>
          </w:tcPr>
          <w:p w14:paraId="3DF44A2E" w14:textId="77777777" w:rsidR="00073FDF" w:rsidRPr="009C2953" w:rsidRDefault="00073FDF" w:rsidP="00073FDF">
            <w:pPr>
              <w:pStyle w:val="Normal-pool"/>
              <w:spacing w:before="40" w:after="40"/>
              <w:rPr>
                <w:b/>
                <w:bCs/>
                <w:sz w:val="18"/>
                <w:szCs w:val="18"/>
              </w:rPr>
            </w:pPr>
          </w:p>
        </w:tc>
        <w:tc>
          <w:tcPr>
            <w:tcW w:w="891" w:type="dxa"/>
            <w:tcBorders>
              <w:top w:val="single" w:sz="4" w:space="0" w:color="000000"/>
              <w:left w:val="nil"/>
              <w:bottom w:val="single" w:sz="4" w:space="0" w:color="000000"/>
              <w:right w:val="nil"/>
            </w:tcBorders>
            <w:vAlign w:val="bottom"/>
            <w:hideMark/>
          </w:tcPr>
          <w:p w14:paraId="5FCEA605" w14:textId="77777777" w:rsidR="00073FDF" w:rsidRPr="009C2953" w:rsidRDefault="00073FDF" w:rsidP="00073FDF">
            <w:pPr>
              <w:pStyle w:val="Normal-pool"/>
              <w:spacing w:before="40" w:after="40"/>
              <w:jc w:val="right"/>
              <w:rPr>
                <w:b/>
                <w:bCs/>
                <w:sz w:val="18"/>
                <w:szCs w:val="18"/>
              </w:rPr>
            </w:pPr>
            <w:r w:rsidRPr="009C2953">
              <w:rPr>
                <w:b/>
                <w:sz w:val="18"/>
              </w:rPr>
              <w:t>355 065</w:t>
            </w:r>
          </w:p>
        </w:tc>
        <w:tc>
          <w:tcPr>
            <w:tcW w:w="932" w:type="dxa"/>
            <w:tcBorders>
              <w:top w:val="single" w:sz="4" w:space="0" w:color="000000"/>
              <w:left w:val="nil"/>
              <w:bottom w:val="single" w:sz="4" w:space="0" w:color="000000"/>
              <w:right w:val="nil"/>
            </w:tcBorders>
            <w:vAlign w:val="bottom"/>
            <w:hideMark/>
          </w:tcPr>
          <w:p w14:paraId="15C3E975" w14:textId="77777777" w:rsidR="00073FDF" w:rsidRPr="009C2953" w:rsidRDefault="00073FDF" w:rsidP="00073FDF">
            <w:pPr>
              <w:pStyle w:val="Normal-pool"/>
              <w:spacing w:before="40" w:after="40"/>
              <w:jc w:val="right"/>
              <w:rPr>
                <w:b/>
                <w:bCs/>
                <w:sz w:val="18"/>
                <w:szCs w:val="18"/>
              </w:rPr>
            </w:pPr>
            <w:r w:rsidRPr="009C2953">
              <w:rPr>
                <w:b/>
                <w:sz w:val="18"/>
              </w:rPr>
              <w:t>265 114</w:t>
            </w:r>
          </w:p>
        </w:tc>
        <w:tc>
          <w:tcPr>
            <w:tcW w:w="1013" w:type="dxa"/>
            <w:tcBorders>
              <w:top w:val="single" w:sz="4" w:space="0" w:color="000000"/>
              <w:left w:val="nil"/>
              <w:bottom w:val="single" w:sz="4" w:space="0" w:color="000000"/>
              <w:right w:val="nil"/>
            </w:tcBorders>
            <w:vAlign w:val="bottom"/>
            <w:hideMark/>
          </w:tcPr>
          <w:p w14:paraId="17DFE69A" w14:textId="77777777" w:rsidR="00073FDF" w:rsidRPr="009C2953" w:rsidRDefault="00073FDF" w:rsidP="00073FDF">
            <w:pPr>
              <w:pStyle w:val="Normal-pool"/>
              <w:spacing w:before="40" w:after="40"/>
              <w:jc w:val="right"/>
              <w:rPr>
                <w:b/>
                <w:bCs/>
                <w:sz w:val="18"/>
                <w:szCs w:val="18"/>
              </w:rPr>
            </w:pPr>
            <w:r w:rsidRPr="009C2953">
              <w:rPr>
                <w:b/>
                <w:sz w:val="18"/>
              </w:rPr>
              <w:t>77 989</w:t>
            </w:r>
          </w:p>
        </w:tc>
        <w:tc>
          <w:tcPr>
            <w:tcW w:w="851" w:type="dxa"/>
            <w:tcBorders>
              <w:top w:val="single" w:sz="4" w:space="0" w:color="000000"/>
              <w:left w:val="nil"/>
              <w:bottom w:val="single" w:sz="4" w:space="0" w:color="000000"/>
              <w:right w:val="nil"/>
            </w:tcBorders>
            <w:vAlign w:val="bottom"/>
          </w:tcPr>
          <w:p w14:paraId="039E6529" w14:textId="77777777" w:rsidR="00073FDF" w:rsidRPr="009C2953" w:rsidRDefault="00073FDF" w:rsidP="00073FDF">
            <w:pPr>
              <w:pStyle w:val="Normal-pool"/>
              <w:spacing w:before="40" w:after="40"/>
              <w:jc w:val="right"/>
              <w:rPr>
                <w:b/>
                <w:bCs/>
                <w:sz w:val="18"/>
                <w:szCs w:val="18"/>
              </w:rPr>
            </w:pPr>
          </w:p>
        </w:tc>
        <w:tc>
          <w:tcPr>
            <w:tcW w:w="992" w:type="dxa"/>
            <w:tcBorders>
              <w:top w:val="single" w:sz="4" w:space="0" w:color="000000"/>
              <w:left w:val="nil"/>
              <w:bottom w:val="single" w:sz="4" w:space="0" w:color="000000"/>
              <w:right w:val="nil"/>
            </w:tcBorders>
            <w:vAlign w:val="bottom"/>
            <w:hideMark/>
          </w:tcPr>
          <w:p w14:paraId="6E9B86BF" w14:textId="77777777" w:rsidR="00073FDF" w:rsidRPr="009C2953" w:rsidRDefault="00073FDF" w:rsidP="00073FDF">
            <w:pPr>
              <w:pStyle w:val="Normal-pool"/>
              <w:spacing w:before="40" w:after="40"/>
              <w:jc w:val="right"/>
              <w:rPr>
                <w:b/>
                <w:bCs/>
                <w:sz w:val="18"/>
                <w:szCs w:val="18"/>
              </w:rPr>
            </w:pPr>
            <w:r w:rsidRPr="009C2953">
              <w:rPr>
                <w:b/>
                <w:sz w:val="18"/>
              </w:rPr>
              <w:t>2 277 367</w:t>
            </w:r>
          </w:p>
        </w:tc>
        <w:tc>
          <w:tcPr>
            <w:tcW w:w="903" w:type="dxa"/>
            <w:tcBorders>
              <w:top w:val="single" w:sz="4" w:space="0" w:color="000000"/>
              <w:left w:val="nil"/>
              <w:bottom w:val="single" w:sz="4" w:space="0" w:color="000000"/>
              <w:right w:val="single" w:sz="4" w:space="0" w:color="000000"/>
            </w:tcBorders>
            <w:vAlign w:val="bottom"/>
          </w:tcPr>
          <w:p w14:paraId="5F8D37B5" w14:textId="77777777" w:rsidR="00073FDF" w:rsidRPr="009C2953" w:rsidRDefault="00073FDF" w:rsidP="00073FDF">
            <w:pPr>
              <w:pStyle w:val="Normal-pool"/>
              <w:spacing w:before="40" w:after="40"/>
              <w:jc w:val="right"/>
              <w:rPr>
                <w:b/>
                <w:bCs/>
                <w:sz w:val="18"/>
                <w:szCs w:val="18"/>
              </w:rPr>
            </w:pPr>
          </w:p>
        </w:tc>
        <w:tc>
          <w:tcPr>
            <w:tcW w:w="969" w:type="dxa"/>
            <w:tcBorders>
              <w:top w:val="single" w:sz="4" w:space="0" w:color="000000"/>
              <w:left w:val="single" w:sz="4" w:space="0" w:color="000000"/>
              <w:bottom w:val="single" w:sz="4" w:space="0" w:color="000000"/>
              <w:right w:val="nil"/>
            </w:tcBorders>
            <w:vAlign w:val="bottom"/>
          </w:tcPr>
          <w:p w14:paraId="479F115E" w14:textId="77777777" w:rsidR="00073FDF" w:rsidRPr="009C2953" w:rsidRDefault="00073FDF" w:rsidP="00073FDF">
            <w:pPr>
              <w:pStyle w:val="Normal-pool"/>
              <w:spacing w:before="40" w:after="40"/>
              <w:jc w:val="right"/>
              <w:rPr>
                <w:b/>
                <w:bCs/>
                <w:sz w:val="18"/>
                <w:szCs w:val="18"/>
              </w:rPr>
            </w:pPr>
          </w:p>
        </w:tc>
        <w:tc>
          <w:tcPr>
            <w:tcW w:w="962" w:type="dxa"/>
            <w:tcBorders>
              <w:top w:val="single" w:sz="4" w:space="0" w:color="000000"/>
              <w:left w:val="nil"/>
              <w:bottom w:val="single" w:sz="4" w:space="0" w:color="000000"/>
              <w:right w:val="nil"/>
            </w:tcBorders>
            <w:vAlign w:val="bottom"/>
          </w:tcPr>
          <w:p w14:paraId="3C6A0B3B" w14:textId="77777777" w:rsidR="00073FDF" w:rsidRPr="009C2953" w:rsidRDefault="00073FDF" w:rsidP="00073FDF">
            <w:pPr>
              <w:pStyle w:val="Normal-pool"/>
              <w:spacing w:before="40" w:after="40"/>
              <w:jc w:val="right"/>
              <w:rPr>
                <w:b/>
                <w:bCs/>
                <w:sz w:val="18"/>
                <w:szCs w:val="18"/>
              </w:rPr>
            </w:pPr>
          </w:p>
        </w:tc>
        <w:tc>
          <w:tcPr>
            <w:tcW w:w="962" w:type="dxa"/>
            <w:tcBorders>
              <w:top w:val="single" w:sz="4" w:space="0" w:color="000000"/>
              <w:left w:val="nil"/>
              <w:bottom w:val="single" w:sz="4" w:space="0" w:color="000000"/>
              <w:right w:val="nil"/>
            </w:tcBorders>
            <w:vAlign w:val="bottom"/>
          </w:tcPr>
          <w:p w14:paraId="4B3DA63B" w14:textId="77777777" w:rsidR="00073FDF" w:rsidRPr="009C2953" w:rsidRDefault="00073FDF" w:rsidP="00073FDF">
            <w:pPr>
              <w:pStyle w:val="Normal-pool"/>
              <w:spacing w:before="40" w:after="40"/>
              <w:jc w:val="right"/>
              <w:rPr>
                <w:b/>
                <w:bCs/>
                <w:sz w:val="18"/>
                <w:szCs w:val="18"/>
              </w:rPr>
            </w:pPr>
          </w:p>
        </w:tc>
      </w:tr>
      <w:tr w:rsidR="00FA7442" w:rsidRPr="009C2953" w14:paraId="18ABDCB7" w14:textId="77777777" w:rsidTr="002706E3">
        <w:trPr>
          <w:trHeight w:val="57"/>
          <w:jc w:val="right"/>
        </w:trPr>
        <w:tc>
          <w:tcPr>
            <w:tcW w:w="1962" w:type="dxa"/>
            <w:tcBorders>
              <w:top w:val="single" w:sz="4" w:space="0" w:color="000000"/>
              <w:left w:val="nil"/>
              <w:bottom w:val="single" w:sz="12" w:space="0" w:color="auto"/>
              <w:right w:val="nil"/>
            </w:tcBorders>
            <w:hideMark/>
          </w:tcPr>
          <w:p w14:paraId="1DC6347D" w14:textId="77777777" w:rsidR="00FA7442" w:rsidRPr="009C2953" w:rsidRDefault="00FA7442" w:rsidP="00073FDF">
            <w:pPr>
              <w:pStyle w:val="Normal-pool"/>
              <w:spacing w:before="40" w:after="40"/>
              <w:rPr>
                <w:b/>
                <w:bCs/>
                <w:sz w:val="18"/>
                <w:szCs w:val="18"/>
              </w:rPr>
            </w:pPr>
            <w:r w:rsidRPr="009C2953">
              <w:rPr>
                <w:b/>
                <w:sz w:val="18"/>
              </w:rPr>
              <w:t>Total 1 + 2</w:t>
            </w:r>
          </w:p>
        </w:tc>
        <w:tc>
          <w:tcPr>
            <w:tcW w:w="2717" w:type="dxa"/>
            <w:tcBorders>
              <w:top w:val="single" w:sz="4" w:space="0" w:color="000000"/>
              <w:left w:val="nil"/>
              <w:bottom w:val="single" w:sz="12" w:space="0" w:color="auto"/>
              <w:right w:val="nil"/>
            </w:tcBorders>
          </w:tcPr>
          <w:p w14:paraId="57D861CC" w14:textId="77777777" w:rsidR="00FA7442" w:rsidRPr="009C2953" w:rsidRDefault="00FA7442" w:rsidP="00073FDF">
            <w:pPr>
              <w:pStyle w:val="Normal-pool"/>
              <w:spacing w:before="40" w:after="40"/>
              <w:rPr>
                <w:b/>
                <w:bCs/>
                <w:sz w:val="18"/>
                <w:szCs w:val="18"/>
              </w:rPr>
            </w:pPr>
          </w:p>
        </w:tc>
        <w:tc>
          <w:tcPr>
            <w:tcW w:w="2166" w:type="dxa"/>
            <w:gridSpan w:val="2"/>
            <w:tcBorders>
              <w:top w:val="single" w:sz="4" w:space="0" w:color="000000"/>
              <w:left w:val="nil"/>
              <w:bottom w:val="single" w:sz="12" w:space="0" w:color="auto"/>
              <w:right w:val="nil"/>
            </w:tcBorders>
          </w:tcPr>
          <w:p w14:paraId="02F8885A" w14:textId="77777777" w:rsidR="00FA7442" w:rsidRPr="009C2953" w:rsidRDefault="00FA7442" w:rsidP="00FA7442">
            <w:pPr>
              <w:pStyle w:val="Normal-pool"/>
              <w:spacing w:before="40" w:after="40"/>
              <w:jc w:val="right"/>
              <w:rPr>
                <w:b/>
                <w:bCs/>
                <w:sz w:val="18"/>
                <w:szCs w:val="18"/>
              </w:rPr>
            </w:pPr>
            <w:r w:rsidRPr="009C2953">
              <w:rPr>
                <w:b/>
                <w:sz w:val="18"/>
              </w:rPr>
              <w:t>1 117 </w:t>
            </w:r>
            <w:r w:rsidRPr="00FA7442">
              <w:rPr>
                <w:b/>
                <w:bCs/>
                <w:sz w:val="18"/>
              </w:rPr>
              <w:t>896</w:t>
            </w:r>
          </w:p>
        </w:tc>
        <w:tc>
          <w:tcPr>
            <w:tcW w:w="932" w:type="dxa"/>
            <w:tcBorders>
              <w:top w:val="single" w:sz="4" w:space="0" w:color="000000"/>
              <w:left w:val="nil"/>
              <w:bottom w:val="single" w:sz="12" w:space="0" w:color="auto"/>
              <w:right w:val="nil"/>
            </w:tcBorders>
            <w:vAlign w:val="bottom"/>
            <w:hideMark/>
          </w:tcPr>
          <w:p w14:paraId="13938A63" w14:textId="77777777" w:rsidR="00FA7442" w:rsidRPr="009C2953" w:rsidRDefault="00FA7442" w:rsidP="00073FDF">
            <w:pPr>
              <w:pStyle w:val="Normal-pool"/>
              <w:spacing w:before="40" w:after="40"/>
              <w:jc w:val="right"/>
              <w:rPr>
                <w:b/>
                <w:bCs/>
                <w:sz w:val="18"/>
                <w:szCs w:val="18"/>
              </w:rPr>
            </w:pPr>
            <w:r w:rsidRPr="009C2953">
              <w:rPr>
                <w:b/>
                <w:sz w:val="18"/>
              </w:rPr>
              <w:t>683 450</w:t>
            </w:r>
          </w:p>
        </w:tc>
        <w:tc>
          <w:tcPr>
            <w:tcW w:w="1013" w:type="dxa"/>
            <w:tcBorders>
              <w:top w:val="single" w:sz="4" w:space="0" w:color="000000"/>
              <w:left w:val="nil"/>
              <w:bottom w:val="single" w:sz="12" w:space="0" w:color="auto"/>
              <w:right w:val="nil"/>
            </w:tcBorders>
            <w:vAlign w:val="bottom"/>
            <w:hideMark/>
          </w:tcPr>
          <w:p w14:paraId="1E30B975" w14:textId="77777777" w:rsidR="00FA7442" w:rsidRPr="009C2953" w:rsidRDefault="00FA7442" w:rsidP="00073FDF">
            <w:pPr>
              <w:pStyle w:val="Normal-pool"/>
              <w:spacing w:before="40" w:after="40"/>
              <w:jc w:val="right"/>
              <w:rPr>
                <w:b/>
                <w:bCs/>
                <w:sz w:val="18"/>
                <w:szCs w:val="18"/>
              </w:rPr>
            </w:pPr>
            <w:r w:rsidRPr="009C2953">
              <w:rPr>
                <w:b/>
                <w:sz w:val="18"/>
              </w:rPr>
              <w:t>343 168</w:t>
            </w:r>
          </w:p>
        </w:tc>
        <w:tc>
          <w:tcPr>
            <w:tcW w:w="851" w:type="dxa"/>
            <w:tcBorders>
              <w:top w:val="single" w:sz="4" w:space="0" w:color="000000"/>
              <w:left w:val="nil"/>
              <w:bottom w:val="single" w:sz="12" w:space="0" w:color="auto"/>
              <w:right w:val="nil"/>
            </w:tcBorders>
            <w:vAlign w:val="bottom"/>
            <w:hideMark/>
          </w:tcPr>
          <w:p w14:paraId="4E477E8B" w14:textId="77777777" w:rsidR="00FA7442" w:rsidRPr="009C2953" w:rsidRDefault="00FA7442" w:rsidP="00073FDF">
            <w:pPr>
              <w:pStyle w:val="Normal-pool"/>
              <w:spacing w:before="40" w:after="40"/>
              <w:jc w:val="right"/>
              <w:rPr>
                <w:b/>
                <w:bCs/>
                <w:sz w:val="18"/>
                <w:szCs w:val="18"/>
              </w:rPr>
            </w:pPr>
            <w:r w:rsidRPr="009C2953">
              <w:rPr>
                <w:b/>
                <w:sz w:val="18"/>
              </w:rPr>
              <w:t>158 082</w:t>
            </w:r>
          </w:p>
        </w:tc>
        <w:tc>
          <w:tcPr>
            <w:tcW w:w="992" w:type="dxa"/>
            <w:tcBorders>
              <w:top w:val="single" w:sz="4" w:space="0" w:color="000000"/>
              <w:left w:val="nil"/>
              <w:bottom w:val="single" w:sz="12" w:space="0" w:color="auto"/>
              <w:right w:val="nil"/>
            </w:tcBorders>
            <w:vAlign w:val="bottom"/>
            <w:hideMark/>
          </w:tcPr>
          <w:p w14:paraId="27CE6773" w14:textId="77777777" w:rsidR="00FA7442" w:rsidRPr="009C2953" w:rsidRDefault="00FA7442" w:rsidP="00073FDF">
            <w:pPr>
              <w:pStyle w:val="Normal-pool"/>
              <w:spacing w:before="40" w:after="40"/>
              <w:jc w:val="right"/>
              <w:rPr>
                <w:b/>
                <w:bCs/>
                <w:sz w:val="18"/>
                <w:szCs w:val="18"/>
              </w:rPr>
            </w:pPr>
            <w:r w:rsidRPr="009C2953">
              <w:rPr>
                <w:b/>
                <w:sz w:val="18"/>
              </w:rPr>
              <w:t>3 131 232</w:t>
            </w:r>
          </w:p>
        </w:tc>
        <w:tc>
          <w:tcPr>
            <w:tcW w:w="903" w:type="dxa"/>
            <w:tcBorders>
              <w:top w:val="single" w:sz="4" w:space="0" w:color="000000"/>
              <w:left w:val="nil"/>
              <w:bottom w:val="single" w:sz="12" w:space="0" w:color="auto"/>
              <w:right w:val="single" w:sz="4" w:space="0" w:color="000000"/>
            </w:tcBorders>
            <w:vAlign w:val="bottom"/>
            <w:hideMark/>
          </w:tcPr>
          <w:p w14:paraId="34636F29" w14:textId="77777777" w:rsidR="00FA7442" w:rsidRPr="009C2953" w:rsidRDefault="00FA7442" w:rsidP="00073FDF">
            <w:pPr>
              <w:pStyle w:val="Normal-pool"/>
              <w:spacing w:before="40" w:after="40"/>
              <w:jc w:val="right"/>
              <w:rPr>
                <w:b/>
                <w:bCs/>
                <w:sz w:val="18"/>
                <w:szCs w:val="18"/>
              </w:rPr>
            </w:pPr>
            <w:r w:rsidRPr="009C2953">
              <w:rPr>
                <w:b/>
                <w:sz w:val="18"/>
              </w:rPr>
              <w:t>121 581</w:t>
            </w:r>
          </w:p>
        </w:tc>
        <w:tc>
          <w:tcPr>
            <w:tcW w:w="969" w:type="dxa"/>
            <w:tcBorders>
              <w:top w:val="single" w:sz="4" w:space="0" w:color="000000"/>
              <w:left w:val="single" w:sz="4" w:space="0" w:color="000000"/>
              <w:bottom w:val="single" w:sz="12" w:space="0" w:color="auto"/>
              <w:right w:val="nil"/>
            </w:tcBorders>
            <w:vAlign w:val="bottom"/>
            <w:hideMark/>
          </w:tcPr>
          <w:p w14:paraId="65AC3D34" w14:textId="77777777" w:rsidR="00FA7442" w:rsidRPr="009C2953" w:rsidRDefault="00FA7442" w:rsidP="00073FDF">
            <w:pPr>
              <w:pStyle w:val="Normal-pool"/>
              <w:spacing w:before="40" w:after="40"/>
              <w:jc w:val="right"/>
              <w:rPr>
                <w:b/>
                <w:bCs/>
                <w:sz w:val="18"/>
                <w:szCs w:val="18"/>
              </w:rPr>
            </w:pPr>
            <w:r w:rsidRPr="009C2953">
              <w:rPr>
                <w:b/>
                <w:sz w:val="18"/>
              </w:rPr>
              <w:t>99 010</w:t>
            </w:r>
          </w:p>
        </w:tc>
        <w:tc>
          <w:tcPr>
            <w:tcW w:w="962" w:type="dxa"/>
            <w:tcBorders>
              <w:top w:val="single" w:sz="4" w:space="0" w:color="000000"/>
              <w:left w:val="nil"/>
              <w:bottom w:val="single" w:sz="12" w:space="0" w:color="auto"/>
              <w:right w:val="nil"/>
            </w:tcBorders>
            <w:vAlign w:val="bottom"/>
            <w:hideMark/>
          </w:tcPr>
          <w:p w14:paraId="1BB4CE68" w14:textId="77777777" w:rsidR="00FA7442" w:rsidRPr="009C2953" w:rsidRDefault="00FA7442" w:rsidP="00073FDF">
            <w:pPr>
              <w:pStyle w:val="Normal-pool"/>
              <w:spacing w:before="40" w:after="40"/>
              <w:jc w:val="right"/>
              <w:rPr>
                <w:b/>
                <w:bCs/>
                <w:sz w:val="18"/>
                <w:szCs w:val="18"/>
              </w:rPr>
            </w:pPr>
            <w:r w:rsidRPr="009C2953">
              <w:rPr>
                <w:b/>
                <w:sz w:val="18"/>
              </w:rPr>
              <w:t>31 397</w:t>
            </w:r>
          </w:p>
        </w:tc>
        <w:tc>
          <w:tcPr>
            <w:tcW w:w="962" w:type="dxa"/>
            <w:tcBorders>
              <w:top w:val="single" w:sz="4" w:space="0" w:color="000000"/>
              <w:left w:val="nil"/>
              <w:bottom w:val="single" w:sz="12" w:space="0" w:color="auto"/>
              <w:right w:val="nil"/>
            </w:tcBorders>
            <w:vAlign w:val="bottom"/>
            <w:hideMark/>
          </w:tcPr>
          <w:p w14:paraId="025F2F72" w14:textId="77777777" w:rsidR="00FA7442" w:rsidRPr="009C2953" w:rsidRDefault="00FA7442" w:rsidP="00073FDF">
            <w:pPr>
              <w:pStyle w:val="Normal-pool"/>
              <w:spacing w:before="40" w:after="40"/>
              <w:jc w:val="right"/>
              <w:rPr>
                <w:b/>
                <w:bCs/>
                <w:sz w:val="18"/>
                <w:szCs w:val="18"/>
              </w:rPr>
            </w:pPr>
            <w:r w:rsidRPr="009C2953">
              <w:rPr>
                <w:b/>
                <w:sz w:val="18"/>
              </w:rPr>
              <w:t>130 407</w:t>
            </w:r>
          </w:p>
        </w:tc>
      </w:tr>
    </w:tbl>
    <w:p w14:paraId="143F2A15" w14:textId="398516CC" w:rsidR="00607B78" w:rsidRPr="009C2953" w:rsidRDefault="00607B78" w:rsidP="00607B78">
      <w:pPr>
        <w:pStyle w:val="Normal-pool"/>
        <w:spacing w:before="60"/>
        <w:ind w:left="1247"/>
        <w:rPr>
          <w:sz w:val="18"/>
          <w:szCs w:val="18"/>
        </w:rPr>
      </w:pPr>
      <w:r w:rsidRPr="009C2953">
        <w:rPr>
          <w:sz w:val="18"/>
          <w:vertAlign w:val="superscript"/>
        </w:rPr>
        <w:tab/>
      </w:r>
      <w:proofErr w:type="spellStart"/>
      <w:proofErr w:type="gramStart"/>
      <w:r w:rsidRPr="009C2953">
        <w:rPr>
          <w:sz w:val="18"/>
          <w:vertAlign w:val="superscript"/>
        </w:rPr>
        <w:t>a</w:t>
      </w:r>
      <w:proofErr w:type="spellEnd"/>
      <w:proofErr w:type="gramEnd"/>
      <w:r w:rsidRPr="009C2953">
        <w:rPr>
          <w:sz w:val="18"/>
        </w:rPr>
        <w:t xml:space="preserve"> En raison d</w:t>
      </w:r>
      <w:r w:rsidR="00EA2966" w:rsidRPr="009C2953">
        <w:rPr>
          <w:sz w:val="18"/>
        </w:rPr>
        <w:t>’</w:t>
      </w:r>
      <w:r w:rsidRPr="009C2953">
        <w:rPr>
          <w:sz w:val="18"/>
        </w:rPr>
        <w:t>une vacance prolongée du poste,</w:t>
      </w:r>
      <w:r w:rsidR="00F34644" w:rsidRPr="009C2953">
        <w:rPr>
          <w:sz w:val="18"/>
        </w:rPr>
        <w:t xml:space="preserve"> un </w:t>
      </w:r>
      <w:r w:rsidRPr="009C2953">
        <w:rPr>
          <w:sz w:val="18"/>
        </w:rPr>
        <w:t>montant de 40 773 dollars au titre de cet appui a été restitué à l</w:t>
      </w:r>
      <w:r w:rsidR="00EA2966" w:rsidRPr="009C2953">
        <w:rPr>
          <w:sz w:val="18"/>
        </w:rPr>
        <w:t>’</w:t>
      </w:r>
      <w:r w:rsidRPr="009C2953">
        <w:rPr>
          <w:sz w:val="18"/>
        </w:rPr>
        <w:t>Allemagne en 2022.</w:t>
      </w:r>
    </w:p>
    <w:p w14:paraId="563E2AB0" w14:textId="72391BCA" w:rsidR="00607B78" w:rsidRPr="009C2953" w:rsidRDefault="00607B78" w:rsidP="00607B78">
      <w:pPr>
        <w:pStyle w:val="Normal-pool"/>
        <w:spacing w:before="60"/>
        <w:ind w:left="1247"/>
        <w:rPr>
          <w:sz w:val="18"/>
          <w:szCs w:val="18"/>
        </w:rPr>
      </w:pPr>
      <w:r w:rsidRPr="009C2953">
        <w:rPr>
          <w:sz w:val="18"/>
          <w:vertAlign w:val="superscript"/>
        </w:rPr>
        <w:tab/>
      </w:r>
      <w:proofErr w:type="gramStart"/>
      <w:r w:rsidRPr="009C2953">
        <w:rPr>
          <w:sz w:val="18"/>
          <w:vertAlign w:val="superscript"/>
        </w:rPr>
        <w:t>b</w:t>
      </w:r>
      <w:proofErr w:type="gramEnd"/>
      <w:r w:rsidR="00F34644" w:rsidRPr="009C2953">
        <w:rPr>
          <w:sz w:val="18"/>
        </w:rPr>
        <w:t xml:space="preserve"> Le </w:t>
      </w:r>
      <w:r w:rsidRPr="009C2953">
        <w:rPr>
          <w:sz w:val="18"/>
        </w:rPr>
        <w:t>solde de 24 401 dollars, résultant du fait que l</w:t>
      </w:r>
      <w:r w:rsidR="00EA2966" w:rsidRPr="009C2953">
        <w:rPr>
          <w:sz w:val="18"/>
        </w:rPr>
        <w:t>’</w:t>
      </w:r>
      <w:r w:rsidRPr="009C2953">
        <w:rPr>
          <w:sz w:val="18"/>
        </w:rPr>
        <w:t>atelier s</w:t>
      </w:r>
      <w:r w:rsidR="00EA2966" w:rsidRPr="009C2953">
        <w:rPr>
          <w:sz w:val="18"/>
        </w:rPr>
        <w:t>’</w:t>
      </w:r>
      <w:r w:rsidRPr="009C2953">
        <w:rPr>
          <w:sz w:val="18"/>
        </w:rPr>
        <w:t>est tenu en ligne, a été ajouté au Fonds d</w:t>
      </w:r>
      <w:r w:rsidR="00EA2966" w:rsidRPr="009C2953">
        <w:rPr>
          <w:sz w:val="18"/>
        </w:rPr>
        <w:t>’</w:t>
      </w:r>
      <w:r w:rsidRPr="009C2953">
        <w:rPr>
          <w:sz w:val="18"/>
        </w:rPr>
        <w:t>affectation spéciale de l</w:t>
      </w:r>
      <w:r w:rsidR="00EA2966" w:rsidRPr="009C2953">
        <w:rPr>
          <w:sz w:val="18"/>
        </w:rPr>
        <w:t>’</w:t>
      </w:r>
      <w:r w:rsidRPr="009C2953">
        <w:rPr>
          <w:sz w:val="18"/>
        </w:rPr>
        <w:t>IPBES au</w:t>
      </w:r>
      <w:r w:rsidR="00742973" w:rsidRPr="009C2953">
        <w:rPr>
          <w:sz w:val="18"/>
        </w:rPr>
        <w:t> </w:t>
      </w:r>
      <w:r w:rsidRPr="009C2953">
        <w:rPr>
          <w:sz w:val="18"/>
        </w:rPr>
        <w:t>titre</w:t>
      </w:r>
      <w:r w:rsidR="00742973" w:rsidRPr="009C2953">
        <w:rPr>
          <w:sz w:val="18"/>
        </w:rPr>
        <w:t> </w:t>
      </w:r>
      <w:r w:rsidRPr="009C2953">
        <w:rPr>
          <w:sz w:val="18"/>
        </w:rPr>
        <w:t>de</w:t>
      </w:r>
      <w:r w:rsidR="0003543D" w:rsidRPr="009C2953">
        <w:rPr>
          <w:sz w:val="18"/>
        </w:rPr>
        <w:t> </w:t>
      </w:r>
      <w:r w:rsidR="00F34644" w:rsidRPr="009C2953">
        <w:rPr>
          <w:sz w:val="18"/>
        </w:rPr>
        <w:t>la </w:t>
      </w:r>
      <w:r w:rsidRPr="009C2953">
        <w:rPr>
          <w:sz w:val="18"/>
        </w:rPr>
        <w:t>contribution</w:t>
      </w:r>
      <w:r w:rsidR="0003543D" w:rsidRPr="009C2953">
        <w:rPr>
          <w:sz w:val="18"/>
        </w:rPr>
        <w:t> </w:t>
      </w:r>
      <w:r w:rsidRPr="009C2953">
        <w:rPr>
          <w:sz w:val="18"/>
        </w:rPr>
        <w:t>de</w:t>
      </w:r>
      <w:r w:rsidR="0003543D" w:rsidRPr="009C2953">
        <w:rPr>
          <w:sz w:val="18"/>
        </w:rPr>
        <w:t> </w:t>
      </w:r>
      <w:r w:rsidR="00F34644" w:rsidRPr="009C2953">
        <w:rPr>
          <w:sz w:val="18"/>
        </w:rPr>
        <w:t>la </w:t>
      </w:r>
      <w:r w:rsidRPr="009C2953">
        <w:rPr>
          <w:sz w:val="18"/>
        </w:rPr>
        <w:t>Norvège</w:t>
      </w:r>
      <w:r w:rsidR="0003543D" w:rsidRPr="009C2953">
        <w:rPr>
          <w:sz w:val="18"/>
        </w:rPr>
        <w:t> </w:t>
      </w:r>
      <w:r w:rsidRPr="009C2953">
        <w:rPr>
          <w:sz w:val="18"/>
        </w:rPr>
        <w:t xml:space="preserve">en 2022. </w:t>
      </w:r>
    </w:p>
    <w:p w14:paraId="29F89195" w14:textId="77777777" w:rsidR="00607B78" w:rsidRPr="009C2953" w:rsidRDefault="00607B78" w:rsidP="00607B78">
      <w:pPr>
        <w:pStyle w:val="Normal-pool"/>
      </w:pPr>
      <w:r w:rsidRPr="009C2953">
        <w:br w:type="page"/>
      </w:r>
    </w:p>
    <w:p w14:paraId="3FF5CD55" w14:textId="32410D26" w:rsidR="00607B78" w:rsidRPr="009C2953" w:rsidRDefault="00607B78" w:rsidP="00607B78">
      <w:pPr>
        <w:pStyle w:val="Titletable"/>
      </w:pPr>
      <w:r w:rsidRPr="009C2953">
        <w:rPr>
          <w:b w:val="0"/>
        </w:rPr>
        <w:lastRenderedPageBreak/>
        <w:t>Tableau 3</w:t>
      </w:r>
      <w:r w:rsidRPr="009C2953">
        <w:t xml:space="preserve"> </w:t>
      </w:r>
      <w:r w:rsidRPr="009C2953">
        <w:br/>
        <w:t>Contributions en nature reçues en 2022</w:t>
      </w:r>
    </w:p>
    <w:p w14:paraId="53D3054D" w14:textId="61DD4959" w:rsidR="00607B78" w:rsidRPr="009C2953" w:rsidRDefault="00607B78" w:rsidP="00607B78">
      <w:pPr>
        <w:pStyle w:val="Titletable"/>
        <w:rPr>
          <w:b w:val="0"/>
          <w:bCs w:val="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00" w:firstRow="0" w:lastRow="0" w:firstColumn="0" w:lastColumn="0" w:noHBand="0" w:noVBand="1"/>
      </w:tblPr>
      <w:tblGrid>
        <w:gridCol w:w="3951"/>
        <w:gridCol w:w="5372"/>
        <w:gridCol w:w="3490"/>
        <w:gridCol w:w="1616"/>
      </w:tblGrid>
      <w:tr w:rsidR="00607B78" w:rsidRPr="009C2953" w14:paraId="0ED92E3A" w14:textId="77777777" w:rsidTr="00A068F8">
        <w:trPr>
          <w:trHeight w:val="57"/>
          <w:tblHeader/>
          <w:jc w:val="right"/>
        </w:trPr>
        <w:tc>
          <w:tcPr>
            <w:tcW w:w="3950" w:type="dxa"/>
            <w:tcBorders>
              <w:top w:val="single" w:sz="4" w:space="0" w:color="000000"/>
              <w:left w:val="nil"/>
              <w:bottom w:val="single" w:sz="12" w:space="0" w:color="000000"/>
              <w:right w:val="nil"/>
            </w:tcBorders>
            <w:vAlign w:val="bottom"/>
            <w:hideMark/>
          </w:tcPr>
          <w:p w14:paraId="617F497D" w14:textId="77777777" w:rsidR="00607B78" w:rsidRPr="009C2953" w:rsidRDefault="00607B78" w:rsidP="00A068F8">
            <w:pPr>
              <w:pStyle w:val="Normal-pool"/>
              <w:spacing w:before="40" w:after="40"/>
              <w:rPr>
                <w:i/>
                <w:iCs/>
                <w:sz w:val="18"/>
                <w:szCs w:val="18"/>
              </w:rPr>
            </w:pPr>
            <w:r w:rsidRPr="009C2953">
              <w:rPr>
                <w:i/>
                <w:sz w:val="18"/>
              </w:rPr>
              <w:t>Gouvernement/ institution</w:t>
            </w:r>
          </w:p>
        </w:tc>
        <w:tc>
          <w:tcPr>
            <w:tcW w:w="5372" w:type="dxa"/>
            <w:tcBorders>
              <w:top w:val="single" w:sz="4" w:space="0" w:color="000000"/>
              <w:left w:val="nil"/>
              <w:bottom w:val="single" w:sz="12" w:space="0" w:color="000000"/>
              <w:right w:val="nil"/>
            </w:tcBorders>
            <w:vAlign w:val="bottom"/>
            <w:hideMark/>
          </w:tcPr>
          <w:p w14:paraId="6B333D8A" w14:textId="77777777" w:rsidR="00607B78" w:rsidRPr="009C2953" w:rsidRDefault="00607B78" w:rsidP="00A068F8">
            <w:pPr>
              <w:pStyle w:val="Normal-pool"/>
              <w:spacing w:before="40" w:after="40"/>
              <w:rPr>
                <w:i/>
                <w:iCs/>
                <w:sz w:val="18"/>
                <w:szCs w:val="18"/>
              </w:rPr>
            </w:pPr>
            <w:r w:rsidRPr="009C2953">
              <w:rPr>
                <w:i/>
                <w:sz w:val="18"/>
              </w:rPr>
              <w:t>Activité</w:t>
            </w:r>
          </w:p>
        </w:tc>
        <w:tc>
          <w:tcPr>
            <w:tcW w:w="3490" w:type="dxa"/>
            <w:tcBorders>
              <w:top w:val="single" w:sz="4" w:space="0" w:color="000000"/>
              <w:left w:val="nil"/>
              <w:bottom w:val="single" w:sz="12" w:space="0" w:color="000000"/>
              <w:right w:val="nil"/>
            </w:tcBorders>
            <w:vAlign w:val="bottom"/>
            <w:hideMark/>
          </w:tcPr>
          <w:p w14:paraId="27CCBE03" w14:textId="63C485E4" w:rsidR="00607B78" w:rsidRPr="009C2953" w:rsidRDefault="00607B78" w:rsidP="00A068F8">
            <w:pPr>
              <w:pStyle w:val="Normal-pool"/>
              <w:spacing w:before="40" w:after="40"/>
              <w:rPr>
                <w:i/>
                <w:iCs/>
                <w:sz w:val="18"/>
                <w:szCs w:val="18"/>
              </w:rPr>
            </w:pPr>
            <w:r w:rsidRPr="009C2953">
              <w:rPr>
                <w:i/>
                <w:sz w:val="18"/>
              </w:rPr>
              <w:t>Type d</w:t>
            </w:r>
            <w:r w:rsidR="00EA2966" w:rsidRPr="009C2953">
              <w:rPr>
                <w:i/>
                <w:sz w:val="18"/>
              </w:rPr>
              <w:t>’</w:t>
            </w:r>
            <w:r w:rsidRPr="009C2953">
              <w:rPr>
                <w:i/>
                <w:sz w:val="18"/>
              </w:rPr>
              <w:t>appui</w:t>
            </w:r>
          </w:p>
        </w:tc>
        <w:tc>
          <w:tcPr>
            <w:tcW w:w="1616" w:type="dxa"/>
            <w:tcBorders>
              <w:top w:val="single" w:sz="4" w:space="0" w:color="000000"/>
              <w:left w:val="nil"/>
              <w:bottom w:val="single" w:sz="12" w:space="0" w:color="000000"/>
              <w:right w:val="nil"/>
            </w:tcBorders>
            <w:vAlign w:val="bottom"/>
            <w:hideMark/>
          </w:tcPr>
          <w:p w14:paraId="74A23BB3" w14:textId="77777777" w:rsidR="00607B78" w:rsidRPr="009C2953" w:rsidRDefault="00607B78" w:rsidP="00A068F8">
            <w:pPr>
              <w:pStyle w:val="Normal-pool"/>
              <w:spacing w:before="40" w:after="40"/>
              <w:rPr>
                <w:i/>
                <w:iCs/>
                <w:sz w:val="18"/>
                <w:szCs w:val="18"/>
              </w:rPr>
            </w:pPr>
            <w:r w:rsidRPr="009C2953">
              <w:rPr>
                <w:i/>
                <w:sz w:val="18"/>
              </w:rPr>
              <w:t>Valeur estimative</w:t>
            </w:r>
          </w:p>
        </w:tc>
      </w:tr>
      <w:tr w:rsidR="00607B78" w:rsidRPr="009C2953" w14:paraId="71E3AB63" w14:textId="77777777" w:rsidTr="00A068F8">
        <w:trPr>
          <w:trHeight w:val="57"/>
          <w:jc w:val="right"/>
        </w:trPr>
        <w:tc>
          <w:tcPr>
            <w:tcW w:w="14428" w:type="dxa"/>
            <w:gridSpan w:val="4"/>
            <w:tcBorders>
              <w:top w:val="single" w:sz="12" w:space="0" w:color="000000"/>
              <w:left w:val="nil"/>
              <w:bottom w:val="nil"/>
              <w:right w:val="nil"/>
            </w:tcBorders>
            <w:hideMark/>
          </w:tcPr>
          <w:p w14:paraId="3CCF25A3" w14:textId="6892EBC1" w:rsidR="00607B78" w:rsidRPr="009C2953" w:rsidRDefault="00607B78" w:rsidP="00A068F8">
            <w:pPr>
              <w:pStyle w:val="Normal-pool"/>
              <w:tabs>
                <w:tab w:val="left" w:pos="177"/>
              </w:tabs>
              <w:spacing w:before="40" w:after="40"/>
              <w:rPr>
                <w:sz w:val="18"/>
                <w:szCs w:val="18"/>
              </w:rPr>
            </w:pPr>
            <w:r w:rsidRPr="009C2953">
              <w:rPr>
                <w:b/>
                <w:sz w:val="18"/>
              </w:rPr>
              <w:t>1.</w:t>
            </w:r>
            <w:r w:rsidRPr="009C2953">
              <w:rPr>
                <w:sz w:val="18"/>
              </w:rPr>
              <w:tab/>
            </w:r>
            <w:r w:rsidRPr="009C2953">
              <w:rPr>
                <w:b/>
                <w:sz w:val="18"/>
              </w:rPr>
              <w:t>Contributions en nature apportées directement à l</w:t>
            </w:r>
            <w:r w:rsidR="00EA2966" w:rsidRPr="009C2953">
              <w:rPr>
                <w:b/>
                <w:sz w:val="18"/>
              </w:rPr>
              <w:t>’</w:t>
            </w:r>
            <w:r w:rsidRPr="009C2953">
              <w:rPr>
                <w:b/>
                <w:sz w:val="18"/>
              </w:rPr>
              <w:t>appui d</w:t>
            </w:r>
            <w:r w:rsidR="00EA2966" w:rsidRPr="009C2953">
              <w:rPr>
                <w:b/>
                <w:sz w:val="18"/>
              </w:rPr>
              <w:t>’</w:t>
            </w:r>
            <w:r w:rsidRPr="009C2953">
              <w:rPr>
                <w:b/>
                <w:sz w:val="18"/>
              </w:rPr>
              <w:t>activités approuvées et chiffrées du programme de travail</w:t>
            </w:r>
          </w:p>
        </w:tc>
      </w:tr>
      <w:tr w:rsidR="00607B78" w:rsidRPr="009C2953" w14:paraId="67A5C6FA" w14:textId="77777777" w:rsidTr="00A068F8">
        <w:trPr>
          <w:trHeight w:val="57"/>
          <w:jc w:val="right"/>
        </w:trPr>
        <w:tc>
          <w:tcPr>
            <w:tcW w:w="3950" w:type="dxa"/>
            <w:tcBorders>
              <w:top w:val="nil"/>
              <w:left w:val="nil"/>
              <w:bottom w:val="nil"/>
              <w:right w:val="nil"/>
            </w:tcBorders>
            <w:hideMark/>
          </w:tcPr>
          <w:p w14:paraId="4632F89D" w14:textId="17A2F1B7" w:rsidR="00607B78" w:rsidRPr="009C2953" w:rsidRDefault="00607B78" w:rsidP="00A068F8">
            <w:pPr>
              <w:pStyle w:val="Normal-pool"/>
              <w:spacing w:before="40" w:after="40"/>
              <w:ind w:left="177"/>
              <w:rPr>
                <w:sz w:val="18"/>
                <w:szCs w:val="18"/>
              </w:rPr>
            </w:pPr>
            <w:r w:rsidRPr="009C2953">
              <w:rPr>
                <w:sz w:val="18"/>
              </w:rPr>
              <w:t>Université d</w:t>
            </w:r>
            <w:r w:rsidR="00EA2966" w:rsidRPr="009C2953">
              <w:rPr>
                <w:sz w:val="18"/>
              </w:rPr>
              <w:t>’</w:t>
            </w:r>
            <w:r w:rsidRPr="009C2953">
              <w:rPr>
                <w:sz w:val="18"/>
              </w:rPr>
              <w:t>Aarhus (Danemark)</w:t>
            </w:r>
          </w:p>
        </w:tc>
        <w:tc>
          <w:tcPr>
            <w:tcW w:w="5372" w:type="dxa"/>
            <w:tcBorders>
              <w:top w:val="nil"/>
              <w:left w:val="nil"/>
              <w:bottom w:val="nil"/>
              <w:right w:val="nil"/>
            </w:tcBorders>
            <w:hideMark/>
          </w:tcPr>
          <w:p w14:paraId="2C787E6C" w14:textId="6594516B" w:rsidR="00607B78" w:rsidRPr="009C2953" w:rsidRDefault="00607B78" w:rsidP="00A068F8">
            <w:pPr>
              <w:pStyle w:val="Normal-pool"/>
              <w:spacing w:before="40" w:after="40"/>
              <w:rPr>
                <w:sz w:val="18"/>
                <w:szCs w:val="18"/>
              </w:rPr>
            </w:pPr>
            <w:r w:rsidRPr="009C2953">
              <w:rPr>
                <w:sz w:val="18"/>
              </w:rPr>
              <w:t>Troisième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et réunion visant à élaborer</w:t>
            </w:r>
            <w:r w:rsidR="00F34644" w:rsidRPr="009C2953">
              <w:rPr>
                <w:sz w:val="18"/>
              </w:rPr>
              <w:t xml:space="preserve"> le </w:t>
            </w:r>
            <w:r w:rsidRPr="009C2953">
              <w:rPr>
                <w:sz w:val="18"/>
              </w:rPr>
              <w:t>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de l</w:t>
            </w:r>
            <w:r w:rsidR="00EA2966" w:rsidRPr="009C2953">
              <w:rPr>
                <w:sz w:val="18"/>
              </w:rPr>
              <w:t>’</w:t>
            </w:r>
            <w:r w:rsidRPr="009C2953">
              <w:rPr>
                <w:sz w:val="18"/>
              </w:rPr>
              <w:t>évaluation</w:t>
            </w:r>
            <w:r w:rsidR="00D24DC1" w:rsidRPr="009C2953">
              <w:rPr>
                <w:sz w:val="18"/>
              </w:rPr>
              <w:t xml:space="preserve"> des </w:t>
            </w:r>
            <w:r w:rsidRPr="009C2953">
              <w:rPr>
                <w:sz w:val="18"/>
              </w:rPr>
              <w:t>espèces exotiques envahissantes</w:t>
            </w:r>
          </w:p>
        </w:tc>
        <w:tc>
          <w:tcPr>
            <w:tcW w:w="3490" w:type="dxa"/>
            <w:tcBorders>
              <w:top w:val="nil"/>
              <w:left w:val="nil"/>
              <w:bottom w:val="nil"/>
              <w:right w:val="nil"/>
            </w:tcBorders>
            <w:hideMark/>
          </w:tcPr>
          <w:p w14:paraId="2596B17B" w14:textId="2E02FFA8"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212370A9" w14:textId="77777777" w:rsidR="00607B78" w:rsidRPr="009C2953" w:rsidRDefault="00607B78" w:rsidP="00A068F8">
            <w:pPr>
              <w:pStyle w:val="Normal-pool"/>
              <w:spacing w:before="40" w:after="40"/>
              <w:jc w:val="right"/>
              <w:rPr>
                <w:sz w:val="18"/>
                <w:szCs w:val="18"/>
              </w:rPr>
            </w:pPr>
            <w:r w:rsidRPr="009C2953">
              <w:rPr>
                <w:sz w:val="18"/>
              </w:rPr>
              <w:t>28 700</w:t>
            </w:r>
          </w:p>
        </w:tc>
      </w:tr>
      <w:tr w:rsidR="00607B78" w:rsidRPr="009C2953" w14:paraId="3C891636" w14:textId="77777777" w:rsidTr="00A068F8">
        <w:trPr>
          <w:trHeight w:val="57"/>
          <w:jc w:val="right"/>
        </w:trPr>
        <w:tc>
          <w:tcPr>
            <w:tcW w:w="3950" w:type="dxa"/>
            <w:tcBorders>
              <w:top w:val="nil"/>
              <w:left w:val="nil"/>
              <w:bottom w:val="nil"/>
              <w:right w:val="nil"/>
            </w:tcBorders>
            <w:hideMark/>
          </w:tcPr>
          <w:p w14:paraId="5DCF5EE1" w14:textId="6E4AB6F8" w:rsidR="00607B78" w:rsidRPr="009C2953" w:rsidRDefault="00607B78" w:rsidP="00A068F8">
            <w:pPr>
              <w:pStyle w:val="Normal-pool"/>
              <w:spacing w:before="40" w:after="40"/>
              <w:ind w:left="177"/>
              <w:rPr>
                <w:sz w:val="18"/>
                <w:szCs w:val="18"/>
              </w:rPr>
            </w:pPr>
            <w:proofErr w:type="spellStart"/>
            <w:r w:rsidRPr="009C2953">
              <w:rPr>
                <w:sz w:val="18"/>
              </w:rPr>
              <w:t>Biodiversa</w:t>
            </w:r>
            <w:proofErr w:type="spellEnd"/>
            <w:r w:rsidRPr="009C2953">
              <w:rPr>
                <w:sz w:val="18"/>
              </w:rPr>
              <w:t>+ et Fondation pour</w:t>
            </w:r>
            <w:r w:rsidR="00F34644" w:rsidRPr="009C2953">
              <w:rPr>
                <w:sz w:val="18"/>
              </w:rPr>
              <w:t xml:space="preserve"> la </w:t>
            </w:r>
            <w:r w:rsidRPr="009C2953">
              <w:rPr>
                <w:sz w:val="18"/>
              </w:rPr>
              <w:t>recherche sur</w:t>
            </w:r>
            <w:r w:rsidR="0021514D" w:rsidRPr="009C2953">
              <w:rPr>
                <w:sz w:val="18"/>
              </w:rPr>
              <w:t> </w:t>
            </w:r>
            <w:r w:rsidR="00F34644" w:rsidRPr="009C2953">
              <w:rPr>
                <w:sz w:val="18"/>
              </w:rPr>
              <w:t>la </w:t>
            </w:r>
            <w:r w:rsidRPr="009C2953">
              <w:rPr>
                <w:sz w:val="18"/>
              </w:rPr>
              <w:t>biodiversité (France)</w:t>
            </w:r>
          </w:p>
        </w:tc>
        <w:tc>
          <w:tcPr>
            <w:tcW w:w="5372" w:type="dxa"/>
            <w:tcBorders>
              <w:top w:val="nil"/>
              <w:left w:val="nil"/>
              <w:bottom w:val="nil"/>
              <w:right w:val="nil"/>
            </w:tcBorders>
            <w:hideMark/>
          </w:tcPr>
          <w:p w14:paraId="7777B374" w14:textId="14239AA3"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connaissances</w:t>
            </w:r>
            <w:r w:rsidR="0021514D" w:rsidRPr="009C2953">
              <w:rPr>
                <w:sz w:val="18"/>
              </w:rPr>
              <w:t xml:space="preserve"> </w:t>
            </w:r>
            <w:r w:rsidRPr="009C2953">
              <w:rPr>
                <w:sz w:val="18"/>
              </w:rPr>
              <w:t>et</w:t>
            </w:r>
            <w:r w:rsidR="0021514D" w:rsidRPr="009C2953">
              <w:rPr>
                <w:sz w:val="18"/>
              </w:rPr>
              <w:t> </w:t>
            </w:r>
            <w:r w:rsidR="00F34644" w:rsidRPr="009C2953">
              <w:rPr>
                <w:sz w:val="18"/>
              </w:rPr>
              <w:t>les </w:t>
            </w:r>
            <w:r w:rsidRPr="009C2953">
              <w:rPr>
                <w:sz w:val="18"/>
              </w:rPr>
              <w:t>données</w:t>
            </w:r>
          </w:p>
        </w:tc>
        <w:tc>
          <w:tcPr>
            <w:tcW w:w="3490" w:type="dxa"/>
            <w:tcBorders>
              <w:top w:val="nil"/>
              <w:left w:val="nil"/>
              <w:bottom w:val="nil"/>
              <w:right w:val="nil"/>
            </w:tcBorders>
            <w:hideMark/>
          </w:tcPr>
          <w:p w14:paraId="462C618D" w14:textId="3FE30607"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2FA7342B" w14:textId="77777777" w:rsidR="00607B78" w:rsidRPr="009C2953" w:rsidRDefault="00607B78" w:rsidP="00A068F8">
            <w:pPr>
              <w:pStyle w:val="Normal-pool"/>
              <w:spacing w:before="40" w:after="40"/>
              <w:jc w:val="right"/>
              <w:rPr>
                <w:sz w:val="18"/>
                <w:szCs w:val="18"/>
              </w:rPr>
            </w:pPr>
            <w:r w:rsidRPr="009C2953">
              <w:rPr>
                <w:sz w:val="18"/>
              </w:rPr>
              <w:t>18 200</w:t>
            </w:r>
          </w:p>
        </w:tc>
      </w:tr>
      <w:tr w:rsidR="00607B78" w:rsidRPr="009C2953" w14:paraId="10CD79C8" w14:textId="77777777" w:rsidTr="00A068F8">
        <w:trPr>
          <w:trHeight w:val="57"/>
          <w:jc w:val="right"/>
        </w:trPr>
        <w:tc>
          <w:tcPr>
            <w:tcW w:w="3950" w:type="dxa"/>
            <w:tcBorders>
              <w:top w:val="nil"/>
              <w:left w:val="nil"/>
              <w:bottom w:val="nil"/>
              <w:right w:val="nil"/>
            </w:tcBorders>
            <w:hideMark/>
          </w:tcPr>
          <w:p w14:paraId="7225DF1E" w14:textId="77777777" w:rsidR="00607B78" w:rsidRPr="009C2953" w:rsidRDefault="00607B78" w:rsidP="00A068F8">
            <w:pPr>
              <w:pStyle w:val="Normal-pool"/>
              <w:spacing w:before="40" w:after="40"/>
              <w:ind w:left="177"/>
              <w:rPr>
                <w:sz w:val="18"/>
                <w:szCs w:val="18"/>
              </w:rPr>
            </w:pPr>
            <w:proofErr w:type="spellStart"/>
            <w:r w:rsidRPr="009C2953">
              <w:rPr>
                <w:sz w:val="18"/>
              </w:rPr>
              <w:t>EcoHealth</w:t>
            </w:r>
            <w:proofErr w:type="spellEnd"/>
            <w:r w:rsidRPr="009C2953">
              <w:rPr>
                <w:sz w:val="18"/>
              </w:rPr>
              <w:t xml:space="preserve"> Alliance</w:t>
            </w:r>
          </w:p>
        </w:tc>
        <w:tc>
          <w:tcPr>
            <w:tcW w:w="5372" w:type="dxa"/>
            <w:tcBorders>
              <w:top w:val="nil"/>
              <w:left w:val="nil"/>
              <w:bottom w:val="nil"/>
              <w:right w:val="nil"/>
            </w:tcBorders>
            <w:hideMark/>
          </w:tcPr>
          <w:p w14:paraId="31ED895F" w14:textId="2BABA9A6" w:rsidR="00607B78" w:rsidRPr="009C2953" w:rsidRDefault="00607B78" w:rsidP="00A068F8">
            <w:pPr>
              <w:pStyle w:val="Normal-pool"/>
              <w:spacing w:before="40" w:after="40"/>
              <w:rPr>
                <w:sz w:val="18"/>
                <w:szCs w:val="18"/>
              </w:rPr>
            </w:pPr>
            <w:r w:rsidRPr="009C2953">
              <w:rPr>
                <w:sz w:val="18"/>
              </w:rPr>
              <w:t>Première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de l</w:t>
            </w:r>
            <w:r w:rsidR="00EA2966" w:rsidRPr="009C2953">
              <w:rPr>
                <w:sz w:val="18"/>
              </w:rPr>
              <w:t>’</w:t>
            </w:r>
            <w:r w:rsidRPr="009C2953">
              <w:rPr>
                <w:sz w:val="18"/>
              </w:rPr>
              <w:t>évaluation thématique</w:t>
            </w:r>
            <w:r w:rsidR="00D24DC1" w:rsidRPr="009C2953">
              <w:rPr>
                <w:sz w:val="18"/>
              </w:rPr>
              <w:t xml:space="preserve"> des </w:t>
            </w:r>
            <w:r w:rsidRPr="009C2953">
              <w:rPr>
                <w:sz w:val="18"/>
              </w:rPr>
              <w:t>liens</w:t>
            </w:r>
            <w:r w:rsidR="0021514D" w:rsidRPr="009C2953">
              <w:rPr>
                <w:sz w:val="18"/>
              </w:rPr>
              <w:t> </w:t>
            </w:r>
            <w:r w:rsidRPr="009C2953">
              <w:rPr>
                <w:sz w:val="18"/>
              </w:rPr>
              <w:t>entre</w:t>
            </w:r>
            <w:r w:rsidR="00F34644" w:rsidRPr="009C2953">
              <w:rPr>
                <w:sz w:val="18"/>
              </w:rPr>
              <w:t xml:space="preserve"> la </w:t>
            </w:r>
            <w:r w:rsidRPr="009C2953">
              <w:rPr>
                <w:sz w:val="18"/>
              </w:rPr>
              <w:t>biodiversité, l</w:t>
            </w:r>
            <w:r w:rsidR="00EA2966" w:rsidRPr="009C2953">
              <w:rPr>
                <w:sz w:val="18"/>
              </w:rPr>
              <w:t>’</w:t>
            </w:r>
            <w:r w:rsidRPr="009C2953">
              <w:rPr>
                <w:sz w:val="18"/>
              </w:rPr>
              <w:t>eau, l</w:t>
            </w:r>
            <w:r w:rsidR="00EA2966" w:rsidRPr="009C2953">
              <w:rPr>
                <w:sz w:val="18"/>
              </w:rPr>
              <w:t>’</w:t>
            </w:r>
            <w:r w:rsidRPr="009C2953">
              <w:rPr>
                <w:sz w:val="18"/>
              </w:rPr>
              <w:t>alimentation et</w:t>
            </w:r>
            <w:r w:rsidR="00F34644" w:rsidRPr="009C2953">
              <w:rPr>
                <w:sz w:val="18"/>
              </w:rPr>
              <w:t xml:space="preserve"> la </w:t>
            </w:r>
            <w:r w:rsidRPr="009C2953">
              <w:rPr>
                <w:sz w:val="18"/>
              </w:rPr>
              <w:t>santé</w:t>
            </w:r>
          </w:p>
        </w:tc>
        <w:tc>
          <w:tcPr>
            <w:tcW w:w="3490" w:type="dxa"/>
            <w:tcBorders>
              <w:top w:val="nil"/>
              <w:left w:val="nil"/>
              <w:bottom w:val="nil"/>
              <w:right w:val="nil"/>
            </w:tcBorders>
            <w:hideMark/>
          </w:tcPr>
          <w:p w14:paraId="00BBC494" w14:textId="77777777" w:rsidR="00607B78" w:rsidRPr="009C2953" w:rsidRDefault="00607B78" w:rsidP="00A068F8">
            <w:pPr>
              <w:pStyle w:val="Normal-pool"/>
              <w:spacing w:before="40" w:after="40"/>
              <w:rPr>
                <w:sz w:val="18"/>
                <w:szCs w:val="18"/>
              </w:rPr>
            </w:pPr>
            <w:r w:rsidRPr="009C2953">
              <w:rPr>
                <w:sz w:val="18"/>
              </w:rPr>
              <w:t>Logistique</w:t>
            </w:r>
          </w:p>
        </w:tc>
        <w:tc>
          <w:tcPr>
            <w:tcW w:w="1616" w:type="dxa"/>
            <w:tcBorders>
              <w:top w:val="nil"/>
              <w:left w:val="nil"/>
              <w:bottom w:val="nil"/>
              <w:right w:val="nil"/>
            </w:tcBorders>
            <w:vAlign w:val="bottom"/>
            <w:hideMark/>
          </w:tcPr>
          <w:p w14:paraId="3E7104AF" w14:textId="17C2E0AD" w:rsidR="00607B78" w:rsidRPr="009C2953" w:rsidRDefault="00607B78" w:rsidP="00A068F8">
            <w:pPr>
              <w:pStyle w:val="Normal-pool"/>
              <w:spacing w:before="40" w:after="40"/>
              <w:jc w:val="right"/>
              <w:rPr>
                <w:sz w:val="18"/>
                <w:szCs w:val="18"/>
              </w:rPr>
            </w:pPr>
            <w:r w:rsidRPr="009C2953">
              <w:rPr>
                <w:sz w:val="18"/>
              </w:rPr>
              <w:t>1</w:t>
            </w:r>
            <w:r w:rsidR="008F6690" w:rsidRPr="009C2953">
              <w:rPr>
                <w:sz w:val="18"/>
              </w:rPr>
              <w:t> </w:t>
            </w:r>
            <w:r w:rsidRPr="009C2953">
              <w:rPr>
                <w:sz w:val="18"/>
              </w:rPr>
              <w:t>400</w:t>
            </w:r>
          </w:p>
        </w:tc>
      </w:tr>
      <w:tr w:rsidR="00607B78" w:rsidRPr="009C2953" w14:paraId="4C90307E" w14:textId="77777777" w:rsidTr="00A068F8">
        <w:trPr>
          <w:trHeight w:val="57"/>
          <w:jc w:val="right"/>
        </w:trPr>
        <w:tc>
          <w:tcPr>
            <w:tcW w:w="3950" w:type="dxa"/>
            <w:tcBorders>
              <w:top w:val="nil"/>
              <w:left w:val="nil"/>
              <w:bottom w:val="nil"/>
              <w:right w:val="nil"/>
            </w:tcBorders>
            <w:hideMark/>
          </w:tcPr>
          <w:p w14:paraId="35C5A22F" w14:textId="34E41336" w:rsidR="00607B78" w:rsidRPr="009C2953" w:rsidRDefault="00607B78" w:rsidP="00A068F8">
            <w:pPr>
              <w:pStyle w:val="Normal-pool"/>
              <w:spacing w:before="40" w:after="40"/>
              <w:ind w:left="177"/>
              <w:rPr>
                <w:sz w:val="18"/>
                <w:szCs w:val="18"/>
              </w:rPr>
            </w:pPr>
            <w:r w:rsidRPr="009C2953">
              <w:rPr>
                <w:sz w:val="18"/>
              </w:rPr>
              <w:t>Fondation pour</w:t>
            </w:r>
            <w:r w:rsidR="00F34644" w:rsidRPr="009C2953">
              <w:rPr>
                <w:sz w:val="18"/>
              </w:rPr>
              <w:t xml:space="preserve"> la </w:t>
            </w:r>
            <w:r w:rsidRPr="009C2953">
              <w:rPr>
                <w:sz w:val="18"/>
              </w:rPr>
              <w:t>recherche sur</w:t>
            </w:r>
            <w:r w:rsidR="00F34644" w:rsidRPr="009C2953">
              <w:rPr>
                <w:sz w:val="18"/>
              </w:rPr>
              <w:t xml:space="preserve"> la </w:t>
            </w:r>
            <w:r w:rsidRPr="009C2953">
              <w:rPr>
                <w:sz w:val="18"/>
              </w:rPr>
              <w:t>biodiversité (France)</w:t>
            </w:r>
          </w:p>
        </w:tc>
        <w:tc>
          <w:tcPr>
            <w:tcW w:w="5372" w:type="dxa"/>
            <w:tcBorders>
              <w:top w:val="nil"/>
              <w:left w:val="nil"/>
              <w:bottom w:val="nil"/>
              <w:right w:val="nil"/>
            </w:tcBorders>
            <w:hideMark/>
          </w:tcPr>
          <w:p w14:paraId="79EBA536" w14:textId="2A58035B"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pour l</w:t>
            </w:r>
            <w:r w:rsidR="00EA2966" w:rsidRPr="009C2953">
              <w:rPr>
                <w:sz w:val="18"/>
              </w:rPr>
              <w:t>’</w:t>
            </w:r>
            <w:r w:rsidRPr="009C2953">
              <w:rPr>
                <w:sz w:val="18"/>
              </w:rPr>
              <w:t>évaluation de l</w:t>
            </w:r>
            <w:r w:rsidR="00EA2966" w:rsidRPr="009C2953">
              <w:rPr>
                <w:sz w:val="18"/>
              </w:rPr>
              <w:t>’</w:t>
            </w:r>
            <w:r w:rsidRPr="009C2953">
              <w:rPr>
                <w:sz w:val="18"/>
              </w:rPr>
              <w:t>utilisation durable</w:t>
            </w:r>
            <w:r w:rsidR="0021514D" w:rsidRPr="009C2953">
              <w:rPr>
                <w:sz w:val="18"/>
              </w:rPr>
              <w:t> </w:t>
            </w:r>
            <w:r w:rsidR="00D24DC1" w:rsidRPr="009C2953">
              <w:rPr>
                <w:sz w:val="18"/>
              </w:rPr>
              <w:t>des </w:t>
            </w:r>
            <w:r w:rsidRPr="009C2953">
              <w:rPr>
                <w:sz w:val="18"/>
              </w:rPr>
              <w:t>espèces sauvages</w:t>
            </w:r>
          </w:p>
        </w:tc>
        <w:tc>
          <w:tcPr>
            <w:tcW w:w="3490" w:type="dxa"/>
            <w:tcBorders>
              <w:top w:val="nil"/>
              <w:left w:val="nil"/>
              <w:bottom w:val="nil"/>
              <w:right w:val="nil"/>
            </w:tcBorders>
            <w:hideMark/>
          </w:tcPr>
          <w:p w14:paraId="602DF509" w14:textId="50DF94E5"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5E1E542D" w14:textId="24CA36D4" w:rsidR="00607B78" w:rsidRPr="009C2953" w:rsidRDefault="00607B78" w:rsidP="00A068F8">
            <w:pPr>
              <w:pStyle w:val="Normal-pool"/>
              <w:spacing w:before="40" w:after="40"/>
              <w:jc w:val="right"/>
              <w:rPr>
                <w:sz w:val="18"/>
                <w:szCs w:val="18"/>
              </w:rPr>
            </w:pPr>
            <w:r w:rsidRPr="009C2953">
              <w:rPr>
                <w:sz w:val="18"/>
              </w:rPr>
              <w:t>2</w:t>
            </w:r>
            <w:r w:rsidR="008F6690" w:rsidRPr="009C2953">
              <w:rPr>
                <w:sz w:val="18"/>
              </w:rPr>
              <w:t> </w:t>
            </w:r>
            <w:r w:rsidRPr="009C2953">
              <w:rPr>
                <w:sz w:val="18"/>
              </w:rPr>
              <w:t>000</w:t>
            </w:r>
          </w:p>
        </w:tc>
      </w:tr>
      <w:tr w:rsidR="00607B78" w:rsidRPr="009C2953" w14:paraId="105A2117" w14:textId="77777777" w:rsidTr="00A068F8">
        <w:trPr>
          <w:trHeight w:val="57"/>
          <w:jc w:val="right"/>
        </w:trPr>
        <w:tc>
          <w:tcPr>
            <w:tcW w:w="3950" w:type="dxa"/>
            <w:tcBorders>
              <w:top w:val="nil"/>
              <w:left w:val="nil"/>
              <w:bottom w:val="nil"/>
              <w:right w:val="nil"/>
            </w:tcBorders>
            <w:hideMark/>
          </w:tcPr>
          <w:p w14:paraId="52A12C10" w14:textId="57234043" w:rsidR="00607B78" w:rsidRPr="009C2953" w:rsidRDefault="00607B78" w:rsidP="00A068F8">
            <w:pPr>
              <w:pStyle w:val="Normal-pool"/>
              <w:spacing w:before="40" w:after="40"/>
              <w:ind w:left="177"/>
              <w:rPr>
                <w:sz w:val="18"/>
                <w:szCs w:val="18"/>
              </w:rPr>
            </w:pPr>
            <w:r w:rsidRPr="009C2953">
              <w:rPr>
                <w:sz w:val="18"/>
              </w:rPr>
              <w:t xml:space="preserve">Programme Future </w:t>
            </w:r>
            <w:proofErr w:type="spellStart"/>
            <w:r w:rsidRPr="009C2953">
              <w:rPr>
                <w:sz w:val="18"/>
              </w:rPr>
              <w:t>Ecosystems</w:t>
            </w:r>
            <w:proofErr w:type="spellEnd"/>
            <w:r w:rsidRPr="009C2953">
              <w:rPr>
                <w:sz w:val="18"/>
              </w:rPr>
              <w:t xml:space="preserve"> for </w:t>
            </w:r>
            <w:proofErr w:type="spellStart"/>
            <w:r w:rsidRPr="009C2953">
              <w:rPr>
                <w:sz w:val="18"/>
              </w:rPr>
              <w:t>Africa</w:t>
            </w:r>
            <w:proofErr w:type="spellEnd"/>
            <w:r w:rsidRPr="009C2953">
              <w:rPr>
                <w:sz w:val="18"/>
              </w:rPr>
              <w:t xml:space="preserve"> du</w:t>
            </w:r>
            <w:r w:rsidR="003D028C" w:rsidRPr="009C2953">
              <w:rPr>
                <w:sz w:val="18"/>
              </w:rPr>
              <w:t> </w:t>
            </w:r>
            <w:r w:rsidRPr="009C2953">
              <w:rPr>
                <w:sz w:val="18"/>
              </w:rPr>
              <w:t>Global Change Institute de l</w:t>
            </w:r>
            <w:r w:rsidR="00EA2966" w:rsidRPr="009C2953">
              <w:rPr>
                <w:sz w:val="18"/>
              </w:rPr>
              <w:t>’</w:t>
            </w:r>
            <w:r w:rsidRPr="009C2953">
              <w:rPr>
                <w:sz w:val="18"/>
              </w:rPr>
              <w:t>Université de</w:t>
            </w:r>
            <w:r w:rsidR="003D028C" w:rsidRPr="009C2953">
              <w:rPr>
                <w:sz w:val="18"/>
              </w:rPr>
              <w:t> </w:t>
            </w:r>
            <w:r w:rsidRPr="009C2953">
              <w:rPr>
                <w:sz w:val="18"/>
              </w:rPr>
              <w:t xml:space="preserve">Witwatersrand, en partenariat avec Oppenheimer </w:t>
            </w:r>
            <w:proofErr w:type="spellStart"/>
            <w:r w:rsidRPr="009C2953">
              <w:rPr>
                <w:sz w:val="18"/>
              </w:rPr>
              <w:t>Generations</w:t>
            </w:r>
            <w:proofErr w:type="spellEnd"/>
            <w:r w:rsidRPr="009C2953">
              <w:rPr>
                <w:sz w:val="18"/>
              </w:rPr>
              <w:t xml:space="preserve"> </w:t>
            </w:r>
            <w:proofErr w:type="spellStart"/>
            <w:r w:rsidRPr="009C2953">
              <w:rPr>
                <w:sz w:val="18"/>
              </w:rPr>
              <w:t>Research</w:t>
            </w:r>
            <w:proofErr w:type="spellEnd"/>
            <w:r w:rsidRPr="009C2953">
              <w:rPr>
                <w:sz w:val="18"/>
              </w:rPr>
              <w:t xml:space="preserve"> and</w:t>
            </w:r>
            <w:r w:rsidR="003D028C" w:rsidRPr="009C2953">
              <w:rPr>
                <w:sz w:val="18"/>
              </w:rPr>
              <w:t> </w:t>
            </w:r>
            <w:r w:rsidRPr="009C2953">
              <w:rPr>
                <w:sz w:val="18"/>
              </w:rPr>
              <w:t>Conservation (Afrique du Sud)</w:t>
            </w:r>
          </w:p>
        </w:tc>
        <w:tc>
          <w:tcPr>
            <w:tcW w:w="5372" w:type="dxa"/>
            <w:tcBorders>
              <w:top w:val="nil"/>
              <w:left w:val="nil"/>
              <w:bottom w:val="nil"/>
              <w:right w:val="nil"/>
            </w:tcBorders>
            <w:hideMark/>
          </w:tcPr>
          <w:p w14:paraId="0C2436EF" w14:textId="0AEFF5F4" w:rsidR="00607B78" w:rsidRPr="009C2953" w:rsidRDefault="00607B78" w:rsidP="00A068F8">
            <w:pPr>
              <w:pStyle w:val="Normal-pool"/>
              <w:spacing w:before="40" w:after="40"/>
              <w:rPr>
                <w:sz w:val="18"/>
                <w:szCs w:val="18"/>
              </w:rPr>
            </w:pPr>
            <w:r w:rsidRPr="009C2953">
              <w:rPr>
                <w:sz w:val="18"/>
              </w:rPr>
              <w:t>Atelier sur</w:t>
            </w:r>
            <w:r w:rsidR="00F34644" w:rsidRPr="009C2953">
              <w:rPr>
                <w:sz w:val="18"/>
              </w:rPr>
              <w:t xml:space="preserve"> le </w:t>
            </w:r>
            <w:r w:rsidRPr="009C2953">
              <w:rPr>
                <w:sz w:val="18"/>
              </w:rPr>
              <w:t>Cadre sur l</w:t>
            </w:r>
            <w:r w:rsidR="00EA2966" w:rsidRPr="009C2953">
              <w:rPr>
                <w:sz w:val="18"/>
              </w:rPr>
              <w:t>’</w:t>
            </w:r>
            <w:r w:rsidRPr="009C2953">
              <w:rPr>
                <w:sz w:val="18"/>
              </w:rPr>
              <w:t>avenir de</w:t>
            </w:r>
            <w:r w:rsidR="00F34644" w:rsidRPr="009C2953">
              <w:rPr>
                <w:sz w:val="18"/>
              </w:rPr>
              <w:t xml:space="preserve"> la </w:t>
            </w:r>
            <w:r w:rsidRPr="009C2953">
              <w:rPr>
                <w:sz w:val="18"/>
              </w:rPr>
              <w:t>nature et ses orientations méthodologiques</w:t>
            </w:r>
          </w:p>
        </w:tc>
        <w:tc>
          <w:tcPr>
            <w:tcW w:w="3490" w:type="dxa"/>
            <w:tcBorders>
              <w:top w:val="nil"/>
              <w:left w:val="nil"/>
              <w:bottom w:val="nil"/>
              <w:right w:val="nil"/>
            </w:tcBorders>
            <w:hideMark/>
          </w:tcPr>
          <w:p w14:paraId="645C2F7C" w14:textId="332B1FD4"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3F969EE2" w14:textId="21036075" w:rsidR="00607B78" w:rsidRPr="009C2953" w:rsidRDefault="00607B78" w:rsidP="00A068F8">
            <w:pPr>
              <w:pStyle w:val="Normal-pool"/>
              <w:spacing w:before="40" w:after="40"/>
              <w:jc w:val="right"/>
              <w:rPr>
                <w:sz w:val="18"/>
                <w:szCs w:val="18"/>
              </w:rPr>
            </w:pPr>
            <w:r w:rsidRPr="009C2953">
              <w:rPr>
                <w:sz w:val="18"/>
              </w:rPr>
              <w:t>6</w:t>
            </w:r>
            <w:r w:rsidR="008F6690" w:rsidRPr="009C2953">
              <w:rPr>
                <w:sz w:val="18"/>
              </w:rPr>
              <w:t> </w:t>
            </w:r>
            <w:r w:rsidRPr="009C2953">
              <w:rPr>
                <w:sz w:val="18"/>
              </w:rPr>
              <w:t>200</w:t>
            </w:r>
          </w:p>
        </w:tc>
      </w:tr>
      <w:tr w:rsidR="00607B78" w:rsidRPr="009C2953" w14:paraId="08A20D15" w14:textId="77777777" w:rsidTr="00A068F8">
        <w:trPr>
          <w:trHeight w:val="57"/>
          <w:jc w:val="right"/>
        </w:trPr>
        <w:tc>
          <w:tcPr>
            <w:tcW w:w="3950" w:type="dxa"/>
            <w:tcBorders>
              <w:top w:val="nil"/>
              <w:left w:val="nil"/>
              <w:bottom w:val="nil"/>
              <w:right w:val="nil"/>
            </w:tcBorders>
            <w:hideMark/>
          </w:tcPr>
          <w:p w14:paraId="6CB432CA" w14:textId="77777777" w:rsidR="00607B78" w:rsidRPr="009C2953" w:rsidRDefault="00607B78" w:rsidP="00A068F8">
            <w:pPr>
              <w:pStyle w:val="Normal-pool"/>
              <w:spacing w:before="40" w:after="40"/>
              <w:ind w:left="177"/>
              <w:rPr>
                <w:sz w:val="18"/>
                <w:szCs w:val="18"/>
              </w:rPr>
            </w:pPr>
            <w:r w:rsidRPr="009C2953">
              <w:rPr>
                <w:sz w:val="18"/>
              </w:rPr>
              <w:t>Gouvernement allemand</w:t>
            </w:r>
          </w:p>
        </w:tc>
        <w:tc>
          <w:tcPr>
            <w:tcW w:w="5372" w:type="dxa"/>
            <w:tcBorders>
              <w:top w:val="nil"/>
              <w:left w:val="nil"/>
              <w:bottom w:val="nil"/>
              <w:right w:val="nil"/>
            </w:tcBorders>
            <w:hideMark/>
          </w:tcPr>
          <w:p w14:paraId="580D5B81" w14:textId="0BC7BB89" w:rsidR="00607B78" w:rsidRPr="009C2953" w:rsidRDefault="00607B78" w:rsidP="00A068F8">
            <w:pPr>
              <w:pStyle w:val="Normal-pool"/>
              <w:spacing w:before="40" w:after="40"/>
              <w:rPr>
                <w:sz w:val="18"/>
                <w:szCs w:val="18"/>
              </w:rPr>
            </w:pPr>
            <w:r w:rsidRPr="009C2953">
              <w:rPr>
                <w:sz w:val="18"/>
              </w:rPr>
              <w:t>Atelier pour</w:t>
            </w:r>
            <w:r w:rsidR="00F34644" w:rsidRPr="009C2953">
              <w:rPr>
                <w:sz w:val="18"/>
              </w:rPr>
              <w:t xml:space="preserve"> les </w:t>
            </w:r>
            <w:r w:rsidRPr="009C2953">
              <w:rPr>
                <w:sz w:val="18"/>
              </w:rPr>
              <w:t>jeunes</w:t>
            </w:r>
          </w:p>
        </w:tc>
        <w:tc>
          <w:tcPr>
            <w:tcW w:w="3490" w:type="dxa"/>
            <w:tcBorders>
              <w:top w:val="nil"/>
              <w:left w:val="nil"/>
              <w:bottom w:val="nil"/>
              <w:right w:val="nil"/>
            </w:tcBorders>
            <w:hideMark/>
          </w:tcPr>
          <w:p w14:paraId="137C41E7" w14:textId="18763F55"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20F8ECD3" w14:textId="77777777" w:rsidR="00607B78" w:rsidRPr="009C2953" w:rsidRDefault="00607B78" w:rsidP="00A068F8">
            <w:pPr>
              <w:pStyle w:val="Normal-pool"/>
              <w:spacing w:before="40" w:after="40"/>
              <w:jc w:val="right"/>
              <w:rPr>
                <w:sz w:val="18"/>
                <w:szCs w:val="18"/>
              </w:rPr>
            </w:pPr>
            <w:r w:rsidRPr="009C2953">
              <w:rPr>
                <w:sz w:val="18"/>
              </w:rPr>
              <w:t>18 300</w:t>
            </w:r>
          </w:p>
        </w:tc>
      </w:tr>
      <w:tr w:rsidR="00607B78" w:rsidRPr="009C2953" w14:paraId="63999CDD" w14:textId="77777777" w:rsidTr="00A068F8">
        <w:trPr>
          <w:trHeight w:val="57"/>
          <w:jc w:val="right"/>
        </w:trPr>
        <w:tc>
          <w:tcPr>
            <w:tcW w:w="3950" w:type="dxa"/>
            <w:tcBorders>
              <w:top w:val="nil"/>
              <w:left w:val="nil"/>
              <w:bottom w:val="nil"/>
              <w:right w:val="nil"/>
            </w:tcBorders>
            <w:hideMark/>
          </w:tcPr>
          <w:p w14:paraId="4BDC9B78" w14:textId="77777777" w:rsidR="00607B78" w:rsidRPr="009C2953" w:rsidRDefault="00607B78" w:rsidP="00A068F8">
            <w:pPr>
              <w:pStyle w:val="Normal-pool"/>
              <w:spacing w:before="40" w:after="40"/>
              <w:ind w:left="177"/>
              <w:rPr>
                <w:sz w:val="18"/>
                <w:szCs w:val="18"/>
              </w:rPr>
            </w:pPr>
            <w:r w:rsidRPr="009C2953">
              <w:rPr>
                <w:sz w:val="18"/>
              </w:rPr>
              <w:t>Gouvernement norvégien</w:t>
            </w:r>
          </w:p>
        </w:tc>
        <w:tc>
          <w:tcPr>
            <w:tcW w:w="5372" w:type="dxa"/>
            <w:tcBorders>
              <w:top w:val="nil"/>
              <w:left w:val="nil"/>
              <w:bottom w:val="nil"/>
              <w:right w:val="nil"/>
            </w:tcBorders>
            <w:hideMark/>
          </w:tcPr>
          <w:p w14:paraId="69453750" w14:textId="1BF186D0"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 </w:t>
            </w:r>
            <w:r w:rsidRPr="009C2953">
              <w:rPr>
                <w:sz w:val="18"/>
              </w:rPr>
              <w:t>renforcement</w:t>
            </w:r>
            <w:r w:rsidR="00D24DC1" w:rsidRPr="009C2953">
              <w:rPr>
                <w:sz w:val="18"/>
              </w:rPr>
              <w:t xml:space="preserve"> des </w:t>
            </w:r>
            <w:r w:rsidRPr="009C2953">
              <w:rPr>
                <w:sz w:val="18"/>
              </w:rPr>
              <w:t>capacités</w:t>
            </w:r>
          </w:p>
        </w:tc>
        <w:tc>
          <w:tcPr>
            <w:tcW w:w="3490" w:type="dxa"/>
            <w:tcBorders>
              <w:top w:val="nil"/>
              <w:left w:val="nil"/>
              <w:bottom w:val="nil"/>
              <w:right w:val="nil"/>
            </w:tcBorders>
            <w:hideMark/>
          </w:tcPr>
          <w:p w14:paraId="1F67E769" w14:textId="036A9A13"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70255778" w14:textId="77777777" w:rsidR="00607B78" w:rsidRPr="009C2953" w:rsidRDefault="00607B78" w:rsidP="00A068F8">
            <w:pPr>
              <w:pStyle w:val="Normal-pool"/>
              <w:spacing w:before="40" w:after="40"/>
              <w:jc w:val="right"/>
              <w:rPr>
                <w:sz w:val="18"/>
                <w:szCs w:val="18"/>
              </w:rPr>
            </w:pPr>
            <w:r w:rsidRPr="009C2953">
              <w:rPr>
                <w:sz w:val="18"/>
              </w:rPr>
              <w:t>300 000</w:t>
            </w:r>
          </w:p>
        </w:tc>
      </w:tr>
      <w:tr w:rsidR="00607B78" w:rsidRPr="009C2953" w14:paraId="104D8B4A" w14:textId="77777777" w:rsidTr="00A068F8">
        <w:trPr>
          <w:trHeight w:val="57"/>
          <w:jc w:val="right"/>
        </w:trPr>
        <w:tc>
          <w:tcPr>
            <w:tcW w:w="3950" w:type="dxa"/>
            <w:tcBorders>
              <w:top w:val="nil"/>
              <w:left w:val="nil"/>
              <w:bottom w:val="nil"/>
              <w:right w:val="nil"/>
            </w:tcBorders>
            <w:hideMark/>
          </w:tcPr>
          <w:p w14:paraId="1723B74F" w14:textId="77777777" w:rsidR="00607B78" w:rsidRPr="009C2953" w:rsidRDefault="00607B78" w:rsidP="00A068F8">
            <w:pPr>
              <w:pStyle w:val="Normal-pool"/>
              <w:spacing w:before="40" w:after="40"/>
              <w:ind w:left="177"/>
              <w:rPr>
                <w:sz w:val="18"/>
                <w:szCs w:val="18"/>
              </w:rPr>
            </w:pPr>
            <w:r w:rsidRPr="009C2953">
              <w:rPr>
                <w:sz w:val="18"/>
              </w:rPr>
              <w:t>Gouvernement néerlandais</w:t>
            </w:r>
          </w:p>
        </w:tc>
        <w:tc>
          <w:tcPr>
            <w:tcW w:w="5372" w:type="dxa"/>
            <w:tcBorders>
              <w:top w:val="nil"/>
              <w:left w:val="nil"/>
              <w:bottom w:val="nil"/>
              <w:right w:val="nil"/>
            </w:tcBorders>
            <w:hideMark/>
          </w:tcPr>
          <w:p w14:paraId="503C1030" w14:textId="031E8241"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scénarios et</w:t>
            </w:r>
            <w:r w:rsidR="00AA14F2" w:rsidRPr="009C2953">
              <w:rPr>
                <w:sz w:val="18"/>
              </w:rPr>
              <w:t> </w:t>
            </w:r>
            <w:r w:rsidR="00F34644" w:rsidRPr="009C2953">
              <w:rPr>
                <w:sz w:val="18"/>
              </w:rPr>
              <w:t>les </w:t>
            </w:r>
            <w:r w:rsidRPr="009C2953">
              <w:rPr>
                <w:sz w:val="18"/>
              </w:rPr>
              <w:t>modèles de</w:t>
            </w:r>
            <w:r w:rsidR="00F34644" w:rsidRPr="009C2953">
              <w:rPr>
                <w:sz w:val="18"/>
              </w:rPr>
              <w:t xml:space="preserve"> la </w:t>
            </w:r>
            <w:r w:rsidRPr="009C2953">
              <w:rPr>
                <w:sz w:val="18"/>
              </w:rPr>
              <w:t>biodiversité et</w:t>
            </w:r>
            <w:r w:rsidR="00D24DC1" w:rsidRPr="009C2953">
              <w:rPr>
                <w:sz w:val="18"/>
              </w:rPr>
              <w:t xml:space="preserve"> des </w:t>
            </w:r>
            <w:r w:rsidRPr="009C2953">
              <w:rPr>
                <w:sz w:val="18"/>
              </w:rPr>
              <w:t>services écosystémiques</w:t>
            </w:r>
          </w:p>
        </w:tc>
        <w:tc>
          <w:tcPr>
            <w:tcW w:w="3490" w:type="dxa"/>
            <w:tcBorders>
              <w:top w:val="nil"/>
              <w:left w:val="nil"/>
              <w:bottom w:val="nil"/>
              <w:right w:val="nil"/>
            </w:tcBorders>
            <w:hideMark/>
          </w:tcPr>
          <w:p w14:paraId="2B45EE03" w14:textId="77777777" w:rsidR="00607B78" w:rsidRPr="009C2953" w:rsidRDefault="00607B78" w:rsidP="00A068F8">
            <w:pPr>
              <w:pStyle w:val="Normal-pool"/>
              <w:spacing w:before="40" w:after="40"/>
              <w:rPr>
                <w:sz w:val="18"/>
                <w:szCs w:val="18"/>
              </w:rPr>
            </w:pPr>
            <w:r w:rsidRPr="009C2953">
              <w:rPr>
                <w:sz w:val="18"/>
              </w:rPr>
              <w:t>Dépenses de personnel</w:t>
            </w:r>
          </w:p>
        </w:tc>
        <w:tc>
          <w:tcPr>
            <w:tcW w:w="1616" w:type="dxa"/>
            <w:tcBorders>
              <w:top w:val="nil"/>
              <w:left w:val="nil"/>
              <w:bottom w:val="nil"/>
              <w:right w:val="nil"/>
            </w:tcBorders>
            <w:vAlign w:val="bottom"/>
            <w:hideMark/>
          </w:tcPr>
          <w:p w14:paraId="34C8A422" w14:textId="77777777" w:rsidR="00607B78" w:rsidRPr="009C2953" w:rsidRDefault="00607B78" w:rsidP="00A068F8">
            <w:pPr>
              <w:pStyle w:val="Normal-pool"/>
              <w:spacing w:before="40" w:after="40"/>
              <w:jc w:val="right"/>
              <w:rPr>
                <w:sz w:val="18"/>
                <w:szCs w:val="18"/>
              </w:rPr>
            </w:pPr>
            <w:r w:rsidRPr="009C2953">
              <w:rPr>
                <w:sz w:val="18"/>
              </w:rPr>
              <w:t>280 500</w:t>
            </w:r>
          </w:p>
        </w:tc>
      </w:tr>
      <w:tr w:rsidR="00607B78" w:rsidRPr="009C2953" w14:paraId="4524F215" w14:textId="77777777" w:rsidTr="00A068F8">
        <w:trPr>
          <w:trHeight w:val="57"/>
          <w:jc w:val="right"/>
        </w:trPr>
        <w:tc>
          <w:tcPr>
            <w:tcW w:w="3950" w:type="dxa"/>
            <w:tcBorders>
              <w:top w:val="nil"/>
              <w:left w:val="nil"/>
              <w:bottom w:val="nil"/>
              <w:right w:val="nil"/>
            </w:tcBorders>
            <w:hideMark/>
          </w:tcPr>
          <w:p w14:paraId="09E54EAF" w14:textId="0BC35B50" w:rsidR="00607B78" w:rsidRPr="009C2953" w:rsidRDefault="00607B78" w:rsidP="00A068F8">
            <w:pPr>
              <w:pStyle w:val="Normal-pool"/>
              <w:spacing w:before="40" w:after="40"/>
              <w:ind w:left="177"/>
              <w:rPr>
                <w:sz w:val="18"/>
                <w:szCs w:val="18"/>
              </w:rPr>
            </w:pPr>
            <w:r w:rsidRPr="009C2953">
              <w:rPr>
                <w:sz w:val="18"/>
              </w:rPr>
              <w:t>Ministère français</w:t>
            </w:r>
            <w:r w:rsidR="00D24DC1" w:rsidRPr="009C2953">
              <w:rPr>
                <w:sz w:val="18"/>
              </w:rPr>
              <w:t xml:space="preserve"> des </w:t>
            </w:r>
            <w:r w:rsidRPr="009C2953">
              <w:rPr>
                <w:sz w:val="18"/>
              </w:rPr>
              <w:t>affaires étrangères</w:t>
            </w:r>
          </w:p>
        </w:tc>
        <w:tc>
          <w:tcPr>
            <w:tcW w:w="5372" w:type="dxa"/>
            <w:tcBorders>
              <w:top w:val="nil"/>
              <w:left w:val="nil"/>
              <w:bottom w:val="nil"/>
              <w:right w:val="nil"/>
            </w:tcBorders>
            <w:hideMark/>
          </w:tcPr>
          <w:p w14:paraId="3D0836E9" w14:textId="40414821" w:rsidR="00607B78" w:rsidRPr="009C2953" w:rsidRDefault="00607B78" w:rsidP="00A068F8">
            <w:pPr>
              <w:pStyle w:val="Normal-pool"/>
              <w:spacing w:before="40" w:after="40"/>
              <w:rPr>
                <w:sz w:val="18"/>
                <w:szCs w:val="18"/>
              </w:rPr>
            </w:pPr>
            <w:r w:rsidRPr="009C2953">
              <w:rPr>
                <w:sz w:val="18"/>
              </w:rPr>
              <w:t>Appui technique à</w:t>
            </w:r>
            <w:r w:rsidR="00F34644" w:rsidRPr="009C2953">
              <w:rPr>
                <w:sz w:val="18"/>
              </w:rPr>
              <w:t xml:space="preserve"> la </w:t>
            </w:r>
            <w:r w:rsidRPr="009C2953">
              <w:rPr>
                <w:sz w:val="18"/>
              </w:rPr>
              <w:t>mise en œuvre de</w:t>
            </w:r>
            <w:r w:rsidR="00F34644" w:rsidRPr="009C2953">
              <w:rPr>
                <w:sz w:val="18"/>
              </w:rPr>
              <w:t xml:space="preserve"> la </w:t>
            </w:r>
            <w:r w:rsidRPr="009C2953">
              <w:rPr>
                <w:sz w:val="18"/>
              </w:rPr>
              <w:t>stratégie de mobilisation de</w:t>
            </w:r>
            <w:r w:rsidR="003D028C" w:rsidRPr="009C2953">
              <w:rPr>
                <w:sz w:val="18"/>
              </w:rPr>
              <w:t> </w:t>
            </w:r>
            <w:r w:rsidRPr="009C2953">
              <w:rPr>
                <w:sz w:val="18"/>
              </w:rPr>
              <w:t>fonds de l</w:t>
            </w:r>
            <w:r w:rsidR="00EA2966" w:rsidRPr="009C2953">
              <w:rPr>
                <w:sz w:val="18"/>
              </w:rPr>
              <w:t>’</w:t>
            </w:r>
            <w:r w:rsidRPr="009C2953">
              <w:rPr>
                <w:sz w:val="18"/>
              </w:rPr>
              <w:t>IPBES</w:t>
            </w:r>
          </w:p>
        </w:tc>
        <w:tc>
          <w:tcPr>
            <w:tcW w:w="3490" w:type="dxa"/>
            <w:tcBorders>
              <w:top w:val="nil"/>
              <w:left w:val="nil"/>
              <w:bottom w:val="nil"/>
              <w:right w:val="nil"/>
            </w:tcBorders>
            <w:hideMark/>
          </w:tcPr>
          <w:p w14:paraId="7F2F7057" w14:textId="77777777" w:rsidR="00607B78" w:rsidRPr="009C2953" w:rsidRDefault="00607B78" w:rsidP="00A068F8">
            <w:pPr>
              <w:pStyle w:val="Normal-pool"/>
              <w:spacing w:before="40" w:after="40"/>
              <w:rPr>
                <w:sz w:val="18"/>
                <w:szCs w:val="18"/>
              </w:rPr>
            </w:pPr>
            <w:r w:rsidRPr="009C2953">
              <w:rPr>
                <w:sz w:val="18"/>
              </w:rPr>
              <w:t>Dépenses de personnel</w:t>
            </w:r>
          </w:p>
        </w:tc>
        <w:tc>
          <w:tcPr>
            <w:tcW w:w="1616" w:type="dxa"/>
            <w:tcBorders>
              <w:top w:val="nil"/>
              <w:left w:val="nil"/>
              <w:bottom w:val="nil"/>
              <w:right w:val="nil"/>
            </w:tcBorders>
            <w:vAlign w:val="bottom"/>
            <w:hideMark/>
          </w:tcPr>
          <w:p w14:paraId="59F5C8CB" w14:textId="77777777" w:rsidR="00607B78" w:rsidRPr="009C2953" w:rsidRDefault="00607B78" w:rsidP="00A068F8">
            <w:pPr>
              <w:pStyle w:val="Normal-pool"/>
              <w:spacing w:before="40" w:after="40"/>
              <w:jc w:val="right"/>
              <w:rPr>
                <w:sz w:val="18"/>
                <w:szCs w:val="18"/>
              </w:rPr>
            </w:pPr>
            <w:r w:rsidRPr="009C2953">
              <w:rPr>
                <w:sz w:val="18"/>
              </w:rPr>
              <w:t>186 500</w:t>
            </w:r>
          </w:p>
        </w:tc>
      </w:tr>
      <w:tr w:rsidR="00607B78" w:rsidRPr="009C2953" w14:paraId="08F1BF43" w14:textId="77777777" w:rsidTr="00A068F8">
        <w:trPr>
          <w:trHeight w:val="57"/>
          <w:jc w:val="right"/>
        </w:trPr>
        <w:tc>
          <w:tcPr>
            <w:tcW w:w="3950" w:type="dxa"/>
            <w:tcBorders>
              <w:top w:val="nil"/>
              <w:left w:val="nil"/>
              <w:bottom w:val="nil"/>
              <w:right w:val="nil"/>
            </w:tcBorders>
            <w:hideMark/>
          </w:tcPr>
          <w:p w14:paraId="3567DD68" w14:textId="73962D85" w:rsidR="00607B78" w:rsidRPr="009C2953" w:rsidRDefault="00607B78" w:rsidP="00A068F8">
            <w:pPr>
              <w:pStyle w:val="Normal-pool"/>
              <w:spacing w:before="40" w:after="40"/>
              <w:ind w:left="177"/>
              <w:rPr>
                <w:sz w:val="18"/>
                <w:szCs w:val="18"/>
              </w:rPr>
            </w:pPr>
            <w:r w:rsidRPr="009C2953">
              <w:rPr>
                <w:sz w:val="18"/>
              </w:rPr>
              <w:t>Ministère japonais de l</w:t>
            </w:r>
            <w:r w:rsidR="00EA2966" w:rsidRPr="009C2953">
              <w:rPr>
                <w:sz w:val="18"/>
              </w:rPr>
              <w:t>’</w:t>
            </w:r>
            <w:r w:rsidRPr="009C2953">
              <w:rPr>
                <w:sz w:val="18"/>
              </w:rPr>
              <w:t>environnement</w:t>
            </w:r>
          </w:p>
        </w:tc>
        <w:tc>
          <w:tcPr>
            <w:tcW w:w="5372" w:type="dxa"/>
            <w:tcBorders>
              <w:top w:val="nil"/>
              <w:left w:val="nil"/>
              <w:bottom w:val="nil"/>
              <w:right w:val="nil"/>
            </w:tcBorders>
            <w:hideMark/>
          </w:tcPr>
          <w:p w14:paraId="6CA5A716" w14:textId="4BF8DF5B"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pour l</w:t>
            </w:r>
            <w:r w:rsidR="00EA2966" w:rsidRPr="009C2953">
              <w:rPr>
                <w:sz w:val="18"/>
              </w:rPr>
              <w:t>’</w:t>
            </w:r>
            <w:r w:rsidRPr="009C2953">
              <w:rPr>
                <w:sz w:val="18"/>
              </w:rPr>
              <w:t>évaluation</w:t>
            </w:r>
            <w:r w:rsidR="00D24DC1" w:rsidRPr="009C2953">
              <w:rPr>
                <w:sz w:val="18"/>
              </w:rPr>
              <w:t xml:space="preserve"> des </w:t>
            </w:r>
            <w:r w:rsidRPr="009C2953">
              <w:rPr>
                <w:sz w:val="18"/>
              </w:rPr>
              <w:t>espèces exotiques envahissantes</w:t>
            </w:r>
          </w:p>
        </w:tc>
        <w:tc>
          <w:tcPr>
            <w:tcW w:w="3490" w:type="dxa"/>
            <w:tcBorders>
              <w:top w:val="nil"/>
              <w:left w:val="nil"/>
              <w:bottom w:val="nil"/>
              <w:right w:val="nil"/>
            </w:tcBorders>
            <w:hideMark/>
          </w:tcPr>
          <w:p w14:paraId="2A07DBB3" w14:textId="224D2F8E"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0A841A4D" w14:textId="77777777" w:rsidR="00607B78" w:rsidRPr="009C2953" w:rsidRDefault="00607B78" w:rsidP="00A068F8">
            <w:pPr>
              <w:pStyle w:val="Normal-pool"/>
              <w:spacing w:before="40" w:after="40"/>
              <w:jc w:val="right"/>
              <w:rPr>
                <w:sz w:val="18"/>
                <w:szCs w:val="18"/>
              </w:rPr>
            </w:pPr>
            <w:r w:rsidRPr="009C2953">
              <w:rPr>
                <w:sz w:val="18"/>
              </w:rPr>
              <w:t>212 300</w:t>
            </w:r>
          </w:p>
        </w:tc>
      </w:tr>
      <w:tr w:rsidR="00607B78" w:rsidRPr="009C2953" w14:paraId="4166FBBB" w14:textId="77777777" w:rsidTr="00A068F8">
        <w:trPr>
          <w:trHeight w:val="57"/>
          <w:jc w:val="right"/>
        </w:trPr>
        <w:tc>
          <w:tcPr>
            <w:tcW w:w="3950" w:type="dxa"/>
            <w:tcBorders>
              <w:top w:val="nil"/>
              <w:left w:val="nil"/>
              <w:bottom w:val="nil"/>
              <w:right w:val="nil"/>
            </w:tcBorders>
            <w:hideMark/>
          </w:tcPr>
          <w:p w14:paraId="3D432529" w14:textId="77777777" w:rsidR="00607B78" w:rsidRPr="009C2953" w:rsidRDefault="00607B78" w:rsidP="00A068F8">
            <w:pPr>
              <w:pStyle w:val="Normal-pool"/>
              <w:spacing w:before="40" w:after="40"/>
              <w:ind w:left="177"/>
              <w:rPr>
                <w:sz w:val="18"/>
                <w:szCs w:val="18"/>
              </w:rPr>
            </w:pPr>
            <w:proofErr w:type="spellStart"/>
            <w:r w:rsidRPr="009C2953">
              <w:rPr>
                <w:sz w:val="18"/>
              </w:rPr>
              <w:t>Universidad</w:t>
            </w:r>
            <w:proofErr w:type="spellEnd"/>
            <w:r w:rsidRPr="009C2953">
              <w:rPr>
                <w:sz w:val="18"/>
              </w:rPr>
              <w:t xml:space="preserve"> </w:t>
            </w:r>
            <w:proofErr w:type="spellStart"/>
            <w:r w:rsidRPr="009C2953">
              <w:rPr>
                <w:sz w:val="18"/>
              </w:rPr>
              <w:t>Nacional</w:t>
            </w:r>
            <w:proofErr w:type="spellEnd"/>
            <w:r w:rsidRPr="009C2953">
              <w:rPr>
                <w:sz w:val="18"/>
              </w:rPr>
              <w:t xml:space="preserve"> </w:t>
            </w:r>
            <w:proofErr w:type="spellStart"/>
            <w:r w:rsidRPr="009C2953">
              <w:rPr>
                <w:sz w:val="18"/>
              </w:rPr>
              <w:t>Autónoma</w:t>
            </w:r>
            <w:proofErr w:type="spellEnd"/>
            <w:r w:rsidRPr="009C2953">
              <w:rPr>
                <w:sz w:val="18"/>
              </w:rPr>
              <w:t xml:space="preserve"> de México</w:t>
            </w:r>
          </w:p>
        </w:tc>
        <w:tc>
          <w:tcPr>
            <w:tcW w:w="5372" w:type="dxa"/>
            <w:tcBorders>
              <w:top w:val="nil"/>
              <w:left w:val="nil"/>
              <w:bottom w:val="nil"/>
              <w:right w:val="nil"/>
            </w:tcBorders>
            <w:hideMark/>
          </w:tcPr>
          <w:p w14:paraId="53F57C19" w14:textId="568B9AED"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pour l</w:t>
            </w:r>
            <w:r w:rsidR="00EA2966" w:rsidRPr="009C2953">
              <w:rPr>
                <w:sz w:val="18"/>
              </w:rPr>
              <w:t>’</w:t>
            </w:r>
            <w:r w:rsidRPr="009C2953">
              <w:rPr>
                <w:sz w:val="18"/>
              </w:rPr>
              <w:t>évaluation</w:t>
            </w:r>
            <w:r w:rsidR="00D24DC1" w:rsidRPr="009C2953">
              <w:rPr>
                <w:sz w:val="18"/>
              </w:rPr>
              <w:t xml:space="preserve"> des </w:t>
            </w:r>
            <w:r w:rsidRPr="009C2953">
              <w:rPr>
                <w:sz w:val="18"/>
              </w:rPr>
              <w:t>valeurs</w:t>
            </w:r>
          </w:p>
        </w:tc>
        <w:tc>
          <w:tcPr>
            <w:tcW w:w="3490" w:type="dxa"/>
            <w:tcBorders>
              <w:top w:val="nil"/>
              <w:left w:val="nil"/>
              <w:bottom w:val="nil"/>
              <w:right w:val="nil"/>
            </w:tcBorders>
            <w:hideMark/>
          </w:tcPr>
          <w:p w14:paraId="0BA69BA2" w14:textId="519BC179"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11AD5372" w14:textId="77777777" w:rsidR="00607B78" w:rsidRPr="009C2953" w:rsidRDefault="00607B78" w:rsidP="00A068F8">
            <w:pPr>
              <w:pStyle w:val="Normal-pool"/>
              <w:spacing w:before="40" w:after="40"/>
              <w:jc w:val="right"/>
              <w:rPr>
                <w:sz w:val="18"/>
                <w:szCs w:val="18"/>
              </w:rPr>
            </w:pPr>
            <w:r w:rsidRPr="009C2953">
              <w:rPr>
                <w:sz w:val="18"/>
              </w:rPr>
              <w:t>13 800</w:t>
            </w:r>
          </w:p>
        </w:tc>
      </w:tr>
      <w:tr w:rsidR="00607B78" w:rsidRPr="009C2953" w14:paraId="21E8C661" w14:textId="77777777" w:rsidTr="00A068F8">
        <w:trPr>
          <w:trHeight w:val="57"/>
          <w:jc w:val="right"/>
        </w:trPr>
        <w:tc>
          <w:tcPr>
            <w:tcW w:w="3950" w:type="dxa"/>
            <w:tcBorders>
              <w:top w:val="nil"/>
              <w:left w:val="nil"/>
              <w:bottom w:val="nil"/>
              <w:right w:val="nil"/>
            </w:tcBorders>
            <w:hideMark/>
          </w:tcPr>
          <w:p w14:paraId="26D3FB11" w14:textId="15234D40" w:rsidR="00607B78" w:rsidRPr="009C2953" w:rsidRDefault="00607B78" w:rsidP="00A068F8">
            <w:pPr>
              <w:pStyle w:val="Normal-pool"/>
              <w:spacing w:before="40" w:after="40"/>
              <w:ind w:left="177"/>
              <w:rPr>
                <w:sz w:val="18"/>
                <w:szCs w:val="18"/>
              </w:rPr>
            </w:pPr>
            <w:r w:rsidRPr="009C2953">
              <w:rPr>
                <w:sz w:val="18"/>
              </w:rPr>
              <w:t>Agence norvégienne de l</w:t>
            </w:r>
            <w:r w:rsidR="00EA2966" w:rsidRPr="009C2953">
              <w:rPr>
                <w:sz w:val="18"/>
              </w:rPr>
              <w:t>’</w:t>
            </w:r>
            <w:r w:rsidRPr="009C2953">
              <w:rPr>
                <w:sz w:val="18"/>
              </w:rPr>
              <w:t>environnement</w:t>
            </w:r>
          </w:p>
        </w:tc>
        <w:tc>
          <w:tcPr>
            <w:tcW w:w="5372" w:type="dxa"/>
            <w:tcBorders>
              <w:top w:val="nil"/>
              <w:left w:val="nil"/>
              <w:bottom w:val="nil"/>
              <w:right w:val="nil"/>
            </w:tcBorders>
            <w:hideMark/>
          </w:tcPr>
          <w:p w14:paraId="2D53959E" w14:textId="044E782F" w:rsidR="00607B78" w:rsidRPr="009C2953" w:rsidRDefault="00607B78" w:rsidP="00A068F8">
            <w:pPr>
              <w:pStyle w:val="Normal-pool"/>
              <w:spacing w:before="40" w:after="40"/>
              <w:rPr>
                <w:sz w:val="18"/>
                <w:szCs w:val="18"/>
              </w:rPr>
            </w:pPr>
            <w:r w:rsidRPr="009C2953">
              <w:rPr>
                <w:sz w:val="18"/>
              </w:rPr>
              <w:t>Atelier pour</w:t>
            </w:r>
            <w:r w:rsidR="00F34644" w:rsidRPr="009C2953">
              <w:rPr>
                <w:sz w:val="18"/>
              </w:rPr>
              <w:t xml:space="preserve"> les </w:t>
            </w:r>
            <w:r w:rsidRPr="009C2953">
              <w:rPr>
                <w:sz w:val="18"/>
              </w:rPr>
              <w:t>jeunes</w:t>
            </w:r>
          </w:p>
        </w:tc>
        <w:tc>
          <w:tcPr>
            <w:tcW w:w="3490" w:type="dxa"/>
            <w:tcBorders>
              <w:top w:val="nil"/>
              <w:left w:val="nil"/>
              <w:bottom w:val="nil"/>
              <w:right w:val="nil"/>
            </w:tcBorders>
            <w:hideMark/>
          </w:tcPr>
          <w:p w14:paraId="7A9F8B16" w14:textId="7EAC16B2" w:rsidR="00607B78" w:rsidRPr="009C2953" w:rsidRDefault="00607B78" w:rsidP="00A068F8">
            <w:pPr>
              <w:pStyle w:val="Normal-pool"/>
              <w:spacing w:before="40" w:after="40"/>
              <w:rPr>
                <w:sz w:val="18"/>
                <w:szCs w:val="18"/>
              </w:rPr>
            </w:pPr>
            <w:r w:rsidRPr="009C2953">
              <w:rPr>
                <w:sz w:val="18"/>
              </w:rPr>
              <w:t>Aide</w:t>
            </w:r>
            <w:r w:rsidR="00F34644" w:rsidRPr="009C2953">
              <w:rPr>
                <w:sz w:val="18"/>
              </w:rPr>
              <w:t xml:space="preserve"> aux </w:t>
            </w:r>
            <w:r w:rsidRPr="009C2953">
              <w:rPr>
                <w:sz w:val="18"/>
              </w:rPr>
              <w:t>participant(e)s et logistique</w:t>
            </w:r>
          </w:p>
        </w:tc>
        <w:tc>
          <w:tcPr>
            <w:tcW w:w="1616" w:type="dxa"/>
            <w:tcBorders>
              <w:top w:val="nil"/>
              <w:left w:val="nil"/>
              <w:bottom w:val="nil"/>
              <w:right w:val="nil"/>
            </w:tcBorders>
            <w:vAlign w:val="bottom"/>
            <w:hideMark/>
          </w:tcPr>
          <w:p w14:paraId="55A7D024" w14:textId="77777777" w:rsidR="00607B78" w:rsidRPr="009C2953" w:rsidRDefault="00607B78" w:rsidP="00A068F8">
            <w:pPr>
              <w:pStyle w:val="Normal-pool"/>
              <w:spacing w:before="40" w:after="40"/>
              <w:jc w:val="right"/>
              <w:rPr>
                <w:sz w:val="18"/>
                <w:szCs w:val="18"/>
              </w:rPr>
            </w:pPr>
            <w:r w:rsidRPr="009C2953">
              <w:rPr>
                <w:sz w:val="18"/>
              </w:rPr>
              <w:t>56 700</w:t>
            </w:r>
          </w:p>
        </w:tc>
      </w:tr>
      <w:tr w:rsidR="00607B78" w:rsidRPr="009C2953" w14:paraId="394EB745" w14:textId="77777777" w:rsidTr="00A068F8">
        <w:trPr>
          <w:trHeight w:val="57"/>
          <w:jc w:val="right"/>
        </w:trPr>
        <w:tc>
          <w:tcPr>
            <w:tcW w:w="3950" w:type="dxa"/>
            <w:tcBorders>
              <w:top w:val="nil"/>
              <w:left w:val="nil"/>
              <w:bottom w:val="nil"/>
              <w:right w:val="nil"/>
            </w:tcBorders>
            <w:hideMark/>
          </w:tcPr>
          <w:p w14:paraId="7A0F2DC8" w14:textId="77777777" w:rsidR="00607B78" w:rsidRPr="009C2953" w:rsidRDefault="00607B78" w:rsidP="00A068F8">
            <w:pPr>
              <w:pStyle w:val="Normal-pool"/>
              <w:spacing w:before="40" w:after="40"/>
              <w:ind w:left="177"/>
              <w:rPr>
                <w:sz w:val="18"/>
                <w:szCs w:val="18"/>
              </w:rPr>
            </w:pPr>
            <w:r w:rsidRPr="009C2953">
              <w:rPr>
                <w:sz w:val="18"/>
              </w:rPr>
              <w:t xml:space="preserve">PBL </w:t>
            </w:r>
            <w:proofErr w:type="spellStart"/>
            <w:r w:rsidRPr="009C2953">
              <w:rPr>
                <w:sz w:val="18"/>
              </w:rPr>
              <w:t>Netherlands</w:t>
            </w:r>
            <w:proofErr w:type="spellEnd"/>
            <w:r w:rsidRPr="009C2953">
              <w:rPr>
                <w:sz w:val="18"/>
              </w:rPr>
              <w:t xml:space="preserve"> </w:t>
            </w:r>
            <w:proofErr w:type="spellStart"/>
            <w:r w:rsidRPr="009C2953">
              <w:rPr>
                <w:sz w:val="18"/>
              </w:rPr>
              <w:t>Environmental</w:t>
            </w:r>
            <w:proofErr w:type="spellEnd"/>
            <w:r w:rsidRPr="009C2953">
              <w:rPr>
                <w:sz w:val="18"/>
              </w:rPr>
              <w:t xml:space="preserve"> </w:t>
            </w:r>
            <w:proofErr w:type="spellStart"/>
            <w:r w:rsidRPr="009C2953">
              <w:rPr>
                <w:sz w:val="18"/>
              </w:rPr>
              <w:t>Assessment</w:t>
            </w:r>
            <w:proofErr w:type="spellEnd"/>
            <w:r w:rsidRPr="009C2953">
              <w:rPr>
                <w:sz w:val="18"/>
              </w:rPr>
              <w:t xml:space="preserve"> Agency</w:t>
            </w:r>
          </w:p>
        </w:tc>
        <w:tc>
          <w:tcPr>
            <w:tcW w:w="5372" w:type="dxa"/>
            <w:tcBorders>
              <w:top w:val="nil"/>
              <w:left w:val="nil"/>
              <w:bottom w:val="nil"/>
              <w:right w:val="nil"/>
            </w:tcBorders>
            <w:hideMark/>
          </w:tcPr>
          <w:p w14:paraId="335C5ADA" w14:textId="2F24BE9F"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scénarios et</w:t>
            </w:r>
            <w:r w:rsidR="00AA14F2" w:rsidRPr="009C2953">
              <w:rPr>
                <w:sz w:val="18"/>
              </w:rPr>
              <w:t> </w:t>
            </w:r>
            <w:r w:rsidR="00F34644" w:rsidRPr="009C2953">
              <w:rPr>
                <w:sz w:val="18"/>
              </w:rPr>
              <w:t>les </w:t>
            </w:r>
            <w:r w:rsidRPr="009C2953">
              <w:rPr>
                <w:sz w:val="18"/>
              </w:rPr>
              <w:t>modèles de</w:t>
            </w:r>
            <w:r w:rsidR="00F34644" w:rsidRPr="009C2953">
              <w:rPr>
                <w:sz w:val="18"/>
              </w:rPr>
              <w:t xml:space="preserve"> la </w:t>
            </w:r>
            <w:r w:rsidRPr="009C2953">
              <w:rPr>
                <w:sz w:val="18"/>
              </w:rPr>
              <w:t>biodiversité et</w:t>
            </w:r>
            <w:r w:rsidR="00D24DC1" w:rsidRPr="009C2953">
              <w:rPr>
                <w:sz w:val="18"/>
              </w:rPr>
              <w:t xml:space="preserve"> des </w:t>
            </w:r>
            <w:r w:rsidRPr="009C2953">
              <w:rPr>
                <w:sz w:val="18"/>
              </w:rPr>
              <w:t>services écosystémiques</w:t>
            </w:r>
          </w:p>
        </w:tc>
        <w:tc>
          <w:tcPr>
            <w:tcW w:w="3490" w:type="dxa"/>
            <w:tcBorders>
              <w:top w:val="nil"/>
              <w:left w:val="nil"/>
              <w:bottom w:val="nil"/>
              <w:right w:val="nil"/>
            </w:tcBorders>
            <w:hideMark/>
          </w:tcPr>
          <w:p w14:paraId="79162725" w14:textId="77777777" w:rsidR="00607B78" w:rsidRPr="009C2953" w:rsidRDefault="00607B78" w:rsidP="00A068F8">
            <w:pPr>
              <w:pStyle w:val="Normal-pool"/>
              <w:spacing w:before="40" w:after="40"/>
              <w:rPr>
                <w:sz w:val="18"/>
                <w:szCs w:val="18"/>
              </w:rPr>
            </w:pPr>
            <w:r w:rsidRPr="009C2953">
              <w:rPr>
                <w:sz w:val="18"/>
              </w:rPr>
              <w:t>Bureaux et frais généraux de fonctionnement</w:t>
            </w:r>
          </w:p>
        </w:tc>
        <w:tc>
          <w:tcPr>
            <w:tcW w:w="1616" w:type="dxa"/>
            <w:tcBorders>
              <w:top w:val="nil"/>
              <w:left w:val="nil"/>
              <w:bottom w:val="nil"/>
              <w:right w:val="nil"/>
            </w:tcBorders>
            <w:vAlign w:val="bottom"/>
            <w:hideMark/>
          </w:tcPr>
          <w:p w14:paraId="61E8C15B" w14:textId="77777777" w:rsidR="00607B78" w:rsidRPr="009C2953" w:rsidRDefault="00607B78" w:rsidP="00A068F8">
            <w:pPr>
              <w:pStyle w:val="Normal-pool"/>
              <w:spacing w:before="40" w:after="40"/>
              <w:jc w:val="right"/>
              <w:rPr>
                <w:sz w:val="18"/>
                <w:szCs w:val="18"/>
              </w:rPr>
            </w:pPr>
            <w:r w:rsidRPr="009C2953">
              <w:rPr>
                <w:sz w:val="18"/>
              </w:rPr>
              <w:t>15 700</w:t>
            </w:r>
          </w:p>
        </w:tc>
      </w:tr>
      <w:tr w:rsidR="00607B78" w:rsidRPr="009C2953" w14:paraId="010FCA43" w14:textId="77777777" w:rsidTr="00A068F8">
        <w:trPr>
          <w:trHeight w:val="57"/>
          <w:jc w:val="right"/>
        </w:trPr>
        <w:tc>
          <w:tcPr>
            <w:tcW w:w="3950" w:type="dxa"/>
            <w:tcBorders>
              <w:top w:val="nil"/>
              <w:left w:val="nil"/>
              <w:bottom w:val="nil"/>
              <w:right w:val="nil"/>
            </w:tcBorders>
          </w:tcPr>
          <w:p w14:paraId="1BD9AB89" w14:textId="77777777" w:rsidR="00607B78" w:rsidRPr="009C2953" w:rsidRDefault="00607B78" w:rsidP="00A068F8">
            <w:pPr>
              <w:pStyle w:val="Normal-pool"/>
              <w:spacing w:before="40" w:after="40"/>
              <w:rPr>
                <w:sz w:val="18"/>
                <w:szCs w:val="18"/>
              </w:rPr>
            </w:pPr>
          </w:p>
        </w:tc>
        <w:tc>
          <w:tcPr>
            <w:tcW w:w="5372" w:type="dxa"/>
            <w:tcBorders>
              <w:top w:val="nil"/>
              <w:left w:val="nil"/>
              <w:bottom w:val="nil"/>
              <w:right w:val="nil"/>
            </w:tcBorders>
            <w:hideMark/>
          </w:tcPr>
          <w:p w14:paraId="0896559A" w14:textId="6171DFF2" w:rsidR="00607B78" w:rsidRPr="009C2953" w:rsidRDefault="00607B78" w:rsidP="00A068F8">
            <w:pPr>
              <w:pStyle w:val="Normal-pool"/>
              <w:spacing w:before="40" w:after="40"/>
              <w:rPr>
                <w:sz w:val="18"/>
                <w:szCs w:val="18"/>
              </w:rPr>
            </w:pPr>
            <w:r w:rsidRPr="009C2953">
              <w:rPr>
                <w:sz w:val="18"/>
              </w:rPr>
              <w:t>Réunions et ateliers de dialogue sur</w:t>
            </w:r>
            <w:r w:rsidR="00F34644" w:rsidRPr="009C2953">
              <w:rPr>
                <w:sz w:val="18"/>
              </w:rPr>
              <w:t xml:space="preserve"> les </w:t>
            </w:r>
            <w:r w:rsidRPr="009C2953">
              <w:rPr>
                <w:sz w:val="18"/>
              </w:rPr>
              <w:t>scénarios et</w:t>
            </w:r>
            <w:r w:rsidR="00F34644" w:rsidRPr="009C2953">
              <w:rPr>
                <w:sz w:val="18"/>
              </w:rPr>
              <w:t xml:space="preserve"> les </w:t>
            </w:r>
            <w:r w:rsidRPr="009C2953">
              <w:rPr>
                <w:sz w:val="18"/>
              </w:rPr>
              <w:t>modèles de</w:t>
            </w:r>
            <w:r w:rsidR="00AA14F2" w:rsidRPr="009C2953">
              <w:rPr>
                <w:sz w:val="18"/>
              </w:rPr>
              <w:t> </w:t>
            </w:r>
            <w:r w:rsidR="00F34644" w:rsidRPr="009C2953">
              <w:rPr>
                <w:sz w:val="18"/>
              </w:rPr>
              <w:t>la </w:t>
            </w:r>
            <w:r w:rsidRPr="009C2953">
              <w:rPr>
                <w:sz w:val="18"/>
              </w:rPr>
              <w:t>biodiversité et</w:t>
            </w:r>
            <w:r w:rsidR="00D24DC1" w:rsidRPr="009C2953">
              <w:rPr>
                <w:sz w:val="18"/>
              </w:rPr>
              <w:t xml:space="preserve"> des </w:t>
            </w:r>
            <w:r w:rsidRPr="009C2953">
              <w:rPr>
                <w:sz w:val="18"/>
              </w:rPr>
              <w:t>services écosystémiques</w:t>
            </w:r>
          </w:p>
        </w:tc>
        <w:tc>
          <w:tcPr>
            <w:tcW w:w="3490" w:type="dxa"/>
            <w:tcBorders>
              <w:top w:val="nil"/>
              <w:left w:val="nil"/>
              <w:bottom w:val="nil"/>
              <w:right w:val="nil"/>
            </w:tcBorders>
            <w:hideMark/>
          </w:tcPr>
          <w:p w14:paraId="0A5EBC95" w14:textId="77777777" w:rsidR="00607B78" w:rsidRPr="009C2953" w:rsidRDefault="00607B78" w:rsidP="00A068F8">
            <w:pPr>
              <w:pStyle w:val="Normal-pool"/>
              <w:spacing w:before="40" w:after="40"/>
              <w:rPr>
                <w:sz w:val="18"/>
                <w:szCs w:val="18"/>
              </w:rPr>
            </w:pPr>
            <w:r w:rsidRPr="009C2953">
              <w:rPr>
                <w:sz w:val="18"/>
              </w:rPr>
              <w:t>Logistique</w:t>
            </w:r>
          </w:p>
        </w:tc>
        <w:tc>
          <w:tcPr>
            <w:tcW w:w="1616" w:type="dxa"/>
            <w:tcBorders>
              <w:top w:val="nil"/>
              <w:left w:val="nil"/>
              <w:bottom w:val="nil"/>
              <w:right w:val="nil"/>
            </w:tcBorders>
            <w:vAlign w:val="bottom"/>
            <w:hideMark/>
          </w:tcPr>
          <w:p w14:paraId="6F75461D" w14:textId="77777777" w:rsidR="00607B78" w:rsidRPr="009C2953" w:rsidRDefault="00607B78" w:rsidP="00A068F8">
            <w:pPr>
              <w:pStyle w:val="Normal-pool"/>
              <w:spacing w:before="40" w:after="40"/>
              <w:jc w:val="right"/>
              <w:rPr>
                <w:sz w:val="18"/>
                <w:szCs w:val="18"/>
              </w:rPr>
            </w:pPr>
            <w:r w:rsidRPr="009C2953">
              <w:rPr>
                <w:sz w:val="18"/>
              </w:rPr>
              <w:t>35 900</w:t>
            </w:r>
          </w:p>
        </w:tc>
      </w:tr>
      <w:tr w:rsidR="00607B78" w:rsidRPr="009C2953" w14:paraId="407CFE97" w14:textId="77777777" w:rsidTr="00A068F8">
        <w:trPr>
          <w:trHeight w:val="57"/>
          <w:jc w:val="right"/>
        </w:trPr>
        <w:tc>
          <w:tcPr>
            <w:tcW w:w="3950" w:type="dxa"/>
            <w:tcBorders>
              <w:top w:val="nil"/>
              <w:left w:val="nil"/>
              <w:bottom w:val="nil"/>
              <w:right w:val="nil"/>
            </w:tcBorders>
            <w:hideMark/>
          </w:tcPr>
          <w:p w14:paraId="55CF2C67" w14:textId="77777777" w:rsidR="00607B78" w:rsidRPr="009C2953" w:rsidRDefault="00607B78" w:rsidP="00A068F8">
            <w:pPr>
              <w:pStyle w:val="Normal-pool"/>
              <w:spacing w:before="40" w:after="40"/>
              <w:ind w:left="177"/>
              <w:rPr>
                <w:sz w:val="18"/>
                <w:szCs w:val="18"/>
              </w:rPr>
            </w:pPr>
            <w:proofErr w:type="spellStart"/>
            <w:r w:rsidRPr="009C2953">
              <w:rPr>
                <w:sz w:val="18"/>
              </w:rPr>
              <w:t>Senckenberg</w:t>
            </w:r>
            <w:proofErr w:type="spellEnd"/>
            <w:r w:rsidRPr="009C2953">
              <w:rPr>
                <w:sz w:val="18"/>
              </w:rPr>
              <w:t xml:space="preserve"> Nature </w:t>
            </w:r>
            <w:proofErr w:type="spellStart"/>
            <w:r w:rsidRPr="009C2953">
              <w:rPr>
                <w:sz w:val="18"/>
              </w:rPr>
              <w:t>Research</w:t>
            </w:r>
            <w:proofErr w:type="spellEnd"/>
            <w:r w:rsidRPr="009C2953">
              <w:rPr>
                <w:sz w:val="18"/>
              </w:rPr>
              <w:t xml:space="preserve"> Society (Allemagne)</w:t>
            </w:r>
          </w:p>
        </w:tc>
        <w:tc>
          <w:tcPr>
            <w:tcW w:w="5372" w:type="dxa"/>
            <w:tcBorders>
              <w:top w:val="nil"/>
              <w:left w:val="nil"/>
              <w:bottom w:val="nil"/>
              <w:right w:val="nil"/>
            </w:tcBorders>
            <w:hideMark/>
          </w:tcPr>
          <w:p w14:paraId="07E750E0" w14:textId="60481E95"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connaissances et</w:t>
            </w:r>
            <w:r w:rsidR="00AA14F2" w:rsidRPr="009C2953">
              <w:rPr>
                <w:sz w:val="18"/>
              </w:rPr>
              <w:t> </w:t>
            </w:r>
            <w:r w:rsidR="00F34644" w:rsidRPr="009C2953">
              <w:rPr>
                <w:sz w:val="18"/>
              </w:rPr>
              <w:t>les </w:t>
            </w:r>
            <w:r w:rsidRPr="009C2953">
              <w:rPr>
                <w:sz w:val="18"/>
              </w:rPr>
              <w:t>données</w:t>
            </w:r>
          </w:p>
        </w:tc>
        <w:tc>
          <w:tcPr>
            <w:tcW w:w="3490" w:type="dxa"/>
            <w:tcBorders>
              <w:top w:val="nil"/>
              <w:left w:val="nil"/>
              <w:bottom w:val="nil"/>
              <w:right w:val="nil"/>
            </w:tcBorders>
            <w:hideMark/>
          </w:tcPr>
          <w:p w14:paraId="50165E11" w14:textId="2D10FD66"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052390F7" w14:textId="77777777" w:rsidR="00607B78" w:rsidRPr="009C2953" w:rsidRDefault="00607B78" w:rsidP="00A068F8">
            <w:pPr>
              <w:pStyle w:val="Normal-pool"/>
              <w:spacing w:before="40" w:after="40"/>
              <w:jc w:val="right"/>
              <w:rPr>
                <w:sz w:val="18"/>
                <w:szCs w:val="18"/>
              </w:rPr>
            </w:pPr>
            <w:r w:rsidRPr="009C2953">
              <w:rPr>
                <w:sz w:val="18"/>
              </w:rPr>
              <w:t>112 500</w:t>
            </w:r>
          </w:p>
        </w:tc>
      </w:tr>
      <w:tr w:rsidR="00607B78" w:rsidRPr="009C2953" w14:paraId="377C7ED5" w14:textId="77777777" w:rsidTr="00A068F8">
        <w:trPr>
          <w:trHeight w:val="57"/>
          <w:jc w:val="right"/>
        </w:trPr>
        <w:tc>
          <w:tcPr>
            <w:tcW w:w="3950" w:type="dxa"/>
            <w:tcBorders>
              <w:top w:val="nil"/>
              <w:left w:val="nil"/>
              <w:bottom w:val="nil"/>
              <w:right w:val="nil"/>
            </w:tcBorders>
          </w:tcPr>
          <w:p w14:paraId="163FBCCD" w14:textId="77777777" w:rsidR="00607B78" w:rsidRPr="009C2953" w:rsidRDefault="00607B78" w:rsidP="00A068F8">
            <w:pPr>
              <w:pStyle w:val="Normal-pool"/>
              <w:spacing w:before="40" w:after="40"/>
              <w:rPr>
                <w:sz w:val="18"/>
                <w:szCs w:val="18"/>
              </w:rPr>
            </w:pPr>
          </w:p>
        </w:tc>
        <w:tc>
          <w:tcPr>
            <w:tcW w:w="5372" w:type="dxa"/>
            <w:tcBorders>
              <w:top w:val="nil"/>
              <w:left w:val="nil"/>
              <w:bottom w:val="nil"/>
              <w:right w:val="nil"/>
            </w:tcBorders>
            <w:hideMark/>
          </w:tcPr>
          <w:p w14:paraId="263AC510" w14:textId="35ECBD11" w:rsidR="00607B78" w:rsidRPr="009C2953" w:rsidRDefault="00607B78" w:rsidP="00A068F8">
            <w:pPr>
              <w:pStyle w:val="Normal-pool"/>
              <w:spacing w:before="40" w:after="40"/>
              <w:rPr>
                <w:sz w:val="18"/>
                <w:szCs w:val="18"/>
              </w:rPr>
            </w:pPr>
            <w:r w:rsidRPr="009C2953">
              <w:rPr>
                <w:sz w:val="18"/>
              </w:rPr>
              <w:t>Première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de l</w:t>
            </w:r>
            <w:r w:rsidR="00EA2966" w:rsidRPr="009C2953">
              <w:rPr>
                <w:sz w:val="18"/>
              </w:rPr>
              <w:t>’</w:t>
            </w:r>
            <w:r w:rsidRPr="009C2953">
              <w:rPr>
                <w:sz w:val="18"/>
              </w:rPr>
              <w:t>évaluation thématique</w:t>
            </w:r>
            <w:r w:rsidR="00D24DC1" w:rsidRPr="009C2953">
              <w:rPr>
                <w:sz w:val="18"/>
              </w:rPr>
              <w:t xml:space="preserve"> des </w:t>
            </w:r>
            <w:r w:rsidRPr="009C2953">
              <w:rPr>
                <w:sz w:val="18"/>
              </w:rPr>
              <w:t xml:space="preserve">liens </w:t>
            </w:r>
            <w:r w:rsidR="00A47D78" w:rsidRPr="009C2953">
              <w:rPr>
                <w:sz w:val="18"/>
              </w:rPr>
              <w:t>d</w:t>
            </w:r>
            <w:r w:rsidR="00EA2966" w:rsidRPr="009C2953">
              <w:rPr>
                <w:sz w:val="18"/>
              </w:rPr>
              <w:t>’</w:t>
            </w:r>
            <w:r w:rsidR="00A47D78" w:rsidRPr="009C2953">
              <w:rPr>
                <w:sz w:val="18"/>
              </w:rPr>
              <w:t xml:space="preserve">interdépendance </w:t>
            </w:r>
            <w:r w:rsidRPr="009C2953">
              <w:rPr>
                <w:sz w:val="18"/>
              </w:rPr>
              <w:t>entre</w:t>
            </w:r>
            <w:r w:rsidR="00F34644" w:rsidRPr="009C2953">
              <w:rPr>
                <w:sz w:val="18"/>
              </w:rPr>
              <w:t xml:space="preserve"> la </w:t>
            </w:r>
            <w:r w:rsidRPr="009C2953">
              <w:rPr>
                <w:sz w:val="18"/>
              </w:rPr>
              <w:t>biodiversité, l</w:t>
            </w:r>
            <w:r w:rsidR="00EA2966" w:rsidRPr="009C2953">
              <w:rPr>
                <w:sz w:val="18"/>
              </w:rPr>
              <w:t>’</w:t>
            </w:r>
            <w:r w:rsidRPr="009C2953">
              <w:rPr>
                <w:sz w:val="18"/>
              </w:rPr>
              <w:t>eau, l</w:t>
            </w:r>
            <w:r w:rsidR="00EA2966" w:rsidRPr="009C2953">
              <w:rPr>
                <w:sz w:val="18"/>
              </w:rPr>
              <w:t>’</w:t>
            </w:r>
            <w:r w:rsidRPr="009C2953">
              <w:rPr>
                <w:sz w:val="18"/>
              </w:rPr>
              <w:t>alimentation et</w:t>
            </w:r>
            <w:r w:rsidR="00F34644" w:rsidRPr="009C2953">
              <w:rPr>
                <w:sz w:val="18"/>
              </w:rPr>
              <w:t xml:space="preserve"> la </w:t>
            </w:r>
            <w:r w:rsidRPr="009C2953">
              <w:rPr>
                <w:sz w:val="18"/>
              </w:rPr>
              <w:t>santé</w:t>
            </w:r>
          </w:p>
        </w:tc>
        <w:tc>
          <w:tcPr>
            <w:tcW w:w="3490" w:type="dxa"/>
            <w:tcBorders>
              <w:top w:val="nil"/>
              <w:left w:val="nil"/>
              <w:bottom w:val="nil"/>
              <w:right w:val="nil"/>
            </w:tcBorders>
            <w:hideMark/>
          </w:tcPr>
          <w:p w14:paraId="37A6C051" w14:textId="099BB8DC"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w:t>
            </w:r>
          </w:p>
        </w:tc>
        <w:tc>
          <w:tcPr>
            <w:tcW w:w="1616" w:type="dxa"/>
            <w:tcBorders>
              <w:top w:val="nil"/>
              <w:left w:val="nil"/>
              <w:bottom w:val="nil"/>
              <w:right w:val="nil"/>
            </w:tcBorders>
            <w:vAlign w:val="bottom"/>
            <w:hideMark/>
          </w:tcPr>
          <w:p w14:paraId="132CC489" w14:textId="77777777" w:rsidR="00607B78" w:rsidRPr="009C2953" w:rsidRDefault="00607B78" w:rsidP="00A068F8">
            <w:pPr>
              <w:pStyle w:val="Normal-pool"/>
              <w:spacing w:before="40" w:after="40"/>
              <w:jc w:val="right"/>
              <w:rPr>
                <w:sz w:val="18"/>
                <w:szCs w:val="18"/>
              </w:rPr>
            </w:pPr>
            <w:r w:rsidRPr="009C2953">
              <w:rPr>
                <w:sz w:val="18"/>
              </w:rPr>
              <w:t>12 000</w:t>
            </w:r>
          </w:p>
        </w:tc>
      </w:tr>
      <w:tr w:rsidR="00607B78" w:rsidRPr="009C2953" w14:paraId="0C2992F2" w14:textId="77777777" w:rsidTr="00A068F8">
        <w:trPr>
          <w:trHeight w:val="57"/>
          <w:jc w:val="right"/>
        </w:trPr>
        <w:tc>
          <w:tcPr>
            <w:tcW w:w="3950" w:type="dxa"/>
            <w:tcBorders>
              <w:top w:val="nil"/>
              <w:left w:val="nil"/>
              <w:bottom w:val="nil"/>
              <w:right w:val="nil"/>
            </w:tcBorders>
            <w:hideMark/>
          </w:tcPr>
          <w:p w14:paraId="3E1A7AA9" w14:textId="3478454F" w:rsidR="00607B78" w:rsidRPr="009C2953" w:rsidRDefault="00607B78" w:rsidP="00A068F8">
            <w:pPr>
              <w:pStyle w:val="Normal-pool"/>
              <w:spacing w:before="40" w:after="40"/>
              <w:ind w:left="177"/>
              <w:rPr>
                <w:sz w:val="18"/>
                <w:szCs w:val="18"/>
              </w:rPr>
            </w:pPr>
            <w:r w:rsidRPr="009C2953">
              <w:rPr>
                <w:sz w:val="18"/>
              </w:rPr>
              <w:t>Académie suisse</w:t>
            </w:r>
            <w:r w:rsidR="00D24DC1" w:rsidRPr="009C2953">
              <w:rPr>
                <w:sz w:val="18"/>
              </w:rPr>
              <w:t xml:space="preserve"> des </w:t>
            </w:r>
            <w:r w:rsidRPr="009C2953">
              <w:rPr>
                <w:sz w:val="18"/>
              </w:rPr>
              <w:t>sciences naturelles</w:t>
            </w:r>
          </w:p>
        </w:tc>
        <w:tc>
          <w:tcPr>
            <w:tcW w:w="5372" w:type="dxa"/>
            <w:tcBorders>
              <w:top w:val="nil"/>
              <w:left w:val="nil"/>
              <w:bottom w:val="nil"/>
              <w:right w:val="nil"/>
            </w:tcBorders>
            <w:hideMark/>
          </w:tcPr>
          <w:p w14:paraId="18E07199" w14:textId="3C21946D" w:rsidR="00607B78" w:rsidRPr="009C2953" w:rsidRDefault="00607B78" w:rsidP="00A068F8">
            <w:pPr>
              <w:pStyle w:val="Normal-pool"/>
              <w:spacing w:before="40" w:after="40"/>
              <w:rPr>
                <w:sz w:val="18"/>
                <w:szCs w:val="18"/>
              </w:rPr>
            </w:pPr>
            <w:r w:rsidRPr="009C2953">
              <w:rPr>
                <w:sz w:val="18"/>
              </w:rPr>
              <w:t>Réunion visant à élaborer</w:t>
            </w:r>
            <w:r w:rsidR="00F34644" w:rsidRPr="009C2953">
              <w:rPr>
                <w:sz w:val="18"/>
              </w:rPr>
              <w:t xml:space="preserve"> le </w:t>
            </w:r>
            <w:r w:rsidRPr="009C2953">
              <w:rPr>
                <w:sz w:val="18"/>
              </w:rPr>
              <w:t>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de</w:t>
            </w:r>
            <w:r w:rsidR="003D028C" w:rsidRPr="009C2953">
              <w:rPr>
                <w:sz w:val="18"/>
              </w:rPr>
              <w:t> </w:t>
            </w:r>
            <w:r w:rsidRPr="009C2953">
              <w:rPr>
                <w:sz w:val="18"/>
              </w:rPr>
              <w:t>l</w:t>
            </w:r>
            <w:r w:rsidR="00EA2966" w:rsidRPr="009C2953">
              <w:rPr>
                <w:sz w:val="18"/>
              </w:rPr>
              <w:t>’</w:t>
            </w:r>
            <w:r w:rsidRPr="009C2953">
              <w:rPr>
                <w:sz w:val="18"/>
              </w:rPr>
              <w:t>évaluation de l</w:t>
            </w:r>
            <w:r w:rsidR="00EA2966" w:rsidRPr="009C2953">
              <w:rPr>
                <w:sz w:val="18"/>
              </w:rPr>
              <w:t>’</w:t>
            </w:r>
            <w:r w:rsidRPr="009C2953">
              <w:rPr>
                <w:sz w:val="18"/>
              </w:rPr>
              <w:t>utilisation durable</w:t>
            </w:r>
            <w:r w:rsidR="00D24DC1" w:rsidRPr="009C2953">
              <w:rPr>
                <w:sz w:val="18"/>
              </w:rPr>
              <w:t xml:space="preserve"> des </w:t>
            </w:r>
            <w:r w:rsidRPr="009C2953">
              <w:rPr>
                <w:sz w:val="18"/>
              </w:rPr>
              <w:t>espèces sauvages</w:t>
            </w:r>
          </w:p>
        </w:tc>
        <w:tc>
          <w:tcPr>
            <w:tcW w:w="3490" w:type="dxa"/>
            <w:tcBorders>
              <w:top w:val="nil"/>
              <w:left w:val="nil"/>
              <w:bottom w:val="nil"/>
              <w:right w:val="nil"/>
            </w:tcBorders>
            <w:hideMark/>
          </w:tcPr>
          <w:p w14:paraId="7572CA01" w14:textId="3BDBB6EA"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4FBC76E2" w14:textId="51EAF7EB" w:rsidR="00607B78" w:rsidRPr="009C2953" w:rsidRDefault="00607B78" w:rsidP="00A068F8">
            <w:pPr>
              <w:pStyle w:val="Normal-pool"/>
              <w:spacing w:before="40" w:after="40"/>
              <w:jc w:val="right"/>
              <w:rPr>
                <w:sz w:val="18"/>
                <w:szCs w:val="18"/>
              </w:rPr>
            </w:pPr>
            <w:r w:rsidRPr="009C2953">
              <w:rPr>
                <w:sz w:val="18"/>
              </w:rPr>
              <w:t>3</w:t>
            </w:r>
            <w:r w:rsidR="00BD6D9B" w:rsidRPr="009C2953">
              <w:rPr>
                <w:sz w:val="18"/>
              </w:rPr>
              <w:t> </w:t>
            </w:r>
            <w:r w:rsidRPr="009C2953">
              <w:rPr>
                <w:sz w:val="18"/>
              </w:rPr>
              <w:t>000</w:t>
            </w:r>
          </w:p>
        </w:tc>
      </w:tr>
      <w:tr w:rsidR="00607B78" w:rsidRPr="009C2953" w14:paraId="74CC4CEF" w14:textId="77777777" w:rsidTr="00A068F8">
        <w:trPr>
          <w:trHeight w:val="57"/>
          <w:jc w:val="right"/>
        </w:trPr>
        <w:tc>
          <w:tcPr>
            <w:tcW w:w="3950" w:type="dxa"/>
            <w:tcBorders>
              <w:top w:val="nil"/>
              <w:left w:val="nil"/>
              <w:bottom w:val="nil"/>
              <w:right w:val="nil"/>
            </w:tcBorders>
            <w:hideMark/>
          </w:tcPr>
          <w:p w14:paraId="31F71566" w14:textId="77777777" w:rsidR="00607B78" w:rsidRPr="009C2953" w:rsidRDefault="00607B78" w:rsidP="00A068F8">
            <w:pPr>
              <w:pStyle w:val="Normal-pool"/>
              <w:spacing w:before="40" w:after="40"/>
              <w:ind w:left="177"/>
              <w:rPr>
                <w:sz w:val="18"/>
                <w:szCs w:val="18"/>
              </w:rPr>
            </w:pPr>
            <w:r w:rsidRPr="009C2953">
              <w:rPr>
                <w:sz w:val="18"/>
              </w:rPr>
              <w:t>PNUE</w:t>
            </w:r>
          </w:p>
        </w:tc>
        <w:tc>
          <w:tcPr>
            <w:tcW w:w="5372" w:type="dxa"/>
            <w:tcBorders>
              <w:top w:val="nil"/>
              <w:left w:val="nil"/>
              <w:bottom w:val="nil"/>
              <w:right w:val="nil"/>
            </w:tcBorders>
            <w:hideMark/>
          </w:tcPr>
          <w:p w14:paraId="6EFCA878" w14:textId="4B784EED" w:rsidR="00607B78" w:rsidRPr="009C2953" w:rsidRDefault="00607B78" w:rsidP="00A068F8">
            <w:pPr>
              <w:pStyle w:val="Normal-pool"/>
              <w:spacing w:before="40" w:after="40"/>
              <w:rPr>
                <w:sz w:val="18"/>
                <w:szCs w:val="18"/>
              </w:rPr>
            </w:pPr>
            <w:r w:rsidRPr="009C2953">
              <w:rPr>
                <w:sz w:val="18"/>
              </w:rPr>
              <w:t>Détachement d</w:t>
            </w:r>
            <w:r w:rsidR="00EA2966" w:rsidRPr="009C2953">
              <w:rPr>
                <w:sz w:val="18"/>
              </w:rPr>
              <w:t>’</w:t>
            </w:r>
            <w:r w:rsidRPr="009C2953">
              <w:rPr>
                <w:sz w:val="18"/>
              </w:rPr>
              <w:t>un(e) administrateur(</w:t>
            </w:r>
            <w:proofErr w:type="spellStart"/>
            <w:r w:rsidRPr="009C2953">
              <w:rPr>
                <w:sz w:val="18"/>
              </w:rPr>
              <w:t>rice</w:t>
            </w:r>
            <w:proofErr w:type="spellEnd"/>
            <w:r w:rsidRPr="009C2953">
              <w:rPr>
                <w:sz w:val="18"/>
              </w:rPr>
              <w:t>) de programme (P-4) auprès</w:t>
            </w:r>
            <w:r w:rsidR="00AA14F2" w:rsidRPr="009C2953">
              <w:rPr>
                <w:sz w:val="18"/>
              </w:rPr>
              <w:t> </w:t>
            </w:r>
            <w:r w:rsidRPr="009C2953">
              <w:rPr>
                <w:sz w:val="18"/>
              </w:rPr>
              <w:t>du secrétariat de l</w:t>
            </w:r>
            <w:r w:rsidR="00EA2966" w:rsidRPr="009C2953">
              <w:rPr>
                <w:sz w:val="18"/>
              </w:rPr>
              <w:t>’</w:t>
            </w:r>
            <w:r w:rsidRPr="009C2953">
              <w:rPr>
                <w:sz w:val="18"/>
              </w:rPr>
              <w:t>IPBES</w:t>
            </w:r>
          </w:p>
        </w:tc>
        <w:tc>
          <w:tcPr>
            <w:tcW w:w="3490" w:type="dxa"/>
            <w:tcBorders>
              <w:top w:val="nil"/>
              <w:left w:val="nil"/>
              <w:bottom w:val="nil"/>
              <w:right w:val="nil"/>
            </w:tcBorders>
            <w:hideMark/>
          </w:tcPr>
          <w:p w14:paraId="6DD7E932" w14:textId="77777777" w:rsidR="00607B78" w:rsidRPr="009C2953" w:rsidRDefault="00607B78" w:rsidP="00A068F8">
            <w:pPr>
              <w:pStyle w:val="Normal-pool"/>
              <w:spacing w:before="40" w:after="40"/>
              <w:rPr>
                <w:sz w:val="18"/>
                <w:szCs w:val="18"/>
              </w:rPr>
            </w:pPr>
            <w:r w:rsidRPr="009C2953">
              <w:rPr>
                <w:sz w:val="18"/>
              </w:rPr>
              <w:t>Dépenses de personnel</w:t>
            </w:r>
          </w:p>
        </w:tc>
        <w:tc>
          <w:tcPr>
            <w:tcW w:w="1616" w:type="dxa"/>
            <w:tcBorders>
              <w:top w:val="nil"/>
              <w:left w:val="nil"/>
              <w:bottom w:val="nil"/>
              <w:right w:val="nil"/>
            </w:tcBorders>
            <w:vAlign w:val="bottom"/>
            <w:hideMark/>
          </w:tcPr>
          <w:p w14:paraId="0F1A08B2" w14:textId="77777777" w:rsidR="00607B78" w:rsidRPr="009C2953" w:rsidRDefault="00607B78" w:rsidP="00A068F8">
            <w:pPr>
              <w:pStyle w:val="Normal-pool"/>
              <w:spacing w:before="40" w:after="40"/>
              <w:jc w:val="right"/>
              <w:rPr>
                <w:sz w:val="18"/>
                <w:szCs w:val="18"/>
              </w:rPr>
            </w:pPr>
            <w:r w:rsidRPr="009C2953">
              <w:rPr>
                <w:sz w:val="18"/>
              </w:rPr>
              <w:t>143 000</w:t>
            </w:r>
          </w:p>
        </w:tc>
      </w:tr>
      <w:tr w:rsidR="00607B78" w:rsidRPr="009C2953" w14:paraId="501C487E" w14:textId="77777777" w:rsidTr="00A068F8">
        <w:trPr>
          <w:trHeight w:val="57"/>
          <w:jc w:val="right"/>
        </w:trPr>
        <w:tc>
          <w:tcPr>
            <w:tcW w:w="3950" w:type="dxa"/>
            <w:tcBorders>
              <w:top w:val="nil"/>
              <w:left w:val="nil"/>
              <w:bottom w:val="nil"/>
              <w:right w:val="nil"/>
            </w:tcBorders>
            <w:hideMark/>
          </w:tcPr>
          <w:p w14:paraId="5CB05679" w14:textId="5A4D32D4" w:rsidR="00607B78" w:rsidRPr="009C2953" w:rsidRDefault="00607B78" w:rsidP="00A068F8">
            <w:pPr>
              <w:pStyle w:val="Normal-pool"/>
              <w:spacing w:before="40" w:after="40"/>
              <w:ind w:left="177"/>
              <w:rPr>
                <w:sz w:val="18"/>
                <w:szCs w:val="18"/>
              </w:rPr>
            </w:pPr>
            <w:r w:rsidRPr="009C2953">
              <w:rPr>
                <w:sz w:val="18"/>
              </w:rPr>
              <w:t>Centre mondial de surveillance pour</w:t>
            </w:r>
            <w:r w:rsidR="00AA14F2" w:rsidRPr="009C2953">
              <w:rPr>
                <w:sz w:val="18"/>
              </w:rPr>
              <w:t> </w:t>
            </w:r>
            <w:r w:rsidR="00F34644" w:rsidRPr="009C2953">
              <w:rPr>
                <w:sz w:val="18"/>
              </w:rPr>
              <w:t>la </w:t>
            </w:r>
            <w:r w:rsidRPr="009C2953">
              <w:rPr>
                <w:sz w:val="18"/>
              </w:rPr>
              <w:t>conservation du PNUE</w:t>
            </w:r>
          </w:p>
        </w:tc>
        <w:tc>
          <w:tcPr>
            <w:tcW w:w="5372" w:type="dxa"/>
            <w:tcBorders>
              <w:top w:val="nil"/>
              <w:left w:val="nil"/>
              <w:bottom w:val="nil"/>
              <w:right w:val="nil"/>
            </w:tcBorders>
            <w:hideMark/>
          </w:tcPr>
          <w:p w14:paraId="73F23E4A" w14:textId="2CD74B56"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outils et</w:t>
            </w:r>
            <w:r w:rsidR="003D028C" w:rsidRPr="009C2953">
              <w:rPr>
                <w:sz w:val="18"/>
              </w:rPr>
              <w:t> </w:t>
            </w:r>
            <w:r w:rsidRPr="009C2953">
              <w:rPr>
                <w:sz w:val="18"/>
              </w:rPr>
              <w:t>méthodes d</w:t>
            </w:r>
            <w:r w:rsidR="00EA2966" w:rsidRPr="009C2953">
              <w:rPr>
                <w:sz w:val="18"/>
              </w:rPr>
              <w:t>’</w:t>
            </w:r>
            <w:r w:rsidRPr="009C2953">
              <w:rPr>
                <w:sz w:val="18"/>
              </w:rPr>
              <w:t>élaboration</w:t>
            </w:r>
            <w:r w:rsidR="00D24DC1" w:rsidRPr="009C2953">
              <w:rPr>
                <w:sz w:val="18"/>
              </w:rPr>
              <w:t xml:space="preserve"> des </w:t>
            </w:r>
            <w:r w:rsidRPr="009C2953">
              <w:rPr>
                <w:sz w:val="18"/>
              </w:rPr>
              <w:t>politiques</w:t>
            </w:r>
          </w:p>
        </w:tc>
        <w:tc>
          <w:tcPr>
            <w:tcW w:w="3490" w:type="dxa"/>
            <w:tcBorders>
              <w:top w:val="nil"/>
              <w:left w:val="nil"/>
              <w:bottom w:val="nil"/>
              <w:right w:val="nil"/>
            </w:tcBorders>
            <w:hideMark/>
          </w:tcPr>
          <w:p w14:paraId="2F4C9106" w14:textId="718684BC"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27645BA3" w14:textId="77777777" w:rsidR="00607B78" w:rsidRPr="009C2953" w:rsidRDefault="00607B78" w:rsidP="00A068F8">
            <w:pPr>
              <w:pStyle w:val="Normal-pool"/>
              <w:spacing w:before="40" w:after="40"/>
              <w:jc w:val="right"/>
              <w:rPr>
                <w:sz w:val="18"/>
                <w:szCs w:val="18"/>
              </w:rPr>
            </w:pPr>
            <w:r w:rsidRPr="009C2953">
              <w:rPr>
                <w:sz w:val="18"/>
              </w:rPr>
              <w:t>30 400</w:t>
            </w:r>
          </w:p>
        </w:tc>
      </w:tr>
      <w:tr w:rsidR="00607B78" w:rsidRPr="009C2953" w14:paraId="320099E7" w14:textId="77777777" w:rsidTr="00A068F8">
        <w:trPr>
          <w:trHeight w:val="57"/>
          <w:jc w:val="right"/>
        </w:trPr>
        <w:tc>
          <w:tcPr>
            <w:tcW w:w="3950" w:type="dxa"/>
            <w:tcBorders>
              <w:top w:val="nil"/>
              <w:left w:val="nil"/>
              <w:bottom w:val="nil"/>
              <w:right w:val="nil"/>
            </w:tcBorders>
            <w:hideMark/>
          </w:tcPr>
          <w:p w14:paraId="6815E02A" w14:textId="5F7F1EB7" w:rsidR="00607B78" w:rsidRPr="009C2953" w:rsidRDefault="00607B78" w:rsidP="00A068F8">
            <w:pPr>
              <w:pStyle w:val="Normal-pool"/>
              <w:spacing w:before="40" w:after="40"/>
              <w:ind w:left="177"/>
              <w:rPr>
                <w:sz w:val="18"/>
                <w:szCs w:val="18"/>
              </w:rPr>
            </w:pPr>
            <w:r w:rsidRPr="009C2953">
              <w:rPr>
                <w:sz w:val="18"/>
              </w:rPr>
              <w:t>Organisation</w:t>
            </w:r>
            <w:r w:rsidR="00D24DC1" w:rsidRPr="009C2953">
              <w:rPr>
                <w:sz w:val="18"/>
              </w:rPr>
              <w:t xml:space="preserve"> des </w:t>
            </w:r>
            <w:r w:rsidRPr="009C2953">
              <w:rPr>
                <w:sz w:val="18"/>
              </w:rPr>
              <w:t>Nations Unies pour l</w:t>
            </w:r>
            <w:r w:rsidR="00EA2966" w:rsidRPr="009C2953">
              <w:rPr>
                <w:sz w:val="18"/>
              </w:rPr>
              <w:t>’</w:t>
            </w:r>
            <w:r w:rsidRPr="009C2953">
              <w:rPr>
                <w:sz w:val="18"/>
              </w:rPr>
              <w:t>éducation,</w:t>
            </w:r>
            <w:r w:rsidR="00F34644" w:rsidRPr="009C2953">
              <w:rPr>
                <w:sz w:val="18"/>
              </w:rPr>
              <w:t xml:space="preserve"> la </w:t>
            </w:r>
            <w:r w:rsidRPr="009C2953">
              <w:rPr>
                <w:sz w:val="18"/>
              </w:rPr>
              <w:t>science et</w:t>
            </w:r>
            <w:r w:rsidR="00F34644" w:rsidRPr="009C2953">
              <w:rPr>
                <w:sz w:val="18"/>
              </w:rPr>
              <w:t xml:space="preserve"> la </w:t>
            </w:r>
            <w:r w:rsidRPr="009C2953">
              <w:rPr>
                <w:sz w:val="18"/>
              </w:rPr>
              <w:t>culture</w:t>
            </w:r>
          </w:p>
        </w:tc>
        <w:tc>
          <w:tcPr>
            <w:tcW w:w="5372" w:type="dxa"/>
            <w:tcBorders>
              <w:top w:val="nil"/>
              <w:left w:val="nil"/>
              <w:bottom w:val="nil"/>
              <w:right w:val="nil"/>
            </w:tcBorders>
            <w:hideMark/>
          </w:tcPr>
          <w:p w14:paraId="2A4595A8" w14:textId="04985849"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de l</w:t>
            </w:r>
            <w:r w:rsidR="00EA2966" w:rsidRPr="009C2953">
              <w:rPr>
                <w:sz w:val="18"/>
              </w:rPr>
              <w:t>’</w:t>
            </w:r>
            <w:r w:rsidRPr="009C2953">
              <w:rPr>
                <w:sz w:val="18"/>
              </w:rPr>
              <w:t>équipe spéciale sur</w:t>
            </w:r>
            <w:r w:rsidR="00F34644" w:rsidRPr="009C2953">
              <w:rPr>
                <w:sz w:val="18"/>
              </w:rPr>
              <w:t xml:space="preserve"> les </w:t>
            </w:r>
            <w:r w:rsidRPr="009C2953">
              <w:rPr>
                <w:sz w:val="18"/>
              </w:rPr>
              <w:t>savoirs autochtones et locaux</w:t>
            </w:r>
          </w:p>
        </w:tc>
        <w:tc>
          <w:tcPr>
            <w:tcW w:w="3490" w:type="dxa"/>
            <w:tcBorders>
              <w:top w:val="nil"/>
              <w:left w:val="nil"/>
              <w:bottom w:val="nil"/>
              <w:right w:val="nil"/>
            </w:tcBorders>
            <w:hideMark/>
          </w:tcPr>
          <w:p w14:paraId="4A8B252C" w14:textId="2B2E6E2E"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571DEC57" w14:textId="77777777" w:rsidR="00607B78" w:rsidRPr="009C2953" w:rsidRDefault="00607B78" w:rsidP="00A068F8">
            <w:pPr>
              <w:pStyle w:val="Normal-pool"/>
              <w:spacing w:before="40" w:after="40"/>
              <w:jc w:val="right"/>
              <w:rPr>
                <w:sz w:val="18"/>
                <w:szCs w:val="18"/>
              </w:rPr>
            </w:pPr>
            <w:r w:rsidRPr="009C2953">
              <w:rPr>
                <w:sz w:val="18"/>
              </w:rPr>
              <w:t>150 000</w:t>
            </w:r>
          </w:p>
        </w:tc>
      </w:tr>
      <w:tr w:rsidR="00607B78" w:rsidRPr="009C2953" w14:paraId="00F3F279" w14:textId="77777777" w:rsidTr="00A068F8">
        <w:trPr>
          <w:trHeight w:val="57"/>
          <w:jc w:val="right"/>
        </w:trPr>
        <w:tc>
          <w:tcPr>
            <w:tcW w:w="3950" w:type="dxa"/>
            <w:tcBorders>
              <w:top w:val="nil"/>
              <w:left w:val="nil"/>
              <w:bottom w:val="nil"/>
              <w:right w:val="nil"/>
            </w:tcBorders>
          </w:tcPr>
          <w:p w14:paraId="5C1CF3A8" w14:textId="77777777" w:rsidR="00607B78" w:rsidRPr="009C2953" w:rsidRDefault="00607B78" w:rsidP="00A068F8">
            <w:pPr>
              <w:pStyle w:val="Normal-pool"/>
              <w:spacing w:before="40" w:after="40"/>
              <w:rPr>
                <w:sz w:val="18"/>
                <w:szCs w:val="18"/>
              </w:rPr>
            </w:pPr>
          </w:p>
        </w:tc>
        <w:tc>
          <w:tcPr>
            <w:tcW w:w="5372" w:type="dxa"/>
            <w:tcBorders>
              <w:top w:val="nil"/>
              <w:left w:val="nil"/>
              <w:bottom w:val="nil"/>
              <w:right w:val="nil"/>
            </w:tcBorders>
            <w:hideMark/>
          </w:tcPr>
          <w:p w14:paraId="5DBC4B79" w14:textId="0A603359" w:rsidR="00607B78" w:rsidRPr="009C2953" w:rsidRDefault="00607B78" w:rsidP="00A068F8">
            <w:pPr>
              <w:pStyle w:val="Normal-pool"/>
              <w:spacing w:before="40" w:after="40"/>
              <w:rPr>
                <w:sz w:val="18"/>
                <w:szCs w:val="18"/>
              </w:rPr>
            </w:pPr>
            <w:r w:rsidRPr="009C2953">
              <w:rPr>
                <w:sz w:val="18"/>
              </w:rPr>
              <w:t>Premier dialogue sur</w:t>
            </w:r>
            <w:r w:rsidR="00F34644" w:rsidRPr="009C2953">
              <w:rPr>
                <w:sz w:val="18"/>
              </w:rPr>
              <w:t xml:space="preserve"> les </w:t>
            </w:r>
            <w:r w:rsidRPr="009C2953">
              <w:rPr>
                <w:sz w:val="18"/>
              </w:rPr>
              <w:t>savoirs autochtones et locaux pour l</w:t>
            </w:r>
            <w:r w:rsidR="00EA2966" w:rsidRPr="009C2953">
              <w:rPr>
                <w:sz w:val="18"/>
              </w:rPr>
              <w:t>’</w:t>
            </w:r>
            <w:r w:rsidRPr="009C2953">
              <w:rPr>
                <w:sz w:val="18"/>
              </w:rPr>
              <w:t>évaluation thématique</w:t>
            </w:r>
            <w:r w:rsidR="00D24DC1" w:rsidRPr="009C2953">
              <w:rPr>
                <w:sz w:val="18"/>
              </w:rPr>
              <w:t xml:space="preserve"> des </w:t>
            </w:r>
            <w:r w:rsidRPr="009C2953">
              <w:rPr>
                <w:sz w:val="18"/>
              </w:rPr>
              <w:t>liens d</w:t>
            </w:r>
            <w:r w:rsidR="00EA2966" w:rsidRPr="009C2953">
              <w:rPr>
                <w:sz w:val="18"/>
              </w:rPr>
              <w:t>’</w:t>
            </w:r>
            <w:r w:rsidRPr="009C2953">
              <w:rPr>
                <w:sz w:val="18"/>
              </w:rPr>
              <w:t>interdépendance entre</w:t>
            </w:r>
            <w:r w:rsidR="00F34644" w:rsidRPr="009C2953">
              <w:rPr>
                <w:sz w:val="18"/>
              </w:rPr>
              <w:t xml:space="preserve"> la </w:t>
            </w:r>
            <w:r w:rsidRPr="009C2953">
              <w:rPr>
                <w:sz w:val="18"/>
              </w:rPr>
              <w:t>biodiversité, l</w:t>
            </w:r>
            <w:r w:rsidR="00EA2966" w:rsidRPr="009C2953">
              <w:rPr>
                <w:sz w:val="18"/>
              </w:rPr>
              <w:t>’</w:t>
            </w:r>
            <w:r w:rsidRPr="009C2953">
              <w:rPr>
                <w:sz w:val="18"/>
              </w:rPr>
              <w:t>eau, l</w:t>
            </w:r>
            <w:r w:rsidR="00EA2966" w:rsidRPr="009C2953">
              <w:rPr>
                <w:sz w:val="18"/>
              </w:rPr>
              <w:t>’</w:t>
            </w:r>
            <w:r w:rsidRPr="009C2953">
              <w:rPr>
                <w:sz w:val="18"/>
              </w:rPr>
              <w:t>alimentation et</w:t>
            </w:r>
            <w:r w:rsidR="00F34644" w:rsidRPr="009C2953">
              <w:rPr>
                <w:sz w:val="18"/>
              </w:rPr>
              <w:t xml:space="preserve"> la </w:t>
            </w:r>
            <w:r w:rsidRPr="009C2953">
              <w:rPr>
                <w:sz w:val="18"/>
              </w:rPr>
              <w:t>santé</w:t>
            </w:r>
          </w:p>
        </w:tc>
        <w:tc>
          <w:tcPr>
            <w:tcW w:w="3490" w:type="dxa"/>
            <w:tcBorders>
              <w:top w:val="nil"/>
              <w:left w:val="nil"/>
              <w:bottom w:val="nil"/>
              <w:right w:val="nil"/>
            </w:tcBorders>
            <w:hideMark/>
          </w:tcPr>
          <w:p w14:paraId="1BA839D3" w14:textId="482D1060" w:rsidR="00607B78" w:rsidRPr="009C2953" w:rsidRDefault="00607B78" w:rsidP="00A068F8">
            <w:pPr>
              <w:pStyle w:val="Normal-pool"/>
              <w:spacing w:before="40" w:after="40"/>
              <w:rPr>
                <w:sz w:val="18"/>
                <w:szCs w:val="18"/>
              </w:rPr>
            </w:pPr>
            <w:r w:rsidRPr="009C2953">
              <w:rPr>
                <w:sz w:val="18"/>
              </w:rPr>
              <w:t>Aide</w:t>
            </w:r>
            <w:r w:rsidR="00F34644" w:rsidRPr="009C2953">
              <w:rPr>
                <w:sz w:val="18"/>
              </w:rPr>
              <w:t xml:space="preserve"> aux </w:t>
            </w:r>
            <w:r w:rsidRPr="009C2953">
              <w:rPr>
                <w:sz w:val="18"/>
              </w:rPr>
              <w:t>participant(e)s</w:t>
            </w:r>
          </w:p>
        </w:tc>
        <w:tc>
          <w:tcPr>
            <w:tcW w:w="1616" w:type="dxa"/>
            <w:tcBorders>
              <w:top w:val="nil"/>
              <w:left w:val="nil"/>
              <w:bottom w:val="nil"/>
              <w:right w:val="nil"/>
            </w:tcBorders>
            <w:vAlign w:val="bottom"/>
            <w:hideMark/>
          </w:tcPr>
          <w:p w14:paraId="1FBF1777" w14:textId="68DD9759" w:rsidR="00607B78" w:rsidRPr="009C2953" w:rsidRDefault="00607B78" w:rsidP="00A068F8">
            <w:pPr>
              <w:pStyle w:val="Normal-pool"/>
              <w:spacing w:before="40" w:after="40"/>
              <w:jc w:val="right"/>
              <w:rPr>
                <w:sz w:val="18"/>
                <w:szCs w:val="18"/>
              </w:rPr>
            </w:pPr>
            <w:r w:rsidRPr="009C2953">
              <w:rPr>
                <w:sz w:val="18"/>
              </w:rPr>
              <w:t>1</w:t>
            </w:r>
            <w:r w:rsidR="00381035" w:rsidRPr="009C2953">
              <w:rPr>
                <w:sz w:val="18"/>
              </w:rPr>
              <w:t> </w:t>
            </w:r>
            <w:r w:rsidRPr="009C2953">
              <w:rPr>
                <w:sz w:val="18"/>
              </w:rPr>
              <w:t>000</w:t>
            </w:r>
          </w:p>
        </w:tc>
      </w:tr>
      <w:tr w:rsidR="00607B78" w:rsidRPr="009C2953" w14:paraId="6A52FA29" w14:textId="77777777" w:rsidTr="00A068F8">
        <w:trPr>
          <w:trHeight w:val="57"/>
          <w:jc w:val="right"/>
        </w:trPr>
        <w:tc>
          <w:tcPr>
            <w:tcW w:w="3950" w:type="dxa"/>
            <w:tcBorders>
              <w:top w:val="nil"/>
              <w:left w:val="nil"/>
              <w:bottom w:val="nil"/>
              <w:right w:val="nil"/>
            </w:tcBorders>
            <w:hideMark/>
          </w:tcPr>
          <w:p w14:paraId="29A9AEF3" w14:textId="77777777" w:rsidR="00607B78" w:rsidRPr="009C2953" w:rsidRDefault="00607B78" w:rsidP="00A068F8">
            <w:pPr>
              <w:pStyle w:val="Normal-pool"/>
              <w:spacing w:before="40" w:after="40"/>
              <w:ind w:left="177"/>
              <w:rPr>
                <w:sz w:val="18"/>
                <w:szCs w:val="18"/>
              </w:rPr>
            </w:pPr>
            <w:r w:rsidRPr="009C2953">
              <w:rPr>
                <w:sz w:val="18"/>
              </w:rPr>
              <w:t>Université de Montpellier (France)</w:t>
            </w:r>
          </w:p>
        </w:tc>
        <w:tc>
          <w:tcPr>
            <w:tcW w:w="5372" w:type="dxa"/>
            <w:tcBorders>
              <w:top w:val="nil"/>
              <w:left w:val="nil"/>
              <w:bottom w:val="nil"/>
              <w:right w:val="nil"/>
            </w:tcBorders>
            <w:hideMark/>
          </w:tcPr>
          <w:p w14:paraId="6DA97372" w14:textId="54BEE4C4" w:rsidR="00607B78" w:rsidRPr="009C2953" w:rsidRDefault="00607B78" w:rsidP="00A068F8">
            <w:pPr>
              <w:pStyle w:val="Normal-pool"/>
              <w:spacing w:before="40" w:after="40"/>
              <w:rPr>
                <w:sz w:val="18"/>
                <w:szCs w:val="18"/>
              </w:rPr>
            </w:pPr>
            <w:r w:rsidRPr="009C2953">
              <w:rPr>
                <w:sz w:val="18"/>
              </w:rPr>
              <w:t>Groupe d</w:t>
            </w:r>
            <w:r w:rsidR="00EA2966" w:rsidRPr="009C2953">
              <w:rPr>
                <w:sz w:val="18"/>
              </w:rPr>
              <w:t>’</w:t>
            </w:r>
            <w:r w:rsidRPr="009C2953">
              <w:rPr>
                <w:sz w:val="18"/>
              </w:rPr>
              <w:t>appui technique pour l</w:t>
            </w:r>
            <w:r w:rsidR="00EA2966" w:rsidRPr="009C2953">
              <w:rPr>
                <w:sz w:val="18"/>
              </w:rPr>
              <w:t>’</w:t>
            </w:r>
            <w:r w:rsidRPr="009C2953">
              <w:rPr>
                <w:sz w:val="18"/>
              </w:rPr>
              <w:t>évaluation du changement transformateur</w:t>
            </w:r>
          </w:p>
        </w:tc>
        <w:tc>
          <w:tcPr>
            <w:tcW w:w="3490" w:type="dxa"/>
            <w:tcBorders>
              <w:top w:val="nil"/>
              <w:left w:val="nil"/>
              <w:bottom w:val="nil"/>
              <w:right w:val="nil"/>
            </w:tcBorders>
            <w:hideMark/>
          </w:tcPr>
          <w:p w14:paraId="18BED996" w14:textId="590D584C" w:rsidR="00607B78" w:rsidRPr="009C2953" w:rsidRDefault="00607B78" w:rsidP="00A068F8">
            <w:pPr>
              <w:pStyle w:val="Normal-pool"/>
              <w:spacing w:before="40" w:after="40"/>
              <w:rPr>
                <w:sz w:val="18"/>
                <w:szCs w:val="18"/>
              </w:rPr>
            </w:pPr>
            <w:r w:rsidRPr="009C2953">
              <w:rPr>
                <w:sz w:val="18"/>
              </w:rPr>
              <w:t>Personnel, bureaux et frais généraux de</w:t>
            </w:r>
            <w:r w:rsidR="00AA14F2" w:rsidRPr="009C2953">
              <w:rPr>
                <w:sz w:val="18"/>
              </w:rPr>
              <w:t> </w:t>
            </w:r>
            <w:r w:rsidRPr="009C2953">
              <w:rPr>
                <w:sz w:val="18"/>
              </w:rPr>
              <w:t>fonctionnement</w:t>
            </w:r>
          </w:p>
        </w:tc>
        <w:tc>
          <w:tcPr>
            <w:tcW w:w="1616" w:type="dxa"/>
            <w:tcBorders>
              <w:top w:val="nil"/>
              <w:left w:val="nil"/>
              <w:bottom w:val="nil"/>
              <w:right w:val="nil"/>
            </w:tcBorders>
            <w:vAlign w:val="bottom"/>
            <w:hideMark/>
          </w:tcPr>
          <w:p w14:paraId="6CAE006B" w14:textId="77777777" w:rsidR="00607B78" w:rsidRPr="009C2953" w:rsidRDefault="00607B78" w:rsidP="00A068F8">
            <w:pPr>
              <w:pStyle w:val="Normal-pool"/>
              <w:spacing w:before="40" w:after="40"/>
              <w:jc w:val="right"/>
              <w:rPr>
                <w:sz w:val="18"/>
                <w:szCs w:val="18"/>
              </w:rPr>
            </w:pPr>
            <w:r w:rsidRPr="009C2953">
              <w:rPr>
                <w:sz w:val="18"/>
              </w:rPr>
              <w:t>11 300</w:t>
            </w:r>
          </w:p>
        </w:tc>
      </w:tr>
      <w:tr w:rsidR="00607B78" w:rsidRPr="009C2953" w14:paraId="7D514D36" w14:textId="77777777" w:rsidTr="00A068F8">
        <w:trPr>
          <w:trHeight w:val="57"/>
          <w:jc w:val="right"/>
        </w:trPr>
        <w:tc>
          <w:tcPr>
            <w:tcW w:w="3950" w:type="dxa"/>
            <w:tcBorders>
              <w:top w:val="nil"/>
              <w:left w:val="nil"/>
              <w:bottom w:val="nil"/>
              <w:right w:val="nil"/>
            </w:tcBorders>
          </w:tcPr>
          <w:p w14:paraId="0C53E950" w14:textId="77777777" w:rsidR="00607B78" w:rsidRPr="009C2953" w:rsidRDefault="00607B78" w:rsidP="00A068F8">
            <w:pPr>
              <w:pStyle w:val="Normal-pool"/>
              <w:spacing w:before="40" w:after="40"/>
              <w:rPr>
                <w:sz w:val="18"/>
                <w:szCs w:val="18"/>
              </w:rPr>
            </w:pPr>
          </w:p>
        </w:tc>
        <w:tc>
          <w:tcPr>
            <w:tcW w:w="5372" w:type="dxa"/>
            <w:tcBorders>
              <w:top w:val="nil"/>
              <w:left w:val="nil"/>
              <w:bottom w:val="nil"/>
              <w:right w:val="nil"/>
            </w:tcBorders>
            <w:hideMark/>
          </w:tcPr>
          <w:p w14:paraId="0A2A638E" w14:textId="547D231E" w:rsidR="00607B78" w:rsidRPr="009C2953" w:rsidRDefault="00607B78" w:rsidP="00A068F8">
            <w:pPr>
              <w:pStyle w:val="Normal-pool"/>
              <w:spacing w:before="40" w:after="40"/>
              <w:rPr>
                <w:sz w:val="18"/>
                <w:szCs w:val="18"/>
              </w:rPr>
            </w:pPr>
            <w:r w:rsidRPr="009C2953">
              <w:rPr>
                <w:sz w:val="18"/>
              </w:rPr>
              <w:t>Première réunion</w:t>
            </w:r>
            <w:r w:rsidR="00D24DC1" w:rsidRPr="009C2953">
              <w:rPr>
                <w:sz w:val="18"/>
              </w:rPr>
              <w:t xml:space="preserve"> des </w:t>
            </w:r>
            <w:r w:rsidRPr="009C2953">
              <w:rPr>
                <w:sz w:val="18"/>
              </w:rPr>
              <w:t>auteur(</w:t>
            </w:r>
            <w:proofErr w:type="spellStart"/>
            <w:r w:rsidRPr="009C2953">
              <w:rPr>
                <w:sz w:val="18"/>
              </w:rPr>
              <w:t>rice</w:t>
            </w:r>
            <w:proofErr w:type="spellEnd"/>
            <w:r w:rsidRPr="009C2953">
              <w:rPr>
                <w:sz w:val="18"/>
              </w:rPr>
              <w:t>)s de l</w:t>
            </w:r>
            <w:r w:rsidR="00EA2966" w:rsidRPr="009C2953">
              <w:rPr>
                <w:sz w:val="18"/>
              </w:rPr>
              <w:t>’</w:t>
            </w:r>
            <w:r w:rsidRPr="009C2953">
              <w:rPr>
                <w:sz w:val="18"/>
              </w:rPr>
              <w:t>évaluation thématique du</w:t>
            </w:r>
            <w:r w:rsidR="003D028C" w:rsidRPr="009C2953">
              <w:rPr>
                <w:sz w:val="18"/>
              </w:rPr>
              <w:t> </w:t>
            </w:r>
            <w:r w:rsidRPr="009C2953">
              <w:rPr>
                <w:sz w:val="18"/>
              </w:rPr>
              <w:t>changement transformateur</w:t>
            </w:r>
          </w:p>
        </w:tc>
        <w:tc>
          <w:tcPr>
            <w:tcW w:w="3490" w:type="dxa"/>
            <w:tcBorders>
              <w:top w:val="nil"/>
              <w:left w:val="nil"/>
              <w:bottom w:val="nil"/>
              <w:right w:val="nil"/>
            </w:tcBorders>
            <w:hideMark/>
          </w:tcPr>
          <w:p w14:paraId="1739E8A0" w14:textId="3726A43B"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239DF1C8" w14:textId="77777777" w:rsidR="00607B78" w:rsidRPr="009C2953" w:rsidRDefault="00607B78" w:rsidP="00A068F8">
            <w:pPr>
              <w:pStyle w:val="Normal-pool"/>
              <w:spacing w:before="40" w:after="40"/>
              <w:jc w:val="right"/>
              <w:rPr>
                <w:sz w:val="18"/>
                <w:szCs w:val="18"/>
              </w:rPr>
            </w:pPr>
            <w:r w:rsidRPr="009C2953">
              <w:rPr>
                <w:sz w:val="18"/>
              </w:rPr>
              <w:t>10 200</w:t>
            </w:r>
          </w:p>
        </w:tc>
      </w:tr>
      <w:tr w:rsidR="00607B78" w:rsidRPr="009C2953" w14:paraId="504B3C8E" w14:textId="77777777" w:rsidTr="00A068F8">
        <w:trPr>
          <w:trHeight w:val="57"/>
          <w:jc w:val="right"/>
        </w:trPr>
        <w:tc>
          <w:tcPr>
            <w:tcW w:w="3950" w:type="dxa"/>
            <w:tcBorders>
              <w:top w:val="nil"/>
              <w:left w:val="nil"/>
              <w:bottom w:val="nil"/>
              <w:right w:val="nil"/>
            </w:tcBorders>
            <w:hideMark/>
          </w:tcPr>
          <w:p w14:paraId="330BFC5D" w14:textId="5D692B9E" w:rsidR="00607B78" w:rsidRPr="009C2953" w:rsidRDefault="00607B78" w:rsidP="00A068F8">
            <w:pPr>
              <w:pStyle w:val="Normal-pool"/>
              <w:spacing w:before="40" w:after="40"/>
              <w:ind w:left="177"/>
              <w:rPr>
                <w:sz w:val="18"/>
                <w:szCs w:val="18"/>
              </w:rPr>
            </w:pPr>
            <w:r w:rsidRPr="009C2953">
              <w:rPr>
                <w:sz w:val="18"/>
              </w:rPr>
              <w:t>Université de Concepción et Institut d</w:t>
            </w:r>
            <w:r w:rsidR="00EA2966" w:rsidRPr="009C2953">
              <w:rPr>
                <w:sz w:val="18"/>
              </w:rPr>
              <w:t>’</w:t>
            </w:r>
            <w:r w:rsidRPr="009C2953">
              <w:rPr>
                <w:sz w:val="18"/>
              </w:rPr>
              <w:t>écologie et de biodiversité (Chili)</w:t>
            </w:r>
          </w:p>
        </w:tc>
        <w:tc>
          <w:tcPr>
            <w:tcW w:w="5372" w:type="dxa"/>
            <w:tcBorders>
              <w:top w:val="nil"/>
              <w:left w:val="nil"/>
              <w:bottom w:val="nil"/>
              <w:right w:val="nil"/>
            </w:tcBorders>
            <w:hideMark/>
          </w:tcPr>
          <w:p w14:paraId="6DDD5D6A" w14:textId="29B8A96E" w:rsidR="00607B78" w:rsidRPr="009C2953" w:rsidRDefault="00607B78" w:rsidP="00A068F8">
            <w:pPr>
              <w:pStyle w:val="Normal-pool"/>
              <w:spacing w:before="40" w:after="40"/>
              <w:rPr>
                <w:sz w:val="18"/>
                <w:szCs w:val="18"/>
              </w:rPr>
            </w:pPr>
            <w:r w:rsidRPr="009C2953">
              <w:rPr>
                <w:sz w:val="18"/>
              </w:rPr>
              <w:t>Réunion visant à élaborer</w:t>
            </w:r>
            <w:r w:rsidR="00F34644" w:rsidRPr="009C2953">
              <w:rPr>
                <w:sz w:val="18"/>
              </w:rPr>
              <w:t xml:space="preserve"> le </w:t>
            </w:r>
            <w:r w:rsidRPr="009C2953">
              <w:rPr>
                <w:sz w:val="18"/>
              </w:rPr>
              <w:t>résumé à l</w:t>
            </w:r>
            <w:r w:rsidR="00EA2966" w:rsidRPr="009C2953">
              <w:rPr>
                <w:sz w:val="18"/>
              </w:rPr>
              <w:t>’</w:t>
            </w:r>
            <w:r w:rsidRPr="009C2953">
              <w:rPr>
                <w:sz w:val="18"/>
              </w:rPr>
              <w:t>intention</w:t>
            </w:r>
            <w:r w:rsidR="00D24DC1" w:rsidRPr="009C2953">
              <w:rPr>
                <w:sz w:val="18"/>
              </w:rPr>
              <w:t xml:space="preserve"> des </w:t>
            </w:r>
            <w:r w:rsidRPr="009C2953">
              <w:rPr>
                <w:sz w:val="18"/>
              </w:rPr>
              <w:t>décideurs de</w:t>
            </w:r>
            <w:r w:rsidR="003D028C" w:rsidRPr="009C2953">
              <w:rPr>
                <w:sz w:val="18"/>
              </w:rPr>
              <w:t> </w:t>
            </w:r>
            <w:r w:rsidRPr="009C2953">
              <w:rPr>
                <w:sz w:val="18"/>
              </w:rPr>
              <w:t>l</w:t>
            </w:r>
            <w:r w:rsidR="00EA2966" w:rsidRPr="009C2953">
              <w:rPr>
                <w:sz w:val="18"/>
              </w:rPr>
              <w:t>’</w:t>
            </w:r>
            <w:r w:rsidRPr="009C2953">
              <w:rPr>
                <w:sz w:val="18"/>
              </w:rPr>
              <w:t>évaluation</w:t>
            </w:r>
            <w:r w:rsidR="00D24DC1" w:rsidRPr="009C2953">
              <w:rPr>
                <w:sz w:val="18"/>
              </w:rPr>
              <w:t xml:space="preserve"> des </w:t>
            </w:r>
            <w:r w:rsidRPr="009C2953">
              <w:rPr>
                <w:sz w:val="18"/>
              </w:rPr>
              <w:t>espèces exotiques envahissantes</w:t>
            </w:r>
          </w:p>
        </w:tc>
        <w:tc>
          <w:tcPr>
            <w:tcW w:w="3490" w:type="dxa"/>
            <w:tcBorders>
              <w:top w:val="nil"/>
              <w:left w:val="nil"/>
              <w:bottom w:val="nil"/>
              <w:right w:val="nil"/>
            </w:tcBorders>
            <w:hideMark/>
          </w:tcPr>
          <w:p w14:paraId="60559F58" w14:textId="71BD595B" w:rsidR="00607B78" w:rsidRPr="009C2953" w:rsidRDefault="00607B78" w:rsidP="00A068F8">
            <w:pPr>
              <w:pStyle w:val="Normal-pool"/>
              <w:spacing w:before="40" w:after="40"/>
              <w:rPr>
                <w:sz w:val="18"/>
                <w:szCs w:val="18"/>
              </w:rPr>
            </w:pPr>
            <w:r w:rsidRPr="009C2953">
              <w:rPr>
                <w:sz w:val="18"/>
              </w:rPr>
              <w:t>Coûts de</w:t>
            </w:r>
            <w:r w:rsidR="00F34644" w:rsidRPr="009C2953">
              <w:rPr>
                <w:sz w:val="18"/>
              </w:rPr>
              <w:t xml:space="preserve"> la </w:t>
            </w:r>
            <w:r w:rsidRPr="009C2953">
              <w:rPr>
                <w:sz w:val="18"/>
              </w:rPr>
              <w:t>réunion et de</w:t>
            </w:r>
            <w:r w:rsidR="00F34644" w:rsidRPr="009C2953">
              <w:rPr>
                <w:sz w:val="18"/>
              </w:rPr>
              <w:t xml:space="preserve"> la </w:t>
            </w:r>
            <w:r w:rsidRPr="009C2953">
              <w:rPr>
                <w:sz w:val="18"/>
              </w:rPr>
              <w:t>logistique</w:t>
            </w:r>
          </w:p>
        </w:tc>
        <w:tc>
          <w:tcPr>
            <w:tcW w:w="1616" w:type="dxa"/>
            <w:tcBorders>
              <w:top w:val="nil"/>
              <w:left w:val="nil"/>
              <w:bottom w:val="nil"/>
              <w:right w:val="nil"/>
            </w:tcBorders>
            <w:vAlign w:val="bottom"/>
            <w:hideMark/>
          </w:tcPr>
          <w:p w14:paraId="4FCEEC47" w14:textId="77777777" w:rsidR="00607B78" w:rsidRPr="009C2953" w:rsidRDefault="00607B78" w:rsidP="00A068F8">
            <w:pPr>
              <w:pStyle w:val="Normal-pool"/>
              <w:spacing w:before="40" w:after="40"/>
              <w:jc w:val="right"/>
              <w:rPr>
                <w:sz w:val="18"/>
                <w:szCs w:val="18"/>
              </w:rPr>
            </w:pPr>
            <w:r w:rsidRPr="009C2953">
              <w:rPr>
                <w:sz w:val="18"/>
              </w:rPr>
              <w:t>11 200</w:t>
            </w:r>
          </w:p>
        </w:tc>
      </w:tr>
      <w:tr w:rsidR="00607B78" w:rsidRPr="009C2953" w14:paraId="47037955" w14:textId="77777777" w:rsidTr="00A068F8">
        <w:trPr>
          <w:trHeight w:val="57"/>
          <w:jc w:val="right"/>
        </w:trPr>
        <w:tc>
          <w:tcPr>
            <w:tcW w:w="3950" w:type="dxa"/>
            <w:tcBorders>
              <w:top w:val="single" w:sz="4" w:space="0" w:color="000000"/>
              <w:left w:val="nil"/>
              <w:bottom w:val="single" w:sz="4" w:space="0" w:color="000000"/>
              <w:right w:val="nil"/>
            </w:tcBorders>
            <w:hideMark/>
          </w:tcPr>
          <w:p w14:paraId="715EE87A" w14:textId="77777777" w:rsidR="00607B78" w:rsidRPr="009C2953" w:rsidRDefault="00607B78" w:rsidP="00A068F8">
            <w:pPr>
              <w:pStyle w:val="Normal-pool"/>
              <w:spacing w:before="40" w:after="40"/>
              <w:rPr>
                <w:b/>
                <w:bCs/>
                <w:sz w:val="18"/>
                <w:szCs w:val="18"/>
              </w:rPr>
            </w:pPr>
            <w:r w:rsidRPr="009C2953">
              <w:rPr>
                <w:b/>
                <w:sz w:val="18"/>
              </w:rPr>
              <w:t>Total partiel 1</w:t>
            </w:r>
          </w:p>
        </w:tc>
        <w:tc>
          <w:tcPr>
            <w:tcW w:w="5372" w:type="dxa"/>
            <w:tcBorders>
              <w:top w:val="single" w:sz="4" w:space="0" w:color="000000"/>
              <w:left w:val="nil"/>
              <w:bottom w:val="single" w:sz="4" w:space="0" w:color="000000"/>
              <w:right w:val="nil"/>
            </w:tcBorders>
          </w:tcPr>
          <w:p w14:paraId="610988CE" w14:textId="77777777" w:rsidR="00607B78" w:rsidRPr="009C2953" w:rsidRDefault="00607B78" w:rsidP="00A068F8">
            <w:pPr>
              <w:pStyle w:val="Normal-pool"/>
              <w:spacing w:before="40" w:after="40"/>
              <w:rPr>
                <w:sz w:val="18"/>
                <w:szCs w:val="18"/>
              </w:rPr>
            </w:pPr>
          </w:p>
        </w:tc>
        <w:tc>
          <w:tcPr>
            <w:tcW w:w="3490" w:type="dxa"/>
            <w:tcBorders>
              <w:top w:val="single" w:sz="4" w:space="0" w:color="000000"/>
              <w:left w:val="nil"/>
              <w:bottom w:val="single" w:sz="4" w:space="0" w:color="000000"/>
              <w:right w:val="nil"/>
            </w:tcBorders>
          </w:tcPr>
          <w:p w14:paraId="45D223AC" w14:textId="77777777" w:rsidR="00607B78" w:rsidRPr="009C2953" w:rsidRDefault="00607B78" w:rsidP="00A068F8">
            <w:pPr>
              <w:pStyle w:val="Normal-pool"/>
              <w:spacing w:before="40" w:after="40"/>
              <w:rPr>
                <w:sz w:val="18"/>
                <w:szCs w:val="18"/>
              </w:rPr>
            </w:pPr>
          </w:p>
        </w:tc>
        <w:tc>
          <w:tcPr>
            <w:tcW w:w="1616" w:type="dxa"/>
            <w:tcBorders>
              <w:top w:val="single" w:sz="4" w:space="0" w:color="000000"/>
              <w:left w:val="nil"/>
              <w:bottom w:val="single" w:sz="4" w:space="0" w:color="000000"/>
              <w:right w:val="nil"/>
            </w:tcBorders>
            <w:vAlign w:val="bottom"/>
            <w:hideMark/>
          </w:tcPr>
          <w:p w14:paraId="29AF5959" w14:textId="77777777" w:rsidR="00607B78" w:rsidRPr="00FA7442" w:rsidRDefault="00607B78" w:rsidP="00A068F8">
            <w:pPr>
              <w:pStyle w:val="Normal-pool"/>
              <w:spacing w:before="40" w:after="40"/>
              <w:jc w:val="right"/>
              <w:rPr>
                <w:b/>
                <w:bCs/>
                <w:sz w:val="18"/>
                <w:szCs w:val="18"/>
              </w:rPr>
            </w:pPr>
            <w:r w:rsidRPr="00FA7442">
              <w:rPr>
                <w:b/>
                <w:bCs/>
                <w:sz w:val="18"/>
              </w:rPr>
              <w:t xml:space="preserve">1 660 800 </w:t>
            </w:r>
          </w:p>
        </w:tc>
      </w:tr>
      <w:tr w:rsidR="00607B78" w:rsidRPr="009C2953" w14:paraId="4906AF30" w14:textId="77777777" w:rsidTr="00A068F8">
        <w:trPr>
          <w:trHeight w:val="57"/>
          <w:jc w:val="right"/>
        </w:trPr>
        <w:tc>
          <w:tcPr>
            <w:tcW w:w="9322" w:type="dxa"/>
            <w:gridSpan w:val="2"/>
            <w:tcBorders>
              <w:top w:val="single" w:sz="4" w:space="0" w:color="000000"/>
              <w:left w:val="nil"/>
              <w:bottom w:val="single" w:sz="4" w:space="0" w:color="auto"/>
              <w:right w:val="nil"/>
            </w:tcBorders>
            <w:hideMark/>
          </w:tcPr>
          <w:p w14:paraId="6B528F16" w14:textId="3B870C2B" w:rsidR="00607B78" w:rsidRPr="009C2953" w:rsidRDefault="00607B78" w:rsidP="00A068F8">
            <w:pPr>
              <w:pStyle w:val="Normal-pool"/>
              <w:tabs>
                <w:tab w:val="left" w:pos="177"/>
              </w:tabs>
              <w:spacing w:before="40" w:after="40"/>
              <w:rPr>
                <w:b/>
                <w:bCs/>
                <w:sz w:val="18"/>
                <w:szCs w:val="18"/>
              </w:rPr>
            </w:pPr>
            <w:r w:rsidRPr="009C2953">
              <w:rPr>
                <w:b/>
                <w:sz w:val="18"/>
              </w:rPr>
              <w:t>2.</w:t>
            </w:r>
            <w:r w:rsidRPr="009C2953">
              <w:rPr>
                <w:b/>
                <w:sz w:val="18"/>
              </w:rPr>
              <w:tab/>
              <w:t>Contributions à l</w:t>
            </w:r>
            <w:r w:rsidR="00EA2966" w:rsidRPr="009C2953">
              <w:rPr>
                <w:b/>
                <w:sz w:val="18"/>
              </w:rPr>
              <w:t>’</w:t>
            </w:r>
            <w:r w:rsidRPr="009C2953">
              <w:rPr>
                <w:b/>
                <w:sz w:val="18"/>
              </w:rPr>
              <w:t>appui d</w:t>
            </w:r>
            <w:r w:rsidR="00EA2966" w:rsidRPr="009C2953">
              <w:rPr>
                <w:b/>
                <w:sz w:val="18"/>
              </w:rPr>
              <w:t>’</w:t>
            </w:r>
            <w:r w:rsidRPr="009C2953">
              <w:rPr>
                <w:b/>
                <w:sz w:val="18"/>
              </w:rPr>
              <w:t>activités supplémentaires organisées en soutien au programme de travail</w:t>
            </w:r>
          </w:p>
        </w:tc>
        <w:tc>
          <w:tcPr>
            <w:tcW w:w="3490" w:type="dxa"/>
            <w:tcBorders>
              <w:top w:val="single" w:sz="4" w:space="0" w:color="000000"/>
              <w:left w:val="nil"/>
              <w:bottom w:val="single" w:sz="4" w:space="0" w:color="auto"/>
              <w:right w:val="nil"/>
            </w:tcBorders>
          </w:tcPr>
          <w:p w14:paraId="59483DB2" w14:textId="77777777" w:rsidR="00607B78" w:rsidRPr="009C2953" w:rsidRDefault="00607B78" w:rsidP="00A068F8">
            <w:pPr>
              <w:pStyle w:val="Normal-pool"/>
              <w:spacing w:before="40" w:after="40"/>
              <w:rPr>
                <w:b/>
                <w:bCs/>
                <w:sz w:val="18"/>
                <w:szCs w:val="18"/>
              </w:rPr>
            </w:pPr>
          </w:p>
        </w:tc>
        <w:tc>
          <w:tcPr>
            <w:tcW w:w="1616" w:type="dxa"/>
            <w:tcBorders>
              <w:top w:val="single" w:sz="4" w:space="0" w:color="000000"/>
              <w:left w:val="nil"/>
              <w:bottom w:val="single" w:sz="4" w:space="0" w:color="auto"/>
              <w:right w:val="nil"/>
            </w:tcBorders>
            <w:vAlign w:val="bottom"/>
          </w:tcPr>
          <w:p w14:paraId="4373B57F" w14:textId="77777777" w:rsidR="00607B78" w:rsidRPr="009C2953" w:rsidRDefault="00607B78" w:rsidP="00A068F8">
            <w:pPr>
              <w:pStyle w:val="Normal-pool"/>
              <w:spacing w:before="40" w:after="40"/>
              <w:jc w:val="right"/>
              <w:rPr>
                <w:b/>
                <w:bCs/>
                <w:sz w:val="18"/>
                <w:szCs w:val="18"/>
              </w:rPr>
            </w:pPr>
          </w:p>
        </w:tc>
      </w:tr>
      <w:tr w:rsidR="00607B78" w:rsidRPr="009C2953" w14:paraId="31390833" w14:textId="77777777" w:rsidTr="00A068F8">
        <w:trPr>
          <w:trHeight w:val="57"/>
          <w:jc w:val="right"/>
        </w:trPr>
        <w:tc>
          <w:tcPr>
            <w:tcW w:w="3950" w:type="dxa"/>
            <w:tcBorders>
              <w:top w:val="single" w:sz="4" w:space="0" w:color="auto"/>
              <w:left w:val="nil"/>
              <w:bottom w:val="nil"/>
              <w:right w:val="nil"/>
            </w:tcBorders>
            <w:hideMark/>
          </w:tcPr>
          <w:p w14:paraId="207BAD6A" w14:textId="77777777" w:rsidR="00607B78" w:rsidRPr="009C2953" w:rsidRDefault="00607B78" w:rsidP="00A068F8">
            <w:pPr>
              <w:pStyle w:val="Normal-pool"/>
              <w:spacing w:before="40" w:after="40"/>
              <w:ind w:left="177"/>
              <w:rPr>
                <w:sz w:val="18"/>
                <w:szCs w:val="18"/>
              </w:rPr>
            </w:pPr>
            <w:r w:rsidRPr="009C2953">
              <w:rPr>
                <w:sz w:val="18"/>
              </w:rPr>
              <w:t>Ville de Bonn</w:t>
            </w:r>
          </w:p>
        </w:tc>
        <w:tc>
          <w:tcPr>
            <w:tcW w:w="5372" w:type="dxa"/>
            <w:tcBorders>
              <w:top w:val="single" w:sz="4" w:space="0" w:color="auto"/>
              <w:left w:val="nil"/>
              <w:bottom w:val="nil"/>
              <w:right w:val="nil"/>
            </w:tcBorders>
            <w:hideMark/>
          </w:tcPr>
          <w:p w14:paraId="43B88157" w14:textId="6658FF77" w:rsidR="00607B78" w:rsidRPr="009C2953" w:rsidRDefault="00607B78" w:rsidP="00A068F8">
            <w:pPr>
              <w:pStyle w:val="Normal-pool"/>
              <w:spacing w:before="40" w:after="40"/>
              <w:rPr>
                <w:sz w:val="18"/>
                <w:szCs w:val="18"/>
              </w:rPr>
            </w:pPr>
            <w:r w:rsidRPr="009C2953">
              <w:rPr>
                <w:sz w:val="18"/>
              </w:rPr>
              <w:t>Neuvième session de</w:t>
            </w:r>
            <w:r w:rsidR="00F34644" w:rsidRPr="009C2953">
              <w:rPr>
                <w:sz w:val="18"/>
              </w:rPr>
              <w:t xml:space="preserve"> la </w:t>
            </w:r>
            <w:r w:rsidRPr="009C2953">
              <w:rPr>
                <w:sz w:val="18"/>
              </w:rPr>
              <w:t>Plénière</w:t>
            </w:r>
          </w:p>
        </w:tc>
        <w:tc>
          <w:tcPr>
            <w:tcW w:w="3490" w:type="dxa"/>
            <w:tcBorders>
              <w:top w:val="single" w:sz="4" w:space="0" w:color="auto"/>
              <w:left w:val="nil"/>
              <w:bottom w:val="nil"/>
              <w:right w:val="nil"/>
            </w:tcBorders>
            <w:hideMark/>
          </w:tcPr>
          <w:p w14:paraId="1846CB89" w14:textId="77777777" w:rsidR="00607B78" w:rsidRPr="009C2953" w:rsidRDefault="00607B78" w:rsidP="00A068F8">
            <w:pPr>
              <w:pStyle w:val="Normal-pool"/>
              <w:spacing w:before="40" w:after="40"/>
              <w:rPr>
                <w:sz w:val="18"/>
                <w:szCs w:val="18"/>
              </w:rPr>
            </w:pPr>
            <w:r w:rsidRPr="009C2953">
              <w:rPr>
                <w:sz w:val="18"/>
              </w:rPr>
              <w:t>Identité visuelle et logistique</w:t>
            </w:r>
          </w:p>
        </w:tc>
        <w:tc>
          <w:tcPr>
            <w:tcW w:w="1616" w:type="dxa"/>
            <w:tcBorders>
              <w:top w:val="single" w:sz="4" w:space="0" w:color="auto"/>
              <w:left w:val="nil"/>
              <w:bottom w:val="nil"/>
              <w:right w:val="nil"/>
            </w:tcBorders>
            <w:vAlign w:val="bottom"/>
            <w:hideMark/>
          </w:tcPr>
          <w:p w14:paraId="6EFB13F1" w14:textId="77777777" w:rsidR="00607B78" w:rsidRPr="009C2953" w:rsidRDefault="00607B78" w:rsidP="00A068F8">
            <w:pPr>
              <w:pStyle w:val="Normal-pool"/>
              <w:spacing w:before="40" w:after="40"/>
              <w:jc w:val="right"/>
              <w:rPr>
                <w:sz w:val="18"/>
                <w:szCs w:val="18"/>
              </w:rPr>
            </w:pPr>
            <w:r w:rsidRPr="009C2953">
              <w:rPr>
                <w:sz w:val="18"/>
              </w:rPr>
              <w:t>23 000</w:t>
            </w:r>
          </w:p>
        </w:tc>
      </w:tr>
      <w:tr w:rsidR="00607B78" w:rsidRPr="009C2953" w14:paraId="13D1F4C0" w14:textId="77777777" w:rsidTr="00A068F8">
        <w:trPr>
          <w:trHeight w:val="57"/>
          <w:jc w:val="right"/>
        </w:trPr>
        <w:tc>
          <w:tcPr>
            <w:tcW w:w="3950" w:type="dxa"/>
            <w:tcBorders>
              <w:top w:val="nil"/>
              <w:left w:val="nil"/>
              <w:bottom w:val="nil"/>
              <w:right w:val="nil"/>
            </w:tcBorders>
            <w:hideMark/>
          </w:tcPr>
          <w:p w14:paraId="73FC6BE9" w14:textId="33FEC1D7" w:rsidR="00607B78" w:rsidRPr="009C2953" w:rsidRDefault="00607B78" w:rsidP="00A068F8">
            <w:pPr>
              <w:pStyle w:val="Normal-pool"/>
              <w:spacing w:before="40" w:after="40"/>
              <w:ind w:left="177"/>
              <w:rPr>
                <w:sz w:val="18"/>
                <w:szCs w:val="18"/>
              </w:rPr>
            </w:pPr>
            <w:r w:rsidRPr="009C2953">
              <w:rPr>
                <w:sz w:val="18"/>
              </w:rPr>
              <w:t>Ministère fédéral allemand de l</w:t>
            </w:r>
            <w:r w:rsidR="00EA2966" w:rsidRPr="009C2953">
              <w:rPr>
                <w:sz w:val="18"/>
              </w:rPr>
              <w:t>’</w:t>
            </w:r>
            <w:r w:rsidRPr="009C2953">
              <w:rPr>
                <w:sz w:val="18"/>
              </w:rPr>
              <w:t>environnement, de</w:t>
            </w:r>
            <w:r w:rsidR="00F34644" w:rsidRPr="009C2953">
              <w:rPr>
                <w:sz w:val="18"/>
              </w:rPr>
              <w:t xml:space="preserve"> la </w:t>
            </w:r>
            <w:r w:rsidRPr="009C2953">
              <w:rPr>
                <w:sz w:val="18"/>
              </w:rPr>
              <w:t>protection de</w:t>
            </w:r>
            <w:r w:rsidR="00F34644" w:rsidRPr="009C2953">
              <w:rPr>
                <w:sz w:val="18"/>
              </w:rPr>
              <w:t xml:space="preserve"> la </w:t>
            </w:r>
            <w:r w:rsidRPr="009C2953">
              <w:rPr>
                <w:sz w:val="18"/>
              </w:rPr>
              <w:t>nature, de</w:t>
            </w:r>
            <w:r w:rsidR="00F34644" w:rsidRPr="009C2953">
              <w:rPr>
                <w:sz w:val="18"/>
              </w:rPr>
              <w:t xml:space="preserve"> la </w:t>
            </w:r>
            <w:r w:rsidRPr="009C2953">
              <w:rPr>
                <w:sz w:val="18"/>
              </w:rPr>
              <w:t>sûreté nucléaire et de</w:t>
            </w:r>
            <w:r w:rsidR="00F34644" w:rsidRPr="009C2953">
              <w:rPr>
                <w:sz w:val="18"/>
              </w:rPr>
              <w:t xml:space="preserve"> la </w:t>
            </w:r>
            <w:r w:rsidRPr="009C2953">
              <w:rPr>
                <w:sz w:val="18"/>
              </w:rPr>
              <w:t>protection</w:t>
            </w:r>
            <w:r w:rsidR="00D24DC1" w:rsidRPr="009C2953">
              <w:rPr>
                <w:sz w:val="18"/>
              </w:rPr>
              <w:t xml:space="preserve"> des </w:t>
            </w:r>
            <w:r w:rsidRPr="009C2953">
              <w:rPr>
                <w:sz w:val="18"/>
              </w:rPr>
              <w:t xml:space="preserve">consommateurs </w:t>
            </w:r>
          </w:p>
        </w:tc>
        <w:tc>
          <w:tcPr>
            <w:tcW w:w="5372" w:type="dxa"/>
            <w:tcBorders>
              <w:top w:val="nil"/>
              <w:left w:val="nil"/>
              <w:bottom w:val="nil"/>
              <w:right w:val="nil"/>
            </w:tcBorders>
            <w:hideMark/>
          </w:tcPr>
          <w:p w14:paraId="35C4AC40" w14:textId="4FD3900B" w:rsidR="00607B78" w:rsidRPr="009C2953" w:rsidRDefault="00607B78" w:rsidP="00A068F8">
            <w:pPr>
              <w:pStyle w:val="Normal-pool"/>
              <w:spacing w:before="40" w:after="40"/>
              <w:rPr>
                <w:sz w:val="18"/>
                <w:szCs w:val="18"/>
              </w:rPr>
            </w:pPr>
            <w:r w:rsidRPr="009C2953">
              <w:rPr>
                <w:sz w:val="18"/>
              </w:rPr>
              <w:t>Neuvième session de</w:t>
            </w:r>
            <w:r w:rsidR="00F34644" w:rsidRPr="009C2953">
              <w:rPr>
                <w:sz w:val="18"/>
              </w:rPr>
              <w:t xml:space="preserve"> la </w:t>
            </w:r>
            <w:r w:rsidRPr="009C2953">
              <w:rPr>
                <w:sz w:val="18"/>
              </w:rPr>
              <w:t>Plénière</w:t>
            </w:r>
          </w:p>
        </w:tc>
        <w:tc>
          <w:tcPr>
            <w:tcW w:w="3490" w:type="dxa"/>
            <w:tcBorders>
              <w:top w:val="nil"/>
              <w:left w:val="nil"/>
              <w:bottom w:val="nil"/>
              <w:right w:val="nil"/>
            </w:tcBorders>
            <w:hideMark/>
          </w:tcPr>
          <w:p w14:paraId="5510EE96" w14:textId="1134301E" w:rsidR="00607B78" w:rsidRPr="009C2953" w:rsidRDefault="00607B78" w:rsidP="00A068F8">
            <w:pPr>
              <w:pStyle w:val="Normal-pool"/>
              <w:spacing w:before="40" w:after="40"/>
              <w:rPr>
                <w:sz w:val="18"/>
                <w:szCs w:val="18"/>
              </w:rPr>
            </w:pPr>
            <w:r w:rsidRPr="009C2953">
              <w:rPr>
                <w:sz w:val="18"/>
              </w:rPr>
              <w:t>Identité visuelle, personnel d</w:t>
            </w:r>
            <w:r w:rsidR="00EA2966" w:rsidRPr="009C2953">
              <w:rPr>
                <w:sz w:val="18"/>
              </w:rPr>
              <w:t>’</w:t>
            </w:r>
            <w:r w:rsidRPr="009C2953">
              <w:rPr>
                <w:sz w:val="18"/>
              </w:rPr>
              <w:t>appui</w:t>
            </w:r>
            <w:r w:rsidR="00C30DB9" w:rsidRPr="009C2953">
              <w:rPr>
                <w:sz w:val="18"/>
              </w:rPr>
              <w:t xml:space="preserve"> </w:t>
            </w:r>
            <w:r w:rsidRPr="009C2953">
              <w:rPr>
                <w:sz w:val="18"/>
              </w:rPr>
              <w:t>et</w:t>
            </w:r>
            <w:r w:rsidR="00AA14F2" w:rsidRPr="009C2953">
              <w:rPr>
                <w:sz w:val="18"/>
              </w:rPr>
              <w:t> </w:t>
            </w:r>
            <w:r w:rsidRPr="009C2953">
              <w:rPr>
                <w:sz w:val="18"/>
              </w:rPr>
              <w:t>logistique</w:t>
            </w:r>
          </w:p>
        </w:tc>
        <w:tc>
          <w:tcPr>
            <w:tcW w:w="1616" w:type="dxa"/>
            <w:tcBorders>
              <w:top w:val="nil"/>
              <w:left w:val="nil"/>
              <w:bottom w:val="nil"/>
              <w:right w:val="nil"/>
            </w:tcBorders>
            <w:vAlign w:val="bottom"/>
            <w:hideMark/>
          </w:tcPr>
          <w:p w14:paraId="059DDA72" w14:textId="77777777" w:rsidR="00607B78" w:rsidRPr="009C2953" w:rsidRDefault="00607B78" w:rsidP="00A068F8">
            <w:pPr>
              <w:pStyle w:val="Normal-pool"/>
              <w:spacing w:before="40" w:after="40"/>
              <w:jc w:val="right"/>
              <w:rPr>
                <w:sz w:val="18"/>
                <w:szCs w:val="18"/>
              </w:rPr>
            </w:pPr>
            <w:r w:rsidRPr="009C2953">
              <w:rPr>
                <w:sz w:val="18"/>
              </w:rPr>
              <w:t>47 000</w:t>
            </w:r>
          </w:p>
        </w:tc>
      </w:tr>
      <w:tr w:rsidR="00607B78" w:rsidRPr="009C2953" w14:paraId="137DA5A6" w14:textId="77777777" w:rsidTr="00A068F8">
        <w:trPr>
          <w:trHeight w:val="57"/>
          <w:jc w:val="right"/>
        </w:trPr>
        <w:tc>
          <w:tcPr>
            <w:tcW w:w="3950" w:type="dxa"/>
            <w:tcBorders>
              <w:top w:val="nil"/>
              <w:left w:val="nil"/>
              <w:bottom w:val="nil"/>
              <w:right w:val="nil"/>
            </w:tcBorders>
            <w:hideMark/>
          </w:tcPr>
          <w:p w14:paraId="78A7191A" w14:textId="73BDCA84" w:rsidR="00607B78" w:rsidRPr="009C2953" w:rsidRDefault="00607B78" w:rsidP="00A068F8">
            <w:pPr>
              <w:pStyle w:val="Normal-pool"/>
              <w:spacing w:before="40" w:after="40"/>
              <w:ind w:left="177"/>
              <w:rPr>
                <w:sz w:val="18"/>
                <w:szCs w:val="18"/>
              </w:rPr>
            </w:pPr>
            <w:r w:rsidRPr="009C2953">
              <w:rPr>
                <w:sz w:val="18"/>
              </w:rPr>
              <w:t>Union internationale pour</w:t>
            </w:r>
            <w:r w:rsidR="00F34644" w:rsidRPr="009C2953">
              <w:rPr>
                <w:sz w:val="18"/>
              </w:rPr>
              <w:t xml:space="preserve"> la </w:t>
            </w:r>
            <w:r w:rsidRPr="009C2953">
              <w:rPr>
                <w:sz w:val="18"/>
              </w:rPr>
              <w:t>conservation de</w:t>
            </w:r>
            <w:r w:rsidR="00F34644" w:rsidRPr="009C2953">
              <w:rPr>
                <w:sz w:val="18"/>
              </w:rPr>
              <w:t xml:space="preserve"> la </w:t>
            </w:r>
            <w:r w:rsidRPr="009C2953">
              <w:rPr>
                <w:sz w:val="18"/>
              </w:rPr>
              <w:t>nature et de ses ressources</w:t>
            </w:r>
          </w:p>
        </w:tc>
        <w:tc>
          <w:tcPr>
            <w:tcW w:w="5372" w:type="dxa"/>
            <w:tcBorders>
              <w:top w:val="nil"/>
              <w:left w:val="nil"/>
              <w:bottom w:val="nil"/>
              <w:right w:val="nil"/>
            </w:tcBorders>
            <w:hideMark/>
          </w:tcPr>
          <w:p w14:paraId="3D7AF2DB" w14:textId="6E5D0946" w:rsidR="00607B78" w:rsidRPr="009C2953" w:rsidRDefault="00607B78" w:rsidP="00A068F8">
            <w:pPr>
              <w:pStyle w:val="Normal-pool"/>
              <w:spacing w:before="40" w:after="40"/>
              <w:rPr>
                <w:sz w:val="18"/>
                <w:szCs w:val="18"/>
              </w:rPr>
            </w:pPr>
            <w:r w:rsidRPr="009C2953">
              <w:rPr>
                <w:sz w:val="18"/>
              </w:rPr>
              <w:t>Appui à</w:t>
            </w:r>
            <w:r w:rsidR="00F34644" w:rsidRPr="009C2953">
              <w:rPr>
                <w:sz w:val="18"/>
              </w:rPr>
              <w:t xml:space="preserve"> la </w:t>
            </w:r>
            <w:r w:rsidRPr="009C2953">
              <w:rPr>
                <w:sz w:val="18"/>
              </w:rPr>
              <w:t>participation</w:t>
            </w:r>
            <w:r w:rsidR="00D24DC1" w:rsidRPr="009C2953">
              <w:rPr>
                <w:sz w:val="18"/>
              </w:rPr>
              <w:t xml:space="preserve"> des </w:t>
            </w:r>
            <w:r w:rsidRPr="009C2953">
              <w:rPr>
                <w:sz w:val="18"/>
              </w:rPr>
              <w:t>parties prenantes</w:t>
            </w:r>
          </w:p>
        </w:tc>
        <w:tc>
          <w:tcPr>
            <w:tcW w:w="3490" w:type="dxa"/>
            <w:tcBorders>
              <w:top w:val="nil"/>
              <w:left w:val="nil"/>
              <w:bottom w:val="nil"/>
              <w:right w:val="nil"/>
            </w:tcBorders>
            <w:hideMark/>
          </w:tcPr>
          <w:p w14:paraId="30C39181" w14:textId="77777777" w:rsidR="00607B78" w:rsidRPr="009C2953" w:rsidRDefault="00607B78" w:rsidP="00A068F8">
            <w:pPr>
              <w:pStyle w:val="Normal-pool"/>
              <w:spacing w:before="40" w:after="40"/>
              <w:rPr>
                <w:sz w:val="18"/>
                <w:szCs w:val="18"/>
              </w:rPr>
            </w:pPr>
            <w:r w:rsidRPr="009C2953">
              <w:rPr>
                <w:sz w:val="18"/>
              </w:rPr>
              <w:t>Appui technique</w:t>
            </w:r>
          </w:p>
        </w:tc>
        <w:tc>
          <w:tcPr>
            <w:tcW w:w="1616" w:type="dxa"/>
            <w:tcBorders>
              <w:top w:val="nil"/>
              <w:left w:val="nil"/>
              <w:bottom w:val="nil"/>
              <w:right w:val="nil"/>
            </w:tcBorders>
            <w:vAlign w:val="bottom"/>
            <w:hideMark/>
          </w:tcPr>
          <w:p w14:paraId="59B1C273" w14:textId="77777777" w:rsidR="00607B78" w:rsidRPr="009C2953" w:rsidRDefault="00607B78" w:rsidP="00A068F8">
            <w:pPr>
              <w:pStyle w:val="Normal-pool"/>
              <w:spacing w:before="40" w:after="40"/>
              <w:jc w:val="right"/>
              <w:rPr>
                <w:sz w:val="18"/>
                <w:szCs w:val="18"/>
              </w:rPr>
            </w:pPr>
            <w:r w:rsidRPr="009C2953">
              <w:rPr>
                <w:sz w:val="18"/>
              </w:rPr>
              <w:t>71 000</w:t>
            </w:r>
          </w:p>
        </w:tc>
      </w:tr>
      <w:tr w:rsidR="00607B78" w:rsidRPr="009C2953" w14:paraId="7EE6C8C5" w14:textId="77777777" w:rsidTr="00A068F8">
        <w:trPr>
          <w:trHeight w:val="57"/>
          <w:jc w:val="right"/>
        </w:trPr>
        <w:tc>
          <w:tcPr>
            <w:tcW w:w="3950" w:type="dxa"/>
            <w:tcBorders>
              <w:top w:val="nil"/>
              <w:left w:val="nil"/>
              <w:bottom w:val="single" w:sz="4" w:space="0" w:color="000000"/>
              <w:right w:val="nil"/>
            </w:tcBorders>
            <w:hideMark/>
          </w:tcPr>
          <w:p w14:paraId="56488C0C" w14:textId="55BD3F3B" w:rsidR="00607B78" w:rsidRPr="009C2953" w:rsidRDefault="00607B78" w:rsidP="00A068F8">
            <w:pPr>
              <w:pStyle w:val="Normal-pool"/>
              <w:spacing w:before="40" w:after="40"/>
              <w:ind w:left="177"/>
              <w:rPr>
                <w:sz w:val="18"/>
                <w:szCs w:val="18"/>
              </w:rPr>
            </w:pPr>
            <w:r w:rsidRPr="009C2953">
              <w:rPr>
                <w:sz w:val="18"/>
              </w:rPr>
              <w:t>Agence norvégienne de l</w:t>
            </w:r>
            <w:r w:rsidR="00EA2966" w:rsidRPr="009C2953">
              <w:rPr>
                <w:sz w:val="18"/>
              </w:rPr>
              <w:t>’</w:t>
            </w:r>
            <w:r w:rsidRPr="009C2953">
              <w:rPr>
                <w:sz w:val="18"/>
              </w:rPr>
              <w:t>environnement</w:t>
            </w:r>
          </w:p>
        </w:tc>
        <w:tc>
          <w:tcPr>
            <w:tcW w:w="5372" w:type="dxa"/>
            <w:tcBorders>
              <w:top w:val="nil"/>
              <w:left w:val="nil"/>
              <w:bottom w:val="single" w:sz="4" w:space="0" w:color="000000"/>
              <w:right w:val="nil"/>
            </w:tcBorders>
            <w:hideMark/>
          </w:tcPr>
          <w:p w14:paraId="383191C9" w14:textId="341710F3" w:rsidR="00607B78" w:rsidRPr="009C2953" w:rsidRDefault="00607B78" w:rsidP="00A068F8">
            <w:pPr>
              <w:pStyle w:val="Normal-pool"/>
              <w:spacing w:before="40" w:after="40"/>
              <w:rPr>
                <w:sz w:val="18"/>
                <w:szCs w:val="18"/>
              </w:rPr>
            </w:pPr>
            <w:r w:rsidRPr="009C2953">
              <w:rPr>
                <w:sz w:val="18"/>
              </w:rPr>
              <w:t>Mise en place du réseau d</w:t>
            </w:r>
            <w:r w:rsidR="00EA2966" w:rsidRPr="009C2953">
              <w:rPr>
                <w:sz w:val="18"/>
              </w:rPr>
              <w:t>’</w:t>
            </w:r>
            <w:r w:rsidRPr="009C2953">
              <w:rPr>
                <w:sz w:val="18"/>
              </w:rPr>
              <w:t>expert(e)s</w:t>
            </w:r>
            <w:r w:rsidR="00D24DC1" w:rsidRPr="009C2953">
              <w:rPr>
                <w:sz w:val="18"/>
              </w:rPr>
              <w:t xml:space="preserve"> des </w:t>
            </w:r>
            <w:r w:rsidRPr="009C2953">
              <w:rPr>
                <w:sz w:val="18"/>
              </w:rPr>
              <w:t>sciences humaines et sociales dans</w:t>
            </w:r>
            <w:r w:rsidR="00F34644" w:rsidRPr="009C2953">
              <w:rPr>
                <w:sz w:val="18"/>
              </w:rPr>
              <w:t xml:space="preserve"> le </w:t>
            </w:r>
            <w:r w:rsidRPr="009C2953">
              <w:rPr>
                <w:sz w:val="18"/>
              </w:rPr>
              <w:t>cadre du processus participatif de l</w:t>
            </w:r>
            <w:r w:rsidR="00EA2966" w:rsidRPr="009C2953">
              <w:rPr>
                <w:sz w:val="18"/>
              </w:rPr>
              <w:t>’</w:t>
            </w:r>
            <w:r w:rsidRPr="009C2953">
              <w:rPr>
                <w:sz w:val="18"/>
              </w:rPr>
              <w:t>IPBES</w:t>
            </w:r>
          </w:p>
        </w:tc>
        <w:tc>
          <w:tcPr>
            <w:tcW w:w="3490" w:type="dxa"/>
            <w:tcBorders>
              <w:top w:val="nil"/>
              <w:left w:val="nil"/>
              <w:bottom w:val="single" w:sz="4" w:space="0" w:color="000000"/>
              <w:right w:val="nil"/>
            </w:tcBorders>
            <w:hideMark/>
          </w:tcPr>
          <w:p w14:paraId="60B2954C" w14:textId="77777777" w:rsidR="00607B78" w:rsidRPr="009C2953" w:rsidRDefault="00607B78" w:rsidP="00A068F8">
            <w:pPr>
              <w:pStyle w:val="Normal-pool"/>
              <w:spacing w:before="40" w:after="40"/>
              <w:rPr>
                <w:sz w:val="18"/>
                <w:szCs w:val="18"/>
              </w:rPr>
            </w:pPr>
            <w:r w:rsidRPr="009C2953">
              <w:rPr>
                <w:sz w:val="18"/>
              </w:rPr>
              <w:t>Personnel et logistique</w:t>
            </w:r>
          </w:p>
        </w:tc>
        <w:tc>
          <w:tcPr>
            <w:tcW w:w="1616" w:type="dxa"/>
            <w:tcBorders>
              <w:top w:val="nil"/>
              <w:left w:val="nil"/>
              <w:bottom w:val="single" w:sz="4" w:space="0" w:color="000000"/>
              <w:right w:val="nil"/>
            </w:tcBorders>
            <w:vAlign w:val="bottom"/>
            <w:hideMark/>
          </w:tcPr>
          <w:p w14:paraId="3E16772D" w14:textId="77777777" w:rsidR="00607B78" w:rsidRPr="009C2953" w:rsidRDefault="00607B78" w:rsidP="00A068F8">
            <w:pPr>
              <w:pStyle w:val="Normal-pool"/>
              <w:spacing w:before="40" w:after="40"/>
              <w:jc w:val="right"/>
              <w:rPr>
                <w:sz w:val="18"/>
                <w:szCs w:val="18"/>
              </w:rPr>
            </w:pPr>
            <w:r w:rsidRPr="009C2953">
              <w:rPr>
                <w:sz w:val="18"/>
              </w:rPr>
              <w:t>19 000</w:t>
            </w:r>
          </w:p>
        </w:tc>
      </w:tr>
      <w:tr w:rsidR="00607B78" w:rsidRPr="009C2953" w14:paraId="38D11E8B" w14:textId="77777777" w:rsidTr="00A068F8">
        <w:trPr>
          <w:trHeight w:val="57"/>
          <w:jc w:val="right"/>
        </w:trPr>
        <w:tc>
          <w:tcPr>
            <w:tcW w:w="3950" w:type="dxa"/>
            <w:tcBorders>
              <w:top w:val="single" w:sz="4" w:space="0" w:color="000000"/>
              <w:left w:val="nil"/>
              <w:bottom w:val="single" w:sz="4" w:space="0" w:color="000000"/>
              <w:right w:val="nil"/>
            </w:tcBorders>
            <w:hideMark/>
          </w:tcPr>
          <w:p w14:paraId="76B11C15" w14:textId="77777777" w:rsidR="00607B78" w:rsidRPr="009C2953" w:rsidRDefault="00607B78" w:rsidP="00A068F8">
            <w:pPr>
              <w:pStyle w:val="Normal-pool"/>
              <w:spacing w:before="40" w:after="40"/>
              <w:rPr>
                <w:b/>
                <w:bCs/>
                <w:sz w:val="18"/>
                <w:szCs w:val="18"/>
              </w:rPr>
            </w:pPr>
            <w:r w:rsidRPr="009C2953">
              <w:rPr>
                <w:b/>
                <w:sz w:val="18"/>
              </w:rPr>
              <w:t>Total partiel 2</w:t>
            </w:r>
          </w:p>
        </w:tc>
        <w:tc>
          <w:tcPr>
            <w:tcW w:w="5372" w:type="dxa"/>
            <w:tcBorders>
              <w:top w:val="single" w:sz="4" w:space="0" w:color="000000"/>
              <w:left w:val="nil"/>
              <w:bottom w:val="single" w:sz="4" w:space="0" w:color="000000"/>
              <w:right w:val="nil"/>
            </w:tcBorders>
          </w:tcPr>
          <w:p w14:paraId="038F4ED7" w14:textId="77777777" w:rsidR="00607B78" w:rsidRPr="009C2953" w:rsidRDefault="00607B78" w:rsidP="00A068F8">
            <w:pPr>
              <w:pStyle w:val="Normal-pool"/>
              <w:spacing w:before="40" w:after="40"/>
              <w:rPr>
                <w:b/>
                <w:bCs/>
                <w:sz w:val="18"/>
                <w:szCs w:val="18"/>
              </w:rPr>
            </w:pPr>
          </w:p>
        </w:tc>
        <w:tc>
          <w:tcPr>
            <w:tcW w:w="3490" w:type="dxa"/>
            <w:tcBorders>
              <w:top w:val="single" w:sz="4" w:space="0" w:color="000000"/>
              <w:left w:val="nil"/>
              <w:bottom w:val="single" w:sz="4" w:space="0" w:color="000000"/>
              <w:right w:val="nil"/>
            </w:tcBorders>
          </w:tcPr>
          <w:p w14:paraId="2BD02F4D" w14:textId="77777777" w:rsidR="00607B78" w:rsidRPr="009C2953" w:rsidRDefault="00607B78" w:rsidP="00A068F8">
            <w:pPr>
              <w:pStyle w:val="Normal-pool"/>
              <w:spacing w:before="40" w:after="40"/>
              <w:rPr>
                <w:b/>
                <w:bCs/>
                <w:sz w:val="18"/>
                <w:szCs w:val="18"/>
              </w:rPr>
            </w:pPr>
          </w:p>
        </w:tc>
        <w:tc>
          <w:tcPr>
            <w:tcW w:w="1616" w:type="dxa"/>
            <w:tcBorders>
              <w:top w:val="single" w:sz="4" w:space="0" w:color="000000"/>
              <w:left w:val="nil"/>
              <w:bottom w:val="single" w:sz="4" w:space="0" w:color="000000"/>
              <w:right w:val="nil"/>
            </w:tcBorders>
            <w:vAlign w:val="bottom"/>
            <w:hideMark/>
          </w:tcPr>
          <w:p w14:paraId="6CB3625B" w14:textId="77777777" w:rsidR="00607B78" w:rsidRPr="009C2953" w:rsidRDefault="00607B78" w:rsidP="00A068F8">
            <w:pPr>
              <w:pStyle w:val="Normal-pool"/>
              <w:spacing w:before="40" w:after="40"/>
              <w:jc w:val="right"/>
              <w:rPr>
                <w:b/>
                <w:bCs/>
                <w:sz w:val="18"/>
                <w:szCs w:val="18"/>
              </w:rPr>
            </w:pPr>
            <w:r w:rsidRPr="009C2953">
              <w:rPr>
                <w:b/>
                <w:sz w:val="18"/>
              </w:rPr>
              <w:t>160 000</w:t>
            </w:r>
          </w:p>
        </w:tc>
      </w:tr>
      <w:tr w:rsidR="00607B78" w:rsidRPr="009C2953" w14:paraId="59728FC2" w14:textId="77777777" w:rsidTr="00A068F8">
        <w:trPr>
          <w:trHeight w:val="57"/>
          <w:jc w:val="right"/>
        </w:trPr>
        <w:tc>
          <w:tcPr>
            <w:tcW w:w="3950" w:type="dxa"/>
            <w:tcBorders>
              <w:top w:val="single" w:sz="4" w:space="0" w:color="000000"/>
              <w:left w:val="nil"/>
              <w:bottom w:val="single" w:sz="12" w:space="0" w:color="000000"/>
              <w:right w:val="nil"/>
            </w:tcBorders>
            <w:hideMark/>
          </w:tcPr>
          <w:p w14:paraId="498D7A1C" w14:textId="77777777" w:rsidR="00607B78" w:rsidRPr="009C2953" w:rsidRDefault="00607B78" w:rsidP="00A068F8">
            <w:pPr>
              <w:pStyle w:val="Normal-pool"/>
              <w:spacing w:before="40" w:after="40"/>
              <w:rPr>
                <w:b/>
                <w:bCs/>
                <w:sz w:val="18"/>
                <w:szCs w:val="18"/>
              </w:rPr>
            </w:pPr>
            <w:r w:rsidRPr="009C2953">
              <w:rPr>
                <w:b/>
                <w:sz w:val="18"/>
              </w:rPr>
              <w:t>Total (1+2)</w:t>
            </w:r>
          </w:p>
        </w:tc>
        <w:tc>
          <w:tcPr>
            <w:tcW w:w="5372" w:type="dxa"/>
            <w:tcBorders>
              <w:top w:val="single" w:sz="4" w:space="0" w:color="000000"/>
              <w:left w:val="nil"/>
              <w:bottom w:val="single" w:sz="12" w:space="0" w:color="000000"/>
              <w:right w:val="nil"/>
            </w:tcBorders>
          </w:tcPr>
          <w:p w14:paraId="5392662D" w14:textId="77777777" w:rsidR="00607B78" w:rsidRPr="009C2953" w:rsidRDefault="00607B78" w:rsidP="00A068F8">
            <w:pPr>
              <w:pStyle w:val="Normal-pool"/>
              <w:spacing w:before="40" w:after="40"/>
              <w:rPr>
                <w:b/>
                <w:bCs/>
                <w:sz w:val="18"/>
                <w:szCs w:val="18"/>
              </w:rPr>
            </w:pPr>
          </w:p>
        </w:tc>
        <w:tc>
          <w:tcPr>
            <w:tcW w:w="3490" w:type="dxa"/>
            <w:tcBorders>
              <w:top w:val="single" w:sz="4" w:space="0" w:color="000000"/>
              <w:left w:val="nil"/>
              <w:bottom w:val="single" w:sz="12" w:space="0" w:color="000000"/>
              <w:right w:val="nil"/>
            </w:tcBorders>
          </w:tcPr>
          <w:p w14:paraId="3266BCAB" w14:textId="77777777" w:rsidR="00607B78" w:rsidRPr="009C2953" w:rsidRDefault="00607B78" w:rsidP="00A068F8">
            <w:pPr>
              <w:pStyle w:val="Normal-pool"/>
              <w:spacing w:before="40" w:after="40"/>
              <w:rPr>
                <w:b/>
                <w:bCs/>
                <w:sz w:val="18"/>
                <w:szCs w:val="18"/>
              </w:rPr>
            </w:pPr>
          </w:p>
        </w:tc>
        <w:tc>
          <w:tcPr>
            <w:tcW w:w="1616" w:type="dxa"/>
            <w:tcBorders>
              <w:top w:val="single" w:sz="4" w:space="0" w:color="000000"/>
              <w:left w:val="nil"/>
              <w:bottom w:val="single" w:sz="12" w:space="0" w:color="000000"/>
              <w:right w:val="nil"/>
            </w:tcBorders>
            <w:vAlign w:val="bottom"/>
            <w:hideMark/>
          </w:tcPr>
          <w:p w14:paraId="2A60AA50" w14:textId="77777777" w:rsidR="00607B78" w:rsidRPr="009C2953" w:rsidRDefault="00607B78" w:rsidP="00A068F8">
            <w:pPr>
              <w:pStyle w:val="Normal-pool"/>
              <w:spacing w:before="40" w:after="40"/>
              <w:jc w:val="right"/>
              <w:rPr>
                <w:b/>
                <w:bCs/>
                <w:sz w:val="18"/>
                <w:szCs w:val="18"/>
              </w:rPr>
            </w:pPr>
            <w:r w:rsidRPr="009C2953">
              <w:rPr>
                <w:b/>
                <w:sz w:val="18"/>
              </w:rPr>
              <w:t>1 820 800</w:t>
            </w:r>
          </w:p>
        </w:tc>
      </w:tr>
    </w:tbl>
    <w:p w14:paraId="1B01F75F" w14:textId="77777777" w:rsidR="00607B78" w:rsidRPr="009C2953" w:rsidRDefault="00607B78" w:rsidP="00607B78">
      <w:pPr>
        <w:pStyle w:val="Normal-pool"/>
      </w:pPr>
    </w:p>
    <w:p w14:paraId="357BAE96" w14:textId="77777777" w:rsidR="00607B78" w:rsidRPr="009C2953" w:rsidRDefault="00607B78" w:rsidP="00607B78">
      <w:pPr>
        <w:tabs>
          <w:tab w:val="clear" w:pos="1247"/>
          <w:tab w:val="clear" w:pos="1814"/>
          <w:tab w:val="clear" w:pos="2381"/>
          <w:tab w:val="clear" w:pos="2948"/>
          <w:tab w:val="clear" w:pos="3515"/>
        </w:tabs>
        <w:rPr>
          <w:lang w:val="fr-FR"/>
        </w:rPr>
      </w:pPr>
      <w:r w:rsidRPr="009C2953">
        <w:rPr>
          <w:lang w:val="fr-FR"/>
        </w:rPr>
        <w:br w:type="page"/>
      </w:r>
    </w:p>
    <w:p w14:paraId="64E5775F" w14:textId="2850FC34" w:rsidR="00607B78" w:rsidRPr="009C2953" w:rsidRDefault="00607B78" w:rsidP="00607B78">
      <w:pPr>
        <w:pStyle w:val="Titletable"/>
      </w:pPr>
      <w:r w:rsidRPr="009C2953">
        <w:rPr>
          <w:b w:val="0"/>
        </w:rPr>
        <w:lastRenderedPageBreak/>
        <w:t xml:space="preserve">Tableau 4 </w:t>
      </w:r>
      <w:r w:rsidRPr="009C2953">
        <w:rPr>
          <w:b w:val="0"/>
        </w:rPr>
        <w:br/>
      </w:r>
      <w:r w:rsidRPr="009C2953">
        <w:t>Exemples d</w:t>
      </w:r>
      <w:r w:rsidR="00EA2966" w:rsidRPr="009C2953">
        <w:t>’</w:t>
      </w:r>
      <w:r w:rsidRPr="009C2953">
        <w:t>activités stimulées par</w:t>
      </w:r>
      <w:r w:rsidR="00F34644" w:rsidRPr="009C2953">
        <w:t xml:space="preserve"> la </w:t>
      </w:r>
      <w:r w:rsidRPr="009C2953">
        <w:t>Plateforme intergouvernementale scientifique et politique sur</w:t>
      </w:r>
      <w:r w:rsidR="00F34644" w:rsidRPr="009C2953">
        <w:t xml:space="preserve"> la </w:t>
      </w:r>
      <w:r w:rsidRPr="009C2953">
        <w:t>biodiversité et</w:t>
      </w:r>
      <w:r w:rsidR="00F34644" w:rsidRPr="009C2953">
        <w:t xml:space="preserve"> les </w:t>
      </w:r>
      <w:r w:rsidRPr="009C2953">
        <w:t>services écosystémiques en 2022 et</w:t>
      </w:r>
      <w:r w:rsidR="003D028C" w:rsidRPr="009C2953">
        <w:t> </w:t>
      </w:r>
      <w:r w:rsidRPr="009C2953">
        <w:t>2023</w:t>
      </w:r>
    </w:p>
    <w:p w14:paraId="52217145" w14:textId="04DE05D4" w:rsidR="00607B78" w:rsidRPr="009C2953" w:rsidRDefault="00607B78" w:rsidP="00607B78">
      <w:pPr>
        <w:pStyle w:val="Titletable"/>
        <w:rPr>
          <w:b w:val="0"/>
          <w:bCs w:val="0"/>
          <w:sz w:val="18"/>
          <w:szCs w:val="18"/>
        </w:rPr>
      </w:pPr>
      <w:r w:rsidRPr="009C2953">
        <w:rPr>
          <w:b w:val="0"/>
          <w:sz w:val="18"/>
        </w:rPr>
        <w:t>(En millions de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00" w:firstRow="0" w:lastRow="0" w:firstColumn="0" w:lastColumn="0" w:noHBand="0" w:noVBand="1"/>
      </w:tblPr>
      <w:tblGrid>
        <w:gridCol w:w="2977"/>
        <w:gridCol w:w="2693"/>
        <w:gridCol w:w="7797"/>
        <w:gridCol w:w="962"/>
      </w:tblGrid>
      <w:tr w:rsidR="00607B78" w:rsidRPr="009C2953" w14:paraId="7D49B377" w14:textId="77777777" w:rsidTr="000D47E2">
        <w:trPr>
          <w:trHeight w:val="57"/>
          <w:tblHeader/>
          <w:jc w:val="right"/>
        </w:trPr>
        <w:tc>
          <w:tcPr>
            <w:tcW w:w="2977" w:type="dxa"/>
            <w:tcBorders>
              <w:top w:val="single" w:sz="4" w:space="0" w:color="000000"/>
              <w:left w:val="nil"/>
              <w:bottom w:val="single" w:sz="12" w:space="0" w:color="auto"/>
              <w:right w:val="nil"/>
            </w:tcBorders>
            <w:hideMark/>
          </w:tcPr>
          <w:p w14:paraId="68034446" w14:textId="24CF2497" w:rsidR="00607B78" w:rsidRPr="009C2953" w:rsidRDefault="00607B78" w:rsidP="00A068F8">
            <w:pPr>
              <w:pStyle w:val="Normal-pool"/>
              <w:spacing w:before="40" w:after="40"/>
              <w:rPr>
                <w:i/>
                <w:iCs/>
                <w:sz w:val="18"/>
                <w:szCs w:val="18"/>
              </w:rPr>
            </w:pPr>
            <w:r w:rsidRPr="009C2953">
              <w:rPr>
                <w:i/>
                <w:sz w:val="18"/>
              </w:rPr>
              <w:t>Gouvernement/Institution</w:t>
            </w:r>
            <w:r w:rsidR="002D7FC3" w:rsidRPr="009C2953">
              <w:rPr>
                <w:i/>
                <w:sz w:val="18"/>
              </w:rPr>
              <w:t xml:space="preserve"> </w:t>
            </w:r>
            <w:r w:rsidRPr="009C2953">
              <w:rPr>
                <w:i/>
                <w:sz w:val="18"/>
              </w:rPr>
              <w:t>assurant</w:t>
            </w:r>
            <w:r w:rsidR="002D7FC3" w:rsidRPr="009C2953">
              <w:rPr>
                <w:i/>
                <w:sz w:val="18"/>
              </w:rPr>
              <w:t> </w:t>
            </w:r>
            <w:r w:rsidR="00F34644" w:rsidRPr="009C2953">
              <w:rPr>
                <w:i/>
                <w:sz w:val="18"/>
              </w:rPr>
              <w:t>le </w:t>
            </w:r>
            <w:r w:rsidRPr="009C2953">
              <w:rPr>
                <w:i/>
                <w:sz w:val="18"/>
              </w:rPr>
              <w:t>financement</w:t>
            </w:r>
          </w:p>
        </w:tc>
        <w:tc>
          <w:tcPr>
            <w:tcW w:w="2693" w:type="dxa"/>
            <w:tcBorders>
              <w:top w:val="single" w:sz="4" w:space="0" w:color="000000"/>
              <w:left w:val="nil"/>
              <w:bottom w:val="single" w:sz="12" w:space="0" w:color="auto"/>
              <w:right w:val="nil"/>
            </w:tcBorders>
            <w:hideMark/>
          </w:tcPr>
          <w:p w14:paraId="605F13F5" w14:textId="77777777" w:rsidR="00607B78" w:rsidRPr="009C2953" w:rsidRDefault="00607B78" w:rsidP="00A068F8">
            <w:pPr>
              <w:pStyle w:val="Normal-pool"/>
              <w:spacing w:before="40" w:after="40"/>
              <w:rPr>
                <w:i/>
                <w:iCs/>
                <w:sz w:val="18"/>
                <w:szCs w:val="18"/>
              </w:rPr>
            </w:pPr>
            <w:r w:rsidRPr="009C2953">
              <w:rPr>
                <w:i/>
                <w:sz w:val="18"/>
              </w:rPr>
              <w:t>Responsable du projet</w:t>
            </w:r>
          </w:p>
        </w:tc>
        <w:tc>
          <w:tcPr>
            <w:tcW w:w="7797" w:type="dxa"/>
            <w:tcBorders>
              <w:top w:val="single" w:sz="4" w:space="0" w:color="000000"/>
              <w:left w:val="nil"/>
              <w:bottom w:val="single" w:sz="12" w:space="0" w:color="auto"/>
              <w:right w:val="nil"/>
            </w:tcBorders>
            <w:hideMark/>
          </w:tcPr>
          <w:p w14:paraId="3A8D98BD" w14:textId="77777777" w:rsidR="00607B78" w:rsidRPr="009C2953" w:rsidRDefault="00607B78" w:rsidP="00A068F8">
            <w:pPr>
              <w:pStyle w:val="Normal-pool"/>
              <w:spacing w:before="40" w:after="40"/>
              <w:rPr>
                <w:i/>
                <w:iCs/>
                <w:sz w:val="18"/>
                <w:szCs w:val="18"/>
              </w:rPr>
            </w:pPr>
            <w:r w:rsidRPr="009C2953">
              <w:rPr>
                <w:i/>
                <w:sz w:val="18"/>
              </w:rPr>
              <w:t>Activité</w:t>
            </w:r>
          </w:p>
        </w:tc>
        <w:tc>
          <w:tcPr>
            <w:tcW w:w="962" w:type="dxa"/>
            <w:tcBorders>
              <w:top w:val="single" w:sz="4" w:space="0" w:color="000000"/>
              <w:left w:val="nil"/>
              <w:bottom w:val="single" w:sz="12" w:space="0" w:color="auto"/>
              <w:right w:val="nil"/>
            </w:tcBorders>
            <w:hideMark/>
          </w:tcPr>
          <w:p w14:paraId="6529525D" w14:textId="77777777" w:rsidR="00607B78" w:rsidRPr="009C2953" w:rsidRDefault="00607B78" w:rsidP="00A068F8">
            <w:pPr>
              <w:pStyle w:val="Normal-pool"/>
              <w:spacing w:before="40" w:after="40"/>
              <w:rPr>
                <w:i/>
                <w:iCs/>
                <w:sz w:val="18"/>
                <w:szCs w:val="18"/>
              </w:rPr>
            </w:pPr>
            <w:r w:rsidRPr="009C2953">
              <w:rPr>
                <w:i/>
                <w:sz w:val="18"/>
              </w:rPr>
              <w:t xml:space="preserve">Valeur estimative </w:t>
            </w:r>
          </w:p>
        </w:tc>
      </w:tr>
      <w:tr w:rsidR="00607B78" w:rsidRPr="009C2953" w14:paraId="5DDC611B" w14:textId="77777777" w:rsidTr="0026585C">
        <w:trPr>
          <w:trHeight w:val="57"/>
          <w:jc w:val="right"/>
        </w:trPr>
        <w:tc>
          <w:tcPr>
            <w:tcW w:w="14429" w:type="dxa"/>
            <w:gridSpan w:val="4"/>
            <w:tcBorders>
              <w:top w:val="single" w:sz="12" w:space="0" w:color="auto"/>
              <w:left w:val="nil"/>
              <w:bottom w:val="single" w:sz="4" w:space="0" w:color="auto"/>
              <w:right w:val="nil"/>
            </w:tcBorders>
            <w:hideMark/>
          </w:tcPr>
          <w:p w14:paraId="0F76DBD6" w14:textId="77777777" w:rsidR="00607B78" w:rsidRPr="009C2953" w:rsidRDefault="00607B78" w:rsidP="00A068F8">
            <w:pPr>
              <w:pStyle w:val="Normal-pool"/>
              <w:spacing w:before="40" w:after="40"/>
              <w:rPr>
                <w:sz w:val="18"/>
                <w:szCs w:val="18"/>
              </w:rPr>
            </w:pPr>
            <w:r w:rsidRPr="009C2953">
              <w:rPr>
                <w:b/>
                <w:sz w:val="18"/>
              </w:rPr>
              <w:t xml:space="preserve">Production de connaissances </w:t>
            </w:r>
          </w:p>
        </w:tc>
      </w:tr>
      <w:tr w:rsidR="0026585C" w:rsidRPr="009C2953" w14:paraId="0289A75E" w14:textId="77777777" w:rsidTr="000D47E2">
        <w:trPr>
          <w:trHeight w:val="57"/>
          <w:jc w:val="right"/>
        </w:trPr>
        <w:tc>
          <w:tcPr>
            <w:tcW w:w="2977" w:type="dxa"/>
            <w:tcBorders>
              <w:top w:val="nil"/>
              <w:left w:val="nil"/>
              <w:bottom w:val="nil"/>
              <w:right w:val="nil"/>
            </w:tcBorders>
          </w:tcPr>
          <w:p w14:paraId="30DD9DC3" w14:textId="2BF6815B" w:rsidR="0026585C" w:rsidRPr="009C2953" w:rsidRDefault="0026585C" w:rsidP="0026585C">
            <w:pPr>
              <w:pStyle w:val="Normal-pool"/>
              <w:spacing w:before="40" w:after="40"/>
              <w:rPr>
                <w:sz w:val="18"/>
              </w:rPr>
            </w:pPr>
            <w:r w:rsidRPr="009C2953">
              <w:rPr>
                <w:sz w:val="18"/>
              </w:rPr>
              <w:t>Belmont Forum</w:t>
            </w:r>
          </w:p>
        </w:tc>
        <w:tc>
          <w:tcPr>
            <w:tcW w:w="2693" w:type="dxa"/>
            <w:tcBorders>
              <w:top w:val="nil"/>
              <w:left w:val="nil"/>
              <w:bottom w:val="nil"/>
              <w:right w:val="nil"/>
            </w:tcBorders>
          </w:tcPr>
          <w:p w14:paraId="40FA0A72" w14:textId="2ACD5A0D" w:rsidR="0026585C" w:rsidRPr="009C2953" w:rsidRDefault="0026585C" w:rsidP="0026585C">
            <w:pPr>
              <w:pStyle w:val="Normal-pool"/>
              <w:spacing w:before="40" w:after="40"/>
              <w:rPr>
                <w:sz w:val="18"/>
              </w:rPr>
            </w:pPr>
            <w:r w:rsidRPr="009C2953">
              <w:rPr>
                <w:sz w:val="18"/>
              </w:rPr>
              <w:t>Belmont Forum</w:t>
            </w:r>
          </w:p>
        </w:tc>
        <w:tc>
          <w:tcPr>
            <w:tcW w:w="7797" w:type="dxa"/>
            <w:tcBorders>
              <w:top w:val="nil"/>
              <w:left w:val="nil"/>
              <w:bottom w:val="nil"/>
              <w:right w:val="nil"/>
            </w:tcBorders>
          </w:tcPr>
          <w:p w14:paraId="536F91A0" w14:textId="50535CF5" w:rsidR="0026585C" w:rsidRPr="009C2953" w:rsidRDefault="0026585C" w:rsidP="0026585C">
            <w:pPr>
              <w:pStyle w:val="Normal-pool"/>
              <w:spacing w:before="40" w:after="40"/>
              <w:rPr>
                <w:sz w:val="18"/>
              </w:rPr>
            </w:pPr>
            <w:r w:rsidRPr="009C2953">
              <w:rPr>
                <w:sz w:val="18"/>
              </w:rPr>
              <w:t xml:space="preserve">2022 Collaborative </w:t>
            </w:r>
            <w:proofErr w:type="spellStart"/>
            <w:r w:rsidRPr="009C2953">
              <w:rPr>
                <w:sz w:val="18"/>
              </w:rPr>
              <w:t>Research</w:t>
            </w:r>
            <w:proofErr w:type="spellEnd"/>
            <w:r w:rsidRPr="009C2953">
              <w:rPr>
                <w:sz w:val="18"/>
              </w:rPr>
              <w:t xml:space="preserve"> Action on </w:t>
            </w:r>
            <w:proofErr w:type="spellStart"/>
            <w:r w:rsidRPr="009C2953">
              <w:rPr>
                <w:sz w:val="18"/>
              </w:rPr>
              <w:t>Climate</w:t>
            </w:r>
            <w:proofErr w:type="spellEnd"/>
            <w:r w:rsidRPr="009C2953">
              <w:rPr>
                <w:sz w:val="18"/>
              </w:rPr>
              <w:t xml:space="preserve">, </w:t>
            </w:r>
            <w:proofErr w:type="spellStart"/>
            <w:r w:rsidRPr="009C2953">
              <w:rPr>
                <w:sz w:val="18"/>
              </w:rPr>
              <w:t>Environment</w:t>
            </w:r>
            <w:proofErr w:type="spellEnd"/>
            <w:r w:rsidRPr="009C2953">
              <w:rPr>
                <w:sz w:val="18"/>
              </w:rPr>
              <w:t xml:space="preserve">, and </w:t>
            </w:r>
            <w:proofErr w:type="spellStart"/>
            <w:r w:rsidRPr="009C2953">
              <w:rPr>
                <w:sz w:val="18"/>
              </w:rPr>
              <w:t>Health</w:t>
            </w:r>
            <w:proofErr w:type="spellEnd"/>
            <w:r w:rsidRPr="009C2953">
              <w:rPr>
                <w:sz w:val="18"/>
              </w:rPr>
              <w:t xml:space="preserve"> II (</w:t>
            </w:r>
            <w:proofErr w:type="spellStart"/>
            <w:r w:rsidRPr="009C2953">
              <w:rPr>
                <w:sz w:val="18"/>
              </w:rPr>
              <w:t>addressing</w:t>
            </w:r>
            <w:proofErr w:type="spellEnd"/>
            <w:r w:rsidRPr="009C2953">
              <w:rPr>
                <w:sz w:val="18"/>
              </w:rPr>
              <w:t xml:space="preserve"> gaps in the IPBES Global </w:t>
            </w:r>
            <w:proofErr w:type="spellStart"/>
            <w:r w:rsidRPr="009C2953">
              <w:rPr>
                <w:sz w:val="18"/>
              </w:rPr>
              <w:t>Assessment</w:t>
            </w:r>
            <w:proofErr w:type="spellEnd"/>
            <w:r w:rsidRPr="009C2953">
              <w:rPr>
                <w:sz w:val="18"/>
              </w:rPr>
              <w:t xml:space="preserve"> of </w:t>
            </w:r>
            <w:proofErr w:type="spellStart"/>
            <w:r w:rsidRPr="009C2953">
              <w:rPr>
                <w:sz w:val="18"/>
              </w:rPr>
              <w:t>Biodiversity</w:t>
            </w:r>
            <w:proofErr w:type="spellEnd"/>
            <w:r w:rsidRPr="009C2953">
              <w:rPr>
                <w:sz w:val="18"/>
              </w:rPr>
              <w:t xml:space="preserve"> and </w:t>
            </w:r>
            <w:proofErr w:type="spellStart"/>
            <w:r w:rsidRPr="009C2953">
              <w:rPr>
                <w:sz w:val="18"/>
              </w:rPr>
              <w:t>Ecosystem</w:t>
            </w:r>
            <w:proofErr w:type="spellEnd"/>
            <w:r w:rsidRPr="009C2953">
              <w:rPr>
                <w:sz w:val="18"/>
              </w:rPr>
              <w:t xml:space="preserve"> Services and the IPBES Workshop Report on </w:t>
            </w:r>
            <w:proofErr w:type="spellStart"/>
            <w:r w:rsidRPr="009C2953">
              <w:rPr>
                <w:sz w:val="18"/>
              </w:rPr>
              <w:t>Biodiversity</w:t>
            </w:r>
            <w:proofErr w:type="spellEnd"/>
            <w:r w:rsidRPr="009C2953">
              <w:rPr>
                <w:sz w:val="18"/>
              </w:rPr>
              <w:t xml:space="preserve"> and </w:t>
            </w:r>
            <w:proofErr w:type="spellStart"/>
            <w:r w:rsidRPr="009C2953">
              <w:rPr>
                <w:sz w:val="18"/>
              </w:rPr>
              <w:t>Pandemics</w:t>
            </w:r>
            <w:proofErr w:type="spellEnd"/>
            <w:r w:rsidRPr="009C2953">
              <w:rPr>
                <w:sz w:val="18"/>
              </w:rPr>
              <w:t xml:space="preserve">, and of relevance to the IPBES nexus </w:t>
            </w:r>
            <w:proofErr w:type="spellStart"/>
            <w:r w:rsidRPr="009C2953">
              <w:rPr>
                <w:sz w:val="18"/>
              </w:rPr>
              <w:t>assessment</w:t>
            </w:r>
            <w:proofErr w:type="spellEnd"/>
            <w:r w:rsidRPr="009C2953">
              <w:rPr>
                <w:sz w:val="18"/>
              </w:rPr>
              <w:t>) (« Activités de recherche participative de 2022 sur le climat, l</w:t>
            </w:r>
            <w:r w:rsidR="00EA2966" w:rsidRPr="009C2953">
              <w:rPr>
                <w:sz w:val="18"/>
              </w:rPr>
              <w:t>’</w:t>
            </w:r>
            <w:r w:rsidRPr="009C2953">
              <w:rPr>
                <w:sz w:val="18"/>
              </w:rPr>
              <w:t>environnement et la santé II [combler les lacunes de l</w:t>
            </w:r>
            <w:r w:rsidR="00EA2966" w:rsidRPr="009C2953">
              <w:rPr>
                <w:sz w:val="18"/>
              </w:rPr>
              <w:t>’</w:t>
            </w:r>
            <w:r w:rsidRPr="009C2953">
              <w:rPr>
                <w:sz w:val="18"/>
              </w:rPr>
              <w:t>évaluation mondiale de la biodiversité et des services écosystémiques et du rapport de l</w:t>
            </w:r>
            <w:r w:rsidR="00EA2966" w:rsidRPr="009C2953">
              <w:rPr>
                <w:sz w:val="18"/>
              </w:rPr>
              <w:t>’</w:t>
            </w:r>
            <w:r w:rsidRPr="009C2953">
              <w:rPr>
                <w:sz w:val="18"/>
              </w:rPr>
              <w:t>atelier de l</w:t>
            </w:r>
            <w:r w:rsidR="00EA2966" w:rsidRPr="009C2953">
              <w:rPr>
                <w:sz w:val="18"/>
              </w:rPr>
              <w:t>’</w:t>
            </w:r>
            <w:r w:rsidRPr="009C2953">
              <w:rPr>
                <w:sz w:val="18"/>
              </w:rPr>
              <w:t>IPBES sur la biodiversité et les pandémies, et pertinentes pour l</w:t>
            </w:r>
            <w:r w:rsidR="00EA2966" w:rsidRPr="009C2953">
              <w:rPr>
                <w:sz w:val="18"/>
              </w:rPr>
              <w:t>’</w:t>
            </w:r>
            <w:r w:rsidRPr="009C2953">
              <w:rPr>
                <w:sz w:val="18"/>
              </w:rPr>
              <w:t>évaluation des interdépendances de l</w:t>
            </w:r>
            <w:r w:rsidR="00EA2966" w:rsidRPr="009C2953">
              <w:rPr>
                <w:sz w:val="18"/>
              </w:rPr>
              <w:t>’</w:t>
            </w:r>
            <w:r w:rsidRPr="009C2953">
              <w:rPr>
                <w:sz w:val="18"/>
              </w:rPr>
              <w:t>IPBES] »)</w:t>
            </w:r>
          </w:p>
        </w:tc>
        <w:tc>
          <w:tcPr>
            <w:tcW w:w="962" w:type="dxa"/>
            <w:tcBorders>
              <w:top w:val="nil"/>
              <w:left w:val="nil"/>
              <w:bottom w:val="nil"/>
              <w:right w:val="nil"/>
            </w:tcBorders>
            <w:vAlign w:val="bottom"/>
          </w:tcPr>
          <w:p w14:paraId="7A329BA3" w14:textId="7995C43D" w:rsidR="0026585C" w:rsidRPr="009C2953" w:rsidRDefault="0026585C" w:rsidP="0026585C">
            <w:pPr>
              <w:pStyle w:val="Normal-pool"/>
              <w:spacing w:before="40" w:after="40"/>
              <w:jc w:val="right"/>
              <w:rPr>
                <w:sz w:val="18"/>
              </w:rPr>
            </w:pPr>
            <w:r w:rsidRPr="009C2953">
              <w:rPr>
                <w:sz w:val="18"/>
              </w:rPr>
              <w:t>13,8</w:t>
            </w:r>
          </w:p>
        </w:tc>
      </w:tr>
      <w:tr w:rsidR="0026585C" w:rsidRPr="009C2953" w14:paraId="0F0389D2" w14:textId="77777777" w:rsidTr="000D47E2">
        <w:trPr>
          <w:trHeight w:val="57"/>
          <w:jc w:val="right"/>
        </w:trPr>
        <w:tc>
          <w:tcPr>
            <w:tcW w:w="2977" w:type="dxa"/>
            <w:tcBorders>
              <w:top w:val="nil"/>
              <w:left w:val="nil"/>
              <w:bottom w:val="nil"/>
              <w:right w:val="nil"/>
            </w:tcBorders>
          </w:tcPr>
          <w:p w14:paraId="1251E5F9" w14:textId="4299069E" w:rsidR="0026585C" w:rsidRPr="009C2953" w:rsidRDefault="0026585C" w:rsidP="0026585C">
            <w:pPr>
              <w:pStyle w:val="Normal-pool"/>
              <w:spacing w:before="40" w:after="40"/>
              <w:rPr>
                <w:sz w:val="18"/>
              </w:rPr>
            </w:pPr>
            <w:r w:rsidRPr="009C2953">
              <w:rPr>
                <w:sz w:val="18"/>
              </w:rPr>
              <w:t>Belmont Forum</w:t>
            </w:r>
          </w:p>
        </w:tc>
        <w:tc>
          <w:tcPr>
            <w:tcW w:w="2693" w:type="dxa"/>
            <w:tcBorders>
              <w:top w:val="nil"/>
              <w:left w:val="nil"/>
              <w:bottom w:val="nil"/>
              <w:right w:val="nil"/>
            </w:tcBorders>
          </w:tcPr>
          <w:p w14:paraId="6AF042D4" w14:textId="039FAC7A" w:rsidR="0026585C" w:rsidRPr="009C2953" w:rsidRDefault="0026585C" w:rsidP="0026585C">
            <w:pPr>
              <w:pStyle w:val="Normal-pool"/>
              <w:spacing w:before="40" w:after="40"/>
              <w:rPr>
                <w:sz w:val="18"/>
              </w:rPr>
            </w:pPr>
            <w:r w:rsidRPr="009C2953">
              <w:rPr>
                <w:sz w:val="18"/>
              </w:rPr>
              <w:t>Belmont Forum</w:t>
            </w:r>
          </w:p>
        </w:tc>
        <w:tc>
          <w:tcPr>
            <w:tcW w:w="7797" w:type="dxa"/>
            <w:tcBorders>
              <w:top w:val="nil"/>
              <w:left w:val="nil"/>
              <w:bottom w:val="nil"/>
              <w:right w:val="nil"/>
            </w:tcBorders>
          </w:tcPr>
          <w:p w14:paraId="1E40BE82" w14:textId="3BE2D6DE" w:rsidR="0026585C" w:rsidRPr="009C2953" w:rsidRDefault="0026585C" w:rsidP="0026585C">
            <w:pPr>
              <w:pStyle w:val="Normal-pool"/>
              <w:spacing w:before="40" w:after="40"/>
              <w:rPr>
                <w:sz w:val="18"/>
              </w:rPr>
            </w:pPr>
            <w:r w:rsidRPr="009C2953">
              <w:rPr>
                <w:sz w:val="18"/>
              </w:rPr>
              <w:t xml:space="preserve">2022 Collaborative </w:t>
            </w:r>
            <w:proofErr w:type="spellStart"/>
            <w:r w:rsidRPr="009C2953">
              <w:rPr>
                <w:sz w:val="18"/>
              </w:rPr>
              <w:t>Research</w:t>
            </w:r>
            <w:proofErr w:type="spellEnd"/>
            <w:r w:rsidRPr="009C2953">
              <w:rPr>
                <w:sz w:val="18"/>
              </w:rPr>
              <w:t xml:space="preserve"> Action on </w:t>
            </w:r>
            <w:proofErr w:type="spellStart"/>
            <w:r w:rsidRPr="009C2953">
              <w:rPr>
                <w:sz w:val="18"/>
              </w:rPr>
              <w:t>Systems</w:t>
            </w:r>
            <w:proofErr w:type="spellEnd"/>
            <w:r w:rsidRPr="009C2953">
              <w:rPr>
                <w:sz w:val="18"/>
              </w:rPr>
              <w:t xml:space="preserve"> of </w:t>
            </w:r>
            <w:proofErr w:type="spellStart"/>
            <w:r w:rsidRPr="009C2953">
              <w:rPr>
                <w:sz w:val="18"/>
              </w:rPr>
              <w:t>Sustainable</w:t>
            </w:r>
            <w:proofErr w:type="spellEnd"/>
            <w:r w:rsidRPr="009C2953">
              <w:rPr>
                <w:sz w:val="18"/>
              </w:rPr>
              <w:t xml:space="preserve"> </w:t>
            </w:r>
            <w:proofErr w:type="spellStart"/>
            <w:r w:rsidRPr="009C2953">
              <w:rPr>
                <w:sz w:val="18"/>
              </w:rPr>
              <w:t>Consumption</w:t>
            </w:r>
            <w:proofErr w:type="spellEnd"/>
            <w:r w:rsidRPr="009C2953">
              <w:rPr>
                <w:sz w:val="18"/>
              </w:rPr>
              <w:t xml:space="preserve"> and Production (</w:t>
            </w:r>
            <w:proofErr w:type="spellStart"/>
            <w:r w:rsidRPr="009C2953">
              <w:rPr>
                <w:sz w:val="18"/>
              </w:rPr>
              <w:t>addressing</w:t>
            </w:r>
            <w:proofErr w:type="spellEnd"/>
            <w:r w:rsidRPr="009C2953">
              <w:rPr>
                <w:sz w:val="18"/>
              </w:rPr>
              <w:t xml:space="preserve"> gaps in the IPBES Global </w:t>
            </w:r>
            <w:proofErr w:type="spellStart"/>
            <w:r w:rsidRPr="009C2953">
              <w:rPr>
                <w:sz w:val="18"/>
              </w:rPr>
              <w:t>Assessment</w:t>
            </w:r>
            <w:proofErr w:type="spellEnd"/>
            <w:r w:rsidRPr="009C2953">
              <w:rPr>
                <w:sz w:val="18"/>
              </w:rPr>
              <w:t xml:space="preserve"> of </w:t>
            </w:r>
            <w:proofErr w:type="spellStart"/>
            <w:r w:rsidRPr="009C2953">
              <w:rPr>
                <w:sz w:val="18"/>
              </w:rPr>
              <w:t>Biodiversity</w:t>
            </w:r>
            <w:proofErr w:type="spellEnd"/>
            <w:r w:rsidRPr="009C2953">
              <w:rPr>
                <w:sz w:val="18"/>
              </w:rPr>
              <w:t xml:space="preserve"> and </w:t>
            </w:r>
            <w:proofErr w:type="spellStart"/>
            <w:r w:rsidRPr="009C2953">
              <w:rPr>
                <w:sz w:val="18"/>
              </w:rPr>
              <w:t>Ecosystem</w:t>
            </w:r>
            <w:proofErr w:type="spellEnd"/>
            <w:r w:rsidRPr="009C2953">
              <w:rPr>
                <w:sz w:val="18"/>
              </w:rPr>
              <w:t xml:space="preserve"> Services and the IPBES </w:t>
            </w:r>
            <w:proofErr w:type="spellStart"/>
            <w:r w:rsidRPr="009C2953">
              <w:rPr>
                <w:sz w:val="18"/>
              </w:rPr>
              <w:t>Thematic</w:t>
            </w:r>
            <w:proofErr w:type="spellEnd"/>
            <w:r w:rsidRPr="009C2953">
              <w:rPr>
                <w:sz w:val="18"/>
              </w:rPr>
              <w:t xml:space="preserve"> </w:t>
            </w:r>
            <w:proofErr w:type="spellStart"/>
            <w:r w:rsidRPr="009C2953">
              <w:rPr>
                <w:sz w:val="18"/>
              </w:rPr>
              <w:t>Assessment</w:t>
            </w:r>
            <w:proofErr w:type="spellEnd"/>
            <w:r w:rsidRPr="009C2953">
              <w:rPr>
                <w:sz w:val="18"/>
              </w:rPr>
              <w:t xml:space="preserve"> of Diverse Values and Valuation of Nature) (« Activités de recherche collaborative de 2022 sur les systèmes de consommation et de production durables [combler les lacunes de l</w:t>
            </w:r>
            <w:r w:rsidR="00EA2966" w:rsidRPr="009C2953">
              <w:rPr>
                <w:sz w:val="18"/>
              </w:rPr>
              <w:t>’</w:t>
            </w:r>
            <w:r w:rsidRPr="009C2953">
              <w:rPr>
                <w:sz w:val="18"/>
              </w:rPr>
              <w:t>évaluation mondiale de la biodiversité et des services écosystémiques de l</w:t>
            </w:r>
            <w:r w:rsidR="00EA2966" w:rsidRPr="009C2953">
              <w:rPr>
                <w:sz w:val="18"/>
              </w:rPr>
              <w:t>’</w:t>
            </w:r>
            <w:r w:rsidRPr="009C2953">
              <w:rPr>
                <w:sz w:val="18"/>
              </w:rPr>
              <w:t>IPBES et de l</w:t>
            </w:r>
            <w:r w:rsidR="00EA2966" w:rsidRPr="009C2953">
              <w:rPr>
                <w:sz w:val="18"/>
              </w:rPr>
              <w:t>’</w:t>
            </w:r>
            <w:r w:rsidRPr="009C2953">
              <w:rPr>
                <w:sz w:val="18"/>
              </w:rPr>
              <w:t>Évaluation méthodologique de l</w:t>
            </w:r>
            <w:r w:rsidR="00EA2966" w:rsidRPr="009C2953">
              <w:rPr>
                <w:sz w:val="18"/>
              </w:rPr>
              <w:t>’</w:t>
            </w:r>
            <w:r w:rsidRPr="009C2953">
              <w:rPr>
                <w:sz w:val="18"/>
              </w:rPr>
              <w:t>IPBES des diverses valeurs de la nature et de leur estimation] »)</w:t>
            </w:r>
          </w:p>
        </w:tc>
        <w:tc>
          <w:tcPr>
            <w:tcW w:w="962" w:type="dxa"/>
            <w:tcBorders>
              <w:top w:val="nil"/>
              <w:left w:val="nil"/>
              <w:bottom w:val="nil"/>
              <w:right w:val="nil"/>
            </w:tcBorders>
            <w:vAlign w:val="bottom"/>
          </w:tcPr>
          <w:p w14:paraId="34D94A48" w14:textId="1A5C7D90" w:rsidR="0026585C" w:rsidRPr="009C2953" w:rsidRDefault="0026585C" w:rsidP="0026585C">
            <w:pPr>
              <w:pStyle w:val="Normal-pool"/>
              <w:spacing w:before="40" w:after="40"/>
              <w:jc w:val="right"/>
              <w:rPr>
                <w:sz w:val="18"/>
              </w:rPr>
            </w:pPr>
            <w:r w:rsidRPr="009C2953">
              <w:rPr>
                <w:sz w:val="18"/>
              </w:rPr>
              <w:t>9,7</w:t>
            </w:r>
          </w:p>
        </w:tc>
      </w:tr>
      <w:tr w:rsidR="0026585C" w:rsidRPr="009C2953" w14:paraId="1D5099D5" w14:textId="77777777" w:rsidTr="000D47E2">
        <w:trPr>
          <w:trHeight w:val="57"/>
          <w:jc w:val="right"/>
        </w:trPr>
        <w:tc>
          <w:tcPr>
            <w:tcW w:w="2977" w:type="dxa"/>
            <w:tcBorders>
              <w:top w:val="nil"/>
              <w:left w:val="nil"/>
              <w:bottom w:val="nil"/>
              <w:right w:val="nil"/>
            </w:tcBorders>
          </w:tcPr>
          <w:p w14:paraId="5FD92159" w14:textId="63FEF19E" w:rsidR="0026585C" w:rsidRPr="009C2953" w:rsidRDefault="0026585C" w:rsidP="0026585C">
            <w:pPr>
              <w:pStyle w:val="Normal-pool"/>
              <w:spacing w:before="40" w:after="40"/>
              <w:rPr>
                <w:sz w:val="18"/>
              </w:rPr>
            </w:pPr>
            <w:r w:rsidRPr="009C2953">
              <w:rPr>
                <w:sz w:val="18"/>
              </w:rPr>
              <w:t>Belmont Forum</w:t>
            </w:r>
          </w:p>
        </w:tc>
        <w:tc>
          <w:tcPr>
            <w:tcW w:w="2693" w:type="dxa"/>
            <w:tcBorders>
              <w:top w:val="nil"/>
              <w:left w:val="nil"/>
              <w:bottom w:val="nil"/>
              <w:right w:val="nil"/>
            </w:tcBorders>
          </w:tcPr>
          <w:p w14:paraId="27E131BE" w14:textId="468826F8" w:rsidR="0026585C" w:rsidRPr="009C2953" w:rsidRDefault="0026585C" w:rsidP="0026585C">
            <w:pPr>
              <w:pStyle w:val="Normal-pool"/>
              <w:spacing w:before="40" w:after="40"/>
              <w:rPr>
                <w:sz w:val="18"/>
              </w:rPr>
            </w:pPr>
            <w:r w:rsidRPr="009C2953">
              <w:rPr>
                <w:sz w:val="18"/>
              </w:rPr>
              <w:t>Belmont Forum</w:t>
            </w:r>
          </w:p>
        </w:tc>
        <w:tc>
          <w:tcPr>
            <w:tcW w:w="7797" w:type="dxa"/>
            <w:tcBorders>
              <w:top w:val="nil"/>
              <w:left w:val="nil"/>
              <w:bottom w:val="nil"/>
              <w:right w:val="nil"/>
            </w:tcBorders>
          </w:tcPr>
          <w:p w14:paraId="053E1AC5" w14:textId="5B4320AF" w:rsidR="0026585C" w:rsidRPr="009C2953" w:rsidRDefault="0026585C" w:rsidP="0026585C">
            <w:pPr>
              <w:pStyle w:val="Normal-pool"/>
              <w:spacing w:before="40" w:after="40"/>
              <w:rPr>
                <w:sz w:val="18"/>
              </w:rPr>
            </w:pPr>
            <w:r w:rsidRPr="009C2953">
              <w:rPr>
                <w:sz w:val="18"/>
              </w:rPr>
              <w:t xml:space="preserve">2022 Collaborative </w:t>
            </w:r>
            <w:proofErr w:type="spellStart"/>
            <w:r w:rsidRPr="009C2953">
              <w:rPr>
                <w:sz w:val="18"/>
              </w:rPr>
              <w:t>Research</w:t>
            </w:r>
            <w:proofErr w:type="spellEnd"/>
            <w:r w:rsidRPr="009C2953">
              <w:rPr>
                <w:sz w:val="18"/>
              </w:rPr>
              <w:t xml:space="preserve"> Action on Integrated </w:t>
            </w:r>
            <w:proofErr w:type="spellStart"/>
            <w:r w:rsidRPr="009C2953">
              <w:rPr>
                <w:sz w:val="18"/>
              </w:rPr>
              <w:t>Approaches</w:t>
            </w:r>
            <w:proofErr w:type="spellEnd"/>
            <w:r w:rsidRPr="009C2953">
              <w:rPr>
                <w:sz w:val="18"/>
              </w:rPr>
              <w:t xml:space="preserve"> to Human Migration/</w:t>
            </w:r>
            <w:proofErr w:type="spellStart"/>
            <w:r w:rsidRPr="009C2953">
              <w:rPr>
                <w:sz w:val="18"/>
              </w:rPr>
              <w:t>Mobility</w:t>
            </w:r>
            <w:proofErr w:type="spellEnd"/>
            <w:r w:rsidRPr="009C2953">
              <w:rPr>
                <w:sz w:val="18"/>
              </w:rPr>
              <w:t xml:space="preserve"> in an </w:t>
            </w:r>
            <w:proofErr w:type="spellStart"/>
            <w:r w:rsidRPr="009C2953">
              <w:rPr>
                <w:sz w:val="18"/>
              </w:rPr>
              <w:t>Era</w:t>
            </w:r>
            <w:proofErr w:type="spellEnd"/>
            <w:r w:rsidRPr="009C2953">
              <w:rPr>
                <w:sz w:val="18"/>
              </w:rPr>
              <w:t xml:space="preserve"> of Rapid Global Change (</w:t>
            </w:r>
            <w:proofErr w:type="spellStart"/>
            <w:r w:rsidRPr="009C2953">
              <w:rPr>
                <w:sz w:val="18"/>
              </w:rPr>
              <w:t>addressing</w:t>
            </w:r>
            <w:proofErr w:type="spellEnd"/>
            <w:r w:rsidRPr="009C2953">
              <w:rPr>
                <w:sz w:val="18"/>
              </w:rPr>
              <w:t xml:space="preserve"> gaps in the IPBES Global </w:t>
            </w:r>
            <w:proofErr w:type="spellStart"/>
            <w:r w:rsidRPr="009C2953">
              <w:rPr>
                <w:sz w:val="18"/>
              </w:rPr>
              <w:t>Assessment</w:t>
            </w:r>
            <w:proofErr w:type="spellEnd"/>
            <w:r w:rsidRPr="009C2953">
              <w:rPr>
                <w:sz w:val="18"/>
              </w:rPr>
              <w:t xml:space="preserve"> of </w:t>
            </w:r>
            <w:proofErr w:type="spellStart"/>
            <w:r w:rsidRPr="009C2953">
              <w:rPr>
                <w:sz w:val="18"/>
              </w:rPr>
              <w:t>Biodiversity</w:t>
            </w:r>
            <w:proofErr w:type="spellEnd"/>
            <w:r w:rsidRPr="009C2953">
              <w:rPr>
                <w:sz w:val="18"/>
              </w:rPr>
              <w:t xml:space="preserve"> and </w:t>
            </w:r>
            <w:proofErr w:type="spellStart"/>
            <w:r w:rsidRPr="009C2953">
              <w:rPr>
                <w:sz w:val="18"/>
              </w:rPr>
              <w:t>Ecosystem</w:t>
            </w:r>
            <w:proofErr w:type="spellEnd"/>
            <w:r w:rsidRPr="009C2953">
              <w:rPr>
                <w:sz w:val="18"/>
              </w:rPr>
              <w:t xml:space="preserve"> Services) (« Activités de recherche collaborative de 2022 sur les approches intégrées des migrations humaines/de la mobilité humaine à une ère de changement rapide à l</w:t>
            </w:r>
            <w:r w:rsidR="00EA2966" w:rsidRPr="009C2953">
              <w:rPr>
                <w:sz w:val="18"/>
              </w:rPr>
              <w:t>’</w:t>
            </w:r>
            <w:r w:rsidRPr="009C2953">
              <w:rPr>
                <w:sz w:val="18"/>
              </w:rPr>
              <w:t>échelle planétaire [combler les lacunes de l</w:t>
            </w:r>
            <w:r w:rsidR="00EA2966" w:rsidRPr="009C2953">
              <w:rPr>
                <w:sz w:val="18"/>
              </w:rPr>
              <w:t>’</w:t>
            </w:r>
            <w:r w:rsidRPr="009C2953">
              <w:rPr>
                <w:sz w:val="18"/>
              </w:rPr>
              <w:t>évaluation mondiale de la biodiversité et des services écosystémiques de l</w:t>
            </w:r>
            <w:r w:rsidR="00EA2966" w:rsidRPr="009C2953">
              <w:rPr>
                <w:sz w:val="18"/>
              </w:rPr>
              <w:t>’</w:t>
            </w:r>
            <w:r w:rsidRPr="009C2953">
              <w:rPr>
                <w:sz w:val="18"/>
              </w:rPr>
              <w:t>IPBES] »)</w:t>
            </w:r>
          </w:p>
        </w:tc>
        <w:tc>
          <w:tcPr>
            <w:tcW w:w="962" w:type="dxa"/>
            <w:tcBorders>
              <w:top w:val="nil"/>
              <w:left w:val="nil"/>
              <w:bottom w:val="nil"/>
              <w:right w:val="nil"/>
            </w:tcBorders>
            <w:vAlign w:val="bottom"/>
          </w:tcPr>
          <w:p w14:paraId="3A95BBC0" w14:textId="28E3E270" w:rsidR="0026585C" w:rsidRPr="009C2953" w:rsidRDefault="0026585C" w:rsidP="0026585C">
            <w:pPr>
              <w:pStyle w:val="Normal-pool"/>
              <w:spacing w:before="40" w:after="40"/>
              <w:jc w:val="right"/>
              <w:rPr>
                <w:sz w:val="18"/>
              </w:rPr>
            </w:pPr>
            <w:r w:rsidRPr="009C2953">
              <w:rPr>
                <w:sz w:val="18"/>
              </w:rPr>
              <w:t>8,8</w:t>
            </w:r>
          </w:p>
        </w:tc>
      </w:tr>
      <w:tr w:rsidR="0026585C" w:rsidRPr="009C2953" w14:paraId="68BD9C16" w14:textId="77777777" w:rsidTr="000D47E2">
        <w:trPr>
          <w:trHeight w:val="57"/>
          <w:jc w:val="right"/>
        </w:trPr>
        <w:tc>
          <w:tcPr>
            <w:tcW w:w="2977" w:type="dxa"/>
            <w:tcBorders>
              <w:top w:val="nil"/>
              <w:left w:val="nil"/>
              <w:bottom w:val="nil"/>
              <w:right w:val="nil"/>
            </w:tcBorders>
            <w:hideMark/>
          </w:tcPr>
          <w:p w14:paraId="4F95B3BF" w14:textId="6E24D7B3" w:rsidR="0026585C" w:rsidRPr="009C2953" w:rsidRDefault="0026585C" w:rsidP="0026585C">
            <w:pPr>
              <w:pStyle w:val="Normal-pool"/>
              <w:spacing w:before="40" w:after="40"/>
              <w:rPr>
                <w:sz w:val="18"/>
                <w:szCs w:val="18"/>
              </w:rPr>
            </w:pPr>
            <w:proofErr w:type="spellStart"/>
            <w:r w:rsidRPr="009C2953">
              <w:rPr>
                <w:sz w:val="18"/>
              </w:rPr>
              <w:t>Biodiversa</w:t>
            </w:r>
            <w:proofErr w:type="spellEnd"/>
            <w:r w:rsidRPr="009C2953">
              <w:rPr>
                <w:sz w:val="18"/>
              </w:rPr>
              <w:t xml:space="preserve">+ avec la Commission européenne </w:t>
            </w:r>
          </w:p>
        </w:tc>
        <w:tc>
          <w:tcPr>
            <w:tcW w:w="2693" w:type="dxa"/>
            <w:tcBorders>
              <w:top w:val="nil"/>
              <w:left w:val="nil"/>
              <w:bottom w:val="nil"/>
              <w:right w:val="nil"/>
            </w:tcBorders>
            <w:hideMark/>
          </w:tcPr>
          <w:p w14:paraId="3D1D742A" w14:textId="77777777" w:rsidR="0026585C" w:rsidRPr="009C2953" w:rsidRDefault="0026585C" w:rsidP="0026585C">
            <w:pPr>
              <w:pStyle w:val="Normal-pool"/>
              <w:spacing w:before="40" w:after="40"/>
              <w:rPr>
                <w:sz w:val="18"/>
                <w:szCs w:val="18"/>
              </w:rPr>
            </w:pPr>
            <w:proofErr w:type="spellStart"/>
            <w:r w:rsidRPr="009C2953">
              <w:rPr>
                <w:sz w:val="18"/>
              </w:rPr>
              <w:t>Biodiversa</w:t>
            </w:r>
            <w:proofErr w:type="spellEnd"/>
            <w:r w:rsidRPr="009C2953">
              <w:rPr>
                <w:sz w:val="18"/>
              </w:rPr>
              <w:t>+</w:t>
            </w:r>
          </w:p>
        </w:tc>
        <w:tc>
          <w:tcPr>
            <w:tcW w:w="7797" w:type="dxa"/>
            <w:tcBorders>
              <w:top w:val="nil"/>
              <w:left w:val="nil"/>
              <w:bottom w:val="nil"/>
              <w:right w:val="nil"/>
            </w:tcBorders>
            <w:hideMark/>
          </w:tcPr>
          <w:p w14:paraId="2DFE3791" w14:textId="6495E703" w:rsidR="0026585C" w:rsidRPr="009C2953" w:rsidRDefault="0026585C" w:rsidP="0026585C">
            <w:pPr>
              <w:pStyle w:val="Normal-pool"/>
              <w:spacing w:before="40" w:after="40"/>
              <w:rPr>
                <w:sz w:val="18"/>
                <w:szCs w:val="18"/>
              </w:rPr>
            </w:pPr>
            <w:r w:rsidRPr="009C2953">
              <w:rPr>
                <w:sz w:val="18"/>
              </w:rPr>
              <w:t>Appel conjoint, de 2022, à propositions de recherche sur l</w:t>
            </w:r>
            <w:r w:rsidR="00EA2966" w:rsidRPr="009C2953">
              <w:rPr>
                <w:sz w:val="18"/>
              </w:rPr>
              <w:t>’</w:t>
            </w:r>
            <w:r w:rsidRPr="009C2953">
              <w:rPr>
                <w:sz w:val="18"/>
              </w:rPr>
              <w:t>amélioration de la surveillance transnationale de la biodiversité et des changements dans les écosystèmes pour la science et la société, visant à combler les lacunes recensées dans l</w:t>
            </w:r>
            <w:r w:rsidR="00EA2966" w:rsidRPr="009C2953">
              <w:rPr>
                <w:sz w:val="18"/>
              </w:rPr>
              <w:t>’</w:t>
            </w:r>
            <w:r w:rsidRPr="009C2953">
              <w:rPr>
                <w:sz w:val="18"/>
              </w:rPr>
              <w:t>évaluation régionale de la biodiversité et des services écosystémiques pour l</w:t>
            </w:r>
            <w:r w:rsidR="00EA2966" w:rsidRPr="009C2953">
              <w:rPr>
                <w:sz w:val="18"/>
              </w:rPr>
              <w:t>’</w:t>
            </w:r>
            <w:r w:rsidRPr="009C2953">
              <w:rPr>
                <w:sz w:val="18"/>
              </w:rPr>
              <w:t>Europe et l</w:t>
            </w:r>
            <w:r w:rsidR="00EA2966" w:rsidRPr="009C2953">
              <w:rPr>
                <w:sz w:val="18"/>
              </w:rPr>
              <w:t>’</w:t>
            </w:r>
            <w:r w:rsidRPr="009C2953">
              <w:rPr>
                <w:sz w:val="18"/>
              </w:rPr>
              <w:t>Asie centrale de l</w:t>
            </w:r>
            <w:r w:rsidR="00EA2966" w:rsidRPr="009C2953">
              <w:rPr>
                <w:sz w:val="18"/>
              </w:rPr>
              <w:t>’</w:t>
            </w:r>
            <w:r w:rsidRPr="009C2953">
              <w:rPr>
                <w:sz w:val="18"/>
              </w:rPr>
              <w:t>IPBES, l</w:t>
            </w:r>
            <w:r w:rsidR="00EA2966" w:rsidRPr="009C2953">
              <w:rPr>
                <w:sz w:val="18"/>
              </w:rPr>
              <w:t>’</w:t>
            </w:r>
            <w:r w:rsidRPr="009C2953">
              <w:rPr>
                <w:sz w:val="18"/>
              </w:rPr>
              <w:t>évaluation mondiale de la biodiversité et des services écosystémiques de l</w:t>
            </w:r>
            <w:r w:rsidR="00EA2966" w:rsidRPr="009C2953">
              <w:rPr>
                <w:sz w:val="18"/>
              </w:rPr>
              <w:t>’</w:t>
            </w:r>
            <w:r w:rsidRPr="009C2953">
              <w:rPr>
                <w:sz w:val="18"/>
              </w:rPr>
              <w:t>IPBES, le rapport de l</w:t>
            </w:r>
            <w:r w:rsidR="00EA2966" w:rsidRPr="009C2953">
              <w:rPr>
                <w:sz w:val="18"/>
              </w:rPr>
              <w:t>’</w:t>
            </w:r>
            <w:r w:rsidRPr="009C2953">
              <w:rPr>
                <w:sz w:val="18"/>
              </w:rPr>
              <w:t>atelier de l</w:t>
            </w:r>
            <w:r w:rsidR="00EA2966" w:rsidRPr="009C2953">
              <w:rPr>
                <w:sz w:val="18"/>
              </w:rPr>
              <w:t>’</w:t>
            </w:r>
            <w:r w:rsidRPr="009C2953">
              <w:rPr>
                <w:sz w:val="18"/>
              </w:rPr>
              <w:t>IPBES sur la biodiversité et les pandémies et le rapport de l</w:t>
            </w:r>
            <w:r w:rsidR="00EA2966" w:rsidRPr="009C2953">
              <w:rPr>
                <w:sz w:val="18"/>
              </w:rPr>
              <w:t>’</w:t>
            </w:r>
            <w:r w:rsidRPr="009C2953">
              <w:rPr>
                <w:sz w:val="18"/>
              </w:rPr>
              <w:t>atelier sur la biodiversité et les changements climatiques coparrainé par l</w:t>
            </w:r>
            <w:r w:rsidR="00EA2966" w:rsidRPr="009C2953">
              <w:rPr>
                <w:sz w:val="18"/>
              </w:rPr>
              <w:t>’</w:t>
            </w:r>
            <w:r w:rsidRPr="009C2953">
              <w:rPr>
                <w:sz w:val="18"/>
              </w:rPr>
              <w:t xml:space="preserve">IPBES et le GIEC </w:t>
            </w:r>
          </w:p>
        </w:tc>
        <w:tc>
          <w:tcPr>
            <w:tcW w:w="962" w:type="dxa"/>
            <w:tcBorders>
              <w:top w:val="nil"/>
              <w:left w:val="nil"/>
              <w:bottom w:val="nil"/>
              <w:right w:val="nil"/>
            </w:tcBorders>
            <w:vAlign w:val="bottom"/>
            <w:hideMark/>
          </w:tcPr>
          <w:p w14:paraId="0CA67405" w14:textId="77777777" w:rsidR="0026585C" w:rsidRPr="009C2953" w:rsidRDefault="0026585C" w:rsidP="0026585C">
            <w:pPr>
              <w:pStyle w:val="Normal-pool"/>
              <w:spacing w:before="40" w:after="40"/>
              <w:jc w:val="right"/>
              <w:rPr>
                <w:sz w:val="18"/>
                <w:szCs w:val="18"/>
              </w:rPr>
            </w:pPr>
            <w:r w:rsidRPr="009C2953">
              <w:rPr>
                <w:sz w:val="18"/>
              </w:rPr>
              <w:t>40,0</w:t>
            </w:r>
          </w:p>
        </w:tc>
      </w:tr>
      <w:tr w:rsidR="0026585C" w:rsidRPr="009C2953" w14:paraId="4959162A" w14:textId="77777777" w:rsidTr="000D47E2">
        <w:trPr>
          <w:trHeight w:val="57"/>
          <w:jc w:val="right"/>
        </w:trPr>
        <w:tc>
          <w:tcPr>
            <w:tcW w:w="2977" w:type="dxa"/>
            <w:tcBorders>
              <w:top w:val="nil"/>
              <w:left w:val="nil"/>
              <w:bottom w:val="nil"/>
              <w:right w:val="nil"/>
            </w:tcBorders>
          </w:tcPr>
          <w:p w14:paraId="54A6952C" w14:textId="27EF010B" w:rsidR="0026585C" w:rsidRPr="009C2953" w:rsidRDefault="0026585C" w:rsidP="0026585C">
            <w:pPr>
              <w:pStyle w:val="Normal-pool"/>
              <w:spacing w:before="40" w:after="40"/>
              <w:rPr>
                <w:sz w:val="18"/>
              </w:rPr>
            </w:pPr>
            <w:r w:rsidRPr="009C2953">
              <w:rPr>
                <w:sz w:val="18"/>
              </w:rPr>
              <w:t xml:space="preserve">Inter-American Institute for Global Change </w:t>
            </w:r>
            <w:proofErr w:type="spellStart"/>
            <w:r w:rsidRPr="009C2953">
              <w:rPr>
                <w:sz w:val="18"/>
              </w:rPr>
              <w:t>Research</w:t>
            </w:r>
            <w:proofErr w:type="spellEnd"/>
          </w:p>
        </w:tc>
        <w:tc>
          <w:tcPr>
            <w:tcW w:w="2693" w:type="dxa"/>
            <w:tcBorders>
              <w:top w:val="nil"/>
              <w:left w:val="nil"/>
              <w:bottom w:val="nil"/>
              <w:right w:val="nil"/>
            </w:tcBorders>
          </w:tcPr>
          <w:p w14:paraId="15B58E8E" w14:textId="22C41A05" w:rsidR="0026585C" w:rsidRPr="009C2953" w:rsidRDefault="0026585C" w:rsidP="0026585C">
            <w:pPr>
              <w:pStyle w:val="Normal-pool"/>
              <w:spacing w:before="40" w:after="40"/>
              <w:rPr>
                <w:sz w:val="18"/>
              </w:rPr>
            </w:pPr>
            <w:r w:rsidRPr="009C2953">
              <w:rPr>
                <w:sz w:val="18"/>
              </w:rPr>
              <w:t xml:space="preserve">Inter-American Institute for Global Change </w:t>
            </w:r>
            <w:proofErr w:type="spellStart"/>
            <w:r w:rsidRPr="009C2953">
              <w:rPr>
                <w:sz w:val="18"/>
              </w:rPr>
              <w:t>Research</w:t>
            </w:r>
            <w:proofErr w:type="spellEnd"/>
          </w:p>
        </w:tc>
        <w:tc>
          <w:tcPr>
            <w:tcW w:w="7797" w:type="dxa"/>
            <w:tcBorders>
              <w:top w:val="nil"/>
              <w:left w:val="nil"/>
              <w:bottom w:val="nil"/>
              <w:right w:val="nil"/>
            </w:tcBorders>
          </w:tcPr>
          <w:p w14:paraId="712AA1B1" w14:textId="66EAD618" w:rsidR="0026585C" w:rsidRPr="009C2953" w:rsidRDefault="0026585C" w:rsidP="0026585C">
            <w:pPr>
              <w:pStyle w:val="Normal-pool"/>
              <w:spacing w:before="40" w:after="40"/>
              <w:rPr>
                <w:sz w:val="18"/>
              </w:rPr>
            </w:pPr>
            <w:r w:rsidRPr="009C2953">
              <w:rPr>
                <w:sz w:val="18"/>
              </w:rPr>
              <w:t xml:space="preserve">2019‒2022 Small Grants Programme: The </w:t>
            </w:r>
            <w:proofErr w:type="spellStart"/>
            <w:r w:rsidRPr="009C2953">
              <w:rPr>
                <w:sz w:val="18"/>
              </w:rPr>
              <w:t>role</w:t>
            </w:r>
            <w:proofErr w:type="spellEnd"/>
            <w:r w:rsidRPr="009C2953">
              <w:rPr>
                <w:sz w:val="18"/>
              </w:rPr>
              <w:t xml:space="preserve"> of </w:t>
            </w:r>
            <w:proofErr w:type="spellStart"/>
            <w:r w:rsidRPr="009C2953">
              <w:rPr>
                <w:sz w:val="18"/>
              </w:rPr>
              <w:t>ecosystem</w:t>
            </w:r>
            <w:proofErr w:type="spellEnd"/>
            <w:r w:rsidRPr="009C2953">
              <w:rPr>
                <w:sz w:val="18"/>
              </w:rPr>
              <w:t xml:space="preserve"> services in adaptation to global change for </w:t>
            </w:r>
            <w:proofErr w:type="spellStart"/>
            <w:r w:rsidRPr="009C2953">
              <w:rPr>
                <w:sz w:val="18"/>
              </w:rPr>
              <w:t>human</w:t>
            </w:r>
            <w:proofErr w:type="spellEnd"/>
            <w:r w:rsidRPr="009C2953">
              <w:rPr>
                <w:sz w:val="18"/>
              </w:rPr>
              <w:t xml:space="preserve"> </w:t>
            </w:r>
            <w:proofErr w:type="spellStart"/>
            <w:r w:rsidRPr="009C2953">
              <w:rPr>
                <w:sz w:val="18"/>
              </w:rPr>
              <w:t>wellbeing</w:t>
            </w:r>
            <w:proofErr w:type="spellEnd"/>
            <w:r w:rsidRPr="009C2953">
              <w:rPr>
                <w:sz w:val="18"/>
              </w:rPr>
              <w:t xml:space="preserve"> (</w:t>
            </w:r>
            <w:proofErr w:type="spellStart"/>
            <w:r w:rsidRPr="009C2953">
              <w:rPr>
                <w:sz w:val="18"/>
              </w:rPr>
              <w:t>addressing</w:t>
            </w:r>
            <w:proofErr w:type="spellEnd"/>
            <w:r w:rsidRPr="009C2953">
              <w:rPr>
                <w:sz w:val="18"/>
              </w:rPr>
              <w:t xml:space="preserve"> gaps in the IPBES Global </w:t>
            </w:r>
            <w:proofErr w:type="spellStart"/>
            <w:r w:rsidRPr="009C2953">
              <w:rPr>
                <w:sz w:val="18"/>
              </w:rPr>
              <w:t>Assessment</w:t>
            </w:r>
            <w:proofErr w:type="spellEnd"/>
            <w:r w:rsidRPr="009C2953">
              <w:rPr>
                <w:sz w:val="18"/>
              </w:rPr>
              <w:t xml:space="preserve"> of </w:t>
            </w:r>
            <w:proofErr w:type="spellStart"/>
            <w:r w:rsidRPr="009C2953">
              <w:rPr>
                <w:sz w:val="18"/>
              </w:rPr>
              <w:t>Biodiversity</w:t>
            </w:r>
            <w:proofErr w:type="spellEnd"/>
            <w:r w:rsidRPr="009C2953">
              <w:rPr>
                <w:sz w:val="18"/>
              </w:rPr>
              <w:t xml:space="preserve"> and </w:t>
            </w:r>
            <w:proofErr w:type="spellStart"/>
            <w:r w:rsidRPr="009C2953">
              <w:rPr>
                <w:sz w:val="18"/>
              </w:rPr>
              <w:t>Ecosystem</w:t>
            </w:r>
            <w:proofErr w:type="spellEnd"/>
            <w:r w:rsidRPr="009C2953">
              <w:rPr>
                <w:sz w:val="18"/>
              </w:rPr>
              <w:t xml:space="preserve"> Services and the IPBES </w:t>
            </w:r>
            <w:proofErr w:type="spellStart"/>
            <w:r w:rsidRPr="009C2953">
              <w:rPr>
                <w:sz w:val="18"/>
              </w:rPr>
              <w:t>Regional</w:t>
            </w:r>
            <w:proofErr w:type="spellEnd"/>
            <w:r w:rsidRPr="009C2953">
              <w:rPr>
                <w:sz w:val="18"/>
              </w:rPr>
              <w:t xml:space="preserve"> </w:t>
            </w:r>
            <w:proofErr w:type="spellStart"/>
            <w:r w:rsidRPr="009C2953">
              <w:rPr>
                <w:sz w:val="18"/>
              </w:rPr>
              <w:t>Assessment</w:t>
            </w:r>
            <w:proofErr w:type="spellEnd"/>
            <w:r w:rsidRPr="009C2953">
              <w:rPr>
                <w:sz w:val="18"/>
              </w:rPr>
              <w:t xml:space="preserve"> of </w:t>
            </w:r>
            <w:proofErr w:type="spellStart"/>
            <w:r w:rsidRPr="009C2953">
              <w:rPr>
                <w:sz w:val="18"/>
              </w:rPr>
              <w:t>Biodiversity</w:t>
            </w:r>
            <w:proofErr w:type="spellEnd"/>
            <w:r w:rsidRPr="009C2953">
              <w:rPr>
                <w:sz w:val="18"/>
              </w:rPr>
              <w:t xml:space="preserve"> and </w:t>
            </w:r>
            <w:proofErr w:type="spellStart"/>
            <w:r w:rsidRPr="009C2953">
              <w:rPr>
                <w:sz w:val="18"/>
              </w:rPr>
              <w:t>Ecosystem</w:t>
            </w:r>
            <w:proofErr w:type="spellEnd"/>
            <w:r w:rsidRPr="009C2953">
              <w:rPr>
                <w:sz w:val="18"/>
              </w:rPr>
              <w:t xml:space="preserve"> Services for the </w:t>
            </w:r>
            <w:proofErr w:type="spellStart"/>
            <w:r w:rsidRPr="009C2953">
              <w:rPr>
                <w:sz w:val="18"/>
              </w:rPr>
              <w:t>Americas</w:t>
            </w:r>
            <w:proofErr w:type="spellEnd"/>
            <w:r w:rsidRPr="009C2953">
              <w:rPr>
                <w:sz w:val="18"/>
              </w:rPr>
              <w:t>) (« Programme de microfinancements 2019-2022 : Le rôle des services écosystémiques dans l</w:t>
            </w:r>
            <w:r w:rsidR="00EA2966" w:rsidRPr="009C2953">
              <w:rPr>
                <w:sz w:val="18"/>
              </w:rPr>
              <w:t>’</w:t>
            </w:r>
            <w:r w:rsidRPr="009C2953">
              <w:rPr>
                <w:sz w:val="18"/>
              </w:rPr>
              <w:t>adaptation au changement à l</w:t>
            </w:r>
            <w:r w:rsidR="00EA2966" w:rsidRPr="009C2953">
              <w:rPr>
                <w:sz w:val="18"/>
              </w:rPr>
              <w:t>’</w:t>
            </w:r>
            <w:r w:rsidRPr="009C2953">
              <w:rPr>
                <w:sz w:val="18"/>
              </w:rPr>
              <w:t>échelle planétaire pour le bien-être humain [combler les lacunes de l</w:t>
            </w:r>
            <w:r w:rsidR="00EA2966" w:rsidRPr="009C2953">
              <w:rPr>
                <w:sz w:val="18"/>
              </w:rPr>
              <w:t>’</w:t>
            </w:r>
            <w:r w:rsidRPr="009C2953">
              <w:rPr>
                <w:sz w:val="18"/>
              </w:rPr>
              <w:t>évaluation mondiale de la biodiversité et des services écosystémiques de l</w:t>
            </w:r>
            <w:r w:rsidR="00EA2966" w:rsidRPr="009C2953">
              <w:rPr>
                <w:sz w:val="18"/>
              </w:rPr>
              <w:t>’</w:t>
            </w:r>
            <w:r w:rsidRPr="009C2953">
              <w:rPr>
                <w:sz w:val="18"/>
              </w:rPr>
              <w:t>IPBES et de l</w:t>
            </w:r>
            <w:r w:rsidR="00EA2966" w:rsidRPr="009C2953">
              <w:rPr>
                <w:sz w:val="18"/>
              </w:rPr>
              <w:t>’</w:t>
            </w:r>
            <w:r w:rsidRPr="009C2953">
              <w:rPr>
                <w:sz w:val="18"/>
              </w:rPr>
              <w:t>évaluation régionale de la biodiversité et des services écosystémiques pour les Amériques de l</w:t>
            </w:r>
            <w:r w:rsidR="00EA2966" w:rsidRPr="009C2953">
              <w:rPr>
                <w:sz w:val="18"/>
              </w:rPr>
              <w:t>’</w:t>
            </w:r>
            <w:r w:rsidRPr="009C2953">
              <w:rPr>
                <w:sz w:val="18"/>
              </w:rPr>
              <w:t>IPBES] »)</w:t>
            </w:r>
          </w:p>
        </w:tc>
        <w:tc>
          <w:tcPr>
            <w:tcW w:w="962" w:type="dxa"/>
            <w:tcBorders>
              <w:top w:val="nil"/>
              <w:left w:val="nil"/>
              <w:bottom w:val="nil"/>
              <w:right w:val="nil"/>
            </w:tcBorders>
            <w:vAlign w:val="bottom"/>
          </w:tcPr>
          <w:p w14:paraId="0B8A07C7" w14:textId="6BCC0B27" w:rsidR="0026585C" w:rsidRPr="009C2953" w:rsidRDefault="0026585C" w:rsidP="0026585C">
            <w:pPr>
              <w:pStyle w:val="Normal-pool"/>
              <w:spacing w:before="40" w:after="40"/>
              <w:jc w:val="right"/>
              <w:rPr>
                <w:sz w:val="18"/>
              </w:rPr>
            </w:pPr>
            <w:r w:rsidRPr="009C2953">
              <w:rPr>
                <w:sz w:val="18"/>
              </w:rPr>
              <w:t>1,2</w:t>
            </w:r>
          </w:p>
        </w:tc>
      </w:tr>
      <w:tr w:rsidR="003F1633" w:rsidRPr="009C2953" w14:paraId="5451EC02" w14:textId="77777777" w:rsidTr="000D47E2">
        <w:trPr>
          <w:trHeight w:val="57"/>
          <w:jc w:val="right"/>
        </w:trPr>
        <w:tc>
          <w:tcPr>
            <w:tcW w:w="2977" w:type="dxa"/>
            <w:vMerge w:val="restart"/>
            <w:tcBorders>
              <w:top w:val="nil"/>
              <w:left w:val="nil"/>
              <w:right w:val="nil"/>
            </w:tcBorders>
          </w:tcPr>
          <w:p w14:paraId="08D429AF" w14:textId="19C055EB" w:rsidR="003F1633" w:rsidRPr="009C2953" w:rsidRDefault="003F1633" w:rsidP="0026585C">
            <w:pPr>
              <w:pStyle w:val="Normal-pool"/>
              <w:spacing w:before="40" w:after="40"/>
              <w:rPr>
                <w:sz w:val="18"/>
                <w:szCs w:val="18"/>
              </w:rPr>
            </w:pPr>
            <w:r w:rsidRPr="009C2953">
              <w:rPr>
                <w:sz w:val="18"/>
              </w:rPr>
              <w:t>Union européenne (Horizon Europe)</w:t>
            </w:r>
          </w:p>
        </w:tc>
        <w:tc>
          <w:tcPr>
            <w:tcW w:w="2693" w:type="dxa"/>
            <w:vMerge w:val="restart"/>
            <w:tcBorders>
              <w:top w:val="nil"/>
              <w:left w:val="nil"/>
              <w:right w:val="nil"/>
            </w:tcBorders>
          </w:tcPr>
          <w:p w14:paraId="4E4FCB75" w14:textId="4E91B608" w:rsidR="003F1633" w:rsidRPr="009C2953" w:rsidRDefault="003F1633" w:rsidP="0026585C">
            <w:pPr>
              <w:pStyle w:val="Normal-pool"/>
              <w:spacing w:before="40" w:after="40"/>
              <w:rPr>
                <w:sz w:val="18"/>
                <w:szCs w:val="18"/>
              </w:rPr>
            </w:pPr>
            <w:r w:rsidRPr="009C2953">
              <w:rPr>
                <w:sz w:val="18"/>
              </w:rPr>
              <w:t>Union européenne</w:t>
            </w:r>
          </w:p>
        </w:tc>
        <w:tc>
          <w:tcPr>
            <w:tcW w:w="7797" w:type="dxa"/>
            <w:tcBorders>
              <w:top w:val="nil"/>
              <w:left w:val="nil"/>
              <w:bottom w:val="nil"/>
              <w:right w:val="nil"/>
            </w:tcBorders>
          </w:tcPr>
          <w:p w14:paraId="663D19C6" w14:textId="123C60FC" w:rsidR="003F1633" w:rsidRPr="009C2953" w:rsidRDefault="003F1633" w:rsidP="0026585C">
            <w:pPr>
              <w:pStyle w:val="Normal-pool"/>
              <w:spacing w:before="40" w:after="40"/>
              <w:rPr>
                <w:sz w:val="18"/>
                <w:szCs w:val="18"/>
              </w:rPr>
            </w:pPr>
            <w:r w:rsidRPr="009C2953">
              <w:rPr>
                <w:sz w:val="18"/>
              </w:rPr>
              <w:t>Appel à propositions visant à améliorer la coopération avec l</w:t>
            </w:r>
            <w:r w:rsidR="00EA2966" w:rsidRPr="009C2953">
              <w:rPr>
                <w:sz w:val="18"/>
              </w:rPr>
              <w:t>’</w:t>
            </w:r>
            <w:r w:rsidRPr="009C2953">
              <w:rPr>
                <w:sz w:val="18"/>
              </w:rPr>
              <w:t>IPBES et le GIEC afin de renforcer les liens entre les stratégies en matière de biodiversité et de climat (fondées sur le rapport de l</w:t>
            </w:r>
            <w:r w:rsidR="00EA2966" w:rsidRPr="009C2953">
              <w:rPr>
                <w:sz w:val="18"/>
              </w:rPr>
              <w:t>’</w:t>
            </w:r>
            <w:r w:rsidRPr="009C2953">
              <w:rPr>
                <w:sz w:val="18"/>
              </w:rPr>
              <w:t>atelier sur la biodiversité et les changements climatiques coparrainé par l</w:t>
            </w:r>
            <w:r w:rsidR="00EA2966" w:rsidRPr="009C2953">
              <w:rPr>
                <w:sz w:val="18"/>
              </w:rPr>
              <w:t>’</w:t>
            </w:r>
            <w:r w:rsidRPr="009C2953">
              <w:rPr>
                <w:sz w:val="18"/>
              </w:rPr>
              <w:t>IPBES et le GIEC)</w:t>
            </w:r>
          </w:p>
        </w:tc>
        <w:tc>
          <w:tcPr>
            <w:tcW w:w="962" w:type="dxa"/>
            <w:tcBorders>
              <w:top w:val="nil"/>
              <w:left w:val="nil"/>
              <w:bottom w:val="nil"/>
              <w:right w:val="nil"/>
            </w:tcBorders>
            <w:vAlign w:val="bottom"/>
          </w:tcPr>
          <w:p w14:paraId="5112ABB4" w14:textId="0BFEA3D5" w:rsidR="003F1633" w:rsidRPr="009C2953" w:rsidRDefault="003F1633" w:rsidP="0026585C">
            <w:pPr>
              <w:pStyle w:val="Normal-pool"/>
              <w:spacing w:before="40" w:after="40"/>
              <w:jc w:val="right"/>
              <w:rPr>
                <w:sz w:val="18"/>
                <w:szCs w:val="18"/>
              </w:rPr>
            </w:pPr>
            <w:r w:rsidRPr="009C2953">
              <w:rPr>
                <w:sz w:val="18"/>
              </w:rPr>
              <w:t>4,3</w:t>
            </w:r>
          </w:p>
        </w:tc>
      </w:tr>
      <w:tr w:rsidR="003F1633" w:rsidRPr="009C2953" w14:paraId="0986D374" w14:textId="77777777" w:rsidTr="000D47E2">
        <w:trPr>
          <w:trHeight w:val="57"/>
          <w:jc w:val="right"/>
        </w:trPr>
        <w:tc>
          <w:tcPr>
            <w:tcW w:w="2977" w:type="dxa"/>
            <w:vMerge/>
            <w:tcBorders>
              <w:left w:val="nil"/>
              <w:right w:val="nil"/>
            </w:tcBorders>
          </w:tcPr>
          <w:p w14:paraId="4D19E1A4" w14:textId="2D64F42B" w:rsidR="003F1633" w:rsidRPr="009C2953" w:rsidRDefault="003F1633" w:rsidP="0026585C">
            <w:pPr>
              <w:pStyle w:val="Normal-pool"/>
              <w:spacing w:before="40" w:after="40"/>
              <w:rPr>
                <w:sz w:val="18"/>
                <w:szCs w:val="18"/>
              </w:rPr>
            </w:pPr>
          </w:p>
        </w:tc>
        <w:tc>
          <w:tcPr>
            <w:tcW w:w="2693" w:type="dxa"/>
            <w:vMerge/>
            <w:tcBorders>
              <w:left w:val="nil"/>
              <w:right w:val="nil"/>
            </w:tcBorders>
          </w:tcPr>
          <w:p w14:paraId="74F22EC3" w14:textId="2A2A21F1" w:rsidR="003F1633" w:rsidRPr="009C2953" w:rsidRDefault="003F1633" w:rsidP="0026585C">
            <w:pPr>
              <w:pStyle w:val="Normal-pool"/>
              <w:spacing w:before="40" w:after="40"/>
              <w:rPr>
                <w:sz w:val="18"/>
                <w:szCs w:val="18"/>
              </w:rPr>
            </w:pPr>
          </w:p>
        </w:tc>
        <w:tc>
          <w:tcPr>
            <w:tcW w:w="7797" w:type="dxa"/>
            <w:tcBorders>
              <w:top w:val="nil"/>
              <w:left w:val="nil"/>
              <w:bottom w:val="nil"/>
              <w:right w:val="nil"/>
            </w:tcBorders>
          </w:tcPr>
          <w:p w14:paraId="09F8D50C" w14:textId="454FB1D5" w:rsidR="003F1633" w:rsidRPr="009C2953" w:rsidRDefault="003F1633" w:rsidP="0026585C">
            <w:pPr>
              <w:pStyle w:val="Normal-pool"/>
              <w:spacing w:before="40" w:after="40"/>
              <w:rPr>
                <w:sz w:val="18"/>
                <w:szCs w:val="18"/>
              </w:rPr>
            </w:pPr>
            <w:r w:rsidRPr="009C2953">
              <w:rPr>
                <w:sz w:val="18"/>
              </w:rPr>
              <w:t>Appel à propositions visant à évaluer les liens d</w:t>
            </w:r>
            <w:r w:rsidR="00EA2966" w:rsidRPr="009C2953">
              <w:rPr>
                <w:sz w:val="18"/>
              </w:rPr>
              <w:t>’</w:t>
            </w:r>
            <w:r w:rsidRPr="009C2953">
              <w:rPr>
                <w:sz w:val="18"/>
              </w:rPr>
              <w:t>interdépendance entre perte de biodiversité, dégradation des écosystèmes et émergence de zoonoses (fondées sur le rapport de l</w:t>
            </w:r>
            <w:r w:rsidR="00EA2966" w:rsidRPr="009C2953">
              <w:rPr>
                <w:sz w:val="18"/>
              </w:rPr>
              <w:t>’</w:t>
            </w:r>
            <w:r w:rsidRPr="009C2953">
              <w:rPr>
                <w:sz w:val="18"/>
              </w:rPr>
              <w:t>atelier de l</w:t>
            </w:r>
            <w:r w:rsidR="00EA2966" w:rsidRPr="009C2953">
              <w:rPr>
                <w:sz w:val="18"/>
              </w:rPr>
              <w:t>’</w:t>
            </w:r>
            <w:r w:rsidRPr="009C2953">
              <w:rPr>
                <w:sz w:val="18"/>
              </w:rPr>
              <w:t>IPBES sur les liens entre biodiversité et pandémies, et pertinentes pour l</w:t>
            </w:r>
            <w:r w:rsidR="00EA2966" w:rsidRPr="009C2953">
              <w:rPr>
                <w:sz w:val="18"/>
              </w:rPr>
              <w:t>’</w:t>
            </w:r>
            <w:r w:rsidRPr="009C2953">
              <w:rPr>
                <w:sz w:val="18"/>
              </w:rPr>
              <w:t>évaluation thématique des liens d</w:t>
            </w:r>
            <w:r w:rsidR="00EA2966" w:rsidRPr="009C2953">
              <w:rPr>
                <w:sz w:val="18"/>
              </w:rPr>
              <w:t>’</w:t>
            </w:r>
            <w:r w:rsidRPr="009C2953">
              <w:rPr>
                <w:sz w:val="18"/>
              </w:rPr>
              <w:t>interdépendance entre la biodiversité, l</w:t>
            </w:r>
            <w:r w:rsidR="00EA2966" w:rsidRPr="009C2953">
              <w:rPr>
                <w:sz w:val="18"/>
              </w:rPr>
              <w:t>’</w:t>
            </w:r>
            <w:r w:rsidRPr="009C2953">
              <w:rPr>
                <w:sz w:val="18"/>
              </w:rPr>
              <w:t>eau, l</w:t>
            </w:r>
            <w:r w:rsidR="00EA2966" w:rsidRPr="009C2953">
              <w:rPr>
                <w:sz w:val="18"/>
              </w:rPr>
              <w:t>’</w:t>
            </w:r>
            <w:r w:rsidRPr="009C2953">
              <w:rPr>
                <w:sz w:val="18"/>
              </w:rPr>
              <w:t>alimentation et la santé)</w:t>
            </w:r>
          </w:p>
        </w:tc>
        <w:tc>
          <w:tcPr>
            <w:tcW w:w="962" w:type="dxa"/>
            <w:tcBorders>
              <w:top w:val="nil"/>
              <w:left w:val="nil"/>
              <w:bottom w:val="nil"/>
              <w:right w:val="nil"/>
            </w:tcBorders>
            <w:vAlign w:val="bottom"/>
          </w:tcPr>
          <w:p w14:paraId="2A11D78C" w14:textId="6C59A9E3" w:rsidR="003F1633" w:rsidRPr="009C2953" w:rsidRDefault="003F1633" w:rsidP="0026585C">
            <w:pPr>
              <w:pStyle w:val="Normal-pool"/>
              <w:spacing w:before="40" w:after="40"/>
              <w:jc w:val="right"/>
              <w:rPr>
                <w:sz w:val="18"/>
                <w:szCs w:val="18"/>
              </w:rPr>
            </w:pPr>
            <w:r w:rsidRPr="009C2953">
              <w:rPr>
                <w:sz w:val="18"/>
              </w:rPr>
              <w:t>12,8</w:t>
            </w:r>
          </w:p>
        </w:tc>
      </w:tr>
      <w:tr w:rsidR="003F1633" w:rsidRPr="009C2953" w14:paraId="6CBB7329" w14:textId="77777777" w:rsidTr="000D47E2">
        <w:trPr>
          <w:trHeight w:val="57"/>
          <w:jc w:val="right"/>
        </w:trPr>
        <w:tc>
          <w:tcPr>
            <w:tcW w:w="2977" w:type="dxa"/>
            <w:vMerge/>
            <w:tcBorders>
              <w:left w:val="nil"/>
              <w:bottom w:val="single" w:sz="4" w:space="0" w:color="auto"/>
              <w:right w:val="nil"/>
            </w:tcBorders>
          </w:tcPr>
          <w:p w14:paraId="2EF5909D" w14:textId="1A870368" w:rsidR="003F1633" w:rsidRPr="009C2953" w:rsidRDefault="003F1633" w:rsidP="0026585C">
            <w:pPr>
              <w:pStyle w:val="Normal-pool"/>
              <w:spacing w:before="40" w:after="40"/>
              <w:rPr>
                <w:sz w:val="18"/>
                <w:szCs w:val="18"/>
              </w:rPr>
            </w:pPr>
          </w:p>
        </w:tc>
        <w:tc>
          <w:tcPr>
            <w:tcW w:w="2693" w:type="dxa"/>
            <w:vMerge/>
            <w:tcBorders>
              <w:left w:val="nil"/>
              <w:bottom w:val="single" w:sz="4" w:space="0" w:color="auto"/>
              <w:right w:val="nil"/>
            </w:tcBorders>
          </w:tcPr>
          <w:p w14:paraId="1DB9A051" w14:textId="44DAD76B" w:rsidR="003F1633" w:rsidRPr="009C2953" w:rsidRDefault="003F1633" w:rsidP="0026585C">
            <w:pPr>
              <w:pStyle w:val="Normal-pool"/>
              <w:spacing w:before="40" w:after="40"/>
              <w:rPr>
                <w:sz w:val="18"/>
                <w:szCs w:val="18"/>
              </w:rPr>
            </w:pPr>
          </w:p>
        </w:tc>
        <w:tc>
          <w:tcPr>
            <w:tcW w:w="7797" w:type="dxa"/>
            <w:tcBorders>
              <w:top w:val="nil"/>
              <w:left w:val="nil"/>
              <w:bottom w:val="single" w:sz="4" w:space="0" w:color="auto"/>
              <w:right w:val="nil"/>
            </w:tcBorders>
          </w:tcPr>
          <w:p w14:paraId="75480FA0" w14:textId="6FC1A0EB" w:rsidR="003F1633" w:rsidRPr="009C2953" w:rsidRDefault="003F1633" w:rsidP="0026585C">
            <w:pPr>
              <w:pStyle w:val="Normal-pool"/>
              <w:spacing w:before="40" w:after="40"/>
              <w:rPr>
                <w:sz w:val="18"/>
                <w:szCs w:val="18"/>
              </w:rPr>
            </w:pPr>
            <w:r w:rsidRPr="009C2953">
              <w:rPr>
                <w:sz w:val="18"/>
              </w:rPr>
              <w:t>Appel à propositions visant à combler les lacunes en matière de recherche sur les variables océaniques essentielles à l</w:t>
            </w:r>
            <w:r w:rsidR="00EA2966" w:rsidRPr="009C2953">
              <w:rPr>
                <w:sz w:val="18"/>
              </w:rPr>
              <w:t>’</w:t>
            </w:r>
            <w:r w:rsidRPr="009C2953">
              <w:rPr>
                <w:sz w:val="18"/>
              </w:rPr>
              <w:t>appui des évaluations mondiales</w:t>
            </w:r>
          </w:p>
        </w:tc>
        <w:tc>
          <w:tcPr>
            <w:tcW w:w="962" w:type="dxa"/>
            <w:tcBorders>
              <w:top w:val="nil"/>
              <w:left w:val="nil"/>
              <w:bottom w:val="single" w:sz="4" w:space="0" w:color="auto"/>
              <w:right w:val="nil"/>
            </w:tcBorders>
            <w:vAlign w:val="bottom"/>
          </w:tcPr>
          <w:p w14:paraId="688C62E9" w14:textId="22FBE69C" w:rsidR="003F1633" w:rsidRPr="009C2953" w:rsidRDefault="003F1633" w:rsidP="0026585C">
            <w:pPr>
              <w:pStyle w:val="Normal-pool"/>
              <w:spacing w:before="40" w:after="40"/>
              <w:jc w:val="right"/>
              <w:rPr>
                <w:sz w:val="18"/>
                <w:szCs w:val="18"/>
              </w:rPr>
            </w:pPr>
            <w:r w:rsidRPr="009C2953">
              <w:rPr>
                <w:sz w:val="18"/>
              </w:rPr>
              <w:t>18,0</w:t>
            </w:r>
          </w:p>
        </w:tc>
      </w:tr>
      <w:tr w:rsidR="0026585C" w:rsidRPr="009C2953" w14:paraId="58217234" w14:textId="77777777" w:rsidTr="0026585C">
        <w:trPr>
          <w:trHeight w:val="57"/>
          <w:jc w:val="right"/>
        </w:trPr>
        <w:tc>
          <w:tcPr>
            <w:tcW w:w="14429" w:type="dxa"/>
            <w:gridSpan w:val="4"/>
            <w:tcBorders>
              <w:top w:val="single" w:sz="4" w:space="0" w:color="auto"/>
              <w:left w:val="nil"/>
              <w:bottom w:val="single" w:sz="4" w:space="0" w:color="auto"/>
              <w:right w:val="nil"/>
            </w:tcBorders>
            <w:hideMark/>
          </w:tcPr>
          <w:p w14:paraId="6E3DE906" w14:textId="0E8A3C63" w:rsidR="0026585C" w:rsidRPr="009C2953" w:rsidRDefault="0026585C" w:rsidP="0026585C">
            <w:pPr>
              <w:pStyle w:val="Normal-pool"/>
              <w:spacing w:before="40" w:after="40"/>
              <w:rPr>
                <w:b/>
                <w:sz w:val="18"/>
                <w:szCs w:val="18"/>
              </w:rPr>
            </w:pPr>
            <w:r w:rsidRPr="009C2953">
              <w:rPr>
                <w:b/>
                <w:sz w:val="18"/>
              </w:rPr>
              <w:t>Renforcement des capacités</w:t>
            </w:r>
          </w:p>
        </w:tc>
      </w:tr>
      <w:tr w:rsidR="0026585C" w:rsidRPr="009C2953" w14:paraId="35CDDD68" w14:textId="77777777" w:rsidTr="000D47E2">
        <w:trPr>
          <w:trHeight w:val="57"/>
          <w:jc w:val="right"/>
        </w:trPr>
        <w:tc>
          <w:tcPr>
            <w:tcW w:w="2977" w:type="dxa"/>
            <w:vMerge w:val="restart"/>
            <w:tcBorders>
              <w:top w:val="single" w:sz="4" w:space="0" w:color="auto"/>
              <w:left w:val="nil"/>
              <w:bottom w:val="nil"/>
              <w:right w:val="nil"/>
            </w:tcBorders>
            <w:hideMark/>
          </w:tcPr>
          <w:p w14:paraId="16272BCE" w14:textId="3479256D" w:rsidR="0026585C" w:rsidRPr="009C2953" w:rsidRDefault="0026585C" w:rsidP="0026585C">
            <w:pPr>
              <w:pStyle w:val="Normal-pool"/>
              <w:spacing w:before="40" w:after="40"/>
              <w:rPr>
                <w:sz w:val="18"/>
                <w:szCs w:val="18"/>
              </w:rPr>
            </w:pPr>
            <w:r w:rsidRPr="009C2953">
              <w:rPr>
                <w:sz w:val="18"/>
              </w:rPr>
              <w:t>PNUD (et le Centre mondial de surveillance pour la conservation du PNUE et le Ministère fédéral allemand de l</w:t>
            </w:r>
            <w:r w:rsidR="00EA2966" w:rsidRPr="009C2953">
              <w:rPr>
                <w:sz w:val="18"/>
              </w:rPr>
              <w:t>’</w:t>
            </w:r>
            <w:r w:rsidRPr="009C2953">
              <w:rPr>
                <w:sz w:val="18"/>
              </w:rPr>
              <w:t>environnement, de la protection de la nature, de la sûreté nucléaire et de la protection des consommateurs/ Initiative internationale pour le climat)</w:t>
            </w:r>
          </w:p>
        </w:tc>
        <w:tc>
          <w:tcPr>
            <w:tcW w:w="2693" w:type="dxa"/>
            <w:tcBorders>
              <w:top w:val="single" w:sz="4" w:space="0" w:color="auto"/>
              <w:left w:val="nil"/>
              <w:bottom w:val="nil"/>
              <w:right w:val="nil"/>
            </w:tcBorders>
            <w:hideMark/>
          </w:tcPr>
          <w:p w14:paraId="77C83B6D" w14:textId="35387692" w:rsidR="0026585C" w:rsidRPr="009C2953" w:rsidRDefault="0026585C" w:rsidP="0026585C">
            <w:pPr>
              <w:pStyle w:val="Normal-pool"/>
              <w:spacing w:before="40" w:after="40"/>
              <w:rPr>
                <w:sz w:val="18"/>
                <w:szCs w:val="18"/>
              </w:rPr>
            </w:pPr>
            <w:r w:rsidRPr="009C2953">
              <w:rPr>
                <w:sz w:val="18"/>
              </w:rPr>
              <w:t>Centre mondial de surveillance pour la conservation du PNUE</w:t>
            </w:r>
          </w:p>
        </w:tc>
        <w:tc>
          <w:tcPr>
            <w:tcW w:w="7797" w:type="dxa"/>
            <w:tcBorders>
              <w:top w:val="single" w:sz="4" w:space="0" w:color="auto"/>
              <w:left w:val="nil"/>
              <w:bottom w:val="nil"/>
              <w:right w:val="nil"/>
            </w:tcBorders>
            <w:hideMark/>
          </w:tcPr>
          <w:p w14:paraId="579CAA46" w14:textId="51BBA5E8" w:rsidR="0026585C" w:rsidRPr="009C2953" w:rsidRDefault="0026585C" w:rsidP="0026585C">
            <w:pPr>
              <w:pStyle w:val="Normal-pool"/>
              <w:spacing w:before="40" w:after="40"/>
              <w:rPr>
                <w:sz w:val="18"/>
                <w:szCs w:val="18"/>
              </w:rPr>
            </w:pPr>
            <w:r w:rsidRPr="009C2953">
              <w:rPr>
                <w:sz w:val="18"/>
              </w:rPr>
              <w:t>Renforcement des capacités et appui à l</w:t>
            </w:r>
            <w:r w:rsidR="00EA2966" w:rsidRPr="009C2953">
              <w:rPr>
                <w:sz w:val="18"/>
              </w:rPr>
              <w:t>’</w:t>
            </w:r>
            <w:r w:rsidRPr="009C2953">
              <w:rPr>
                <w:sz w:val="18"/>
              </w:rPr>
              <w:t>Azerbaïdjan, à la Bosnie-Herzégovine, au Cambodge et à la Grenade pour la réalisation d</w:t>
            </w:r>
            <w:r w:rsidR="00EA2966" w:rsidRPr="009C2953">
              <w:rPr>
                <w:sz w:val="18"/>
              </w:rPr>
              <w:t>’</w:t>
            </w:r>
            <w:r w:rsidRPr="009C2953">
              <w:rPr>
                <w:sz w:val="18"/>
              </w:rPr>
              <w:t>évaluations des écosystèmes nationaux et la mise en place de plateformes scientifiques et politiques nationales sur la biodiversité et les services écosystémiques au titre de l</w:t>
            </w:r>
            <w:r w:rsidR="00EA2966" w:rsidRPr="009C2953">
              <w:rPr>
                <w:sz w:val="18"/>
              </w:rPr>
              <w:t>’</w:t>
            </w:r>
            <w:r w:rsidRPr="009C2953">
              <w:rPr>
                <w:sz w:val="18"/>
              </w:rPr>
              <w:t>IPBES</w:t>
            </w:r>
          </w:p>
        </w:tc>
        <w:tc>
          <w:tcPr>
            <w:tcW w:w="962" w:type="dxa"/>
            <w:tcBorders>
              <w:top w:val="single" w:sz="4" w:space="0" w:color="auto"/>
              <w:left w:val="nil"/>
              <w:bottom w:val="nil"/>
              <w:right w:val="nil"/>
            </w:tcBorders>
            <w:vAlign w:val="bottom"/>
            <w:hideMark/>
          </w:tcPr>
          <w:p w14:paraId="303D2C01" w14:textId="77777777" w:rsidR="0026585C" w:rsidRPr="009C2953" w:rsidRDefault="0026585C" w:rsidP="0026585C">
            <w:pPr>
              <w:pStyle w:val="Normal-pool"/>
              <w:spacing w:before="40" w:after="40"/>
              <w:jc w:val="right"/>
              <w:rPr>
                <w:sz w:val="18"/>
                <w:szCs w:val="18"/>
              </w:rPr>
            </w:pPr>
            <w:r w:rsidRPr="009C2953">
              <w:rPr>
                <w:sz w:val="18"/>
              </w:rPr>
              <w:t xml:space="preserve">0,9 </w:t>
            </w:r>
          </w:p>
        </w:tc>
      </w:tr>
      <w:tr w:rsidR="0026585C" w:rsidRPr="009C2953" w14:paraId="556F3699" w14:textId="77777777" w:rsidTr="000D47E2">
        <w:trPr>
          <w:trHeight w:val="57"/>
          <w:jc w:val="right"/>
        </w:trPr>
        <w:tc>
          <w:tcPr>
            <w:tcW w:w="2977" w:type="dxa"/>
            <w:vMerge/>
            <w:tcBorders>
              <w:top w:val="single" w:sz="4" w:space="0" w:color="auto"/>
              <w:left w:val="nil"/>
              <w:bottom w:val="nil"/>
              <w:right w:val="nil"/>
            </w:tcBorders>
            <w:vAlign w:val="center"/>
            <w:hideMark/>
          </w:tcPr>
          <w:p w14:paraId="35B3BDB7" w14:textId="77777777" w:rsidR="0026585C" w:rsidRPr="009C2953" w:rsidRDefault="0026585C" w:rsidP="0026585C">
            <w:pPr>
              <w:rPr>
                <w:sz w:val="18"/>
                <w:szCs w:val="18"/>
                <w:lang w:val="fr-FR"/>
              </w:rPr>
            </w:pPr>
          </w:p>
        </w:tc>
        <w:tc>
          <w:tcPr>
            <w:tcW w:w="2693" w:type="dxa"/>
            <w:tcBorders>
              <w:top w:val="nil"/>
              <w:left w:val="nil"/>
              <w:bottom w:val="nil"/>
              <w:right w:val="nil"/>
            </w:tcBorders>
            <w:hideMark/>
          </w:tcPr>
          <w:p w14:paraId="4B81F4A4" w14:textId="77777777" w:rsidR="0026585C" w:rsidRPr="009C2953" w:rsidRDefault="0026585C" w:rsidP="0026585C">
            <w:pPr>
              <w:pStyle w:val="Normal-pool"/>
              <w:spacing w:before="40" w:after="40"/>
              <w:rPr>
                <w:sz w:val="18"/>
                <w:szCs w:val="18"/>
              </w:rPr>
            </w:pPr>
            <w:r w:rsidRPr="009C2953">
              <w:rPr>
                <w:sz w:val="18"/>
              </w:rPr>
              <w:t xml:space="preserve">PNUD/BES-Net </w:t>
            </w:r>
          </w:p>
        </w:tc>
        <w:tc>
          <w:tcPr>
            <w:tcW w:w="7797" w:type="dxa"/>
            <w:tcBorders>
              <w:top w:val="nil"/>
              <w:left w:val="nil"/>
              <w:bottom w:val="nil"/>
              <w:right w:val="nil"/>
            </w:tcBorders>
            <w:hideMark/>
          </w:tcPr>
          <w:p w14:paraId="53930547" w14:textId="5E1C9CBE" w:rsidR="0026585C" w:rsidRPr="009C2953" w:rsidRDefault="0026585C" w:rsidP="0026585C">
            <w:pPr>
              <w:pStyle w:val="Normal-pool"/>
              <w:spacing w:before="40" w:after="40"/>
              <w:rPr>
                <w:sz w:val="18"/>
                <w:szCs w:val="18"/>
              </w:rPr>
            </w:pPr>
            <w:r w:rsidRPr="009C2953">
              <w:rPr>
                <w:sz w:val="18"/>
              </w:rPr>
              <w:t>Renforcement des capacités et appui aux évaluations nationales de la biodiversité et des services écosystémiques au moyen d</w:t>
            </w:r>
            <w:r w:rsidR="00EA2966" w:rsidRPr="009C2953">
              <w:rPr>
                <w:sz w:val="18"/>
              </w:rPr>
              <w:t>’</w:t>
            </w:r>
            <w:r w:rsidRPr="009C2953">
              <w:rPr>
                <w:sz w:val="18"/>
              </w:rPr>
              <w:t>un dialogue national organisé par le BES-Net en Colombie, au Cameroun, en Éthiopie et au Viet Nam</w:t>
            </w:r>
          </w:p>
        </w:tc>
        <w:tc>
          <w:tcPr>
            <w:tcW w:w="962" w:type="dxa"/>
            <w:tcBorders>
              <w:top w:val="nil"/>
              <w:left w:val="nil"/>
              <w:bottom w:val="nil"/>
              <w:right w:val="nil"/>
            </w:tcBorders>
            <w:vAlign w:val="bottom"/>
            <w:hideMark/>
          </w:tcPr>
          <w:p w14:paraId="4A3E5C7E" w14:textId="77777777" w:rsidR="0026585C" w:rsidRPr="009C2953" w:rsidRDefault="0026585C" w:rsidP="0026585C">
            <w:pPr>
              <w:pStyle w:val="Normal-pool"/>
              <w:spacing w:before="40" w:after="40"/>
              <w:jc w:val="right"/>
              <w:rPr>
                <w:sz w:val="18"/>
                <w:szCs w:val="18"/>
              </w:rPr>
            </w:pPr>
            <w:r w:rsidRPr="009C2953">
              <w:rPr>
                <w:sz w:val="18"/>
              </w:rPr>
              <w:t>0,3</w:t>
            </w:r>
          </w:p>
        </w:tc>
      </w:tr>
      <w:tr w:rsidR="0026585C" w:rsidRPr="009C2953" w14:paraId="6FF532B6" w14:textId="77777777" w:rsidTr="000D47E2">
        <w:trPr>
          <w:trHeight w:val="57"/>
          <w:jc w:val="right"/>
        </w:trPr>
        <w:tc>
          <w:tcPr>
            <w:tcW w:w="2977" w:type="dxa"/>
            <w:vMerge/>
            <w:tcBorders>
              <w:top w:val="single" w:sz="4" w:space="0" w:color="auto"/>
              <w:left w:val="nil"/>
              <w:bottom w:val="nil"/>
              <w:right w:val="nil"/>
            </w:tcBorders>
            <w:vAlign w:val="center"/>
            <w:hideMark/>
          </w:tcPr>
          <w:p w14:paraId="268E69D8" w14:textId="77777777" w:rsidR="0026585C" w:rsidRPr="009C2953" w:rsidRDefault="0026585C" w:rsidP="0026585C">
            <w:pPr>
              <w:rPr>
                <w:sz w:val="18"/>
                <w:szCs w:val="18"/>
                <w:lang w:val="fr-FR"/>
              </w:rPr>
            </w:pPr>
          </w:p>
        </w:tc>
        <w:tc>
          <w:tcPr>
            <w:tcW w:w="2693" w:type="dxa"/>
            <w:tcBorders>
              <w:top w:val="nil"/>
              <w:left w:val="nil"/>
              <w:bottom w:val="nil"/>
              <w:right w:val="nil"/>
            </w:tcBorders>
            <w:hideMark/>
          </w:tcPr>
          <w:p w14:paraId="407F4A47" w14:textId="56B7E90A" w:rsidR="0026585C" w:rsidRPr="009C2953" w:rsidRDefault="0026585C" w:rsidP="0026585C">
            <w:pPr>
              <w:pStyle w:val="Normal-pool"/>
              <w:spacing w:before="40" w:after="40"/>
              <w:rPr>
                <w:sz w:val="18"/>
                <w:szCs w:val="18"/>
              </w:rPr>
            </w:pPr>
            <w:r w:rsidRPr="009C2953">
              <w:rPr>
                <w:sz w:val="18"/>
              </w:rPr>
              <w:t>Centre mondial de surveillance pour la conservation du PNUE/ BES Net II</w:t>
            </w:r>
          </w:p>
        </w:tc>
        <w:tc>
          <w:tcPr>
            <w:tcW w:w="7797" w:type="dxa"/>
            <w:tcBorders>
              <w:top w:val="nil"/>
              <w:left w:val="nil"/>
              <w:bottom w:val="nil"/>
              <w:right w:val="nil"/>
            </w:tcBorders>
            <w:hideMark/>
          </w:tcPr>
          <w:p w14:paraId="6E515238" w14:textId="3A89AD1D" w:rsidR="0026585C" w:rsidRPr="009C2953" w:rsidRDefault="0026585C" w:rsidP="0026585C">
            <w:pPr>
              <w:pStyle w:val="Normal-pool"/>
              <w:spacing w:before="40" w:after="40"/>
              <w:rPr>
                <w:sz w:val="18"/>
                <w:szCs w:val="18"/>
              </w:rPr>
            </w:pPr>
            <w:r w:rsidRPr="009C2953">
              <w:rPr>
                <w:sz w:val="18"/>
              </w:rPr>
              <w:t>Renforcement des capacités et appui aux évaluations nationales de la biodiversité et des services écosystémiques dans un maximum de 40 pays</w:t>
            </w:r>
          </w:p>
        </w:tc>
        <w:tc>
          <w:tcPr>
            <w:tcW w:w="962" w:type="dxa"/>
            <w:tcBorders>
              <w:top w:val="nil"/>
              <w:left w:val="nil"/>
              <w:bottom w:val="nil"/>
              <w:right w:val="nil"/>
            </w:tcBorders>
            <w:vAlign w:val="bottom"/>
            <w:hideMark/>
          </w:tcPr>
          <w:p w14:paraId="40CC12AC" w14:textId="77777777" w:rsidR="0026585C" w:rsidRPr="009C2953" w:rsidRDefault="0026585C" w:rsidP="0026585C">
            <w:pPr>
              <w:pStyle w:val="Normal-pool"/>
              <w:spacing w:before="40" w:after="40"/>
              <w:jc w:val="right"/>
              <w:rPr>
                <w:sz w:val="18"/>
                <w:szCs w:val="18"/>
              </w:rPr>
            </w:pPr>
            <w:r w:rsidRPr="009C2953">
              <w:rPr>
                <w:sz w:val="18"/>
              </w:rPr>
              <w:t>2,2</w:t>
            </w:r>
          </w:p>
        </w:tc>
      </w:tr>
      <w:tr w:rsidR="0026585C" w:rsidRPr="009C2953" w14:paraId="1928FDC6" w14:textId="77777777" w:rsidTr="000D47E2">
        <w:trPr>
          <w:trHeight w:val="57"/>
          <w:jc w:val="right"/>
        </w:trPr>
        <w:tc>
          <w:tcPr>
            <w:tcW w:w="2977" w:type="dxa"/>
            <w:vMerge/>
            <w:tcBorders>
              <w:top w:val="single" w:sz="4" w:space="0" w:color="auto"/>
              <w:left w:val="nil"/>
              <w:bottom w:val="nil"/>
              <w:right w:val="nil"/>
            </w:tcBorders>
            <w:vAlign w:val="center"/>
            <w:hideMark/>
          </w:tcPr>
          <w:p w14:paraId="2CA77557" w14:textId="77777777" w:rsidR="0026585C" w:rsidRPr="009C2953" w:rsidRDefault="0026585C" w:rsidP="0026585C">
            <w:pPr>
              <w:rPr>
                <w:sz w:val="18"/>
                <w:szCs w:val="18"/>
                <w:lang w:val="fr-FR"/>
              </w:rPr>
            </w:pPr>
          </w:p>
        </w:tc>
        <w:tc>
          <w:tcPr>
            <w:tcW w:w="2693" w:type="dxa"/>
            <w:tcBorders>
              <w:top w:val="nil"/>
              <w:left w:val="nil"/>
              <w:bottom w:val="nil"/>
              <w:right w:val="nil"/>
            </w:tcBorders>
            <w:hideMark/>
          </w:tcPr>
          <w:p w14:paraId="2F4D62F3" w14:textId="77777777" w:rsidR="0026585C" w:rsidRPr="009C2953" w:rsidRDefault="0026585C" w:rsidP="0026585C">
            <w:pPr>
              <w:pStyle w:val="Normal-pool"/>
              <w:spacing w:before="40" w:after="40"/>
              <w:rPr>
                <w:sz w:val="18"/>
                <w:szCs w:val="18"/>
              </w:rPr>
            </w:pPr>
            <w:r w:rsidRPr="009C2953">
              <w:rPr>
                <w:sz w:val="18"/>
              </w:rPr>
              <w:t xml:space="preserve">Centre for </w:t>
            </w:r>
            <w:proofErr w:type="spellStart"/>
            <w:r w:rsidRPr="009C2953">
              <w:rPr>
                <w:sz w:val="18"/>
              </w:rPr>
              <w:t>Development</w:t>
            </w:r>
            <w:proofErr w:type="spellEnd"/>
            <w:r w:rsidRPr="009C2953">
              <w:rPr>
                <w:sz w:val="18"/>
              </w:rPr>
              <w:t xml:space="preserve"> </w:t>
            </w:r>
            <w:proofErr w:type="spellStart"/>
            <w:r w:rsidRPr="009C2953">
              <w:rPr>
                <w:sz w:val="18"/>
              </w:rPr>
              <w:t>Research</w:t>
            </w:r>
            <w:proofErr w:type="spellEnd"/>
            <w:r w:rsidRPr="009C2953">
              <w:rPr>
                <w:sz w:val="18"/>
              </w:rPr>
              <w:t xml:space="preserve"> (ZEF)</w:t>
            </w:r>
          </w:p>
        </w:tc>
        <w:tc>
          <w:tcPr>
            <w:tcW w:w="7797" w:type="dxa"/>
            <w:tcBorders>
              <w:top w:val="nil"/>
              <w:left w:val="nil"/>
              <w:bottom w:val="nil"/>
              <w:right w:val="nil"/>
            </w:tcBorders>
            <w:hideMark/>
          </w:tcPr>
          <w:p w14:paraId="46D9BDAC" w14:textId="1A0D7252" w:rsidR="0026585C" w:rsidRPr="009C2953" w:rsidRDefault="0026585C" w:rsidP="0026585C">
            <w:pPr>
              <w:pStyle w:val="Normal-pool"/>
              <w:spacing w:before="40" w:after="40"/>
              <w:rPr>
                <w:sz w:val="18"/>
                <w:szCs w:val="18"/>
              </w:rPr>
            </w:pPr>
            <w:r w:rsidRPr="009C2953">
              <w:rPr>
                <w:sz w:val="18"/>
              </w:rPr>
              <w:t>Appui au renforcement des capacités en faveur de pays d</w:t>
            </w:r>
            <w:r w:rsidR="00EA2966" w:rsidRPr="009C2953">
              <w:rPr>
                <w:sz w:val="18"/>
              </w:rPr>
              <w:t>’</w:t>
            </w:r>
            <w:r w:rsidRPr="009C2953">
              <w:rPr>
                <w:sz w:val="18"/>
              </w:rPr>
              <w:t>Afrique de l</w:t>
            </w:r>
            <w:r w:rsidR="00EA2966" w:rsidRPr="009C2953">
              <w:rPr>
                <w:sz w:val="18"/>
              </w:rPr>
              <w:t>’</w:t>
            </w:r>
            <w:r w:rsidRPr="009C2953">
              <w:rPr>
                <w:sz w:val="18"/>
              </w:rPr>
              <w:t>Ouest (Bénin, Burkina Faso, Cabo</w:t>
            </w:r>
            <w:r w:rsidR="00FA7442">
              <w:rPr>
                <w:sz w:val="18"/>
              </w:rPr>
              <w:t> </w:t>
            </w:r>
            <w:r w:rsidRPr="009C2953">
              <w:rPr>
                <w:sz w:val="18"/>
              </w:rPr>
              <w:t>Verde, Côte d</w:t>
            </w:r>
            <w:r w:rsidR="00EA2966" w:rsidRPr="009C2953">
              <w:rPr>
                <w:sz w:val="18"/>
              </w:rPr>
              <w:t>’</w:t>
            </w:r>
            <w:r w:rsidRPr="009C2953">
              <w:rPr>
                <w:sz w:val="18"/>
              </w:rPr>
              <w:t>Ivoire, Gambie, Ghana, Guinée, Guinée-Bissau, Libéria, Mali, Niger, Nigéria, Sénégal, Sierra Leone et Togo) ; renforcement de la participation aux activités de l</w:t>
            </w:r>
            <w:r w:rsidR="00EA2966" w:rsidRPr="009C2953">
              <w:rPr>
                <w:sz w:val="18"/>
              </w:rPr>
              <w:t>’</w:t>
            </w:r>
            <w:r w:rsidRPr="009C2953">
              <w:rPr>
                <w:sz w:val="18"/>
              </w:rPr>
              <w:t>IPBES et adoption de ses produits ; renforcement des réseaux Sud-Sud par l</w:t>
            </w:r>
            <w:r w:rsidR="00EA2966" w:rsidRPr="009C2953">
              <w:rPr>
                <w:sz w:val="18"/>
              </w:rPr>
              <w:t>’</w:t>
            </w:r>
            <w:r w:rsidRPr="009C2953">
              <w:rPr>
                <w:sz w:val="18"/>
              </w:rPr>
              <w:t>intermédiaire d</w:t>
            </w:r>
            <w:r w:rsidR="00EA2966" w:rsidRPr="009C2953">
              <w:rPr>
                <w:sz w:val="18"/>
              </w:rPr>
              <w:t>’</w:t>
            </w:r>
            <w:r w:rsidRPr="009C2953">
              <w:rPr>
                <w:sz w:val="18"/>
              </w:rPr>
              <w:t>ateliers ; mise en place d</w:t>
            </w:r>
            <w:r w:rsidR="00EA2966" w:rsidRPr="009C2953">
              <w:rPr>
                <w:sz w:val="18"/>
              </w:rPr>
              <w:t>’</w:t>
            </w:r>
            <w:r w:rsidRPr="009C2953">
              <w:rPr>
                <w:sz w:val="18"/>
              </w:rPr>
              <w:t>une</w:t>
            </w:r>
            <w:r w:rsidR="00FA7442">
              <w:rPr>
                <w:sz w:val="18"/>
              </w:rPr>
              <w:t> </w:t>
            </w:r>
            <w:r w:rsidRPr="009C2953">
              <w:rPr>
                <w:sz w:val="18"/>
              </w:rPr>
              <w:t>plateforme sous-régionale sur l</w:t>
            </w:r>
            <w:r w:rsidR="00EA2966" w:rsidRPr="009C2953">
              <w:rPr>
                <w:sz w:val="18"/>
              </w:rPr>
              <w:t>’</w:t>
            </w:r>
            <w:r w:rsidRPr="009C2953">
              <w:rPr>
                <w:sz w:val="18"/>
              </w:rPr>
              <w:t>interface science-politiques ; formation de jeunes professionnel(le)s dans le cadre d</w:t>
            </w:r>
            <w:r w:rsidR="00EA2966" w:rsidRPr="009C2953">
              <w:rPr>
                <w:sz w:val="18"/>
              </w:rPr>
              <w:t>’</w:t>
            </w:r>
            <w:r w:rsidRPr="009C2953">
              <w:rPr>
                <w:sz w:val="18"/>
              </w:rPr>
              <w:t>un master intitulé « Gestion des interfaces science-politiques sur la biodiversité et les services écosystémiques pour le développement durable en Afrique de l</w:t>
            </w:r>
            <w:r w:rsidR="00EA2966" w:rsidRPr="009C2953">
              <w:rPr>
                <w:sz w:val="18"/>
              </w:rPr>
              <w:t>’</w:t>
            </w:r>
            <w:r w:rsidRPr="009C2953">
              <w:rPr>
                <w:sz w:val="18"/>
              </w:rPr>
              <w:t>Ouest (SPIBES) »</w:t>
            </w:r>
          </w:p>
        </w:tc>
        <w:tc>
          <w:tcPr>
            <w:tcW w:w="962" w:type="dxa"/>
            <w:tcBorders>
              <w:top w:val="nil"/>
              <w:left w:val="nil"/>
              <w:bottom w:val="nil"/>
              <w:right w:val="nil"/>
            </w:tcBorders>
            <w:vAlign w:val="bottom"/>
            <w:hideMark/>
          </w:tcPr>
          <w:p w14:paraId="2A4E4E92" w14:textId="77777777" w:rsidR="0026585C" w:rsidRPr="009C2953" w:rsidRDefault="0026585C" w:rsidP="0026585C">
            <w:pPr>
              <w:pStyle w:val="Normal-pool"/>
              <w:spacing w:before="40" w:after="40"/>
              <w:jc w:val="right"/>
              <w:rPr>
                <w:sz w:val="18"/>
                <w:szCs w:val="18"/>
              </w:rPr>
            </w:pPr>
            <w:r w:rsidRPr="009C2953">
              <w:rPr>
                <w:sz w:val="18"/>
              </w:rPr>
              <w:t>0,3</w:t>
            </w:r>
          </w:p>
        </w:tc>
      </w:tr>
      <w:tr w:rsidR="0026585C" w:rsidRPr="009C2953" w14:paraId="4CD72C2A" w14:textId="77777777" w:rsidTr="000D47E2">
        <w:trPr>
          <w:trHeight w:val="57"/>
          <w:jc w:val="right"/>
        </w:trPr>
        <w:tc>
          <w:tcPr>
            <w:tcW w:w="2977" w:type="dxa"/>
            <w:tcBorders>
              <w:top w:val="nil"/>
              <w:left w:val="nil"/>
              <w:bottom w:val="nil"/>
              <w:right w:val="nil"/>
            </w:tcBorders>
          </w:tcPr>
          <w:p w14:paraId="549C5A63" w14:textId="77777777" w:rsidR="0026585C" w:rsidRPr="009C2953" w:rsidRDefault="0026585C" w:rsidP="0026585C">
            <w:pPr>
              <w:pStyle w:val="Normal-pool"/>
              <w:spacing w:before="40" w:after="40"/>
              <w:rPr>
                <w:sz w:val="18"/>
                <w:szCs w:val="18"/>
              </w:rPr>
            </w:pPr>
          </w:p>
        </w:tc>
        <w:tc>
          <w:tcPr>
            <w:tcW w:w="2693" w:type="dxa"/>
            <w:tcBorders>
              <w:top w:val="nil"/>
              <w:left w:val="nil"/>
              <w:bottom w:val="nil"/>
              <w:right w:val="nil"/>
            </w:tcBorders>
            <w:hideMark/>
          </w:tcPr>
          <w:p w14:paraId="0D44706B" w14:textId="77777777" w:rsidR="0026585C" w:rsidRPr="009C2953" w:rsidRDefault="0026585C" w:rsidP="0026585C">
            <w:pPr>
              <w:pStyle w:val="Normal-pool"/>
              <w:spacing w:before="40" w:after="40"/>
              <w:rPr>
                <w:sz w:val="18"/>
                <w:szCs w:val="18"/>
              </w:rPr>
            </w:pPr>
            <w:r w:rsidRPr="009C2953">
              <w:rPr>
                <w:sz w:val="18"/>
              </w:rPr>
              <w:t xml:space="preserve">Centre for </w:t>
            </w:r>
            <w:proofErr w:type="spellStart"/>
            <w:r w:rsidRPr="009C2953">
              <w:rPr>
                <w:sz w:val="18"/>
              </w:rPr>
              <w:t>Development</w:t>
            </w:r>
            <w:proofErr w:type="spellEnd"/>
            <w:r w:rsidRPr="009C2953">
              <w:rPr>
                <w:sz w:val="18"/>
              </w:rPr>
              <w:t xml:space="preserve"> </w:t>
            </w:r>
            <w:proofErr w:type="spellStart"/>
            <w:r w:rsidRPr="009C2953">
              <w:rPr>
                <w:sz w:val="18"/>
              </w:rPr>
              <w:t>Research</w:t>
            </w:r>
            <w:proofErr w:type="spellEnd"/>
            <w:r w:rsidRPr="009C2953">
              <w:rPr>
                <w:sz w:val="18"/>
              </w:rPr>
              <w:t xml:space="preserve"> (ZEF)</w:t>
            </w:r>
          </w:p>
        </w:tc>
        <w:tc>
          <w:tcPr>
            <w:tcW w:w="7797" w:type="dxa"/>
            <w:tcBorders>
              <w:top w:val="nil"/>
              <w:left w:val="nil"/>
              <w:bottom w:val="nil"/>
              <w:right w:val="nil"/>
            </w:tcBorders>
            <w:hideMark/>
          </w:tcPr>
          <w:p w14:paraId="1599744B" w14:textId="47BD1A0D" w:rsidR="0026585C" w:rsidRPr="009C2953" w:rsidRDefault="0026585C" w:rsidP="0026585C">
            <w:pPr>
              <w:pStyle w:val="Normal-pool"/>
              <w:spacing w:before="40" w:after="40"/>
              <w:rPr>
                <w:sz w:val="18"/>
                <w:szCs w:val="18"/>
              </w:rPr>
            </w:pPr>
            <w:r w:rsidRPr="009C2953">
              <w:rPr>
                <w:sz w:val="18"/>
              </w:rPr>
              <w:t>CABES - Développement des capacités des expert(e)s en biodiversité et en services écosystémiques en Afrique centrale, de l</w:t>
            </w:r>
            <w:r w:rsidR="00EA2966" w:rsidRPr="009C2953">
              <w:rPr>
                <w:sz w:val="18"/>
              </w:rPr>
              <w:t>’</w:t>
            </w:r>
            <w:r w:rsidRPr="009C2953">
              <w:rPr>
                <w:sz w:val="18"/>
              </w:rPr>
              <w:t>Ouest et de l</w:t>
            </w:r>
            <w:r w:rsidR="00EA2966" w:rsidRPr="009C2953">
              <w:rPr>
                <w:sz w:val="18"/>
              </w:rPr>
              <w:t>’</w:t>
            </w:r>
            <w:r w:rsidRPr="009C2953">
              <w:rPr>
                <w:sz w:val="18"/>
              </w:rPr>
              <w:t>Est</w:t>
            </w:r>
          </w:p>
        </w:tc>
        <w:tc>
          <w:tcPr>
            <w:tcW w:w="962" w:type="dxa"/>
            <w:tcBorders>
              <w:top w:val="nil"/>
              <w:left w:val="nil"/>
              <w:bottom w:val="nil"/>
              <w:right w:val="nil"/>
            </w:tcBorders>
            <w:vAlign w:val="bottom"/>
            <w:hideMark/>
          </w:tcPr>
          <w:p w14:paraId="3B0F164C" w14:textId="77777777" w:rsidR="0026585C" w:rsidRPr="009C2953" w:rsidRDefault="0026585C" w:rsidP="0026585C">
            <w:pPr>
              <w:pStyle w:val="Normal-pool"/>
              <w:spacing w:before="40" w:after="40"/>
              <w:jc w:val="right"/>
              <w:rPr>
                <w:sz w:val="18"/>
                <w:szCs w:val="18"/>
              </w:rPr>
            </w:pPr>
            <w:r w:rsidRPr="009C2953">
              <w:rPr>
                <w:sz w:val="18"/>
              </w:rPr>
              <w:t>0,9</w:t>
            </w:r>
          </w:p>
        </w:tc>
      </w:tr>
      <w:tr w:rsidR="0026585C" w:rsidRPr="009C2953" w14:paraId="68398B72" w14:textId="77777777" w:rsidTr="000D47E2">
        <w:trPr>
          <w:trHeight w:val="57"/>
          <w:jc w:val="right"/>
        </w:trPr>
        <w:tc>
          <w:tcPr>
            <w:tcW w:w="2977" w:type="dxa"/>
            <w:tcBorders>
              <w:top w:val="nil"/>
              <w:left w:val="nil"/>
              <w:bottom w:val="single" w:sz="4" w:space="0" w:color="000000"/>
              <w:right w:val="nil"/>
            </w:tcBorders>
          </w:tcPr>
          <w:p w14:paraId="75C616D4" w14:textId="77777777" w:rsidR="0026585C" w:rsidRPr="009C2953" w:rsidRDefault="0026585C" w:rsidP="000D47E2">
            <w:pPr>
              <w:pStyle w:val="Normal-pool"/>
              <w:spacing w:before="40" w:after="40"/>
              <w:rPr>
                <w:sz w:val="18"/>
                <w:szCs w:val="18"/>
              </w:rPr>
            </w:pPr>
          </w:p>
        </w:tc>
        <w:tc>
          <w:tcPr>
            <w:tcW w:w="2693" w:type="dxa"/>
            <w:tcBorders>
              <w:top w:val="nil"/>
              <w:left w:val="nil"/>
              <w:bottom w:val="single" w:sz="4" w:space="0" w:color="000000"/>
              <w:right w:val="nil"/>
            </w:tcBorders>
            <w:hideMark/>
          </w:tcPr>
          <w:p w14:paraId="4B66BF79" w14:textId="30E889A0" w:rsidR="0026585C" w:rsidRPr="009C2953" w:rsidRDefault="0026585C" w:rsidP="000D47E2">
            <w:pPr>
              <w:pStyle w:val="Normal-pool"/>
              <w:spacing w:before="40" w:after="40"/>
              <w:rPr>
                <w:sz w:val="18"/>
                <w:szCs w:val="18"/>
              </w:rPr>
            </w:pPr>
            <w:r w:rsidRPr="009C2953">
              <w:rPr>
                <w:sz w:val="18"/>
              </w:rPr>
              <w:t xml:space="preserve">Institut </w:t>
            </w:r>
            <w:proofErr w:type="spellStart"/>
            <w:r w:rsidRPr="009C2953">
              <w:rPr>
                <w:sz w:val="18"/>
              </w:rPr>
              <w:t>für</w:t>
            </w:r>
            <w:proofErr w:type="spellEnd"/>
            <w:r w:rsidRPr="009C2953">
              <w:rPr>
                <w:sz w:val="18"/>
              </w:rPr>
              <w:t xml:space="preserve"> </w:t>
            </w:r>
            <w:proofErr w:type="spellStart"/>
            <w:r w:rsidRPr="009C2953">
              <w:rPr>
                <w:sz w:val="18"/>
              </w:rPr>
              <w:t>Biodiversität</w:t>
            </w:r>
            <w:proofErr w:type="spellEnd"/>
            <w:r w:rsidRPr="009C2953">
              <w:rPr>
                <w:sz w:val="18"/>
              </w:rPr>
              <w:t xml:space="preserve"> - </w:t>
            </w:r>
            <w:proofErr w:type="spellStart"/>
            <w:r w:rsidRPr="009C2953">
              <w:rPr>
                <w:sz w:val="18"/>
              </w:rPr>
              <w:t>Netzwerk</w:t>
            </w:r>
            <w:proofErr w:type="spellEnd"/>
            <w:r w:rsidRPr="009C2953">
              <w:rPr>
                <w:sz w:val="18"/>
              </w:rPr>
              <w:t xml:space="preserve"> </w:t>
            </w:r>
            <w:proofErr w:type="spellStart"/>
            <w:r w:rsidRPr="009C2953">
              <w:rPr>
                <w:sz w:val="18"/>
              </w:rPr>
              <w:t>e.V</w:t>
            </w:r>
            <w:proofErr w:type="spellEnd"/>
            <w:r w:rsidRPr="009C2953">
              <w:rPr>
                <w:sz w:val="18"/>
              </w:rPr>
              <w:t xml:space="preserve"> (ibn), en</w:t>
            </w:r>
            <w:r w:rsidR="007C47AF" w:rsidRPr="009C2953">
              <w:rPr>
                <w:sz w:val="18"/>
              </w:rPr>
              <w:t xml:space="preserve"> </w:t>
            </w:r>
            <w:r w:rsidRPr="009C2953">
              <w:rPr>
                <w:sz w:val="18"/>
              </w:rPr>
              <w:t>coordination avec le</w:t>
            </w:r>
            <w:r w:rsidR="007C47AF" w:rsidRPr="009C2953">
              <w:rPr>
                <w:sz w:val="18"/>
              </w:rPr>
              <w:t xml:space="preserve"> </w:t>
            </w:r>
            <w:r w:rsidRPr="009C2953">
              <w:rPr>
                <w:sz w:val="18"/>
              </w:rPr>
              <w:t>groupe</w:t>
            </w:r>
            <w:r w:rsidR="007C47AF" w:rsidRPr="009C2953">
              <w:rPr>
                <w:sz w:val="18"/>
              </w:rPr>
              <w:t xml:space="preserve"> </w:t>
            </w:r>
            <w:r w:rsidRPr="009C2953">
              <w:rPr>
                <w:sz w:val="18"/>
              </w:rPr>
              <w:t>d</w:t>
            </w:r>
            <w:r w:rsidR="00EA2966" w:rsidRPr="009C2953">
              <w:rPr>
                <w:sz w:val="18"/>
              </w:rPr>
              <w:t>’</w:t>
            </w:r>
            <w:r w:rsidRPr="009C2953">
              <w:rPr>
                <w:sz w:val="18"/>
              </w:rPr>
              <w:t>appui technique de l</w:t>
            </w:r>
            <w:r w:rsidR="00EA2966" w:rsidRPr="009C2953">
              <w:rPr>
                <w:sz w:val="18"/>
              </w:rPr>
              <w:t>’</w:t>
            </w:r>
            <w:r w:rsidRPr="009C2953">
              <w:rPr>
                <w:sz w:val="18"/>
              </w:rPr>
              <w:t>IPBES</w:t>
            </w:r>
            <w:r w:rsidR="007C47AF" w:rsidRPr="009C2953">
              <w:rPr>
                <w:sz w:val="18"/>
              </w:rPr>
              <w:t xml:space="preserve"> </w:t>
            </w:r>
            <w:r w:rsidRPr="009C2953">
              <w:rPr>
                <w:sz w:val="18"/>
              </w:rPr>
              <w:t>pour le renforcement des</w:t>
            </w:r>
            <w:r w:rsidR="007C47AF" w:rsidRPr="009C2953">
              <w:rPr>
                <w:sz w:val="18"/>
              </w:rPr>
              <w:t> </w:t>
            </w:r>
            <w:r w:rsidRPr="009C2953">
              <w:rPr>
                <w:sz w:val="18"/>
              </w:rPr>
              <w:t>capacités et l</w:t>
            </w:r>
            <w:r w:rsidR="00EA2966" w:rsidRPr="009C2953">
              <w:rPr>
                <w:sz w:val="18"/>
              </w:rPr>
              <w:t>’</w:t>
            </w:r>
            <w:r w:rsidRPr="009C2953">
              <w:rPr>
                <w:sz w:val="18"/>
              </w:rPr>
              <w:t>Agence fédérale allemande pour la</w:t>
            </w:r>
            <w:r w:rsidR="007C47AF" w:rsidRPr="009C2953">
              <w:rPr>
                <w:sz w:val="18"/>
              </w:rPr>
              <w:t> </w:t>
            </w:r>
            <w:r w:rsidRPr="009C2953">
              <w:rPr>
                <w:sz w:val="18"/>
              </w:rPr>
              <w:t>conservation de la nature (</w:t>
            </w:r>
            <w:proofErr w:type="spellStart"/>
            <w:r w:rsidRPr="009C2953">
              <w:rPr>
                <w:sz w:val="18"/>
              </w:rPr>
              <w:t>BfN</w:t>
            </w:r>
            <w:proofErr w:type="spellEnd"/>
            <w:r w:rsidRPr="009C2953">
              <w:rPr>
                <w:sz w:val="18"/>
              </w:rPr>
              <w:t>)</w:t>
            </w:r>
          </w:p>
        </w:tc>
        <w:tc>
          <w:tcPr>
            <w:tcW w:w="7797" w:type="dxa"/>
            <w:tcBorders>
              <w:top w:val="nil"/>
              <w:left w:val="nil"/>
              <w:bottom w:val="single" w:sz="4" w:space="0" w:color="000000"/>
              <w:right w:val="nil"/>
            </w:tcBorders>
            <w:hideMark/>
          </w:tcPr>
          <w:p w14:paraId="3FCC538F" w14:textId="14388BAD" w:rsidR="0026585C" w:rsidRPr="009C2953" w:rsidRDefault="0026585C" w:rsidP="000D47E2">
            <w:pPr>
              <w:pStyle w:val="Normal-pool"/>
              <w:spacing w:before="40" w:after="40"/>
              <w:rPr>
                <w:sz w:val="18"/>
                <w:szCs w:val="18"/>
              </w:rPr>
            </w:pPr>
            <w:r w:rsidRPr="009C2953">
              <w:rPr>
                <w:sz w:val="18"/>
              </w:rPr>
              <w:t>Renforcer l</w:t>
            </w:r>
            <w:r w:rsidR="00EA2966" w:rsidRPr="009C2953">
              <w:rPr>
                <w:sz w:val="18"/>
              </w:rPr>
              <w:t>’</w:t>
            </w:r>
            <w:r w:rsidRPr="009C2953">
              <w:rPr>
                <w:sz w:val="18"/>
              </w:rPr>
              <w:t>IPBES en développant les capacités dans la région Europe orientale, Caucase et</w:t>
            </w:r>
            <w:r w:rsidR="00FA7442">
              <w:rPr>
                <w:sz w:val="18"/>
              </w:rPr>
              <w:t xml:space="preserve"> </w:t>
            </w:r>
            <w:r w:rsidRPr="009C2953">
              <w:rPr>
                <w:sz w:val="18"/>
              </w:rPr>
              <w:t>Asie</w:t>
            </w:r>
            <w:r w:rsidR="00FA7442">
              <w:rPr>
                <w:sz w:val="18"/>
              </w:rPr>
              <w:t> </w:t>
            </w:r>
            <w:r w:rsidRPr="009C2953">
              <w:rPr>
                <w:sz w:val="18"/>
              </w:rPr>
              <w:t>centrale</w:t>
            </w:r>
          </w:p>
        </w:tc>
        <w:tc>
          <w:tcPr>
            <w:tcW w:w="962" w:type="dxa"/>
            <w:tcBorders>
              <w:top w:val="nil"/>
              <w:left w:val="nil"/>
              <w:bottom w:val="single" w:sz="4" w:space="0" w:color="000000"/>
              <w:right w:val="nil"/>
            </w:tcBorders>
            <w:vAlign w:val="bottom"/>
            <w:hideMark/>
          </w:tcPr>
          <w:p w14:paraId="1CAE5D2F" w14:textId="77777777" w:rsidR="0026585C" w:rsidRPr="009C2953" w:rsidRDefault="0026585C" w:rsidP="0026585C">
            <w:pPr>
              <w:pStyle w:val="Normal-pool"/>
              <w:spacing w:before="40" w:after="40"/>
              <w:jc w:val="right"/>
              <w:rPr>
                <w:sz w:val="18"/>
                <w:szCs w:val="18"/>
              </w:rPr>
            </w:pPr>
            <w:r w:rsidRPr="009C2953">
              <w:rPr>
                <w:sz w:val="18"/>
              </w:rPr>
              <w:t>0,1</w:t>
            </w:r>
          </w:p>
        </w:tc>
      </w:tr>
      <w:tr w:rsidR="0026585C" w:rsidRPr="009C2953" w14:paraId="413AEDD8" w14:textId="77777777" w:rsidTr="000D47E2">
        <w:trPr>
          <w:trHeight w:val="57"/>
          <w:jc w:val="right"/>
        </w:trPr>
        <w:tc>
          <w:tcPr>
            <w:tcW w:w="2977" w:type="dxa"/>
            <w:tcBorders>
              <w:top w:val="single" w:sz="4" w:space="0" w:color="000000"/>
              <w:left w:val="nil"/>
              <w:bottom w:val="single" w:sz="12" w:space="0" w:color="000000"/>
              <w:right w:val="nil"/>
            </w:tcBorders>
            <w:hideMark/>
          </w:tcPr>
          <w:p w14:paraId="02A7772C" w14:textId="77777777" w:rsidR="0026585C" w:rsidRPr="009C2953" w:rsidRDefault="0026585C" w:rsidP="008F6690">
            <w:pPr>
              <w:pStyle w:val="Normal-pool"/>
              <w:keepNext/>
              <w:keepLines/>
              <w:spacing w:before="40" w:after="40"/>
              <w:rPr>
                <w:b/>
                <w:sz w:val="18"/>
                <w:szCs w:val="18"/>
              </w:rPr>
            </w:pPr>
            <w:r w:rsidRPr="009C2953">
              <w:rPr>
                <w:b/>
                <w:sz w:val="18"/>
              </w:rPr>
              <w:t>Total</w:t>
            </w:r>
          </w:p>
        </w:tc>
        <w:tc>
          <w:tcPr>
            <w:tcW w:w="2693" w:type="dxa"/>
            <w:tcBorders>
              <w:top w:val="single" w:sz="4" w:space="0" w:color="000000"/>
              <w:left w:val="nil"/>
              <w:bottom w:val="single" w:sz="12" w:space="0" w:color="000000"/>
              <w:right w:val="nil"/>
            </w:tcBorders>
          </w:tcPr>
          <w:p w14:paraId="6D9395E5" w14:textId="77777777" w:rsidR="0026585C" w:rsidRPr="009C2953" w:rsidRDefault="0026585C" w:rsidP="008F6690">
            <w:pPr>
              <w:pStyle w:val="Normal-pool"/>
              <w:keepNext/>
              <w:keepLines/>
              <w:spacing w:before="40" w:after="40"/>
              <w:rPr>
                <w:sz w:val="18"/>
                <w:szCs w:val="18"/>
              </w:rPr>
            </w:pPr>
          </w:p>
        </w:tc>
        <w:tc>
          <w:tcPr>
            <w:tcW w:w="7797" w:type="dxa"/>
            <w:tcBorders>
              <w:top w:val="single" w:sz="4" w:space="0" w:color="000000"/>
              <w:left w:val="nil"/>
              <w:bottom w:val="single" w:sz="12" w:space="0" w:color="000000"/>
              <w:right w:val="nil"/>
            </w:tcBorders>
          </w:tcPr>
          <w:p w14:paraId="51EA53E6" w14:textId="77777777" w:rsidR="0026585C" w:rsidRPr="009C2953" w:rsidRDefault="0026585C" w:rsidP="008F6690">
            <w:pPr>
              <w:pStyle w:val="Normal-pool"/>
              <w:keepNext/>
              <w:keepLines/>
              <w:spacing w:before="40" w:after="40"/>
              <w:rPr>
                <w:b/>
                <w:sz w:val="18"/>
                <w:szCs w:val="18"/>
              </w:rPr>
            </w:pPr>
          </w:p>
        </w:tc>
        <w:tc>
          <w:tcPr>
            <w:tcW w:w="962" w:type="dxa"/>
            <w:tcBorders>
              <w:top w:val="single" w:sz="4" w:space="0" w:color="000000"/>
              <w:left w:val="nil"/>
              <w:bottom w:val="single" w:sz="12" w:space="0" w:color="000000"/>
              <w:right w:val="nil"/>
            </w:tcBorders>
            <w:vAlign w:val="bottom"/>
            <w:hideMark/>
          </w:tcPr>
          <w:p w14:paraId="25A18A14" w14:textId="77777777" w:rsidR="0026585C" w:rsidRPr="009C2953" w:rsidRDefault="0026585C" w:rsidP="0026585C">
            <w:pPr>
              <w:pStyle w:val="Normal-pool"/>
              <w:spacing w:before="40" w:after="40"/>
              <w:jc w:val="right"/>
              <w:rPr>
                <w:sz w:val="18"/>
                <w:szCs w:val="18"/>
              </w:rPr>
            </w:pPr>
            <w:r w:rsidRPr="009C2953">
              <w:rPr>
                <w:b/>
                <w:sz w:val="18"/>
              </w:rPr>
              <w:t>113,3</w:t>
            </w:r>
          </w:p>
        </w:tc>
      </w:tr>
    </w:tbl>
    <w:p w14:paraId="23FEC73D" w14:textId="210876CD" w:rsidR="00607B78" w:rsidRPr="009C2953" w:rsidRDefault="00607B78" w:rsidP="00170E14">
      <w:pPr>
        <w:tabs>
          <w:tab w:val="left" w:pos="624"/>
          <w:tab w:val="left" w:pos="1871"/>
          <w:tab w:val="left" w:pos="2495"/>
          <w:tab w:val="left" w:pos="3119"/>
          <w:tab w:val="left" w:pos="3742"/>
          <w:tab w:val="left" w:pos="4366"/>
        </w:tabs>
        <w:spacing w:before="60"/>
        <w:ind w:left="1247"/>
        <w:rPr>
          <w:color w:val="000000"/>
          <w:sz w:val="18"/>
          <w:szCs w:val="18"/>
          <w:lang w:val="fr-FR"/>
        </w:rPr>
        <w:sectPr w:rsidR="00607B78" w:rsidRPr="009C2953" w:rsidSect="00603A5E">
          <w:footnotePr>
            <w:numRestart w:val="eachSect"/>
          </w:footnotePr>
          <w:pgSz w:w="16839" w:h="11907" w:orient="landscape"/>
          <w:pgMar w:top="907" w:right="992" w:bottom="1418" w:left="1418" w:header="539" w:footer="975" w:gutter="0"/>
          <w:cols w:space="720"/>
          <w:docGrid w:linePitch="272"/>
        </w:sectPr>
      </w:pPr>
      <w:r w:rsidRPr="009C2953">
        <w:rPr>
          <w:i/>
          <w:color w:val="000000"/>
          <w:sz w:val="18"/>
          <w:lang w:val="fr-FR"/>
        </w:rPr>
        <w:tab/>
        <w:t>Abréviations</w:t>
      </w:r>
      <w:r w:rsidRPr="009C2953">
        <w:rPr>
          <w:color w:val="000000"/>
          <w:sz w:val="18"/>
          <w:lang w:val="fr-FR"/>
        </w:rPr>
        <w:t> : BES-Net : Réseau sur</w:t>
      </w:r>
      <w:r w:rsidR="00F34644" w:rsidRPr="009C2953">
        <w:rPr>
          <w:color w:val="000000"/>
          <w:sz w:val="18"/>
          <w:lang w:val="fr-FR"/>
        </w:rPr>
        <w:t xml:space="preserve"> la </w:t>
      </w:r>
      <w:r w:rsidRPr="009C2953">
        <w:rPr>
          <w:color w:val="000000"/>
          <w:sz w:val="18"/>
          <w:lang w:val="fr-FR"/>
        </w:rPr>
        <w:t>biodiversité et</w:t>
      </w:r>
      <w:r w:rsidR="00F34644" w:rsidRPr="009C2953">
        <w:rPr>
          <w:color w:val="000000"/>
          <w:sz w:val="18"/>
          <w:lang w:val="fr-FR"/>
        </w:rPr>
        <w:t xml:space="preserve"> les </w:t>
      </w:r>
      <w:r w:rsidRPr="009C2953">
        <w:rPr>
          <w:color w:val="000000"/>
          <w:sz w:val="18"/>
          <w:lang w:val="fr-FR"/>
        </w:rPr>
        <w:t>services écosystémiques ; PNUD : Programme</w:t>
      </w:r>
      <w:r w:rsidR="00D24DC1" w:rsidRPr="009C2953">
        <w:rPr>
          <w:color w:val="000000"/>
          <w:sz w:val="18"/>
          <w:lang w:val="fr-FR"/>
        </w:rPr>
        <w:t xml:space="preserve"> des </w:t>
      </w:r>
      <w:r w:rsidRPr="009C2953">
        <w:rPr>
          <w:color w:val="000000"/>
          <w:sz w:val="18"/>
          <w:lang w:val="fr-FR"/>
        </w:rPr>
        <w:t>Nations Unies pour</w:t>
      </w:r>
      <w:r w:rsidR="00F34644" w:rsidRPr="009C2953">
        <w:rPr>
          <w:color w:val="000000"/>
          <w:sz w:val="18"/>
          <w:lang w:val="fr-FR"/>
        </w:rPr>
        <w:t xml:space="preserve"> le </w:t>
      </w:r>
      <w:r w:rsidRPr="009C2953">
        <w:rPr>
          <w:color w:val="000000"/>
          <w:sz w:val="18"/>
          <w:lang w:val="fr-FR"/>
        </w:rPr>
        <w:t xml:space="preserve">développement. </w:t>
      </w:r>
    </w:p>
    <w:p w14:paraId="002E446F" w14:textId="77777777" w:rsidR="00607B78" w:rsidRPr="009C2953" w:rsidRDefault="00607B78" w:rsidP="00607B78">
      <w:pPr>
        <w:pStyle w:val="CH1"/>
        <w:rPr>
          <w:rFonts w:eastAsia="Yu Mincho"/>
        </w:rPr>
      </w:pPr>
      <w:r w:rsidRPr="009C2953">
        <w:lastRenderedPageBreak/>
        <w:tab/>
        <w:t>II.</w:t>
      </w:r>
      <w:r w:rsidRPr="009C2953">
        <w:tab/>
        <w:t>Dépenses finales de 2022</w:t>
      </w:r>
    </w:p>
    <w:p w14:paraId="0A03FE90" w14:textId="77777777" w:rsidR="00607B78" w:rsidRPr="009C2953" w:rsidRDefault="00607B78" w:rsidP="00607B78">
      <w:pPr>
        <w:pStyle w:val="Titletable"/>
        <w:spacing w:before="240"/>
      </w:pPr>
      <w:r w:rsidRPr="009C2953">
        <w:rPr>
          <w:b w:val="0"/>
        </w:rPr>
        <w:t xml:space="preserve">Tableau 5 </w:t>
      </w:r>
      <w:r w:rsidRPr="009C2953">
        <w:rPr>
          <w:b w:val="0"/>
        </w:rPr>
        <w:br/>
      </w:r>
      <w:r w:rsidRPr="009C2953">
        <w:t>Dépenses finales de 2022</w:t>
      </w:r>
    </w:p>
    <w:p w14:paraId="5649A28B" w14:textId="268D0A94" w:rsidR="00607B78" w:rsidRPr="009C2953" w:rsidRDefault="00607B78" w:rsidP="00607B78">
      <w:pPr>
        <w:pStyle w:val="Titletable"/>
        <w:rPr>
          <w:b w:val="0"/>
          <w:bCs w:val="0"/>
        </w:rPr>
      </w:pPr>
      <w:r w:rsidRPr="009C2953">
        <w:rPr>
          <w:b w:val="0"/>
          <w:sz w:val="18"/>
        </w:rPr>
        <w:t>(En dollars</w:t>
      </w:r>
      <w:r w:rsidR="00D24DC1" w:rsidRPr="009C2953">
        <w:rPr>
          <w:b w:val="0"/>
          <w:sz w:val="18"/>
        </w:rPr>
        <w:t xml:space="preserve"> des </w:t>
      </w:r>
      <w:r w:rsidRPr="009C2953">
        <w:rPr>
          <w:b w:val="0"/>
          <w:sz w:val="18"/>
        </w:rPr>
        <w:t>États-Unis)</w:t>
      </w:r>
    </w:p>
    <w:tbl>
      <w:tblPr>
        <w:tblW w:w="9495" w:type="dxa"/>
        <w:jc w:val="right"/>
        <w:tblBorders>
          <w:insideH w:val="nil"/>
          <w:insideV w:val="nil"/>
        </w:tblBorders>
        <w:tblLayout w:type="fixed"/>
        <w:tblLook w:val="0400" w:firstRow="0" w:lastRow="0" w:firstColumn="0" w:lastColumn="0" w:noHBand="0" w:noVBand="1"/>
      </w:tblPr>
      <w:tblGrid>
        <w:gridCol w:w="5039"/>
        <w:gridCol w:w="1623"/>
        <w:gridCol w:w="1417"/>
        <w:gridCol w:w="1416"/>
      </w:tblGrid>
      <w:tr w:rsidR="00607B78" w:rsidRPr="009C2953" w14:paraId="6A1AA3D1" w14:textId="77777777" w:rsidTr="00EA225A">
        <w:trPr>
          <w:trHeight w:val="315"/>
          <w:tblHeader/>
          <w:jc w:val="right"/>
        </w:trPr>
        <w:tc>
          <w:tcPr>
            <w:tcW w:w="5039" w:type="dxa"/>
            <w:tcBorders>
              <w:top w:val="single" w:sz="4" w:space="0" w:color="000000"/>
              <w:left w:val="nil"/>
              <w:bottom w:val="single" w:sz="12" w:space="0" w:color="000000"/>
              <w:right w:val="nil"/>
            </w:tcBorders>
            <w:vAlign w:val="bottom"/>
            <w:hideMark/>
          </w:tcPr>
          <w:p w14:paraId="61ED9A9B" w14:textId="77777777" w:rsidR="00607B78" w:rsidRPr="009C2953" w:rsidRDefault="00607B78" w:rsidP="00A068F8">
            <w:pPr>
              <w:tabs>
                <w:tab w:val="left" w:pos="624"/>
                <w:tab w:val="left" w:pos="1871"/>
                <w:tab w:val="left" w:pos="2495"/>
                <w:tab w:val="left" w:pos="3119"/>
                <w:tab w:val="left" w:pos="3742"/>
                <w:tab w:val="left" w:pos="4366"/>
              </w:tabs>
              <w:spacing w:before="40" w:after="40"/>
              <w:rPr>
                <w:i/>
                <w:color w:val="000000"/>
                <w:sz w:val="18"/>
                <w:szCs w:val="18"/>
                <w:lang w:val="fr-FR"/>
              </w:rPr>
            </w:pPr>
            <w:r w:rsidRPr="009C2953">
              <w:rPr>
                <w:i/>
                <w:color w:val="000000"/>
                <w:sz w:val="18"/>
                <w:lang w:val="fr-FR"/>
              </w:rPr>
              <w:t>Postes de dépenses</w:t>
            </w:r>
          </w:p>
        </w:tc>
        <w:tc>
          <w:tcPr>
            <w:tcW w:w="1623" w:type="dxa"/>
            <w:tcBorders>
              <w:top w:val="single" w:sz="4" w:space="0" w:color="000000"/>
              <w:left w:val="nil"/>
              <w:bottom w:val="single" w:sz="12" w:space="0" w:color="000000"/>
              <w:right w:val="nil"/>
            </w:tcBorders>
            <w:vAlign w:val="bottom"/>
            <w:hideMark/>
          </w:tcPr>
          <w:p w14:paraId="7351215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i/>
                <w:color w:val="000000"/>
                <w:sz w:val="18"/>
                <w:szCs w:val="18"/>
                <w:lang w:val="fr-FR"/>
              </w:rPr>
            </w:pPr>
            <w:r w:rsidRPr="009C2953">
              <w:rPr>
                <w:i/>
                <w:color w:val="000000"/>
                <w:sz w:val="18"/>
                <w:lang w:val="fr-FR"/>
              </w:rPr>
              <w:t xml:space="preserve">Budget révisé </w:t>
            </w:r>
            <w:r w:rsidRPr="009C2953">
              <w:rPr>
                <w:i/>
                <w:color w:val="000000"/>
                <w:sz w:val="18"/>
                <w:lang w:val="fr-FR"/>
              </w:rPr>
              <w:br/>
              <w:t>pour 2022</w:t>
            </w:r>
          </w:p>
        </w:tc>
        <w:tc>
          <w:tcPr>
            <w:tcW w:w="1417" w:type="dxa"/>
            <w:tcBorders>
              <w:top w:val="single" w:sz="4" w:space="0" w:color="000000"/>
              <w:left w:val="nil"/>
              <w:bottom w:val="single" w:sz="12" w:space="0" w:color="000000"/>
              <w:right w:val="nil"/>
            </w:tcBorders>
            <w:vAlign w:val="bottom"/>
            <w:hideMark/>
          </w:tcPr>
          <w:p w14:paraId="0A79228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i/>
                <w:color w:val="000000"/>
                <w:sz w:val="18"/>
                <w:szCs w:val="18"/>
                <w:lang w:val="fr-FR"/>
              </w:rPr>
            </w:pPr>
            <w:r w:rsidRPr="009C2953">
              <w:rPr>
                <w:i/>
                <w:color w:val="000000"/>
                <w:sz w:val="18"/>
                <w:lang w:val="fr-FR"/>
              </w:rPr>
              <w:t>Dépenses finales de 2022</w:t>
            </w:r>
          </w:p>
        </w:tc>
        <w:tc>
          <w:tcPr>
            <w:tcW w:w="1416" w:type="dxa"/>
            <w:tcBorders>
              <w:top w:val="single" w:sz="4" w:space="0" w:color="000000"/>
              <w:left w:val="nil"/>
              <w:bottom w:val="single" w:sz="12" w:space="0" w:color="000000"/>
              <w:right w:val="nil"/>
            </w:tcBorders>
            <w:vAlign w:val="bottom"/>
            <w:hideMark/>
          </w:tcPr>
          <w:p w14:paraId="642E951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i/>
                <w:color w:val="000000"/>
                <w:sz w:val="18"/>
                <w:szCs w:val="18"/>
                <w:lang w:val="fr-FR"/>
              </w:rPr>
            </w:pPr>
            <w:r w:rsidRPr="009C2953">
              <w:rPr>
                <w:i/>
                <w:color w:val="000000"/>
                <w:sz w:val="18"/>
                <w:lang w:val="fr-FR"/>
              </w:rPr>
              <w:t>Solde</w:t>
            </w:r>
          </w:p>
        </w:tc>
      </w:tr>
      <w:tr w:rsidR="00EA225A" w:rsidRPr="009C2953" w14:paraId="311BDE84" w14:textId="77777777" w:rsidTr="00FC117D">
        <w:trPr>
          <w:trHeight w:val="315"/>
          <w:jc w:val="right"/>
        </w:trPr>
        <w:tc>
          <w:tcPr>
            <w:tcW w:w="9495" w:type="dxa"/>
            <w:gridSpan w:val="4"/>
            <w:tcBorders>
              <w:top w:val="single" w:sz="12" w:space="0" w:color="000000"/>
              <w:left w:val="nil"/>
              <w:bottom w:val="nil"/>
              <w:right w:val="nil"/>
            </w:tcBorders>
            <w:hideMark/>
          </w:tcPr>
          <w:p w14:paraId="4A86D165" w14:textId="6D31A2D9" w:rsidR="00EA225A" w:rsidRPr="009C2953" w:rsidRDefault="00EA225A" w:rsidP="00773B9D">
            <w:pPr>
              <w:pStyle w:val="Normal-pool"/>
              <w:tabs>
                <w:tab w:val="left" w:pos="365"/>
              </w:tabs>
              <w:spacing w:before="40" w:after="40"/>
              <w:rPr>
                <w:b/>
                <w:bCs/>
                <w:sz w:val="18"/>
                <w:szCs w:val="18"/>
              </w:rPr>
            </w:pPr>
            <w:r w:rsidRPr="009C2953">
              <w:rPr>
                <w:b/>
                <w:bCs/>
                <w:sz w:val="18"/>
                <w:szCs w:val="18"/>
              </w:rPr>
              <w:t>1.</w:t>
            </w:r>
            <w:r w:rsidRPr="009C2953">
              <w:rPr>
                <w:b/>
                <w:bCs/>
                <w:sz w:val="18"/>
                <w:szCs w:val="18"/>
              </w:rPr>
              <w:tab/>
            </w:r>
            <w:r w:rsidRPr="009C2953">
              <w:rPr>
                <w:b/>
                <w:sz w:val="18"/>
                <w:szCs w:val="18"/>
              </w:rPr>
              <w:t>Réunions</w:t>
            </w:r>
            <w:r w:rsidRPr="009C2953">
              <w:rPr>
                <w:b/>
                <w:bCs/>
                <w:sz w:val="18"/>
                <w:szCs w:val="18"/>
              </w:rPr>
              <w:t xml:space="preserve"> des organes de la IPBES </w:t>
            </w:r>
          </w:p>
        </w:tc>
      </w:tr>
      <w:tr w:rsidR="00EA225A" w:rsidRPr="009C2953" w14:paraId="59B8037C" w14:textId="77777777" w:rsidTr="00FC117D">
        <w:trPr>
          <w:trHeight w:val="300"/>
          <w:jc w:val="right"/>
        </w:trPr>
        <w:tc>
          <w:tcPr>
            <w:tcW w:w="9495" w:type="dxa"/>
            <w:gridSpan w:val="4"/>
            <w:tcBorders>
              <w:top w:val="nil"/>
              <w:left w:val="nil"/>
              <w:bottom w:val="nil"/>
              <w:right w:val="nil"/>
            </w:tcBorders>
            <w:hideMark/>
          </w:tcPr>
          <w:p w14:paraId="1070FD74" w14:textId="307BCB88" w:rsidR="00EA225A" w:rsidRPr="009C2953" w:rsidRDefault="00EA225A" w:rsidP="00773B9D">
            <w:pPr>
              <w:pStyle w:val="Normal-pool"/>
              <w:tabs>
                <w:tab w:val="left" w:pos="365"/>
              </w:tabs>
              <w:spacing w:before="40" w:after="40"/>
              <w:rPr>
                <w:szCs w:val="18"/>
              </w:rPr>
            </w:pPr>
            <w:r w:rsidRPr="009C2953">
              <w:rPr>
                <w:b/>
                <w:sz w:val="18"/>
              </w:rPr>
              <w:t>1.</w:t>
            </w:r>
            <w:r w:rsidRPr="009C2953">
              <w:rPr>
                <w:b/>
                <w:sz w:val="18"/>
              </w:rPr>
              <w:tab/>
              <w:t>Sessions de la Plénière</w:t>
            </w:r>
          </w:p>
        </w:tc>
      </w:tr>
      <w:tr w:rsidR="00607B78" w:rsidRPr="009C2953" w14:paraId="1B09B233" w14:textId="77777777" w:rsidTr="00EA225A">
        <w:trPr>
          <w:trHeight w:val="480"/>
          <w:jc w:val="right"/>
        </w:trPr>
        <w:tc>
          <w:tcPr>
            <w:tcW w:w="5039" w:type="dxa"/>
            <w:tcBorders>
              <w:top w:val="nil"/>
              <w:left w:val="nil"/>
              <w:bottom w:val="nil"/>
              <w:right w:val="nil"/>
            </w:tcBorders>
            <w:hideMark/>
          </w:tcPr>
          <w:p w14:paraId="036A9CAB" w14:textId="39FF08C7"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Frais de voyage</w:t>
            </w:r>
            <w:r w:rsidR="00D24DC1" w:rsidRPr="009C2953">
              <w:rPr>
                <w:color w:val="000000"/>
                <w:sz w:val="18"/>
                <w:lang w:val="fr-FR"/>
              </w:rPr>
              <w:t xml:space="preserve"> des </w:t>
            </w:r>
            <w:r w:rsidRPr="009C2953">
              <w:rPr>
                <w:color w:val="000000"/>
                <w:sz w:val="18"/>
                <w:lang w:val="fr-FR"/>
              </w:rPr>
              <w:t>participant(e)s à</w:t>
            </w:r>
            <w:r w:rsidR="00F34644" w:rsidRPr="009C2953">
              <w:rPr>
                <w:color w:val="000000"/>
                <w:sz w:val="18"/>
                <w:lang w:val="fr-FR"/>
              </w:rPr>
              <w:t xml:space="preserve"> la </w:t>
            </w:r>
            <w:r w:rsidRPr="009C2953">
              <w:rPr>
                <w:color w:val="000000"/>
                <w:sz w:val="18"/>
                <w:lang w:val="fr-FR"/>
              </w:rPr>
              <w:t>neuvième session de</w:t>
            </w:r>
            <w:r w:rsidR="00EA225A" w:rsidRPr="009C2953">
              <w:rPr>
                <w:color w:val="000000"/>
                <w:sz w:val="18"/>
                <w:lang w:val="fr-FR"/>
              </w:rPr>
              <w:t> </w:t>
            </w:r>
            <w:r w:rsidR="00F34644" w:rsidRPr="009C2953">
              <w:rPr>
                <w:color w:val="000000"/>
                <w:sz w:val="18"/>
                <w:lang w:val="fr-FR"/>
              </w:rPr>
              <w:t>la </w:t>
            </w:r>
            <w:r w:rsidRPr="009C2953">
              <w:rPr>
                <w:color w:val="000000"/>
                <w:sz w:val="18"/>
                <w:lang w:val="fr-FR"/>
              </w:rPr>
              <w:t>Plénière (frais de voyage et indemnité journalière de</w:t>
            </w:r>
            <w:r w:rsidR="00EA225A" w:rsidRPr="009C2953">
              <w:rPr>
                <w:color w:val="000000"/>
                <w:sz w:val="18"/>
                <w:lang w:val="fr-FR"/>
              </w:rPr>
              <w:t> </w:t>
            </w:r>
            <w:r w:rsidRPr="009C2953">
              <w:rPr>
                <w:color w:val="000000"/>
                <w:sz w:val="18"/>
                <w:lang w:val="fr-FR"/>
              </w:rPr>
              <w:t xml:space="preserve">subsistance) </w:t>
            </w:r>
          </w:p>
        </w:tc>
        <w:tc>
          <w:tcPr>
            <w:tcW w:w="1623" w:type="dxa"/>
            <w:tcBorders>
              <w:top w:val="nil"/>
              <w:left w:val="nil"/>
              <w:bottom w:val="nil"/>
              <w:right w:val="nil"/>
            </w:tcBorders>
            <w:vAlign w:val="bottom"/>
            <w:hideMark/>
          </w:tcPr>
          <w:p w14:paraId="2C08FFD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500 000</w:t>
            </w:r>
          </w:p>
        </w:tc>
        <w:tc>
          <w:tcPr>
            <w:tcW w:w="1417" w:type="dxa"/>
            <w:tcBorders>
              <w:top w:val="nil"/>
              <w:left w:val="nil"/>
              <w:bottom w:val="nil"/>
              <w:right w:val="nil"/>
            </w:tcBorders>
            <w:vAlign w:val="bottom"/>
            <w:hideMark/>
          </w:tcPr>
          <w:p w14:paraId="704B01D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395 943</w:t>
            </w:r>
          </w:p>
        </w:tc>
        <w:tc>
          <w:tcPr>
            <w:tcW w:w="1416" w:type="dxa"/>
            <w:tcBorders>
              <w:top w:val="nil"/>
              <w:left w:val="nil"/>
              <w:bottom w:val="nil"/>
              <w:right w:val="nil"/>
            </w:tcBorders>
            <w:vAlign w:val="bottom"/>
            <w:hideMark/>
          </w:tcPr>
          <w:p w14:paraId="08936EA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104 057</w:t>
            </w:r>
          </w:p>
        </w:tc>
      </w:tr>
      <w:tr w:rsidR="00607B78" w:rsidRPr="009C2953" w14:paraId="63A44D1D" w14:textId="77777777" w:rsidTr="00EA225A">
        <w:trPr>
          <w:trHeight w:val="300"/>
          <w:jc w:val="right"/>
        </w:trPr>
        <w:tc>
          <w:tcPr>
            <w:tcW w:w="5039" w:type="dxa"/>
            <w:tcBorders>
              <w:top w:val="nil"/>
              <w:left w:val="nil"/>
              <w:bottom w:val="nil"/>
              <w:right w:val="nil"/>
            </w:tcBorders>
            <w:hideMark/>
          </w:tcPr>
          <w:p w14:paraId="5E060FB7" w14:textId="77777777"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Services de conférence (traduction, édition et interprétation)</w:t>
            </w:r>
          </w:p>
        </w:tc>
        <w:tc>
          <w:tcPr>
            <w:tcW w:w="1623" w:type="dxa"/>
            <w:tcBorders>
              <w:top w:val="nil"/>
              <w:left w:val="nil"/>
              <w:bottom w:val="nil"/>
              <w:right w:val="nil"/>
            </w:tcBorders>
            <w:vAlign w:val="bottom"/>
            <w:hideMark/>
          </w:tcPr>
          <w:p w14:paraId="2995BA5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830 000</w:t>
            </w:r>
          </w:p>
        </w:tc>
        <w:tc>
          <w:tcPr>
            <w:tcW w:w="1417" w:type="dxa"/>
            <w:tcBorders>
              <w:top w:val="nil"/>
              <w:left w:val="nil"/>
              <w:bottom w:val="nil"/>
              <w:right w:val="nil"/>
            </w:tcBorders>
            <w:vAlign w:val="bottom"/>
            <w:hideMark/>
          </w:tcPr>
          <w:p w14:paraId="701B8EA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763 608</w:t>
            </w:r>
          </w:p>
        </w:tc>
        <w:tc>
          <w:tcPr>
            <w:tcW w:w="1416" w:type="dxa"/>
            <w:tcBorders>
              <w:top w:val="nil"/>
              <w:left w:val="nil"/>
              <w:bottom w:val="nil"/>
              <w:right w:val="nil"/>
            </w:tcBorders>
            <w:vAlign w:val="bottom"/>
            <w:hideMark/>
          </w:tcPr>
          <w:p w14:paraId="6C3C62B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66 392</w:t>
            </w:r>
          </w:p>
        </w:tc>
      </w:tr>
      <w:tr w:rsidR="00607B78" w:rsidRPr="009C2953" w14:paraId="69320C4F" w14:textId="77777777" w:rsidTr="00EA225A">
        <w:trPr>
          <w:trHeight w:val="300"/>
          <w:jc w:val="right"/>
        </w:trPr>
        <w:tc>
          <w:tcPr>
            <w:tcW w:w="5039" w:type="dxa"/>
            <w:tcBorders>
              <w:top w:val="nil"/>
              <w:left w:val="nil"/>
              <w:bottom w:val="nil"/>
              <w:right w:val="nil"/>
            </w:tcBorders>
            <w:hideMark/>
          </w:tcPr>
          <w:p w14:paraId="312F3FC2" w14:textId="1C33D9BC"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Services d</w:t>
            </w:r>
            <w:r w:rsidR="00EA2966" w:rsidRPr="009C2953">
              <w:rPr>
                <w:color w:val="000000"/>
                <w:sz w:val="18"/>
                <w:lang w:val="fr-FR"/>
              </w:rPr>
              <w:t>’</w:t>
            </w:r>
            <w:r w:rsidRPr="009C2953">
              <w:rPr>
                <w:color w:val="000000"/>
                <w:sz w:val="18"/>
                <w:lang w:val="fr-FR"/>
              </w:rPr>
              <w:t>établissement</w:t>
            </w:r>
            <w:r w:rsidR="00D24DC1" w:rsidRPr="009C2953">
              <w:rPr>
                <w:color w:val="000000"/>
                <w:sz w:val="18"/>
                <w:lang w:val="fr-FR"/>
              </w:rPr>
              <w:t xml:space="preserve"> des </w:t>
            </w:r>
            <w:r w:rsidRPr="009C2953">
              <w:rPr>
                <w:color w:val="000000"/>
                <w:sz w:val="18"/>
                <w:lang w:val="fr-FR"/>
              </w:rPr>
              <w:t>rapports</w:t>
            </w:r>
          </w:p>
        </w:tc>
        <w:tc>
          <w:tcPr>
            <w:tcW w:w="1623" w:type="dxa"/>
            <w:tcBorders>
              <w:top w:val="nil"/>
              <w:left w:val="nil"/>
              <w:bottom w:val="nil"/>
              <w:right w:val="nil"/>
            </w:tcBorders>
            <w:vAlign w:val="bottom"/>
            <w:hideMark/>
          </w:tcPr>
          <w:p w14:paraId="7CADB05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65 000</w:t>
            </w:r>
          </w:p>
        </w:tc>
        <w:tc>
          <w:tcPr>
            <w:tcW w:w="1417" w:type="dxa"/>
            <w:tcBorders>
              <w:top w:val="nil"/>
              <w:left w:val="nil"/>
              <w:bottom w:val="nil"/>
              <w:right w:val="nil"/>
            </w:tcBorders>
            <w:vAlign w:val="bottom"/>
            <w:hideMark/>
          </w:tcPr>
          <w:p w14:paraId="2E53FD8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62 786</w:t>
            </w:r>
          </w:p>
        </w:tc>
        <w:tc>
          <w:tcPr>
            <w:tcW w:w="1416" w:type="dxa"/>
            <w:tcBorders>
              <w:top w:val="nil"/>
              <w:left w:val="nil"/>
              <w:bottom w:val="nil"/>
              <w:right w:val="nil"/>
            </w:tcBorders>
            <w:vAlign w:val="bottom"/>
            <w:hideMark/>
          </w:tcPr>
          <w:p w14:paraId="67314BB3" w14:textId="25F9587C"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w:t>
            </w:r>
            <w:r w:rsidR="00381035" w:rsidRPr="009C2953">
              <w:rPr>
                <w:color w:val="000000"/>
                <w:sz w:val="18"/>
                <w:lang w:val="fr-FR"/>
              </w:rPr>
              <w:t> </w:t>
            </w:r>
            <w:r w:rsidRPr="009C2953">
              <w:rPr>
                <w:color w:val="000000"/>
                <w:sz w:val="18"/>
                <w:lang w:val="fr-FR"/>
              </w:rPr>
              <w:t>214</w:t>
            </w:r>
          </w:p>
        </w:tc>
      </w:tr>
      <w:tr w:rsidR="00607B78" w:rsidRPr="009C2953" w14:paraId="0DA58405" w14:textId="77777777" w:rsidTr="00EA225A">
        <w:trPr>
          <w:trHeight w:val="315"/>
          <w:jc w:val="right"/>
        </w:trPr>
        <w:tc>
          <w:tcPr>
            <w:tcW w:w="5039" w:type="dxa"/>
            <w:tcBorders>
              <w:top w:val="nil"/>
              <w:left w:val="nil"/>
              <w:bottom w:val="single" w:sz="4" w:space="0" w:color="000000"/>
              <w:right w:val="nil"/>
            </w:tcBorders>
            <w:hideMark/>
          </w:tcPr>
          <w:p w14:paraId="400F1D53" w14:textId="77777777"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 xml:space="preserve">Services de sécurité et autres dépenses </w:t>
            </w:r>
          </w:p>
        </w:tc>
        <w:tc>
          <w:tcPr>
            <w:tcW w:w="1623" w:type="dxa"/>
            <w:tcBorders>
              <w:top w:val="nil"/>
              <w:left w:val="nil"/>
              <w:bottom w:val="single" w:sz="4" w:space="0" w:color="000000"/>
              <w:right w:val="nil"/>
            </w:tcBorders>
            <w:vAlign w:val="bottom"/>
            <w:hideMark/>
          </w:tcPr>
          <w:p w14:paraId="1EE4BED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240 000</w:t>
            </w:r>
          </w:p>
        </w:tc>
        <w:tc>
          <w:tcPr>
            <w:tcW w:w="1417" w:type="dxa"/>
            <w:tcBorders>
              <w:top w:val="nil"/>
              <w:left w:val="nil"/>
              <w:bottom w:val="single" w:sz="4" w:space="0" w:color="000000"/>
              <w:right w:val="nil"/>
            </w:tcBorders>
            <w:vAlign w:val="bottom"/>
            <w:hideMark/>
          </w:tcPr>
          <w:p w14:paraId="4879EEBC"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295 178</w:t>
            </w:r>
          </w:p>
        </w:tc>
        <w:tc>
          <w:tcPr>
            <w:tcW w:w="1416" w:type="dxa"/>
            <w:tcBorders>
              <w:top w:val="nil"/>
              <w:left w:val="nil"/>
              <w:bottom w:val="single" w:sz="4" w:space="0" w:color="000000"/>
              <w:right w:val="nil"/>
            </w:tcBorders>
            <w:vAlign w:val="bottom"/>
            <w:hideMark/>
          </w:tcPr>
          <w:p w14:paraId="08C877B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55 178</w:t>
            </w:r>
          </w:p>
        </w:tc>
      </w:tr>
      <w:tr w:rsidR="00607B78" w:rsidRPr="009C2953" w14:paraId="70AA4E8C" w14:textId="77777777" w:rsidTr="00EA225A">
        <w:trPr>
          <w:trHeight w:val="315"/>
          <w:jc w:val="right"/>
        </w:trPr>
        <w:tc>
          <w:tcPr>
            <w:tcW w:w="5039" w:type="dxa"/>
            <w:tcBorders>
              <w:top w:val="single" w:sz="4" w:space="0" w:color="000000"/>
              <w:left w:val="nil"/>
              <w:bottom w:val="single" w:sz="4" w:space="0" w:color="000000"/>
              <w:right w:val="nil"/>
            </w:tcBorders>
            <w:hideMark/>
          </w:tcPr>
          <w:p w14:paraId="21C673CF" w14:textId="04FBD026"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1.1, sessions de</w:t>
            </w:r>
            <w:r w:rsidR="00F34644" w:rsidRPr="009C2953">
              <w:rPr>
                <w:b/>
                <w:color w:val="000000"/>
                <w:sz w:val="18"/>
                <w:lang w:val="fr-FR"/>
              </w:rPr>
              <w:t xml:space="preserve"> la </w:t>
            </w:r>
            <w:r w:rsidRPr="009C2953">
              <w:rPr>
                <w:b/>
                <w:color w:val="000000"/>
                <w:sz w:val="18"/>
                <w:lang w:val="fr-FR"/>
              </w:rPr>
              <w:t>Plénière</w:t>
            </w:r>
          </w:p>
        </w:tc>
        <w:tc>
          <w:tcPr>
            <w:tcW w:w="1623" w:type="dxa"/>
            <w:tcBorders>
              <w:top w:val="single" w:sz="4" w:space="0" w:color="000000"/>
              <w:left w:val="nil"/>
              <w:bottom w:val="single" w:sz="4" w:space="0" w:color="000000"/>
              <w:right w:val="nil"/>
            </w:tcBorders>
            <w:vAlign w:val="bottom"/>
            <w:hideMark/>
          </w:tcPr>
          <w:p w14:paraId="5555845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1 635 000</w:t>
            </w:r>
          </w:p>
        </w:tc>
        <w:tc>
          <w:tcPr>
            <w:tcW w:w="1417" w:type="dxa"/>
            <w:tcBorders>
              <w:top w:val="single" w:sz="4" w:space="0" w:color="000000"/>
              <w:left w:val="nil"/>
              <w:bottom w:val="single" w:sz="4" w:space="0" w:color="000000"/>
              <w:right w:val="nil"/>
            </w:tcBorders>
            <w:vAlign w:val="bottom"/>
            <w:hideMark/>
          </w:tcPr>
          <w:p w14:paraId="4CC2198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1 517 515</w:t>
            </w:r>
          </w:p>
        </w:tc>
        <w:tc>
          <w:tcPr>
            <w:tcW w:w="1416" w:type="dxa"/>
            <w:tcBorders>
              <w:top w:val="single" w:sz="4" w:space="0" w:color="000000"/>
              <w:left w:val="nil"/>
              <w:bottom w:val="single" w:sz="4" w:space="0" w:color="000000"/>
              <w:right w:val="nil"/>
            </w:tcBorders>
            <w:vAlign w:val="bottom"/>
            <w:hideMark/>
          </w:tcPr>
          <w:p w14:paraId="4D5929E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117 485</w:t>
            </w:r>
          </w:p>
        </w:tc>
      </w:tr>
      <w:tr w:rsidR="00EA225A" w:rsidRPr="009C2953" w14:paraId="7C7AFFF7" w14:textId="77777777" w:rsidTr="00FC117D">
        <w:trPr>
          <w:trHeight w:val="300"/>
          <w:jc w:val="right"/>
        </w:trPr>
        <w:tc>
          <w:tcPr>
            <w:tcW w:w="9495" w:type="dxa"/>
            <w:gridSpan w:val="4"/>
            <w:tcBorders>
              <w:top w:val="single" w:sz="4" w:space="0" w:color="000000"/>
              <w:left w:val="nil"/>
              <w:bottom w:val="nil"/>
              <w:right w:val="nil"/>
            </w:tcBorders>
            <w:hideMark/>
          </w:tcPr>
          <w:p w14:paraId="63EC54B8" w14:textId="60D655C2" w:rsidR="00EA225A" w:rsidRPr="009C2953" w:rsidRDefault="00EA225A" w:rsidP="00773B9D">
            <w:pPr>
              <w:pStyle w:val="Normal-pool"/>
              <w:tabs>
                <w:tab w:val="left" w:pos="365"/>
              </w:tabs>
              <w:spacing w:before="40" w:after="40"/>
              <w:rPr>
                <w:color w:val="000000"/>
                <w:sz w:val="18"/>
                <w:szCs w:val="18"/>
              </w:rPr>
            </w:pPr>
            <w:r w:rsidRPr="009C2953">
              <w:rPr>
                <w:b/>
                <w:color w:val="000000"/>
                <w:sz w:val="18"/>
              </w:rPr>
              <w:t>1.2</w:t>
            </w:r>
            <w:r w:rsidRPr="009C2953">
              <w:rPr>
                <w:b/>
                <w:color w:val="000000"/>
                <w:sz w:val="18"/>
              </w:rPr>
              <w:tab/>
            </w:r>
            <w:r w:rsidRPr="009C2953">
              <w:rPr>
                <w:b/>
                <w:sz w:val="18"/>
              </w:rPr>
              <w:t>Sessions</w:t>
            </w:r>
            <w:r w:rsidRPr="009C2953">
              <w:rPr>
                <w:b/>
                <w:color w:val="000000"/>
                <w:sz w:val="18"/>
              </w:rPr>
              <w:t xml:space="preserve"> du Bureau et du Groupe d</w:t>
            </w:r>
            <w:r w:rsidR="00EA2966" w:rsidRPr="009C2953">
              <w:rPr>
                <w:b/>
                <w:color w:val="000000"/>
                <w:sz w:val="18"/>
              </w:rPr>
              <w:t>’</w:t>
            </w:r>
            <w:r w:rsidRPr="009C2953">
              <w:rPr>
                <w:b/>
                <w:color w:val="000000"/>
                <w:sz w:val="18"/>
              </w:rPr>
              <w:t>experts multidisciplinaires</w:t>
            </w:r>
          </w:p>
        </w:tc>
      </w:tr>
      <w:tr w:rsidR="00607B78" w:rsidRPr="009C2953" w14:paraId="21F53C57" w14:textId="77777777" w:rsidTr="00EA225A">
        <w:trPr>
          <w:trHeight w:val="300"/>
          <w:jc w:val="right"/>
        </w:trPr>
        <w:tc>
          <w:tcPr>
            <w:tcW w:w="5039" w:type="dxa"/>
            <w:tcBorders>
              <w:top w:val="nil"/>
              <w:left w:val="nil"/>
              <w:bottom w:val="nil"/>
              <w:right w:val="nil"/>
            </w:tcBorders>
            <w:hideMark/>
          </w:tcPr>
          <w:p w14:paraId="15BAA0DE" w14:textId="5A6FBB56"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Frais de voyage et coût</w:t>
            </w:r>
            <w:r w:rsidR="00D24DC1" w:rsidRPr="009C2953">
              <w:rPr>
                <w:color w:val="000000"/>
                <w:sz w:val="18"/>
                <w:lang w:val="fr-FR"/>
              </w:rPr>
              <w:t xml:space="preserve"> des </w:t>
            </w:r>
            <w:r w:rsidRPr="009C2953">
              <w:rPr>
                <w:color w:val="000000"/>
                <w:sz w:val="18"/>
                <w:lang w:val="fr-FR"/>
              </w:rPr>
              <w:t>réunions pour</w:t>
            </w:r>
            <w:r w:rsidR="00F34644" w:rsidRPr="009C2953">
              <w:rPr>
                <w:color w:val="000000"/>
                <w:sz w:val="18"/>
                <w:lang w:val="fr-FR"/>
              </w:rPr>
              <w:t xml:space="preserve"> </w:t>
            </w:r>
            <w:proofErr w:type="gramStart"/>
            <w:r w:rsidR="00F34644" w:rsidRPr="009C2953">
              <w:rPr>
                <w:color w:val="000000"/>
                <w:sz w:val="18"/>
                <w:lang w:val="fr-FR"/>
              </w:rPr>
              <w:t>les </w:t>
            </w:r>
            <w:r w:rsidRPr="009C2953">
              <w:rPr>
                <w:color w:val="000000"/>
                <w:sz w:val="18"/>
                <w:lang w:val="fr-FR"/>
              </w:rPr>
              <w:t>participant</w:t>
            </w:r>
            <w:proofErr w:type="gramEnd"/>
            <w:r w:rsidRPr="009C2953">
              <w:rPr>
                <w:color w:val="000000"/>
                <w:sz w:val="18"/>
                <w:lang w:val="fr-FR"/>
              </w:rPr>
              <w:t>(e)s à</w:t>
            </w:r>
            <w:r w:rsidR="00EA225A" w:rsidRPr="009C2953">
              <w:rPr>
                <w:color w:val="000000"/>
                <w:sz w:val="18"/>
                <w:lang w:val="fr-FR"/>
              </w:rPr>
              <w:t> </w:t>
            </w:r>
            <w:r w:rsidR="00F34644" w:rsidRPr="009C2953">
              <w:rPr>
                <w:color w:val="000000"/>
                <w:sz w:val="18"/>
                <w:lang w:val="fr-FR"/>
              </w:rPr>
              <w:t>une </w:t>
            </w:r>
            <w:r w:rsidRPr="009C2953">
              <w:rPr>
                <w:color w:val="000000"/>
                <w:sz w:val="18"/>
                <w:lang w:val="fr-FR"/>
              </w:rPr>
              <w:t>session du Bureau</w:t>
            </w:r>
          </w:p>
        </w:tc>
        <w:tc>
          <w:tcPr>
            <w:tcW w:w="1623" w:type="dxa"/>
            <w:tcBorders>
              <w:top w:val="nil"/>
              <w:left w:val="nil"/>
              <w:bottom w:val="nil"/>
              <w:right w:val="nil"/>
            </w:tcBorders>
            <w:vAlign w:val="bottom"/>
            <w:hideMark/>
          </w:tcPr>
          <w:p w14:paraId="33BA1B1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35 450</w:t>
            </w:r>
          </w:p>
        </w:tc>
        <w:tc>
          <w:tcPr>
            <w:tcW w:w="1417" w:type="dxa"/>
            <w:tcBorders>
              <w:top w:val="nil"/>
              <w:left w:val="nil"/>
              <w:bottom w:val="nil"/>
              <w:right w:val="nil"/>
            </w:tcBorders>
            <w:vAlign w:val="bottom"/>
            <w:hideMark/>
          </w:tcPr>
          <w:p w14:paraId="05AF502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23 232</w:t>
            </w:r>
          </w:p>
        </w:tc>
        <w:tc>
          <w:tcPr>
            <w:tcW w:w="1416" w:type="dxa"/>
            <w:tcBorders>
              <w:top w:val="nil"/>
              <w:left w:val="nil"/>
              <w:bottom w:val="nil"/>
              <w:right w:val="nil"/>
            </w:tcBorders>
            <w:vAlign w:val="bottom"/>
            <w:hideMark/>
          </w:tcPr>
          <w:p w14:paraId="31A1A9A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12 218</w:t>
            </w:r>
          </w:p>
        </w:tc>
      </w:tr>
      <w:tr w:rsidR="00607B78" w:rsidRPr="009C2953" w14:paraId="0C12D877" w14:textId="77777777" w:rsidTr="00EA225A">
        <w:trPr>
          <w:trHeight w:val="315"/>
          <w:jc w:val="right"/>
        </w:trPr>
        <w:tc>
          <w:tcPr>
            <w:tcW w:w="5039" w:type="dxa"/>
            <w:tcBorders>
              <w:top w:val="nil"/>
              <w:left w:val="nil"/>
              <w:bottom w:val="single" w:sz="4" w:space="0" w:color="000000"/>
              <w:right w:val="nil"/>
            </w:tcBorders>
            <w:hideMark/>
          </w:tcPr>
          <w:p w14:paraId="58188795" w14:textId="65AFA834" w:rsidR="00607B78" w:rsidRPr="009C2953" w:rsidRDefault="00607B78" w:rsidP="00A068F8">
            <w:pPr>
              <w:tabs>
                <w:tab w:val="left" w:pos="624"/>
                <w:tab w:val="left" w:pos="1871"/>
                <w:tab w:val="left" w:pos="2495"/>
                <w:tab w:val="left" w:pos="3119"/>
                <w:tab w:val="left" w:pos="3742"/>
                <w:tab w:val="left" w:pos="4366"/>
              </w:tabs>
              <w:spacing w:before="40" w:after="40"/>
              <w:ind w:left="319"/>
              <w:rPr>
                <w:color w:val="000000"/>
                <w:sz w:val="18"/>
                <w:szCs w:val="18"/>
                <w:lang w:val="fr-FR"/>
              </w:rPr>
            </w:pPr>
            <w:r w:rsidRPr="009C2953">
              <w:rPr>
                <w:color w:val="000000"/>
                <w:sz w:val="18"/>
                <w:lang w:val="fr-FR"/>
              </w:rPr>
              <w:t>Frais de voyage et coût</w:t>
            </w:r>
            <w:r w:rsidR="00D24DC1" w:rsidRPr="009C2953">
              <w:rPr>
                <w:color w:val="000000"/>
                <w:sz w:val="18"/>
                <w:lang w:val="fr-FR"/>
              </w:rPr>
              <w:t xml:space="preserve"> des </w:t>
            </w:r>
            <w:r w:rsidRPr="009C2953">
              <w:rPr>
                <w:color w:val="000000"/>
                <w:sz w:val="18"/>
                <w:lang w:val="fr-FR"/>
              </w:rPr>
              <w:t>réunions pour</w:t>
            </w:r>
            <w:r w:rsidR="00F34644" w:rsidRPr="009C2953">
              <w:rPr>
                <w:color w:val="000000"/>
                <w:sz w:val="18"/>
                <w:lang w:val="fr-FR"/>
              </w:rPr>
              <w:t xml:space="preserve"> </w:t>
            </w:r>
            <w:proofErr w:type="gramStart"/>
            <w:r w:rsidR="00F34644" w:rsidRPr="009C2953">
              <w:rPr>
                <w:color w:val="000000"/>
                <w:sz w:val="18"/>
                <w:lang w:val="fr-FR"/>
              </w:rPr>
              <w:t>les </w:t>
            </w:r>
            <w:r w:rsidRPr="009C2953">
              <w:rPr>
                <w:color w:val="000000"/>
                <w:sz w:val="18"/>
                <w:lang w:val="fr-FR"/>
              </w:rPr>
              <w:t>participant</w:t>
            </w:r>
            <w:proofErr w:type="gramEnd"/>
            <w:r w:rsidRPr="009C2953">
              <w:rPr>
                <w:color w:val="000000"/>
                <w:sz w:val="18"/>
                <w:lang w:val="fr-FR"/>
              </w:rPr>
              <w:t>(e)s à</w:t>
            </w:r>
            <w:r w:rsidR="00EA225A" w:rsidRPr="009C2953">
              <w:rPr>
                <w:color w:val="000000"/>
                <w:sz w:val="18"/>
                <w:lang w:val="fr-FR"/>
              </w:rPr>
              <w:t> </w:t>
            </w:r>
            <w:r w:rsidR="00F34644" w:rsidRPr="009C2953">
              <w:rPr>
                <w:color w:val="000000"/>
                <w:sz w:val="18"/>
                <w:lang w:val="fr-FR"/>
              </w:rPr>
              <w:t>une </w:t>
            </w:r>
            <w:r w:rsidRPr="009C2953">
              <w:rPr>
                <w:color w:val="000000"/>
                <w:sz w:val="18"/>
                <w:lang w:val="fr-FR"/>
              </w:rPr>
              <w:t>session du Groupe d</w:t>
            </w:r>
            <w:r w:rsidR="00EA2966" w:rsidRPr="009C2953">
              <w:rPr>
                <w:color w:val="000000"/>
                <w:sz w:val="18"/>
                <w:lang w:val="fr-FR"/>
              </w:rPr>
              <w:t>’</w:t>
            </w:r>
            <w:r w:rsidRPr="009C2953">
              <w:rPr>
                <w:color w:val="000000"/>
                <w:sz w:val="18"/>
                <w:lang w:val="fr-FR"/>
              </w:rPr>
              <w:t>experts</w:t>
            </w:r>
          </w:p>
        </w:tc>
        <w:tc>
          <w:tcPr>
            <w:tcW w:w="1623" w:type="dxa"/>
            <w:tcBorders>
              <w:top w:val="nil"/>
              <w:left w:val="nil"/>
              <w:bottom w:val="single" w:sz="4" w:space="0" w:color="000000"/>
              <w:right w:val="nil"/>
            </w:tcBorders>
            <w:vAlign w:val="bottom"/>
            <w:hideMark/>
          </w:tcPr>
          <w:p w14:paraId="40163EE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85 000</w:t>
            </w:r>
          </w:p>
        </w:tc>
        <w:tc>
          <w:tcPr>
            <w:tcW w:w="1417" w:type="dxa"/>
            <w:tcBorders>
              <w:top w:val="nil"/>
              <w:left w:val="nil"/>
              <w:bottom w:val="single" w:sz="4" w:space="0" w:color="000000"/>
              <w:right w:val="nil"/>
            </w:tcBorders>
            <w:vAlign w:val="bottom"/>
            <w:hideMark/>
          </w:tcPr>
          <w:p w14:paraId="3077698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61 656</w:t>
            </w:r>
          </w:p>
        </w:tc>
        <w:tc>
          <w:tcPr>
            <w:tcW w:w="1416" w:type="dxa"/>
            <w:tcBorders>
              <w:top w:val="nil"/>
              <w:left w:val="nil"/>
              <w:bottom w:val="single" w:sz="4" w:space="0" w:color="000000"/>
              <w:right w:val="nil"/>
            </w:tcBorders>
            <w:vAlign w:val="bottom"/>
            <w:hideMark/>
          </w:tcPr>
          <w:p w14:paraId="70190CF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23 344</w:t>
            </w:r>
          </w:p>
        </w:tc>
      </w:tr>
      <w:tr w:rsidR="00607B78" w:rsidRPr="009C2953" w14:paraId="5D9999CA" w14:textId="77777777" w:rsidTr="00EA225A">
        <w:trPr>
          <w:trHeight w:val="495"/>
          <w:jc w:val="right"/>
        </w:trPr>
        <w:tc>
          <w:tcPr>
            <w:tcW w:w="5039" w:type="dxa"/>
            <w:tcBorders>
              <w:top w:val="single" w:sz="4" w:space="0" w:color="000000"/>
              <w:left w:val="nil"/>
              <w:bottom w:val="single" w:sz="4" w:space="0" w:color="000000"/>
              <w:right w:val="nil"/>
            </w:tcBorders>
            <w:hideMark/>
          </w:tcPr>
          <w:p w14:paraId="4A070F64" w14:textId="62E7519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1.2, sessions du Bureau et du Groupe d</w:t>
            </w:r>
            <w:r w:rsidR="00EA2966" w:rsidRPr="009C2953">
              <w:rPr>
                <w:b/>
                <w:color w:val="000000"/>
                <w:sz w:val="18"/>
                <w:lang w:val="fr-FR"/>
              </w:rPr>
              <w:t>’</w:t>
            </w:r>
            <w:r w:rsidRPr="009C2953">
              <w:rPr>
                <w:b/>
                <w:color w:val="000000"/>
                <w:sz w:val="18"/>
                <w:lang w:val="fr-FR"/>
              </w:rPr>
              <w:t>experts</w:t>
            </w:r>
            <w:r w:rsidR="00EA225A" w:rsidRPr="009C2953">
              <w:rPr>
                <w:b/>
                <w:color w:val="000000"/>
                <w:sz w:val="18"/>
                <w:lang w:val="fr-FR"/>
              </w:rPr>
              <w:t> </w:t>
            </w:r>
            <w:r w:rsidRPr="009C2953">
              <w:rPr>
                <w:b/>
                <w:color w:val="000000"/>
                <w:sz w:val="18"/>
                <w:lang w:val="fr-FR"/>
              </w:rPr>
              <w:t>multidisciplinaire</w:t>
            </w:r>
          </w:p>
        </w:tc>
        <w:tc>
          <w:tcPr>
            <w:tcW w:w="1623" w:type="dxa"/>
            <w:tcBorders>
              <w:top w:val="single" w:sz="4" w:space="0" w:color="000000"/>
              <w:left w:val="nil"/>
              <w:bottom w:val="single" w:sz="4" w:space="0" w:color="000000"/>
              <w:right w:val="nil"/>
            </w:tcBorders>
            <w:vAlign w:val="bottom"/>
            <w:hideMark/>
          </w:tcPr>
          <w:p w14:paraId="0BE65815"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120 450</w:t>
            </w:r>
          </w:p>
        </w:tc>
        <w:tc>
          <w:tcPr>
            <w:tcW w:w="1417" w:type="dxa"/>
            <w:tcBorders>
              <w:top w:val="single" w:sz="4" w:space="0" w:color="000000"/>
              <w:left w:val="nil"/>
              <w:bottom w:val="single" w:sz="4" w:space="0" w:color="000000"/>
              <w:right w:val="nil"/>
            </w:tcBorders>
            <w:vAlign w:val="bottom"/>
            <w:hideMark/>
          </w:tcPr>
          <w:p w14:paraId="1ECDCE8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84 888</w:t>
            </w:r>
          </w:p>
        </w:tc>
        <w:tc>
          <w:tcPr>
            <w:tcW w:w="1416" w:type="dxa"/>
            <w:tcBorders>
              <w:top w:val="single" w:sz="4" w:space="0" w:color="000000"/>
              <w:left w:val="nil"/>
              <w:bottom w:val="single" w:sz="4" w:space="0" w:color="000000"/>
              <w:right w:val="nil"/>
            </w:tcBorders>
            <w:vAlign w:val="bottom"/>
            <w:hideMark/>
          </w:tcPr>
          <w:p w14:paraId="587A0EE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35 562</w:t>
            </w:r>
          </w:p>
        </w:tc>
      </w:tr>
      <w:tr w:rsidR="00607B78" w:rsidRPr="009C2953" w14:paraId="4CC4B23C" w14:textId="77777777" w:rsidTr="00EA225A">
        <w:trPr>
          <w:trHeight w:val="315"/>
          <w:jc w:val="right"/>
        </w:trPr>
        <w:tc>
          <w:tcPr>
            <w:tcW w:w="5039" w:type="dxa"/>
            <w:tcBorders>
              <w:top w:val="single" w:sz="4" w:space="0" w:color="000000"/>
              <w:left w:val="nil"/>
              <w:bottom w:val="single" w:sz="4" w:space="0" w:color="000000"/>
              <w:right w:val="nil"/>
            </w:tcBorders>
            <w:hideMark/>
          </w:tcPr>
          <w:p w14:paraId="68ADC23B" w14:textId="1CCE1895" w:rsidR="00607B78" w:rsidRPr="009C2953" w:rsidRDefault="00607B78" w:rsidP="00A068F8">
            <w:pPr>
              <w:tabs>
                <w:tab w:val="left" w:pos="319"/>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1.3</w:t>
            </w:r>
            <w:r w:rsidRPr="009C2953">
              <w:rPr>
                <w:b/>
                <w:color w:val="000000"/>
                <w:sz w:val="18"/>
                <w:lang w:val="fr-FR"/>
              </w:rPr>
              <w:tab/>
              <w:t>Frais de voyage de</w:t>
            </w:r>
            <w:r w:rsidR="00F34644" w:rsidRPr="009C2953">
              <w:rPr>
                <w:b/>
                <w:color w:val="000000"/>
                <w:sz w:val="18"/>
                <w:lang w:val="fr-FR"/>
              </w:rPr>
              <w:t xml:space="preserve"> la </w:t>
            </w:r>
            <w:r w:rsidRPr="009C2953">
              <w:rPr>
                <w:b/>
                <w:color w:val="000000"/>
                <w:sz w:val="18"/>
                <w:lang w:val="fr-FR"/>
              </w:rPr>
              <w:t>Présidente pour représenter l</w:t>
            </w:r>
            <w:r w:rsidR="00EA2966" w:rsidRPr="009C2953">
              <w:rPr>
                <w:b/>
                <w:color w:val="000000"/>
                <w:sz w:val="18"/>
                <w:lang w:val="fr-FR"/>
              </w:rPr>
              <w:t>’</w:t>
            </w:r>
            <w:r w:rsidRPr="009C2953">
              <w:rPr>
                <w:b/>
                <w:color w:val="000000"/>
                <w:sz w:val="18"/>
                <w:lang w:val="fr-FR"/>
              </w:rPr>
              <w:t>IPBES</w:t>
            </w:r>
          </w:p>
        </w:tc>
        <w:tc>
          <w:tcPr>
            <w:tcW w:w="1623" w:type="dxa"/>
            <w:tcBorders>
              <w:top w:val="single" w:sz="4" w:space="0" w:color="000000"/>
              <w:left w:val="nil"/>
              <w:bottom w:val="single" w:sz="4" w:space="0" w:color="000000"/>
              <w:right w:val="nil"/>
            </w:tcBorders>
            <w:vAlign w:val="bottom"/>
            <w:hideMark/>
          </w:tcPr>
          <w:p w14:paraId="6D01483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25 000</w:t>
            </w:r>
          </w:p>
        </w:tc>
        <w:tc>
          <w:tcPr>
            <w:tcW w:w="1417" w:type="dxa"/>
            <w:tcBorders>
              <w:top w:val="single" w:sz="4" w:space="0" w:color="000000"/>
              <w:left w:val="nil"/>
              <w:bottom w:val="single" w:sz="4" w:space="0" w:color="000000"/>
              <w:right w:val="nil"/>
            </w:tcBorders>
            <w:vAlign w:val="bottom"/>
            <w:hideMark/>
          </w:tcPr>
          <w:p w14:paraId="653B7C2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13 124</w:t>
            </w:r>
          </w:p>
        </w:tc>
        <w:tc>
          <w:tcPr>
            <w:tcW w:w="1416" w:type="dxa"/>
            <w:tcBorders>
              <w:top w:val="single" w:sz="4" w:space="0" w:color="000000"/>
              <w:left w:val="nil"/>
              <w:bottom w:val="single" w:sz="4" w:space="0" w:color="000000"/>
              <w:right w:val="nil"/>
            </w:tcBorders>
            <w:vAlign w:val="bottom"/>
            <w:hideMark/>
          </w:tcPr>
          <w:p w14:paraId="3617DEA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11 876</w:t>
            </w:r>
          </w:p>
        </w:tc>
      </w:tr>
      <w:tr w:rsidR="00607B78" w:rsidRPr="009C2953" w14:paraId="39B56948" w14:textId="77777777" w:rsidTr="00EA225A">
        <w:trPr>
          <w:trHeight w:val="315"/>
          <w:jc w:val="right"/>
        </w:trPr>
        <w:tc>
          <w:tcPr>
            <w:tcW w:w="5039" w:type="dxa"/>
            <w:tcBorders>
              <w:top w:val="single" w:sz="4" w:space="0" w:color="000000"/>
              <w:left w:val="nil"/>
              <w:bottom w:val="single" w:sz="4" w:space="0" w:color="000000"/>
              <w:right w:val="nil"/>
            </w:tcBorders>
            <w:hideMark/>
          </w:tcPr>
          <w:p w14:paraId="30F68948" w14:textId="5A41EE85"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1, réunions</w:t>
            </w:r>
            <w:r w:rsidR="00D24DC1" w:rsidRPr="009C2953">
              <w:rPr>
                <w:b/>
                <w:color w:val="000000"/>
                <w:sz w:val="18"/>
                <w:lang w:val="fr-FR"/>
              </w:rPr>
              <w:t xml:space="preserve"> des </w:t>
            </w:r>
            <w:r w:rsidRPr="009C2953">
              <w:rPr>
                <w:b/>
                <w:color w:val="000000"/>
                <w:sz w:val="18"/>
                <w:lang w:val="fr-FR"/>
              </w:rPr>
              <w:t>organes de l</w:t>
            </w:r>
            <w:r w:rsidR="00EA2966" w:rsidRPr="009C2953">
              <w:rPr>
                <w:b/>
                <w:color w:val="000000"/>
                <w:sz w:val="18"/>
                <w:lang w:val="fr-FR"/>
              </w:rPr>
              <w:t>’</w:t>
            </w:r>
            <w:r w:rsidRPr="009C2953">
              <w:rPr>
                <w:b/>
                <w:color w:val="000000"/>
                <w:sz w:val="18"/>
                <w:lang w:val="fr-FR"/>
              </w:rPr>
              <w:t>IPBES</w:t>
            </w:r>
          </w:p>
        </w:tc>
        <w:tc>
          <w:tcPr>
            <w:tcW w:w="1623" w:type="dxa"/>
            <w:tcBorders>
              <w:top w:val="single" w:sz="4" w:space="0" w:color="000000"/>
              <w:left w:val="nil"/>
              <w:bottom w:val="single" w:sz="4" w:space="0" w:color="000000"/>
              <w:right w:val="nil"/>
            </w:tcBorders>
            <w:vAlign w:val="bottom"/>
            <w:hideMark/>
          </w:tcPr>
          <w:p w14:paraId="7CFD4EB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1 780 450</w:t>
            </w:r>
          </w:p>
        </w:tc>
        <w:tc>
          <w:tcPr>
            <w:tcW w:w="1417" w:type="dxa"/>
            <w:tcBorders>
              <w:top w:val="single" w:sz="4" w:space="0" w:color="000000"/>
              <w:left w:val="nil"/>
              <w:bottom w:val="single" w:sz="4" w:space="0" w:color="000000"/>
              <w:right w:val="nil"/>
            </w:tcBorders>
            <w:vAlign w:val="bottom"/>
            <w:hideMark/>
          </w:tcPr>
          <w:p w14:paraId="1CC0DDB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1 615 528</w:t>
            </w:r>
          </w:p>
        </w:tc>
        <w:tc>
          <w:tcPr>
            <w:tcW w:w="1416" w:type="dxa"/>
            <w:tcBorders>
              <w:top w:val="single" w:sz="4" w:space="0" w:color="000000"/>
              <w:left w:val="nil"/>
              <w:bottom w:val="single" w:sz="4" w:space="0" w:color="000000"/>
              <w:right w:val="nil"/>
            </w:tcBorders>
            <w:vAlign w:val="bottom"/>
            <w:hideMark/>
          </w:tcPr>
          <w:p w14:paraId="2E06108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164 922</w:t>
            </w:r>
          </w:p>
        </w:tc>
      </w:tr>
      <w:tr w:rsidR="00EA225A" w:rsidRPr="009C2953" w14:paraId="0288A63A" w14:textId="77777777" w:rsidTr="00FC117D">
        <w:trPr>
          <w:trHeight w:val="300"/>
          <w:jc w:val="right"/>
        </w:trPr>
        <w:tc>
          <w:tcPr>
            <w:tcW w:w="9495" w:type="dxa"/>
            <w:gridSpan w:val="4"/>
            <w:tcBorders>
              <w:top w:val="single" w:sz="4" w:space="0" w:color="000000"/>
              <w:left w:val="nil"/>
              <w:bottom w:val="nil"/>
              <w:right w:val="nil"/>
            </w:tcBorders>
            <w:hideMark/>
          </w:tcPr>
          <w:p w14:paraId="4B89DA4D" w14:textId="43FC3736" w:rsidR="00EA225A" w:rsidRPr="009C2953" w:rsidRDefault="00EA225A" w:rsidP="00773B9D">
            <w:pPr>
              <w:pStyle w:val="Normal-pool"/>
              <w:tabs>
                <w:tab w:val="left" w:pos="365"/>
              </w:tabs>
              <w:spacing w:before="40" w:after="40"/>
              <w:rPr>
                <w:color w:val="000000"/>
                <w:sz w:val="18"/>
                <w:szCs w:val="18"/>
              </w:rPr>
            </w:pPr>
            <w:r w:rsidRPr="009C2953">
              <w:rPr>
                <w:b/>
                <w:color w:val="000000"/>
                <w:sz w:val="18"/>
              </w:rPr>
              <w:t>2.</w:t>
            </w:r>
            <w:r w:rsidRPr="009C2953">
              <w:rPr>
                <w:b/>
                <w:color w:val="000000"/>
                <w:sz w:val="18"/>
              </w:rPr>
              <w:tab/>
              <w:t xml:space="preserve">Mise en œuvre du programme de travail </w:t>
            </w:r>
          </w:p>
        </w:tc>
      </w:tr>
      <w:tr w:rsidR="00EA225A" w:rsidRPr="009C2953" w14:paraId="7728039D" w14:textId="77777777" w:rsidTr="00FC117D">
        <w:trPr>
          <w:trHeight w:val="300"/>
          <w:jc w:val="right"/>
        </w:trPr>
        <w:tc>
          <w:tcPr>
            <w:tcW w:w="9495" w:type="dxa"/>
            <w:gridSpan w:val="4"/>
            <w:tcBorders>
              <w:top w:val="nil"/>
              <w:left w:val="nil"/>
              <w:bottom w:val="nil"/>
              <w:right w:val="nil"/>
            </w:tcBorders>
            <w:hideMark/>
          </w:tcPr>
          <w:p w14:paraId="249B5C13" w14:textId="4FEF471B" w:rsidR="00EA225A" w:rsidRPr="009C2953" w:rsidRDefault="00EA225A" w:rsidP="00EA225A">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b/>
                <w:color w:val="000000"/>
                <w:sz w:val="18"/>
                <w:lang w:val="fr-FR"/>
              </w:rPr>
              <w:t>Partie A : premier programme de travail (pt1)</w:t>
            </w:r>
          </w:p>
        </w:tc>
      </w:tr>
      <w:tr w:rsidR="00607B78" w:rsidRPr="009C2953" w14:paraId="669D56C5" w14:textId="77777777" w:rsidTr="00EA225A">
        <w:trPr>
          <w:trHeight w:val="475"/>
          <w:jc w:val="right"/>
        </w:trPr>
        <w:tc>
          <w:tcPr>
            <w:tcW w:w="5039" w:type="dxa"/>
            <w:tcBorders>
              <w:top w:val="nil"/>
              <w:left w:val="nil"/>
              <w:bottom w:val="nil"/>
              <w:right w:val="nil"/>
            </w:tcBorders>
            <w:hideMark/>
          </w:tcPr>
          <w:p w14:paraId="551F9F83" w14:textId="749DC52A" w:rsidR="00607B78" w:rsidRPr="009C2953" w:rsidRDefault="00607B78" w:rsidP="00A068F8">
            <w:pPr>
              <w:pStyle w:val="Normal-pool-Table"/>
              <w:rPr>
                <w:b/>
                <w:color w:val="000000"/>
                <w:szCs w:val="18"/>
              </w:rPr>
            </w:pPr>
            <w:proofErr w:type="gramStart"/>
            <w:r w:rsidRPr="009C2953">
              <w:rPr>
                <w:b/>
                <w:color w:val="000000"/>
              </w:rPr>
              <w:t>pt</w:t>
            </w:r>
            <w:proofErr w:type="gramEnd"/>
            <w:r w:rsidRPr="009C2953">
              <w:rPr>
                <w:b/>
                <w:color w:val="000000"/>
              </w:rPr>
              <w:t>1-Objectif 3 : renforcer l</w:t>
            </w:r>
            <w:r w:rsidR="00EA2966" w:rsidRPr="009C2953">
              <w:rPr>
                <w:b/>
                <w:color w:val="000000"/>
              </w:rPr>
              <w:t>’</w:t>
            </w:r>
            <w:r w:rsidRPr="009C2953">
              <w:rPr>
                <w:b/>
                <w:color w:val="000000"/>
              </w:rPr>
              <w:t>interface connaissances-politique s</w:t>
            </w:r>
            <w:r w:rsidR="00EA2966" w:rsidRPr="009C2953">
              <w:rPr>
                <w:b/>
                <w:color w:val="000000"/>
              </w:rPr>
              <w:t>’</w:t>
            </w:r>
            <w:r w:rsidRPr="009C2953">
              <w:rPr>
                <w:b/>
                <w:color w:val="000000"/>
              </w:rPr>
              <w:t>agissant</w:t>
            </w:r>
            <w:r w:rsidR="00D24DC1" w:rsidRPr="009C2953">
              <w:rPr>
                <w:b/>
                <w:color w:val="000000"/>
              </w:rPr>
              <w:t xml:space="preserve"> des </w:t>
            </w:r>
            <w:r w:rsidRPr="009C2953">
              <w:rPr>
                <w:b/>
                <w:color w:val="000000"/>
              </w:rPr>
              <w:t>questions thématiques et méthodologiques</w:t>
            </w:r>
          </w:p>
        </w:tc>
        <w:tc>
          <w:tcPr>
            <w:tcW w:w="1623" w:type="dxa"/>
            <w:tcBorders>
              <w:top w:val="nil"/>
              <w:left w:val="nil"/>
              <w:bottom w:val="nil"/>
              <w:right w:val="nil"/>
            </w:tcBorders>
            <w:vAlign w:val="bottom"/>
            <w:hideMark/>
          </w:tcPr>
          <w:p w14:paraId="393739A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1 084 250</w:t>
            </w:r>
          </w:p>
        </w:tc>
        <w:tc>
          <w:tcPr>
            <w:tcW w:w="1417" w:type="dxa"/>
            <w:tcBorders>
              <w:top w:val="nil"/>
              <w:left w:val="nil"/>
              <w:bottom w:val="nil"/>
              <w:right w:val="nil"/>
            </w:tcBorders>
            <w:vAlign w:val="bottom"/>
            <w:hideMark/>
          </w:tcPr>
          <w:p w14:paraId="16AADBEA"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847 561</w:t>
            </w:r>
          </w:p>
        </w:tc>
        <w:tc>
          <w:tcPr>
            <w:tcW w:w="1416" w:type="dxa"/>
            <w:tcBorders>
              <w:top w:val="nil"/>
              <w:left w:val="nil"/>
              <w:bottom w:val="nil"/>
              <w:right w:val="nil"/>
            </w:tcBorders>
            <w:vAlign w:val="bottom"/>
            <w:hideMark/>
          </w:tcPr>
          <w:p w14:paraId="33C34E3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236 689</w:t>
            </w:r>
          </w:p>
        </w:tc>
      </w:tr>
      <w:tr w:rsidR="00607B78" w:rsidRPr="009C2953" w14:paraId="757A648A" w14:textId="77777777" w:rsidTr="00EA225A">
        <w:trPr>
          <w:trHeight w:val="300"/>
          <w:jc w:val="right"/>
        </w:trPr>
        <w:tc>
          <w:tcPr>
            <w:tcW w:w="5039" w:type="dxa"/>
            <w:tcBorders>
              <w:top w:val="nil"/>
              <w:left w:val="nil"/>
              <w:bottom w:val="nil"/>
              <w:right w:val="nil"/>
            </w:tcBorders>
            <w:hideMark/>
          </w:tcPr>
          <w:p w14:paraId="3D16B0E3" w14:textId="5DC32947" w:rsidR="00607B78" w:rsidRPr="009C2953" w:rsidRDefault="00607B78" w:rsidP="00A068F8">
            <w:pPr>
              <w:pStyle w:val="Normal-pool-Table"/>
              <w:rPr>
                <w:color w:val="000000"/>
                <w:szCs w:val="18"/>
              </w:rPr>
            </w:pPr>
            <w:proofErr w:type="gramStart"/>
            <w:r w:rsidRPr="009C2953">
              <w:rPr>
                <w:b/>
                <w:color w:val="000000"/>
              </w:rPr>
              <w:t>pt</w:t>
            </w:r>
            <w:proofErr w:type="gramEnd"/>
            <w:r w:rsidRPr="009C2953">
              <w:rPr>
                <w:b/>
                <w:color w:val="000000"/>
              </w:rPr>
              <w:t xml:space="preserve">1 - </w:t>
            </w:r>
            <w:r w:rsidRPr="009C2953">
              <w:rPr>
                <w:color w:val="000000"/>
              </w:rPr>
              <w:t>Produit 3 b) ii) : Évaluation</w:t>
            </w:r>
            <w:r w:rsidR="00D24DC1" w:rsidRPr="009C2953">
              <w:rPr>
                <w:color w:val="000000"/>
              </w:rPr>
              <w:t xml:space="preserve"> des </w:t>
            </w:r>
            <w:r w:rsidRPr="009C2953">
              <w:rPr>
                <w:color w:val="000000"/>
              </w:rPr>
              <w:t>espèces exotiques envahissantes</w:t>
            </w:r>
          </w:p>
        </w:tc>
        <w:tc>
          <w:tcPr>
            <w:tcW w:w="1623" w:type="dxa"/>
            <w:tcBorders>
              <w:top w:val="nil"/>
              <w:left w:val="nil"/>
              <w:bottom w:val="nil"/>
              <w:right w:val="nil"/>
            </w:tcBorders>
            <w:vAlign w:val="bottom"/>
            <w:hideMark/>
          </w:tcPr>
          <w:p w14:paraId="2A8CCED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296 500</w:t>
            </w:r>
          </w:p>
        </w:tc>
        <w:tc>
          <w:tcPr>
            <w:tcW w:w="1417" w:type="dxa"/>
            <w:tcBorders>
              <w:top w:val="nil"/>
              <w:left w:val="nil"/>
              <w:bottom w:val="nil"/>
              <w:right w:val="nil"/>
            </w:tcBorders>
            <w:vAlign w:val="bottom"/>
            <w:hideMark/>
          </w:tcPr>
          <w:p w14:paraId="76E7771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199 336</w:t>
            </w:r>
          </w:p>
        </w:tc>
        <w:tc>
          <w:tcPr>
            <w:tcW w:w="1416" w:type="dxa"/>
            <w:tcBorders>
              <w:top w:val="nil"/>
              <w:left w:val="nil"/>
              <w:bottom w:val="nil"/>
              <w:right w:val="nil"/>
            </w:tcBorders>
            <w:vAlign w:val="bottom"/>
            <w:hideMark/>
          </w:tcPr>
          <w:p w14:paraId="28D1035A"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97 164</w:t>
            </w:r>
          </w:p>
        </w:tc>
      </w:tr>
      <w:tr w:rsidR="00607B78" w:rsidRPr="009C2953" w14:paraId="4931A682" w14:textId="77777777" w:rsidTr="00EA225A">
        <w:trPr>
          <w:trHeight w:val="480"/>
          <w:jc w:val="right"/>
        </w:trPr>
        <w:tc>
          <w:tcPr>
            <w:tcW w:w="5039" w:type="dxa"/>
            <w:tcBorders>
              <w:top w:val="nil"/>
              <w:left w:val="nil"/>
              <w:bottom w:val="nil"/>
              <w:right w:val="nil"/>
            </w:tcBorders>
            <w:hideMark/>
          </w:tcPr>
          <w:p w14:paraId="737001F5" w14:textId="5273F98C" w:rsidR="00607B78" w:rsidRPr="009C2953" w:rsidRDefault="00607B78" w:rsidP="00A068F8">
            <w:pPr>
              <w:pStyle w:val="Normal-pool-Table"/>
              <w:rPr>
                <w:color w:val="000000"/>
                <w:szCs w:val="18"/>
              </w:rPr>
            </w:pPr>
            <w:proofErr w:type="gramStart"/>
            <w:r w:rsidRPr="009C2953">
              <w:rPr>
                <w:b/>
                <w:color w:val="000000"/>
              </w:rPr>
              <w:t>pt</w:t>
            </w:r>
            <w:proofErr w:type="gramEnd"/>
            <w:r w:rsidRPr="009C2953">
              <w:rPr>
                <w:b/>
                <w:color w:val="000000"/>
              </w:rPr>
              <w:t xml:space="preserve">1 - </w:t>
            </w:r>
            <w:r w:rsidRPr="009C2953">
              <w:rPr>
                <w:color w:val="000000"/>
              </w:rPr>
              <w:t>Produit 3 b) iii) : Évaluation de l</w:t>
            </w:r>
            <w:r w:rsidR="00EA2966" w:rsidRPr="009C2953">
              <w:rPr>
                <w:color w:val="000000"/>
              </w:rPr>
              <w:t>’</w:t>
            </w:r>
            <w:r w:rsidRPr="009C2953">
              <w:rPr>
                <w:color w:val="000000"/>
              </w:rPr>
              <w:t>utilisation durable</w:t>
            </w:r>
            <w:r w:rsidR="00D24DC1" w:rsidRPr="009C2953">
              <w:rPr>
                <w:color w:val="000000"/>
              </w:rPr>
              <w:t xml:space="preserve"> des </w:t>
            </w:r>
            <w:r w:rsidRPr="009C2953">
              <w:rPr>
                <w:color w:val="000000"/>
              </w:rPr>
              <w:t>espèces sauvages</w:t>
            </w:r>
          </w:p>
        </w:tc>
        <w:tc>
          <w:tcPr>
            <w:tcW w:w="1623" w:type="dxa"/>
            <w:tcBorders>
              <w:top w:val="nil"/>
              <w:left w:val="nil"/>
              <w:bottom w:val="nil"/>
              <w:right w:val="nil"/>
            </w:tcBorders>
            <w:vAlign w:val="bottom"/>
            <w:hideMark/>
          </w:tcPr>
          <w:p w14:paraId="2B080FB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406 500</w:t>
            </w:r>
          </w:p>
        </w:tc>
        <w:tc>
          <w:tcPr>
            <w:tcW w:w="1417" w:type="dxa"/>
            <w:tcBorders>
              <w:top w:val="nil"/>
              <w:left w:val="nil"/>
              <w:bottom w:val="nil"/>
              <w:right w:val="nil"/>
            </w:tcBorders>
            <w:vAlign w:val="bottom"/>
            <w:hideMark/>
          </w:tcPr>
          <w:p w14:paraId="6F4F8EC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319 828</w:t>
            </w:r>
          </w:p>
        </w:tc>
        <w:tc>
          <w:tcPr>
            <w:tcW w:w="1416" w:type="dxa"/>
            <w:tcBorders>
              <w:top w:val="nil"/>
              <w:left w:val="nil"/>
              <w:bottom w:val="nil"/>
              <w:right w:val="nil"/>
            </w:tcBorders>
            <w:vAlign w:val="bottom"/>
            <w:hideMark/>
          </w:tcPr>
          <w:p w14:paraId="5A2499E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86 672</w:t>
            </w:r>
          </w:p>
        </w:tc>
      </w:tr>
      <w:tr w:rsidR="00607B78" w:rsidRPr="009C2953" w14:paraId="66AF889F" w14:textId="77777777" w:rsidTr="00EA225A">
        <w:trPr>
          <w:trHeight w:val="315"/>
          <w:jc w:val="right"/>
        </w:trPr>
        <w:tc>
          <w:tcPr>
            <w:tcW w:w="5039" w:type="dxa"/>
            <w:tcBorders>
              <w:top w:val="nil"/>
              <w:left w:val="nil"/>
              <w:bottom w:val="single" w:sz="4" w:space="0" w:color="000000"/>
              <w:right w:val="nil"/>
            </w:tcBorders>
            <w:hideMark/>
          </w:tcPr>
          <w:p w14:paraId="10CDB6C6" w14:textId="0BEB9FB8" w:rsidR="00607B78" w:rsidRPr="009C2953" w:rsidRDefault="00607B78" w:rsidP="00A068F8">
            <w:pPr>
              <w:pStyle w:val="Normal-pool-Table"/>
              <w:rPr>
                <w:color w:val="000000"/>
                <w:szCs w:val="18"/>
              </w:rPr>
            </w:pPr>
            <w:proofErr w:type="gramStart"/>
            <w:r w:rsidRPr="009C2953">
              <w:rPr>
                <w:b/>
                <w:color w:val="000000"/>
              </w:rPr>
              <w:t>pt</w:t>
            </w:r>
            <w:proofErr w:type="gramEnd"/>
            <w:r w:rsidRPr="009C2953">
              <w:rPr>
                <w:b/>
                <w:color w:val="000000"/>
              </w:rPr>
              <w:t xml:space="preserve">1 - </w:t>
            </w:r>
            <w:r w:rsidRPr="009C2953">
              <w:rPr>
                <w:color w:val="000000"/>
              </w:rPr>
              <w:t>Produit 3 d) : Évaluation</w:t>
            </w:r>
            <w:r w:rsidR="00D24DC1" w:rsidRPr="009C2953">
              <w:rPr>
                <w:color w:val="000000"/>
              </w:rPr>
              <w:t xml:space="preserve"> des </w:t>
            </w:r>
            <w:r w:rsidRPr="009C2953">
              <w:rPr>
                <w:color w:val="000000"/>
              </w:rPr>
              <w:t>valeurs</w:t>
            </w:r>
          </w:p>
        </w:tc>
        <w:tc>
          <w:tcPr>
            <w:tcW w:w="1623" w:type="dxa"/>
            <w:tcBorders>
              <w:top w:val="nil"/>
              <w:left w:val="nil"/>
              <w:bottom w:val="single" w:sz="4" w:space="0" w:color="000000"/>
              <w:right w:val="nil"/>
            </w:tcBorders>
            <w:vAlign w:val="bottom"/>
            <w:hideMark/>
          </w:tcPr>
          <w:p w14:paraId="3EE992D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381 250</w:t>
            </w:r>
          </w:p>
        </w:tc>
        <w:tc>
          <w:tcPr>
            <w:tcW w:w="1417" w:type="dxa"/>
            <w:tcBorders>
              <w:top w:val="nil"/>
              <w:left w:val="nil"/>
              <w:bottom w:val="single" w:sz="4" w:space="0" w:color="000000"/>
              <w:right w:val="nil"/>
            </w:tcBorders>
            <w:vAlign w:val="bottom"/>
            <w:hideMark/>
          </w:tcPr>
          <w:p w14:paraId="21B2EB7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328 397</w:t>
            </w:r>
          </w:p>
        </w:tc>
        <w:tc>
          <w:tcPr>
            <w:tcW w:w="1416" w:type="dxa"/>
            <w:tcBorders>
              <w:top w:val="nil"/>
              <w:left w:val="nil"/>
              <w:bottom w:val="single" w:sz="4" w:space="0" w:color="000000"/>
              <w:right w:val="nil"/>
            </w:tcBorders>
            <w:vAlign w:val="bottom"/>
            <w:hideMark/>
          </w:tcPr>
          <w:p w14:paraId="6800184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52 853</w:t>
            </w:r>
          </w:p>
        </w:tc>
      </w:tr>
      <w:tr w:rsidR="00607B78" w:rsidRPr="009C2953" w14:paraId="69A31D02" w14:textId="77777777" w:rsidTr="00EA225A">
        <w:trPr>
          <w:trHeight w:val="315"/>
          <w:jc w:val="right"/>
        </w:trPr>
        <w:tc>
          <w:tcPr>
            <w:tcW w:w="5039" w:type="dxa"/>
            <w:tcBorders>
              <w:top w:val="single" w:sz="4" w:space="0" w:color="000000"/>
              <w:left w:val="nil"/>
              <w:bottom w:val="single" w:sz="4" w:space="0" w:color="auto"/>
              <w:right w:val="nil"/>
            </w:tcBorders>
            <w:hideMark/>
          </w:tcPr>
          <w:p w14:paraId="77192422"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partie A</w:t>
            </w:r>
          </w:p>
        </w:tc>
        <w:tc>
          <w:tcPr>
            <w:tcW w:w="1623" w:type="dxa"/>
            <w:tcBorders>
              <w:top w:val="single" w:sz="4" w:space="0" w:color="000000"/>
              <w:left w:val="nil"/>
              <w:bottom w:val="single" w:sz="4" w:space="0" w:color="auto"/>
              <w:right w:val="nil"/>
            </w:tcBorders>
            <w:vAlign w:val="bottom"/>
            <w:hideMark/>
          </w:tcPr>
          <w:p w14:paraId="1A8C2D88" w14:textId="4A434518"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w:t>
            </w:r>
            <w:r w:rsidR="0006359E" w:rsidRPr="009C2953">
              <w:rPr>
                <w:b/>
                <w:color w:val="000000"/>
                <w:sz w:val="18"/>
                <w:lang w:val="fr-FR"/>
              </w:rPr>
              <w:t> </w:t>
            </w:r>
            <w:r w:rsidRPr="009C2953">
              <w:rPr>
                <w:b/>
                <w:color w:val="000000"/>
                <w:sz w:val="18"/>
                <w:lang w:val="fr-FR"/>
              </w:rPr>
              <w:t>084</w:t>
            </w:r>
            <w:r w:rsidR="0006359E" w:rsidRPr="009C2953">
              <w:rPr>
                <w:b/>
                <w:color w:val="000000"/>
                <w:sz w:val="18"/>
                <w:lang w:val="fr-FR"/>
              </w:rPr>
              <w:t> </w:t>
            </w:r>
            <w:r w:rsidRPr="009C2953">
              <w:rPr>
                <w:b/>
                <w:color w:val="000000"/>
                <w:sz w:val="18"/>
                <w:lang w:val="fr-FR"/>
              </w:rPr>
              <w:t>250</w:t>
            </w:r>
          </w:p>
        </w:tc>
        <w:tc>
          <w:tcPr>
            <w:tcW w:w="1417" w:type="dxa"/>
            <w:tcBorders>
              <w:top w:val="single" w:sz="4" w:space="0" w:color="000000"/>
              <w:left w:val="nil"/>
              <w:bottom w:val="single" w:sz="4" w:space="0" w:color="auto"/>
              <w:right w:val="nil"/>
            </w:tcBorders>
            <w:vAlign w:val="bottom"/>
            <w:hideMark/>
          </w:tcPr>
          <w:p w14:paraId="0EBB739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847 561</w:t>
            </w:r>
          </w:p>
        </w:tc>
        <w:tc>
          <w:tcPr>
            <w:tcW w:w="1416" w:type="dxa"/>
            <w:tcBorders>
              <w:top w:val="single" w:sz="4" w:space="0" w:color="000000"/>
              <w:left w:val="nil"/>
              <w:bottom w:val="single" w:sz="4" w:space="0" w:color="auto"/>
              <w:right w:val="nil"/>
            </w:tcBorders>
            <w:vAlign w:val="bottom"/>
            <w:hideMark/>
          </w:tcPr>
          <w:p w14:paraId="484DBEF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236 689</w:t>
            </w:r>
          </w:p>
        </w:tc>
      </w:tr>
      <w:tr w:rsidR="00EA225A" w:rsidRPr="009C2953" w14:paraId="51E0451A" w14:textId="77777777" w:rsidTr="00FC117D">
        <w:trPr>
          <w:trHeight w:val="300"/>
          <w:jc w:val="right"/>
        </w:trPr>
        <w:tc>
          <w:tcPr>
            <w:tcW w:w="9495" w:type="dxa"/>
            <w:gridSpan w:val="4"/>
            <w:tcBorders>
              <w:top w:val="single" w:sz="4" w:space="0" w:color="auto"/>
              <w:left w:val="nil"/>
              <w:bottom w:val="nil"/>
              <w:right w:val="nil"/>
            </w:tcBorders>
            <w:hideMark/>
          </w:tcPr>
          <w:p w14:paraId="1DFB6F0F" w14:textId="1E4BCF85" w:rsidR="00EA225A" w:rsidRPr="009C2953" w:rsidRDefault="00EA225A" w:rsidP="00EA225A">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b/>
                <w:color w:val="000000"/>
                <w:sz w:val="18"/>
                <w:lang w:val="fr-FR"/>
              </w:rPr>
              <w:t>Partie B : programme de travail glissant pour la période allant jusqu</w:t>
            </w:r>
            <w:r w:rsidR="00EA2966" w:rsidRPr="009C2953">
              <w:rPr>
                <w:b/>
                <w:color w:val="000000"/>
                <w:sz w:val="18"/>
                <w:lang w:val="fr-FR"/>
              </w:rPr>
              <w:t>’</w:t>
            </w:r>
            <w:r w:rsidRPr="009C2953">
              <w:rPr>
                <w:b/>
                <w:color w:val="000000"/>
                <w:sz w:val="18"/>
                <w:lang w:val="fr-FR"/>
              </w:rPr>
              <w:t>en 2030</w:t>
            </w:r>
          </w:p>
        </w:tc>
      </w:tr>
      <w:tr w:rsidR="00607B78" w:rsidRPr="009C2953" w14:paraId="7507DD71" w14:textId="77777777" w:rsidTr="00EA225A">
        <w:trPr>
          <w:trHeight w:val="300"/>
          <w:jc w:val="right"/>
        </w:trPr>
        <w:tc>
          <w:tcPr>
            <w:tcW w:w="5039" w:type="dxa"/>
            <w:tcBorders>
              <w:top w:val="nil"/>
              <w:left w:val="nil"/>
              <w:bottom w:val="single" w:sz="4" w:space="0" w:color="auto"/>
              <w:right w:val="nil"/>
            </w:tcBorders>
            <w:hideMark/>
          </w:tcPr>
          <w:p w14:paraId="23C7C832" w14:textId="631A10A0"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Objectif 1 : évaluation</w:t>
            </w:r>
            <w:r w:rsidR="00D24DC1" w:rsidRPr="009C2953">
              <w:rPr>
                <w:b/>
                <w:color w:val="000000"/>
                <w:sz w:val="18"/>
                <w:lang w:val="fr-FR"/>
              </w:rPr>
              <w:t xml:space="preserve"> des </w:t>
            </w:r>
            <w:r w:rsidRPr="009C2953">
              <w:rPr>
                <w:b/>
                <w:color w:val="000000"/>
                <w:sz w:val="18"/>
                <w:lang w:val="fr-FR"/>
              </w:rPr>
              <w:t>connaissances</w:t>
            </w:r>
          </w:p>
        </w:tc>
        <w:tc>
          <w:tcPr>
            <w:tcW w:w="1623" w:type="dxa"/>
            <w:tcBorders>
              <w:top w:val="nil"/>
              <w:left w:val="nil"/>
              <w:bottom w:val="single" w:sz="4" w:space="0" w:color="auto"/>
              <w:right w:val="nil"/>
            </w:tcBorders>
            <w:vAlign w:val="bottom"/>
            <w:hideMark/>
          </w:tcPr>
          <w:p w14:paraId="4257E02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1 084 420</w:t>
            </w:r>
          </w:p>
        </w:tc>
        <w:tc>
          <w:tcPr>
            <w:tcW w:w="1417" w:type="dxa"/>
            <w:tcBorders>
              <w:top w:val="nil"/>
              <w:left w:val="nil"/>
              <w:bottom w:val="single" w:sz="4" w:space="0" w:color="auto"/>
              <w:right w:val="nil"/>
            </w:tcBorders>
            <w:vAlign w:val="bottom"/>
            <w:hideMark/>
          </w:tcPr>
          <w:p w14:paraId="403F4F0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590 635</w:t>
            </w:r>
          </w:p>
        </w:tc>
        <w:tc>
          <w:tcPr>
            <w:tcW w:w="1416" w:type="dxa"/>
            <w:tcBorders>
              <w:top w:val="nil"/>
              <w:left w:val="nil"/>
              <w:bottom w:val="single" w:sz="4" w:space="0" w:color="auto"/>
              <w:right w:val="nil"/>
            </w:tcBorders>
            <w:vAlign w:val="bottom"/>
            <w:hideMark/>
          </w:tcPr>
          <w:p w14:paraId="57C67F2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493 785</w:t>
            </w:r>
          </w:p>
        </w:tc>
      </w:tr>
      <w:tr w:rsidR="00607B78" w:rsidRPr="009C2953" w14:paraId="1B217D20" w14:textId="77777777" w:rsidTr="00EA225A">
        <w:trPr>
          <w:trHeight w:val="475"/>
          <w:jc w:val="right"/>
        </w:trPr>
        <w:tc>
          <w:tcPr>
            <w:tcW w:w="5039" w:type="dxa"/>
            <w:tcBorders>
              <w:top w:val="single" w:sz="4" w:space="0" w:color="auto"/>
              <w:left w:val="nil"/>
              <w:bottom w:val="nil"/>
              <w:right w:val="nil"/>
            </w:tcBorders>
            <w:hideMark/>
          </w:tcPr>
          <w:p w14:paraId="49C72AB1" w14:textId="1D20108D"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Produit 1 a) : évaluation thématique</w:t>
            </w:r>
            <w:r w:rsidR="00D24DC1" w:rsidRPr="009C2953">
              <w:rPr>
                <w:color w:val="000000"/>
                <w:sz w:val="18"/>
                <w:lang w:val="fr-FR"/>
              </w:rPr>
              <w:t xml:space="preserve"> des </w:t>
            </w:r>
            <w:r w:rsidRPr="009C2953">
              <w:rPr>
                <w:color w:val="000000"/>
                <w:sz w:val="18"/>
                <w:lang w:val="fr-FR"/>
              </w:rPr>
              <w:t>liens d</w:t>
            </w:r>
            <w:r w:rsidR="00EA2966" w:rsidRPr="009C2953">
              <w:rPr>
                <w:color w:val="000000"/>
                <w:sz w:val="18"/>
                <w:lang w:val="fr-FR"/>
              </w:rPr>
              <w:t>’</w:t>
            </w:r>
            <w:r w:rsidRPr="009C2953">
              <w:rPr>
                <w:color w:val="000000"/>
                <w:sz w:val="18"/>
                <w:lang w:val="fr-FR"/>
              </w:rPr>
              <w:t>interdépendance entre</w:t>
            </w:r>
            <w:r w:rsidR="00F34644" w:rsidRPr="009C2953">
              <w:rPr>
                <w:color w:val="000000"/>
                <w:sz w:val="18"/>
                <w:lang w:val="fr-FR"/>
              </w:rPr>
              <w:t xml:space="preserve"> la </w:t>
            </w:r>
            <w:r w:rsidRPr="009C2953">
              <w:rPr>
                <w:color w:val="000000"/>
                <w:sz w:val="18"/>
                <w:lang w:val="fr-FR"/>
              </w:rPr>
              <w:t>biodiversité, l</w:t>
            </w:r>
            <w:r w:rsidR="00EA2966" w:rsidRPr="009C2953">
              <w:rPr>
                <w:color w:val="000000"/>
                <w:sz w:val="18"/>
                <w:lang w:val="fr-FR"/>
              </w:rPr>
              <w:t>’</w:t>
            </w:r>
            <w:r w:rsidRPr="009C2953">
              <w:rPr>
                <w:color w:val="000000"/>
                <w:sz w:val="18"/>
                <w:lang w:val="fr-FR"/>
              </w:rPr>
              <w:t>eau, l</w:t>
            </w:r>
            <w:r w:rsidR="00EA2966" w:rsidRPr="009C2953">
              <w:rPr>
                <w:color w:val="000000"/>
                <w:sz w:val="18"/>
                <w:lang w:val="fr-FR"/>
              </w:rPr>
              <w:t>’</w:t>
            </w:r>
            <w:r w:rsidRPr="009C2953">
              <w:rPr>
                <w:color w:val="000000"/>
                <w:sz w:val="18"/>
                <w:lang w:val="fr-FR"/>
              </w:rPr>
              <w:t>alimentation et</w:t>
            </w:r>
            <w:r w:rsidR="00F34644" w:rsidRPr="009C2953">
              <w:rPr>
                <w:color w:val="000000"/>
                <w:sz w:val="18"/>
                <w:lang w:val="fr-FR"/>
              </w:rPr>
              <w:t xml:space="preserve"> la </w:t>
            </w:r>
            <w:r w:rsidRPr="009C2953">
              <w:rPr>
                <w:color w:val="000000"/>
                <w:sz w:val="18"/>
                <w:lang w:val="fr-FR"/>
              </w:rPr>
              <w:t>santé (évaluation</w:t>
            </w:r>
            <w:r w:rsidR="00D24DC1" w:rsidRPr="009C2953">
              <w:rPr>
                <w:color w:val="000000"/>
                <w:sz w:val="18"/>
                <w:lang w:val="fr-FR"/>
              </w:rPr>
              <w:t xml:space="preserve"> des </w:t>
            </w:r>
            <w:r w:rsidRPr="009C2953">
              <w:rPr>
                <w:color w:val="000000"/>
                <w:sz w:val="18"/>
                <w:lang w:val="fr-FR"/>
              </w:rPr>
              <w:t>interdépendances)</w:t>
            </w:r>
          </w:p>
        </w:tc>
        <w:tc>
          <w:tcPr>
            <w:tcW w:w="1623" w:type="dxa"/>
            <w:tcBorders>
              <w:top w:val="single" w:sz="4" w:space="0" w:color="auto"/>
              <w:left w:val="nil"/>
              <w:bottom w:val="nil"/>
              <w:right w:val="nil"/>
            </w:tcBorders>
            <w:vAlign w:val="bottom"/>
            <w:hideMark/>
          </w:tcPr>
          <w:p w14:paraId="78BD9ED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663 170</w:t>
            </w:r>
          </w:p>
        </w:tc>
        <w:tc>
          <w:tcPr>
            <w:tcW w:w="1417" w:type="dxa"/>
            <w:tcBorders>
              <w:top w:val="single" w:sz="4" w:space="0" w:color="auto"/>
              <w:left w:val="nil"/>
              <w:bottom w:val="nil"/>
              <w:right w:val="nil"/>
            </w:tcBorders>
            <w:vAlign w:val="bottom"/>
            <w:hideMark/>
          </w:tcPr>
          <w:p w14:paraId="1D83967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365 597</w:t>
            </w:r>
          </w:p>
        </w:tc>
        <w:tc>
          <w:tcPr>
            <w:tcW w:w="1416" w:type="dxa"/>
            <w:tcBorders>
              <w:top w:val="single" w:sz="4" w:space="0" w:color="auto"/>
              <w:left w:val="nil"/>
              <w:bottom w:val="nil"/>
              <w:right w:val="nil"/>
            </w:tcBorders>
            <w:vAlign w:val="bottom"/>
            <w:hideMark/>
          </w:tcPr>
          <w:p w14:paraId="5C2F3C1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297 573</w:t>
            </w:r>
          </w:p>
        </w:tc>
      </w:tr>
      <w:tr w:rsidR="00607B78" w:rsidRPr="009C2953" w14:paraId="5ED21E45" w14:textId="77777777" w:rsidTr="00EA225A">
        <w:trPr>
          <w:trHeight w:val="560"/>
          <w:jc w:val="right"/>
        </w:trPr>
        <w:tc>
          <w:tcPr>
            <w:tcW w:w="5039" w:type="dxa"/>
            <w:tcBorders>
              <w:top w:val="nil"/>
              <w:left w:val="nil"/>
              <w:bottom w:val="single" w:sz="4" w:space="0" w:color="auto"/>
              <w:right w:val="nil"/>
            </w:tcBorders>
            <w:hideMark/>
          </w:tcPr>
          <w:p w14:paraId="6EC9F9A2" w14:textId="15C35267"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Produit 1 c) : évaluation thématique</w:t>
            </w:r>
            <w:r w:rsidR="00D24DC1" w:rsidRPr="009C2953">
              <w:rPr>
                <w:color w:val="000000"/>
                <w:sz w:val="18"/>
                <w:lang w:val="fr-FR"/>
              </w:rPr>
              <w:t xml:space="preserve"> des </w:t>
            </w:r>
            <w:r w:rsidRPr="009C2953">
              <w:rPr>
                <w:color w:val="000000"/>
                <w:sz w:val="18"/>
                <w:lang w:val="fr-FR"/>
              </w:rPr>
              <w:t>causes sous-jacentes de</w:t>
            </w:r>
            <w:r w:rsidR="00EA225A" w:rsidRPr="009C2953">
              <w:rPr>
                <w:color w:val="000000"/>
                <w:sz w:val="18"/>
                <w:lang w:val="fr-FR"/>
              </w:rPr>
              <w:t> </w:t>
            </w:r>
            <w:r w:rsidR="00F34644" w:rsidRPr="009C2953">
              <w:rPr>
                <w:color w:val="000000"/>
                <w:sz w:val="18"/>
                <w:lang w:val="fr-FR"/>
              </w:rPr>
              <w:t>la </w:t>
            </w:r>
            <w:r w:rsidRPr="009C2953">
              <w:rPr>
                <w:color w:val="000000"/>
                <w:sz w:val="18"/>
                <w:lang w:val="fr-FR"/>
              </w:rPr>
              <w:t>perte de biodiversité et</w:t>
            </w:r>
            <w:r w:rsidR="00D24DC1" w:rsidRPr="009C2953">
              <w:rPr>
                <w:color w:val="000000"/>
                <w:sz w:val="18"/>
                <w:lang w:val="fr-FR"/>
              </w:rPr>
              <w:t xml:space="preserve"> des </w:t>
            </w:r>
            <w:r w:rsidRPr="009C2953">
              <w:rPr>
                <w:color w:val="000000"/>
                <w:sz w:val="18"/>
                <w:lang w:val="fr-FR"/>
              </w:rPr>
              <w:t>déterminants du changement transformateur, ainsi que</w:t>
            </w:r>
            <w:r w:rsidR="00D24DC1" w:rsidRPr="009C2953">
              <w:rPr>
                <w:color w:val="000000"/>
                <w:sz w:val="18"/>
                <w:lang w:val="fr-FR"/>
              </w:rPr>
              <w:t xml:space="preserve"> des </w:t>
            </w:r>
            <w:r w:rsidRPr="009C2953">
              <w:rPr>
                <w:color w:val="000000"/>
                <w:sz w:val="18"/>
                <w:lang w:val="fr-FR"/>
              </w:rPr>
              <w:t>solutions possibles afin de réaliser</w:t>
            </w:r>
            <w:r w:rsidR="00F34644" w:rsidRPr="009C2953">
              <w:rPr>
                <w:color w:val="000000"/>
                <w:sz w:val="18"/>
                <w:lang w:val="fr-FR"/>
              </w:rPr>
              <w:t xml:space="preserve"> la </w:t>
            </w:r>
            <w:r w:rsidRPr="009C2953">
              <w:rPr>
                <w:color w:val="000000"/>
                <w:sz w:val="18"/>
                <w:lang w:val="fr-FR"/>
              </w:rPr>
              <w:t>Vision 2050 pour</w:t>
            </w:r>
            <w:r w:rsidR="00F34644" w:rsidRPr="009C2953">
              <w:rPr>
                <w:color w:val="000000"/>
                <w:sz w:val="18"/>
                <w:lang w:val="fr-FR"/>
              </w:rPr>
              <w:t xml:space="preserve"> la </w:t>
            </w:r>
            <w:r w:rsidRPr="009C2953">
              <w:rPr>
                <w:color w:val="000000"/>
                <w:sz w:val="18"/>
                <w:lang w:val="fr-FR"/>
              </w:rPr>
              <w:t>biodiversité (évaluation du changement transformateur)</w:t>
            </w:r>
          </w:p>
        </w:tc>
        <w:tc>
          <w:tcPr>
            <w:tcW w:w="1623" w:type="dxa"/>
            <w:tcBorders>
              <w:top w:val="nil"/>
              <w:left w:val="nil"/>
              <w:bottom w:val="single" w:sz="4" w:space="0" w:color="auto"/>
              <w:right w:val="nil"/>
            </w:tcBorders>
            <w:vAlign w:val="bottom"/>
            <w:hideMark/>
          </w:tcPr>
          <w:p w14:paraId="557AA0D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421 250</w:t>
            </w:r>
          </w:p>
        </w:tc>
        <w:tc>
          <w:tcPr>
            <w:tcW w:w="1417" w:type="dxa"/>
            <w:tcBorders>
              <w:top w:val="nil"/>
              <w:left w:val="nil"/>
              <w:bottom w:val="single" w:sz="4" w:space="0" w:color="auto"/>
              <w:right w:val="nil"/>
            </w:tcBorders>
            <w:vAlign w:val="bottom"/>
            <w:hideMark/>
          </w:tcPr>
          <w:p w14:paraId="5C79C5B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225 039</w:t>
            </w:r>
          </w:p>
        </w:tc>
        <w:tc>
          <w:tcPr>
            <w:tcW w:w="1416" w:type="dxa"/>
            <w:tcBorders>
              <w:top w:val="nil"/>
              <w:left w:val="nil"/>
              <w:bottom w:val="single" w:sz="4" w:space="0" w:color="auto"/>
              <w:right w:val="nil"/>
            </w:tcBorders>
            <w:vAlign w:val="bottom"/>
            <w:hideMark/>
          </w:tcPr>
          <w:p w14:paraId="46A2638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196 211</w:t>
            </w:r>
          </w:p>
        </w:tc>
      </w:tr>
      <w:tr w:rsidR="00607B78" w:rsidRPr="009C2953" w14:paraId="460B009E" w14:textId="77777777" w:rsidTr="00EA225A">
        <w:trPr>
          <w:trHeight w:val="47"/>
          <w:jc w:val="right"/>
        </w:trPr>
        <w:tc>
          <w:tcPr>
            <w:tcW w:w="5039" w:type="dxa"/>
            <w:tcBorders>
              <w:top w:val="single" w:sz="4" w:space="0" w:color="auto"/>
              <w:left w:val="nil"/>
              <w:bottom w:val="single" w:sz="4" w:space="0" w:color="auto"/>
              <w:right w:val="nil"/>
            </w:tcBorders>
            <w:hideMark/>
          </w:tcPr>
          <w:p w14:paraId="3DE0152F" w14:textId="4BA148CF" w:rsidR="00607B78" w:rsidRPr="009C2953" w:rsidRDefault="00607B78" w:rsidP="00A068F8">
            <w:pPr>
              <w:keepNext/>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Objectif 2 : renforcement</w:t>
            </w:r>
            <w:r w:rsidR="00D24DC1" w:rsidRPr="009C2953">
              <w:rPr>
                <w:b/>
                <w:color w:val="000000"/>
                <w:sz w:val="18"/>
                <w:lang w:val="fr-FR"/>
              </w:rPr>
              <w:t xml:space="preserve"> des </w:t>
            </w:r>
            <w:r w:rsidRPr="009C2953">
              <w:rPr>
                <w:b/>
                <w:color w:val="000000"/>
                <w:sz w:val="18"/>
                <w:lang w:val="fr-FR"/>
              </w:rPr>
              <w:t>capacités</w:t>
            </w:r>
          </w:p>
        </w:tc>
        <w:tc>
          <w:tcPr>
            <w:tcW w:w="1623" w:type="dxa"/>
            <w:tcBorders>
              <w:top w:val="single" w:sz="4" w:space="0" w:color="auto"/>
              <w:left w:val="nil"/>
              <w:bottom w:val="single" w:sz="4" w:space="0" w:color="auto"/>
              <w:right w:val="nil"/>
            </w:tcBorders>
            <w:vAlign w:val="bottom"/>
            <w:hideMark/>
          </w:tcPr>
          <w:p w14:paraId="589976ED" w14:textId="77777777" w:rsidR="00607B78" w:rsidRPr="009C2953" w:rsidRDefault="00607B78" w:rsidP="00A068F8">
            <w:pPr>
              <w:keepNext/>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390 200</w:t>
            </w:r>
          </w:p>
        </w:tc>
        <w:tc>
          <w:tcPr>
            <w:tcW w:w="1417" w:type="dxa"/>
            <w:tcBorders>
              <w:top w:val="single" w:sz="4" w:space="0" w:color="auto"/>
              <w:left w:val="nil"/>
              <w:bottom w:val="single" w:sz="4" w:space="0" w:color="auto"/>
              <w:right w:val="nil"/>
            </w:tcBorders>
            <w:vAlign w:val="bottom"/>
            <w:hideMark/>
          </w:tcPr>
          <w:p w14:paraId="12744D8C" w14:textId="77777777" w:rsidR="00607B78" w:rsidRPr="009C2953" w:rsidRDefault="00607B78" w:rsidP="00A068F8">
            <w:pPr>
              <w:keepNext/>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206 563</w:t>
            </w:r>
          </w:p>
        </w:tc>
        <w:tc>
          <w:tcPr>
            <w:tcW w:w="1416" w:type="dxa"/>
            <w:tcBorders>
              <w:top w:val="single" w:sz="4" w:space="0" w:color="auto"/>
              <w:left w:val="nil"/>
              <w:bottom w:val="single" w:sz="4" w:space="0" w:color="auto"/>
              <w:right w:val="nil"/>
            </w:tcBorders>
            <w:vAlign w:val="bottom"/>
            <w:hideMark/>
          </w:tcPr>
          <w:p w14:paraId="12CFB979" w14:textId="77777777" w:rsidR="00607B78" w:rsidRPr="009C2953" w:rsidRDefault="00607B78" w:rsidP="00A068F8">
            <w:pPr>
              <w:keepNext/>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183 637</w:t>
            </w:r>
          </w:p>
        </w:tc>
      </w:tr>
      <w:tr w:rsidR="00607B78" w:rsidRPr="009C2953" w14:paraId="0B5BF091" w14:textId="77777777" w:rsidTr="00EA225A">
        <w:trPr>
          <w:trHeight w:val="564"/>
          <w:jc w:val="right"/>
        </w:trPr>
        <w:tc>
          <w:tcPr>
            <w:tcW w:w="5039" w:type="dxa"/>
            <w:tcBorders>
              <w:top w:val="single" w:sz="4" w:space="0" w:color="auto"/>
              <w:left w:val="nil"/>
              <w:bottom w:val="single" w:sz="4" w:space="0" w:color="auto"/>
              <w:right w:val="nil"/>
            </w:tcBorders>
            <w:hideMark/>
          </w:tcPr>
          <w:p w14:paraId="2F2386F0" w14:textId="0F25E7E5" w:rsidR="00607B78" w:rsidRPr="009C2953" w:rsidRDefault="00607B78" w:rsidP="00A068F8">
            <w:pPr>
              <w:tabs>
                <w:tab w:val="left" w:pos="624"/>
                <w:tab w:val="left" w:pos="1871"/>
                <w:tab w:val="left" w:pos="2495"/>
                <w:tab w:val="left" w:pos="3119"/>
                <w:tab w:val="left" w:pos="3742"/>
                <w:tab w:val="left" w:pos="4366"/>
              </w:tabs>
              <w:spacing w:before="40" w:after="40"/>
              <w:ind w:right="-144"/>
              <w:rPr>
                <w:color w:val="000000"/>
                <w:sz w:val="18"/>
                <w:szCs w:val="18"/>
                <w:lang w:val="fr-FR"/>
              </w:rPr>
            </w:pPr>
            <w:r w:rsidRPr="009C2953">
              <w:rPr>
                <w:color w:val="000000"/>
                <w:sz w:val="18"/>
                <w:lang w:val="fr-FR"/>
              </w:rPr>
              <w:t>Objectif 2 a) : apprentissage et engagement améliorés ; objectif 2 b) : accès facilité</w:t>
            </w:r>
            <w:r w:rsidR="00F34644" w:rsidRPr="009C2953">
              <w:rPr>
                <w:color w:val="000000"/>
                <w:sz w:val="18"/>
                <w:lang w:val="fr-FR"/>
              </w:rPr>
              <w:t xml:space="preserve"> aux </w:t>
            </w:r>
            <w:r w:rsidRPr="009C2953">
              <w:rPr>
                <w:color w:val="000000"/>
                <w:sz w:val="18"/>
                <w:lang w:val="fr-FR"/>
              </w:rPr>
              <w:t>compétences d</w:t>
            </w:r>
            <w:r w:rsidR="00EA2966" w:rsidRPr="009C2953">
              <w:rPr>
                <w:color w:val="000000"/>
                <w:sz w:val="18"/>
                <w:lang w:val="fr-FR"/>
              </w:rPr>
              <w:t>’</w:t>
            </w:r>
            <w:r w:rsidRPr="009C2953">
              <w:rPr>
                <w:color w:val="000000"/>
                <w:sz w:val="18"/>
                <w:lang w:val="fr-FR"/>
              </w:rPr>
              <w:t>experts et</w:t>
            </w:r>
            <w:r w:rsidR="00EA225A" w:rsidRPr="009C2953">
              <w:rPr>
                <w:color w:val="000000"/>
                <w:sz w:val="18"/>
                <w:lang w:val="fr-FR"/>
              </w:rPr>
              <w:t> </w:t>
            </w:r>
            <w:r w:rsidRPr="009C2953">
              <w:rPr>
                <w:color w:val="000000"/>
                <w:sz w:val="18"/>
                <w:lang w:val="fr-FR"/>
              </w:rPr>
              <w:t>à</w:t>
            </w:r>
            <w:r w:rsidR="00EA225A" w:rsidRPr="009C2953">
              <w:rPr>
                <w:color w:val="000000"/>
                <w:sz w:val="18"/>
                <w:lang w:val="fr-FR"/>
              </w:rPr>
              <w:t> </w:t>
            </w:r>
            <w:r w:rsidRPr="009C2953">
              <w:rPr>
                <w:color w:val="000000"/>
                <w:sz w:val="18"/>
                <w:lang w:val="fr-FR"/>
              </w:rPr>
              <w:t>l</w:t>
            </w:r>
            <w:r w:rsidR="00EA2966" w:rsidRPr="009C2953">
              <w:rPr>
                <w:color w:val="000000"/>
                <w:sz w:val="18"/>
                <w:lang w:val="fr-FR"/>
              </w:rPr>
              <w:t>’</w:t>
            </w:r>
            <w:r w:rsidRPr="009C2953">
              <w:rPr>
                <w:color w:val="000000"/>
                <w:sz w:val="18"/>
                <w:lang w:val="fr-FR"/>
              </w:rPr>
              <w:t>information ; objectif 2 c) : capacités nationales et régionales</w:t>
            </w:r>
            <w:r w:rsidR="00EA225A" w:rsidRPr="009C2953">
              <w:rPr>
                <w:color w:val="000000"/>
                <w:sz w:val="18"/>
                <w:lang w:val="fr-FR"/>
              </w:rPr>
              <w:t> </w:t>
            </w:r>
            <w:r w:rsidRPr="009C2953">
              <w:rPr>
                <w:color w:val="000000"/>
                <w:sz w:val="18"/>
                <w:lang w:val="fr-FR"/>
              </w:rPr>
              <w:t>renforcées</w:t>
            </w:r>
          </w:p>
        </w:tc>
        <w:tc>
          <w:tcPr>
            <w:tcW w:w="1623" w:type="dxa"/>
            <w:tcBorders>
              <w:top w:val="single" w:sz="4" w:space="0" w:color="auto"/>
              <w:left w:val="nil"/>
              <w:bottom w:val="single" w:sz="4" w:space="0" w:color="auto"/>
              <w:right w:val="nil"/>
            </w:tcBorders>
            <w:vAlign w:val="bottom"/>
            <w:hideMark/>
          </w:tcPr>
          <w:p w14:paraId="00FC815A"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390 200</w:t>
            </w:r>
          </w:p>
        </w:tc>
        <w:tc>
          <w:tcPr>
            <w:tcW w:w="1417" w:type="dxa"/>
            <w:tcBorders>
              <w:top w:val="single" w:sz="4" w:space="0" w:color="auto"/>
              <w:left w:val="nil"/>
              <w:bottom w:val="single" w:sz="4" w:space="0" w:color="auto"/>
              <w:right w:val="nil"/>
            </w:tcBorders>
            <w:vAlign w:val="bottom"/>
            <w:hideMark/>
          </w:tcPr>
          <w:p w14:paraId="71FB1D34"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206 563</w:t>
            </w:r>
          </w:p>
        </w:tc>
        <w:tc>
          <w:tcPr>
            <w:tcW w:w="1416" w:type="dxa"/>
            <w:tcBorders>
              <w:top w:val="single" w:sz="4" w:space="0" w:color="auto"/>
              <w:left w:val="nil"/>
              <w:bottom w:val="single" w:sz="4" w:space="0" w:color="auto"/>
              <w:right w:val="nil"/>
            </w:tcBorders>
            <w:vAlign w:val="bottom"/>
            <w:hideMark/>
          </w:tcPr>
          <w:p w14:paraId="499C46F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183 637</w:t>
            </w:r>
          </w:p>
        </w:tc>
      </w:tr>
      <w:tr w:rsidR="00607B78" w:rsidRPr="009C2953" w14:paraId="1B3D62E5" w14:textId="77777777" w:rsidTr="00EA225A">
        <w:trPr>
          <w:trHeight w:val="47"/>
          <w:jc w:val="right"/>
        </w:trPr>
        <w:tc>
          <w:tcPr>
            <w:tcW w:w="5039" w:type="dxa"/>
            <w:tcBorders>
              <w:top w:val="single" w:sz="4" w:space="0" w:color="auto"/>
              <w:left w:val="nil"/>
              <w:bottom w:val="single" w:sz="4" w:space="0" w:color="auto"/>
              <w:right w:val="nil"/>
            </w:tcBorders>
            <w:hideMark/>
          </w:tcPr>
          <w:p w14:paraId="612894EF" w14:textId="3D4D01F1"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Objectif 3 : consolidation de</w:t>
            </w:r>
            <w:r w:rsidR="00F34644" w:rsidRPr="009C2953">
              <w:rPr>
                <w:b/>
                <w:color w:val="000000"/>
                <w:sz w:val="18"/>
                <w:lang w:val="fr-FR"/>
              </w:rPr>
              <w:t xml:space="preserve"> la </w:t>
            </w:r>
            <w:r w:rsidRPr="009C2953">
              <w:rPr>
                <w:b/>
                <w:color w:val="000000"/>
                <w:sz w:val="18"/>
                <w:lang w:val="fr-FR"/>
              </w:rPr>
              <w:t>base de connaissances</w:t>
            </w:r>
          </w:p>
        </w:tc>
        <w:tc>
          <w:tcPr>
            <w:tcW w:w="1623" w:type="dxa"/>
            <w:tcBorders>
              <w:top w:val="single" w:sz="4" w:space="0" w:color="auto"/>
              <w:left w:val="nil"/>
              <w:bottom w:val="single" w:sz="4" w:space="0" w:color="auto"/>
              <w:right w:val="nil"/>
            </w:tcBorders>
            <w:vAlign w:val="bottom"/>
            <w:hideMark/>
          </w:tcPr>
          <w:p w14:paraId="6CE67FB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555 000</w:t>
            </w:r>
          </w:p>
        </w:tc>
        <w:tc>
          <w:tcPr>
            <w:tcW w:w="1417" w:type="dxa"/>
            <w:tcBorders>
              <w:top w:val="single" w:sz="4" w:space="0" w:color="auto"/>
              <w:left w:val="nil"/>
              <w:bottom w:val="single" w:sz="4" w:space="0" w:color="auto"/>
              <w:right w:val="nil"/>
            </w:tcBorders>
            <w:vAlign w:val="bottom"/>
            <w:hideMark/>
          </w:tcPr>
          <w:p w14:paraId="61BFA3F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347 922</w:t>
            </w:r>
          </w:p>
        </w:tc>
        <w:tc>
          <w:tcPr>
            <w:tcW w:w="1416" w:type="dxa"/>
            <w:tcBorders>
              <w:top w:val="single" w:sz="4" w:space="0" w:color="auto"/>
              <w:left w:val="nil"/>
              <w:bottom w:val="single" w:sz="4" w:space="0" w:color="auto"/>
              <w:right w:val="nil"/>
            </w:tcBorders>
            <w:vAlign w:val="bottom"/>
            <w:hideMark/>
          </w:tcPr>
          <w:p w14:paraId="1001419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207 078</w:t>
            </w:r>
          </w:p>
        </w:tc>
      </w:tr>
      <w:tr w:rsidR="00607B78" w:rsidRPr="009C2953" w14:paraId="1055F78E" w14:textId="77777777" w:rsidTr="00EA225A">
        <w:trPr>
          <w:trHeight w:val="300"/>
          <w:jc w:val="right"/>
        </w:trPr>
        <w:tc>
          <w:tcPr>
            <w:tcW w:w="5039" w:type="dxa"/>
            <w:tcBorders>
              <w:top w:val="single" w:sz="4" w:space="0" w:color="auto"/>
              <w:left w:val="nil"/>
              <w:bottom w:val="nil"/>
              <w:right w:val="nil"/>
            </w:tcBorders>
            <w:hideMark/>
          </w:tcPr>
          <w:p w14:paraId="1D07B167" w14:textId="0D8C4DB8"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3 a) : travaux avancés sur</w:t>
            </w:r>
            <w:r w:rsidR="00F34644" w:rsidRPr="009C2953">
              <w:rPr>
                <w:color w:val="000000"/>
                <w:sz w:val="18"/>
                <w:lang w:val="fr-FR"/>
              </w:rPr>
              <w:t xml:space="preserve"> les </w:t>
            </w:r>
            <w:r w:rsidRPr="009C2953">
              <w:rPr>
                <w:color w:val="000000"/>
                <w:sz w:val="18"/>
                <w:lang w:val="fr-FR"/>
              </w:rPr>
              <w:t>connaissances et</w:t>
            </w:r>
            <w:r w:rsidR="00EA225A" w:rsidRPr="009C2953">
              <w:rPr>
                <w:color w:val="000000"/>
                <w:sz w:val="18"/>
                <w:lang w:val="fr-FR"/>
              </w:rPr>
              <w:t> </w:t>
            </w:r>
            <w:r w:rsidR="00F34644" w:rsidRPr="009C2953">
              <w:rPr>
                <w:color w:val="000000"/>
                <w:sz w:val="18"/>
                <w:lang w:val="fr-FR"/>
              </w:rPr>
              <w:t>les </w:t>
            </w:r>
            <w:r w:rsidRPr="009C2953">
              <w:rPr>
                <w:color w:val="000000"/>
                <w:sz w:val="18"/>
                <w:lang w:val="fr-FR"/>
              </w:rPr>
              <w:t>données</w:t>
            </w:r>
          </w:p>
        </w:tc>
        <w:tc>
          <w:tcPr>
            <w:tcW w:w="1623" w:type="dxa"/>
            <w:tcBorders>
              <w:top w:val="single" w:sz="4" w:space="0" w:color="auto"/>
              <w:left w:val="nil"/>
              <w:bottom w:val="nil"/>
              <w:right w:val="nil"/>
            </w:tcBorders>
            <w:vAlign w:val="bottom"/>
            <w:hideMark/>
          </w:tcPr>
          <w:p w14:paraId="4B2D777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268 000</w:t>
            </w:r>
          </w:p>
        </w:tc>
        <w:tc>
          <w:tcPr>
            <w:tcW w:w="1417" w:type="dxa"/>
            <w:tcBorders>
              <w:top w:val="single" w:sz="4" w:space="0" w:color="auto"/>
              <w:left w:val="nil"/>
              <w:bottom w:val="nil"/>
              <w:right w:val="nil"/>
            </w:tcBorders>
            <w:vAlign w:val="bottom"/>
            <w:hideMark/>
          </w:tcPr>
          <w:p w14:paraId="2A4CC8C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128 084</w:t>
            </w:r>
          </w:p>
        </w:tc>
        <w:tc>
          <w:tcPr>
            <w:tcW w:w="1416" w:type="dxa"/>
            <w:tcBorders>
              <w:top w:val="single" w:sz="4" w:space="0" w:color="auto"/>
              <w:left w:val="nil"/>
              <w:bottom w:val="nil"/>
              <w:right w:val="nil"/>
            </w:tcBorders>
            <w:vAlign w:val="bottom"/>
            <w:hideMark/>
          </w:tcPr>
          <w:p w14:paraId="5EC03FA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139 916</w:t>
            </w:r>
          </w:p>
        </w:tc>
      </w:tr>
      <w:tr w:rsidR="00607B78" w:rsidRPr="009C2953" w14:paraId="4A4B0506" w14:textId="77777777" w:rsidTr="00EA225A">
        <w:trPr>
          <w:trHeight w:val="480"/>
          <w:jc w:val="right"/>
        </w:trPr>
        <w:tc>
          <w:tcPr>
            <w:tcW w:w="5039" w:type="dxa"/>
            <w:tcBorders>
              <w:top w:val="nil"/>
              <w:left w:val="nil"/>
              <w:bottom w:val="single" w:sz="4" w:space="0" w:color="auto"/>
              <w:right w:val="nil"/>
            </w:tcBorders>
            <w:hideMark/>
          </w:tcPr>
          <w:p w14:paraId="4D06C3EC" w14:textId="279FEACA"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lastRenderedPageBreak/>
              <w:t>Objectif 3 b) : reconnaissance et utilisation améliorées</w:t>
            </w:r>
            <w:r w:rsidR="00D24DC1" w:rsidRPr="009C2953">
              <w:rPr>
                <w:color w:val="000000"/>
                <w:sz w:val="18"/>
                <w:lang w:val="fr-FR"/>
              </w:rPr>
              <w:t xml:space="preserve"> des </w:t>
            </w:r>
            <w:r w:rsidRPr="009C2953">
              <w:rPr>
                <w:color w:val="000000"/>
                <w:sz w:val="18"/>
                <w:lang w:val="fr-FR"/>
              </w:rPr>
              <w:t>systèmes de savoirs autochtones et locaux</w:t>
            </w:r>
          </w:p>
        </w:tc>
        <w:tc>
          <w:tcPr>
            <w:tcW w:w="1623" w:type="dxa"/>
            <w:tcBorders>
              <w:top w:val="nil"/>
              <w:left w:val="nil"/>
              <w:bottom w:val="single" w:sz="4" w:space="0" w:color="auto"/>
              <w:right w:val="nil"/>
            </w:tcBorders>
            <w:vAlign w:val="bottom"/>
            <w:hideMark/>
          </w:tcPr>
          <w:p w14:paraId="17971D9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287 000</w:t>
            </w:r>
          </w:p>
        </w:tc>
        <w:tc>
          <w:tcPr>
            <w:tcW w:w="1417" w:type="dxa"/>
            <w:tcBorders>
              <w:top w:val="nil"/>
              <w:left w:val="nil"/>
              <w:bottom w:val="single" w:sz="4" w:space="0" w:color="auto"/>
              <w:right w:val="nil"/>
            </w:tcBorders>
            <w:vAlign w:val="bottom"/>
            <w:hideMark/>
          </w:tcPr>
          <w:p w14:paraId="1B55D53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219 839</w:t>
            </w:r>
          </w:p>
        </w:tc>
        <w:tc>
          <w:tcPr>
            <w:tcW w:w="1416" w:type="dxa"/>
            <w:tcBorders>
              <w:top w:val="nil"/>
              <w:left w:val="nil"/>
              <w:bottom w:val="single" w:sz="4" w:space="0" w:color="auto"/>
              <w:right w:val="nil"/>
            </w:tcBorders>
            <w:vAlign w:val="bottom"/>
            <w:hideMark/>
          </w:tcPr>
          <w:p w14:paraId="46E13F6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67 161</w:t>
            </w:r>
          </w:p>
        </w:tc>
      </w:tr>
      <w:tr w:rsidR="00607B78" w:rsidRPr="009C2953" w14:paraId="1F085E50" w14:textId="77777777" w:rsidTr="00EA225A">
        <w:trPr>
          <w:trHeight w:val="300"/>
          <w:jc w:val="right"/>
        </w:trPr>
        <w:tc>
          <w:tcPr>
            <w:tcW w:w="5039" w:type="dxa"/>
            <w:tcBorders>
              <w:top w:val="single" w:sz="4" w:space="0" w:color="auto"/>
              <w:left w:val="nil"/>
              <w:bottom w:val="single" w:sz="4" w:space="0" w:color="auto"/>
              <w:right w:val="nil"/>
            </w:tcBorders>
            <w:hideMark/>
          </w:tcPr>
          <w:p w14:paraId="3B0C9B82" w14:textId="2EA4AA5B"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Objectif 4 : appui à l</w:t>
            </w:r>
            <w:r w:rsidR="00EA2966" w:rsidRPr="009C2953">
              <w:rPr>
                <w:b/>
                <w:color w:val="000000"/>
                <w:sz w:val="18"/>
                <w:lang w:val="fr-FR"/>
              </w:rPr>
              <w:t>’</w:t>
            </w:r>
            <w:r w:rsidRPr="009C2953">
              <w:rPr>
                <w:b/>
                <w:color w:val="000000"/>
                <w:sz w:val="18"/>
                <w:lang w:val="fr-FR"/>
              </w:rPr>
              <w:t>élaboration</w:t>
            </w:r>
            <w:r w:rsidR="00D24DC1" w:rsidRPr="009C2953">
              <w:rPr>
                <w:b/>
                <w:color w:val="000000"/>
                <w:sz w:val="18"/>
                <w:lang w:val="fr-FR"/>
              </w:rPr>
              <w:t xml:space="preserve"> des </w:t>
            </w:r>
            <w:r w:rsidRPr="009C2953">
              <w:rPr>
                <w:b/>
                <w:color w:val="000000"/>
                <w:sz w:val="18"/>
                <w:lang w:val="fr-FR"/>
              </w:rPr>
              <w:t>politiques</w:t>
            </w:r>
          </w:p>
        </w:tc>
        <w:tc>
          <w:tcPr>
            <w:tcW w:w="1623" w:type="dxa"/>
            <w:tcBorders>
              <w:top w:val="single" w:sz="4" w:space="0" w:color="auto"/>
              <w:left w:val="nil"/>
              <w:bottom w:val="single" w:sz="4" w:space="0" w:color="auto"/>
              <w:right w:val="nil"/>
            </w:tcBorders>
            <w:vAlign w:val="bottom"/>
            <w:hideMark/>
          </w:tcPr>
          <w:p w14:paraId="6DB6AC6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471 000</w:t>
            </w:r>
          </w:p>
        </w:tc>
        <w:tc>
          <w:tcPr>
            <w:tcW w:w="1417" w:type="dxa"/>
            <w:tcBorders>
              <w:top w:val="single" w:sz="4" w:space="0" w:color="auto"/>
              <w:left w:val="nil"/>
              <w:bottom w:val="single" w:sz="4" w:space="0" w:color="auto"/>
              <w:right w:val="nil"/>
            </w:tcBorders>
            <w:vAlign w:val="bottom"/>
            <w:hideMark/>
          </w:tcPr>
          <w:p w14:paraId="1400037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335 177</w:t>
            </w:r>
          </w:p>
        </w:tc>
        <w:tc>
          <w:tcPr>
            <w:tcW w:w="1416" w:type="dxa"/>
            <w:tcBorders>
              <w:top w:val="single" w:sz="4" w:space="0" w:color="auto"/>
              <w:left w:val="nil"/>
              <w:bottom w:val="single" w:sz="4" w:space="0" w:color="auto"/>
              <w:right w:val="nil"/>
            </w:tcBorders>
            <w:vAlign w:val="bottom"/>
            <w:hideMark/>
          </w:tcPr>
          <w:p w14:paraId="5F92D52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135 823</w:t>
            </w:r>
          </w:p>
        </w:tc>
      </w:tr>
      <w:tr w:rsidR="00607B78" w:rsidRPr="009C2953" w14:paraId="2C9BAED5" w14:textId="77777777" w:rsidTr="00EA225A">
        <w:trPr>
          <w:trHeight w:val="480"/>
          <w:jc w:val="right"/>
        </w:trPr>
        <w:tc>
          <w:tcPr>
            <w:tcW w:w="5039" w:type="dxa"/>
            <w:tcBorders>
              <w:top w:val="single" w:sz="4" w:space="0" w:color="auto"/>
              <w:left w:val="nil"/>
              <w:bottom w:val="nil"/>
              <w:right w:val="nil"/>
            </w:tcBorders>
            <w:hideMark/>
          </w:tcPr>
          <w:p w14:paraId="1F16E36E" w14:textId="0824DFF2"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4 a) : travaux avancés sur</w:t>
            </w:r>
            <w:r w:rsidR="00F34644" w:rsidRPr="009C2953">
              <w:rPr>
                <w:color w:val="000000"/>
                <w:sz w:val="18"/>
                <w:lang w:val="fr-FR"/>
              </w:rPr>
              <w:t xml:space="preserve"> les </w:t>
            </w:r>
            <w:r w:rsidRPr="009C2953">
              <w:rPr>
                <w:color w:val="000000"/>
                <w:sz w:val="18"/>
                <w:lang w:val="fr-FR"/>
              </w:rPr>
              <w:t>moyens d</w:t>
            </w:r>
            <w:r w:rsidR="00EA2966" w:rsidRPr="009C2953">
              <w:rPr>
                <w:color w:val="000000"/>
                <w:sz w:val="18"/>
                <w:lang w:val="fr-FR"/>
              </w:rPr>
              <w:t>’</w:t>
            </w:r>
            <w:r w:rsidRPr="009C2953">
              <w:rPr>
                <w:color w:val="000000"/>
                <w:sz w:val="18"/>
                <w:lang w:val="fr-FR"/>
              </w:rPr>
              <w:t>action,</w:t>
            </w:r>
            <w:r w:rsidR="00F34644" w:rsidRPr="009C2953">
              <w:rPr>
                <w:color w:val="000000"/>
                <w:sz w:val="18"/>
                <w:lang w:val="fr-FR"/>
              </w:rPr>
              <w:t xml:space="preserve"> les </w:t>
            </w:r>
            <w:r w:rsidRPr="009C2953">
              <w:rPr>
                <w:color w:val="000000"/>
                <w:sz w:val="18"/>
                <w:lang w:val="fr-FR"/>
              </w:rPr>
              <w:t>outils</w:t>
            </w:r>
            <w:r w:rsidR="00EA225A" w:rsidRPr="009C2953">
              <w:rPr>
                <w:color w:val="000000"/>
                <w:sz w:val="18"/>
                <w:lang w:val="fr-FR"/>
              </w:rPr>
              <w:t> </w:t>
            </w:r>
            <w:r w:rsidRPr="009C2953">
              <w:rPr>
                <w:color w:val="000000"/>
                <w:sz w:val="18"/>
                <w:lang w:val="fr-FR"/>
              </w:rPr>
              <w:t>d</w:t>
            </w:r>
            <w:r w:rsidR="00EA2966" w:rsidRPr="009C2953">
              <w:rPr>
                <w:color w:val="000000"/>
                <w:sz w:val="18"/>
                <w:lang w:val="fr-FR"/>
              </w:rPr>
              <w:t>’</w:t>
            </w:r>
            <w:r w:rsidRPr="009C2953">
              <w:rPr>
                <w:color w:val="000000"/>
                <w:sz w:val="18"/>
                <w:lang w:val="fr-FR"/>
              </w:rPr>
              <w:t>appui à l</w:t>
            </w:r>
            <w:r w:rsidR="00EA2966" w:rsidRPr="009C2953">
              <w:rPr>
                <w:color w:val="000000"/>
                <w:sz w:val="18"/>
                <w:lang w:val="fr-FR"/>
              </w:rPr>
              <w:t>’</w:t>
            </w:r>
            <w:r w:rsidRPr="009C2953">
              <w:rPr>
                <w:color w:val="000000"/>
                <w:sz w:val="18"/>
                <w:lang w:val="fr-FR"/>
              </w:rPr>
              <w:t>élaboration</w:t>
            </w:r>
            <w:r w:rsidR="00D24DC1" w:rsidRPr="009C2953">
              <w:rPr>
                <w:color w:val="000000"/>
                <w:sz w:val="18"/>
                <w:lang w:val="fr-FR"/>
              </w:rPr>
              <w:t xml:space="preserve"> des </w:t>
            </w:r>
            <w:r w:rsidRPr="009C2953">
              <w:rPr>
                <w:color w:val="000000"/>
                <w:sz w:val="18"/>
                <w:lang w:val="fr-FR"/>
              </w:rPr>
              <w:t>politiques et</w:t>
            </w:r>
            <w:r w:rsidR="00F34644" w:rsidRPr="009C2953">
              <w:rPr>
                <w:color w:val="000000"/>
                <w:sz w:val="18"/>
                <w:lang w:val="fr-FR"/>
              </w:rPr>
              <w:t xml:space="preserve"> les </w:t>
            </w:r>
            <w:r w:rsidRPr="009C2953">
              <w:rPr>
                <w:color w:val="000000"/>
                <w:sz w:val="18"/>
                <w:lang w:val="fr-FR"/>
              </w:rPr>
              <w:t>méthodes</w:t>
            </w:r>
          </w:p>
        </w:tc>
        <w:tc>
          <w:tcPr>
            <w:tcW w:w="1623" w:type="dxa"/>
            <w:tcBorders>
              <w:top w:val="single" w:sz="4" w:space="0" w:color="auto"/>
              <w:left w:val="nil"/>
              <w:bottom w:val="nil"/>
              <w:right w:val="nil"/>
            </w:tcBorders>
            <w:vAlign w:val="bottom"/>
            <w:hideMark/>
          </w:tcPr>
          <w:p w14:paraId="4C1FA78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239 000</w:t>
            </w:r>
          </w:p>
        </w:tc>
        <w:tc>
          <w:tcPr>
            <w:tcW w:w="1417" w:type="dxa"/>
            <w:tcBorders>
              <w:top w:val="single" w:sz="4" w:space="0" w:color="auto"/>
              <w:left w:val="nil"/>
              <w:bottom w:val="nil"/>
              <w:right w:val="nil"/>
            </w:tcBorders>
            <w:vAlign w:val="bottom"/>
            <w:hideMark/>
          </w:tcPr>
          <w:p w14:paraId="756C066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148 439</w:t>
            </w:r>
          </w:p>
        </w:tc>
        <w:tc>
          <w:tcPr>
            <w:tcW w:w="1416" w:type="dxa"/>
            <w:tcBorders>
              <w:top w:val="single" w:sz="4" w:space="0" w:color="auto"/>
              <w:left w:val="nil"/>
              <w:bottom w:val="nil"/>
              <w:right w:val="nil"/>
            </w:tcBorders>
            <w:vAlign w:val="bottom"/>
            <w:hideMark/>
          </w:tcPr>
          <w:p w14:paraId="4C3F1F2C"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90 561</w:t>
            </w:r>
          </w:p>
        </w:tc>
      </w:tr>
      <w:tr w:rsidR="00607B78" w:rsidRPr="009C2953" w14:paraId="4B08D1B8" w14:textId="77777777" w:rsidTr="00EA225A">
        <w:trPr>
          <w:trHeight w:val="286"/>
          <w:jc w:val="right"/>
        </w:trPr>
        <w:tc>
          <w:tcPr>
            <w:tcW w:w="5039" w:type="dxa"/>
            <w:tcBorders>
              <w:top w:val="nil"/>
              <w:left w:val="nil"/>
              <w:bottom w:val="nil"/>
              <w:right w:val="nil"/>
            </w:tcBorders>
            <w:hideMark/>
          </w:tcPr>
          <w:p w14:paraId="6B8EDEAB" w14:textId="3D071411"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4 b) : travaux avancés sur</w:t>
            </w:r>
            <w:r w:rsidR="00F34644" w:rsidRPr="009C2953">
              <w:rPr>
                <w:color w:val="000000"/>
                <w:sz w:val="18"/>
                <w:lang w:val="fr-FR"/>
              </w:rPr>
              <w:t xml:space="preserve"> les </w:t>
            </w:r>
            <w:r w:rsidRPr="009C2953">
              <w:rPr>
                <w:color w:val="000000"/>
                <w:sz w:val="18"/>
                <w:lang w:val="fr-FR"/>
              </w:rPr>
              <w:t>scénarios et</w:t>
            </w:r>
            <w:r w:rsidR="00F34644" w:rsidRPr="009C2953">
              <w:rPr>
                <w:color w:val="000000"/>
                <w:sz w:val="18"/>
                <w:lang w:val="fr-FR"/>
              </w:rPr>
              <w:t xml:space="preserve"> les </w:t>
            </w:r>
            <w:r w:rsidRPr="009C2953">
              <w:rPr>
                <w:color w:val="000000"/>
                <w:sz w:val="18"/>
                <w:lang w:val="fr-FR"/>
              </w:rPr>
              <w:t>modèles de</w:t>
            </w:r>
            <w:r w:rsidR="00EA225A" w:rsidRPr="009C2953">
              <w:rPr>
                <w:color w:val="000000"/>
                <w:sz w:val="18"/>
                <w:lang w:val="fr-FR"/>
              </w:rPr>
              <w:t> </w:t>
            </w:r>
            <w:r w:rsidR="00F34644" w:rsidRPr="009C2953">
              <w:rPr>
                <w:color w:val="000000"/>
                <w:sz w:val="18"/>
                <w:lang w:val="fr-FR"/>
              </w:rPr>
              <w:t>la </w:t>
            </w:r>
            <w:r w:rsidRPr="009C2953">
              <w:rPr>
                <w:color w:val="000000"/>
                <w:sz w:val="18"/>
                <w:lang w:val="fr-FR"/>
              </w:rPr>
              <w:t>biodiversité et</w:t>
            </w:r>
            <w:r w:rsidR="00D24DC1" w:rsidRPr="009C2953">
              <w:rPr>
                <w:color w:val="000000"/>
                <w:sz w:val="18"/>
                <w:lang w:val="fr-FR"/>
              </w:rPr>
              <w:t xml:space="preserve"> des </w:t>
            </w:r>
            <w:r w:rsidRPr="009C2953">
              <w:rPr>
                <w:color w:val="000000"/>
                <w:sz w:val="18"/>
                <w:lang w:val="fr-FR"/>
              </w:rPr>
              <w:t xml:space="preserve">fonctions et services écosystémiques </w:t>
            </w:r>
          </w:p>
        </w:tc>
        <w:tc>
          <w:tcPr>
            <w:tcW w:w="1623" w:type="dxa"/>
            <w:tcBorders>
              <w:top w:val="nil"/>
              <w:left w:val="nil"/>
              <w:bottom w:val="nil"/>
              <w:right w:val="nil"/>
            </w:tcBorders>
            <w:vAlign w:val="bottom"/>
            <w:hideMark/>
          </w:tcPr>
          <w:p w14:paraId="6301364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232 000</w:t>
            </w:r>
          </w:p>
        </w:tc>
        <w:tc>
          <w:tcPr>
            <w:tcW w:w="1417" w:type="dxa"/>
            <w:tcBorders>
              <w:top w:val="nil"/>
              <w:left w:val="nil"/>
              <w:bottom w:val="nil"/>
              <w:right w:val="nil"/>
            </w:tcBorders>
            <w:vAlign w:val="bottom"/>
            <w:hideMark/>
          </w:tcPr>
          <w:p w14:paraId="408C8B9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186 738</w:t>
            </w:r>
          </w:p>
        </w:tc>
        <w:tc>
          <w:tcPr>
            <w:tcW w:w="1416" w:type="dxa"/>
            <w:tcBorders>
              <w:top w:val="nil"/>
              <w:left w:val="nil"/>
              <w:bottom w:val="nil"/>
              <w:right w:val="nil"/>
            </w:tcBorders>
            <w:vAlign w:val="bottom"/>
            <w:hideMark/>
          </w:tcPr>
          <w:p w14:paraId="6AD3664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45 262</w:t>
            </w:r>
          </w:p>
        </w:tc>
      </w:tr>
      <w:tr w:rsidR="00607B78" w:rsidRPr="009C2953" w14:paraId="3911722E" w14:textId="77777777" w:rsidTr="00EA225A">
        <w:trPr>
          <w:trHeight w:val="300"/>
          <w:jc w:val="right"/>
        </w:trPr>
        <w:tc>
          <w:tcPr>
            <w:tcW w:w="5039" w:type="dxa"/>
            <w:tcBorders>
              <w:top w:val="nil"/>
              <w:left w:val="nil"/>
              <w:bottom w:val="single" w:sz="4" w:space="0" w:color="auto"/>
              <w:right w:val="nil"/>
            </w:tcBorders>
            <w:hideMark/>
          </w:tcPr>
          <w:p w14:paraId="2C6264C6" w14:textId="09AF74F7"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4 c) : travaux avancés sur</w:t>
            </w:r>
            <w:r w:rsidR="00F34644" w:rsidRPr="009C2953">
              <w:rPr>
                <w:color w:val="000000"/>
                <w:sz w:val="18"/>
                <w:lang w:val="fr-FR"/>
              </w:rPr>
              <w:t xml:space="preserve"> les </w:t>
            </w:r>
            <w:r w:rsidRPr="009C2953">
              <w:rPr>
                <w:color w:val="000000"/>
                <w:sz w:val="18"/>
                <w:lang w:val="fr-FR"/>
              </w:rPr>
              <w:t>valeurs multiples</w:t>
            </w:r>
          </w:p>
        </w:tc>
        <w:tc>
          <w:tcPr>
            <w:tcW w:w="1623" w:type="dxa"/>
            <w:tcBorders>
              <w:top w:val="nil"/>
              <w:left w:val="nil"/>
              <w:bottom w:val="single" w:sz="4" w:space="0" w:color="auto"/>
              <w:right w:val="nil"/>
            </w:tcBorders>
            <w:vAlign w:val="bottom"/>
            <w:hideMark/>
          </w:tcPr>
          <w:p w14:paraId="55C0CD1B"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0</w:t>
            </w:r>
          </w:p>
        </w:tc>
        <w:tc>
          <w:tcPr>
            <w:tcW w:w="1417" w:type="dxa"/>
            <w:tcBorders>
              <w:top w:val="nil"/>
              <w:left w:val="nil"/>
              <w:bottom w:val="single" w:sz="4" w:space="0" w:color="auto"/>
              <w:right w:val="nil"/>
            </w:tcBorders>
            <w:vAlign w:val="bottom"/>
            <w:hideMark/>
          </w:tcPr>
          <w:p w14:paraId="6089621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0</w:t>
            </w:r>
          </w:p>
        </w:tc>
        <w:tc>
          <w:tcPr>
            <w:tcW w:w="1416" w:type="dxa"/>
            <w:tcBorders>
              <w:top w:val="nil"/>
              <w:left w:val="nil"/>
              <w:bottom w:val="single" w:sz="4" w:space="0" w:color="auto"/>
              <w:right w:val="nil"/>
            </w:tcBorders>
            <w:vAlign w:val="bottom"/>
            <w:hideMark/>
          </w:tcPr>
          <w:p w14:paraId="1185120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0</w:t>
            </w:r>
          </w:p>
        </w:tc>
      </w:tr>
      <w:tr w:rsidR="00607B78" w:rsidRPr="009C2953" w14:paraId="7D81A75F" w14:textId="77777777" w:rsidTr="00EA225A">
        <w:trPr>
          <w:trHeight w:val="300"/>
          <w:jc w:val="right"/>
        </w:trPr>
        <w:tc>
          <w:tcPr>
            <w:tcW w:w="5039" w:type="dxa"/>
            <w:tcBorders>
              <w:top w:val="single" w:sz="4" w:space="0" w:color="auto"/>
              <w:left w:val="nil"/>
              <w:bottom w:val="single" w:sz="4" w:space="0" w:color="auto"/>
              <w:right w:val="nil"/>
            </w:tcBorders>
            <w:hideMark/>
          </w:tcPr>
          <w:p w14:paraId="6D562E2B"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Objectif 5 : communication et participation</w:t>
            </w:r>
          </w:p>
        </w:tc>
        <w:tc>
          <w:tcPr>
            <w:tcW w:w="1623" w:type="dxa"/>
            <w:tcBorders>
              <w:top w:val="single" w:sz="4" w:space="0" w:color="auto"/>
              <w:left w:val="nil"/>
              <w:bottom w:val="single" w:sz="4" w:space="0" w:color="auto"/>
              <w:right w:val="nil"/>
            </w:tcBorders>
            <w:vAlign w:val="bottom"/>
            <w:hideMark/>
          </w:tcPr>
          <w:p w14:paraId="1E36113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280 000</w:t>
            </w:r>
          </w:p>
        </w:tc>
        <w:tc>
          <w:tcPr>
            <w:tcW w:w="1417" w:type="dxa"/>
            <w:tcBorders>
              <w:top w:val="single" w:sz="4" w:space="0" w:color="auto"/>
              <w:left w:val="nil"/>
              <w:bottom w:val="single" w:sz="4" w:space="0" w:color="auto"/>
              <w:right w:val="nil"/>
            </w:tcBorders>
            <w:vAlign w:val="bottom"/>
            <w:hideMark/>
          </w:tcPr>
          <w:p w14:paraId="1B3E8275"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229 447</w:t>
            </w:r>
          </w:p>
        </w:tc>
        <w:tc>
          <w:tcPr>
            <w:tcW w:w="1416" w:type="dxa"/>
            <w:tcBorders>
              <w:top w:val="single" w:sz="4" w:space="0" w:color="auto"/>
              <w:left w:val="nil"/>
              <w:bottom w:val="single" w:sz="4" w:space="0" w:color="auto"/>
              <w:right w:val="nil"/>
            </w:tcBorders>
            <w:vAlign w:val="bottom"/>
            <w:hideMark/>
          </w:tcPr>
          <w:p w14:paraId="481F8D6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50 553</w:t>
            </w:r>
          </w:p>
        </w:tc>
      </w:tr>
      <w:tr w:rsidR="00607B78" w:rsidRPr="009C2953" w14:paraId="07667867" w14:textId="77777777" w:rsidTr="00EA225A">
        <w:trPr>
          <w:trHeight w:val="300"/>
          <w:jc w:val="right"/>
        </w:trPr>
        <w:tc>
          <w:tcPr>
            <w:tcW w:w="5039" w:type="dxa"/>
            <w:tcBorders>
              <w:top w:val="single" w:sz="4" w:space="0" w:color="auto"/>
              <w:left w:val="nil"/>
              <w:bottom w:val="nil"/>
              <w:right w:val="nil"/>
            </w:tcBorders>
            <w:hideMark/>
          </w:tcPr>
          <w:p w14:paraId="71FEF5B9" w14:textId="77777777"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5 a) : communication renforcée</w:t>
            </w:r>
          </w:p>
        </w:tc>
        <w:tc>
          <w:tcPr>
            <w:tcW w:w="1623" w:type="dxa"/>
            <w:tcBorders>
              <w:top w:val="single" w:sz="4" w:space="0" w:color="auto"/>
              <w:left w:val="nil"/>
              <w:bottom w:val="nil"/>
              <w:right w:val="nil"/>
            </w:tcBorders>
            <w:vAlign w:val="bottom"/>
            <w:hideMark/>
          </w:tcPr>
          <w:p w14:paraId="5D25B11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250 000</w:t>
            </w:r>
          </w:p>
        </w:tc>
        <w:tc>
          <w:tcPr>
            <w:tcW w:w="1417" w:type="dxa"/>
            <w:tcBorders>
              <w:top w:val="single" w:sz="4" w:space="0" w:color="auto"/>
              <w:left w:val="nil"/>
              <w:bottom w:val="nil"/>
              <w:right w:val="nil"/>
            </w:tcBorders>
            <w:vAlign w:val="bottom"/>
            <w:hideMark/>
          </w:tcPr>
          <w:p w14:paraId="0A08AFEE"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229 447</w:t>
            </w:r>
          </w:p>
        </w:tc>
        <w:tc>
          <w:tcPr>
            <w:tcW w:w="1416" w:type="dxa"/>
            <w:tcBorders>
              <w:top w:val="single" w:sz="4" w:space="0" w:color="auto"/>
              <w:left w:val="nil"/>
              <w:bottom w:val="nil"/>
              <w:right w:val="nil"/>
            </w:tcBorders>
            <w:vAlign w:val="bottom"/>
            <w:hideMark/>
          </w:tcPr>
          <w:p w14:paraId="0A5203B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20 553</w:t>
            </w:r>
          </w:p>
        </w:tc>
      </w:tr>
      <w:tr w:rsidR="00607B78" w:rsidRPr="009C2953" w14:paraId="5D583299" w14:textId="77777777" w:rsidTr="00EA225A">
        <w:trPr>
          <w:trHeight w:val="315"/>
          <w:jc w:val="right"/>
        </w:trPr>
        <w:tc>
          <w:tcPr>
            <w:tcW w:w="5039" w:type="dxa"/>
            <w:tcBorders>
              <w:top w:val="nil"/>
              <w:left w:val="nil"/>
              <w:bottom w:val="single" w:sz="4" w:space="0" w:color="000000"/>
              <w:right w:val="nil"/>
            </w:tcBorders>
            <w:hideMark/>
          </w:tcPr>
          <w:p w14:paraId="0125BBDF" w14:textId="423B3F50"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Objectif 5 c) : participation renforcée</w:t>
            </w:r>
            <w:r w:rsidR="00D24DC1" w:rsidRPr="009C2953">
              <w:rPr>
                <w:color w:val="000000"/>
                <w:sz w:val="18"/>
                <w:lang w:val="fr-FR"/>
              </w:rPr>
              <w:t xml:space="preserve"> des </w:t>
            </w:r>
            <w:r w:rsidRPr="009C2953">
              <w:rPr>
                <w:color w:val="000000"/>
                <w:sz w:val="18"/>
                <w:lang w:val="fr-FR"/>
              </w:rPr>
              <w:t>parties prenantes</w:t>
            </w:r>
          </w:p>
        </w:tc>
        <w:tc>
          <w:tcPr>
            <w:tcW w:w="1623" w:type="dxa"/>
            <w:tcBorders>
              <w:top w:val="nil"/>
              <w:left w:val="nil"/>
              <w:bottom w:val="single" w:sz="4" w:space="0" w:color="000000"/>
              <w:right w:val="nil"/>
            </w:tcBorders>
            <w:vAlign w:val="bottom"/>
            <w:hideMark/>
          </w:tcPr>
          <w:p w14:paraId="1FA5132F"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30 000</w:t>
            </w:r>
          </w:p>
        </w:tc>
        <w:tc>
          <w:tcPr>
            <w:tcW w:w="1417" w:type="dxa"/>
            <w:tcBorders>
              <w:top w:val="nil"/>
              <w:left w:val="nil"/>
              <w:bottom w:val="single" w:sz="4" w:space="0" w:color="000000"/>
              <w:right w:val="nil"/>
            </w:tcBorders>
            <w:vAlign w:val="bottom"/>
            <w:hideMark/>
          </w:tcPr>
          <w:p w14:paraId="1ADDBC4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0</w:t>
            </w:r>
          </w:p>
        </w:tc>
        <w:tc>
          <w:tcPr>
            <w:tcW w:w="1416" w:type="dxa"/>
            <w:tcBorders>
              <w:top w:val="nil"/>
              <w:left w:val="nil"/>
              <w:bottom w:val="single" w:sz="4" w:space="0" w:color="000000"/>
              <w:right w:val="nil"/>
            </w:tcBorders>
            <w:vAlign w:val="bottom"/>
            <w:hideMark/>
          </w:tcPr>
          <w:p w14:paraId="478BE83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30 000</w:t>
            </w:r>
          </w:p>
        </w:tc>
      </w:tr>
      <w:tr w:rsidR="00607B78" w:rsidRPr="009C2953" w14:paraId="70E97C70" w14:textId="77777777" w:rsidTr="00EA225A">
        <w:trPr>
          <w:trHeight w:val="315"/>
          <w:jc w:val="right"/>
        </w:trPr>
        <w:tc>
          <w:tcPr>
            <w:tcW w:w="5039" w:type="dxa"/>
            <w:tcBorders>
              <w:top w:val="single" w:sz="4" w:space="0" w:color="000000"/>
              <w:left w:val="nil"/>
              <w:bottom w:val="single" w:sz="4" w:space="0" w:color="000000"/>
              <w:right w:val="nil"/>
            </w:tcBorders>
            <w:hideMark/>
          </w:tcPr>
          <w:p w14:paraId="1B9A0AF9"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partie B</w:t>
            </w:r>
          </w:p>
        </w:tc>
        <w:tc>
          <w:tcPr>
            <w:tcW w:w="1623" w:type="dxa"/>
            <w:tcBorders>
              <w:top w:val="single" w:sz="4" w:space="0" w:color="000000"/>
              <w:left w:val="nil"/>
              <w:bottom w:val="single" w:sz="4" w:space="0" w:color="000000"/>
              <w:right w:val="nil"/>
            </w:tcBorders>
            <w:vAlign w:val="bottom"/>
            <w:hideMark/>
          </w:tcPr>
          <w:p w14:paraId="7FA3C1C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2 780 620</w:t>
            </w:r>
          </w:p>
        </w:tc>
        <w:tc>
          <w:tcPr>
            <w:tcW w:w="1417" w:type="dxa"/>
            <w:tcBorders>
              <w:top w:val="single" w:sz="4" w:space="0" w:color="000000"/>
              <w:left w:val="nil"/>
              <w:bottom w:val="single" w:sz="4" w:space="0" w:color="000000"/>
              <w:right w:val="nil"/>
            </w:tcBorders>
            <w:vAlign w:val="bottom"/>
            <w:hideMark/>
          </w:tcPr>
          <w:p w14:paraId="484EE363"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1 709 745</w:t>
            </w:r>
          </w:p>
        </w:tc>
        <w:tc>
          <w:tcPr>
            <w:tcW w:w="1416" w:type="dxa"/>
            <w:tcBorders>
              <w:top w:val="single" w:sz="4" w:space="0" w:color="000000"/>
              <w:left w:val="nil"/>
              <w:bottom w:val="single" w:sz="4" w:space="0" w:color="000000"/>
              <w:right w:val="nil"/>
            </w:tcBorders>
            <w:vAlign w:val="bottom"/>
            <w:hideMark/>
          </w:tcPr>
          <w:p w14:paraId="1576280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1 070 875</w:t>
            </w:r>
          </w:p>
        </w:tc>
      </w:tr>
      <w:tr w:rsidR="00607B78" w:rsidRPr="009C2953" w14:paraId="49828509" w14:textId="77777777" w:rsidTr="00EA225A">
        <w:trPr>
          <w:trHeight w:val="315"/>
          <w:jc w:val="right"/>
        </w:trPr>
        <w:tc>
          <w:tcPr>
            <w:tcW w:w="5039" w:type="dxa"/>
            <w:tcBorders>
              <w:top w:val="single" w:sz="4" w:space="0" w:color="000000"/>
              <w:left w:val="nil"/>
              <w:bottom w:val="single" w:sz="4" w:space="0" w:color="000000"/>
              <w:right w:val="nil"/>
            </w:tcBorders>
            <w:hideMark/>
          </w:tcPr>
          <w:p w14:paraId="4857B8DE"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2, mise en œuvre du programme de travail</w:t>
            </w:r>
          </w:p>
        </w:tc>
        <w:tc>
          <w:tcPr>
            <w:tcW w:w="1623" w:type="dxa"/>
            <w:tcBorders>
              <w:top w:val="single" w:sz="4" w:space="0" w:color="000000"/>
              <w:left w:val="nil"/>
              <w:bottom w:val="single" w:sz="4" w:space="0" w:color="000000"/>
              <w:right w:val="nil"/>
            </w:tcBorders>
            <w:vAlign w:val="bottom"/>
            <w:hideMark/>
          </w:tcPr>
          <w:p w14:paraId="685BF0F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3 864 870</w:t>
            </w:r>
          </w:p>
        </w:tc>
        <w:tc>
          <w:tcPr>
            <w:tcW w:w="1417" w:type="dxa"/>
            <w:tcBorders>
              <w:top w:val="single" w:sz="4" w:space="0" w:color="000000"/>
              <w:left w:val="nil"/>
              <w:bottom w:val="single" w:sz="4" w:space="0" w:color="000000"/>
              <w:right w:val="nil"/>
            </w:tcBorders>
            <w:vAlign w:val="bottom"/>
            <w:hideMark/>
          </w:tcPr>
          <w:p w14:paraId="2A3734A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2 557 306</w:t>
            </w:r>
          </w:p>
        </w:tc>
        <w:tc>
          <w:tcPr>
            <w:tcW w:w="1416" w:type="dxa"/>
            <w:tcBorders>
              <w:top w:val="single" w:sz="4" w:space="0" w:color="000000"/>
              <w:left w:val="nil"/>
              <w:bottom w:val="single" w:sz="4" w:space="0" w:color="000000"/>
              <w:right w:val="nil"/>
            </w:tcBorders>
            <w:vAlign w:val="bottom"/>
            <w:hideMark/>
          </w:tcPr>
          <w:p w14:paraId="22EBC21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1 307 564</w:t>
            </w:r>
          </w:p>
        </w:tc>
      </w:tr>
      <w:tr w:rsidR="00607B78" w:rsidRPr="009C2953" w14:paraId="7174D3FF" w14:textId="77777777" w:rsidTr="00EA225A">
        <w:trPr>
          <w:trHeight w:val="300"/>
          <w:jc w:val="right"/>
        </w:trPr>
        <w:tc>
          <w:tcPr>
            <w:tcW w:w="5039" w:type="dxa"/>
            <w:tcBorders>
              <w:top w:val="single" w:sz="4" w:space="0" w:color="000000"/>
              <w:left w:val="nil"/>
              <w:bottom w:val="nil"/>
              <w:right w:val="nil"/>
            </w:tcBorders>
            <w:hideMark/>
          </w:tcPr>
          <w:p w14:paraId="2F369472" w14:textId="77777777" w:rsidR="00607B78" w:rsidRPr="009C2953" w:rsidRDefault="00607B78" w:rsidP="00A068F8">
            <w:pPr>
              <w:tabs>
                <w:tab w:val="left" w:pos="319"/>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3.</w:t>
            </w:r>
            <w:r w:rsidRPr="009C2953">
              <w:rPr>
                <w:b/>
                <w:color w:val="000000"/>
                <w:sz w:val="18"/>
                <w:lang w:val="fr-FR"/>
              </w:rPr>
              <w:tab/>
              <w:t>Secrétariat</w:t>
            </w:r>
          </w:p>
        </w:tc>
        <w:tc>
          <w:tcPr>
            <w:tcW w:w="1623" w:type="dxa"/>
            <w:tcBorders>
              <w:top w:val="single" w:sz="4" w:space="0" w:color="000000"/>
              <w:left w:val="nil"/>
              <w:bottom w:val="nil"/>
              <w:right w:val="nil"/>
            </w:tcBorders>
            <w:vAlign w:val="bottom"/>
          </w:tcPr>
          <w:p w14:paraId="5BE99BA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p>
        </w:tc>
        <w:tc>
          <w:tcPr>
            <w:tcW w:w="1417" w:type="dxa"/>
            <w:tcBorders>
              <w:top w:val="single" w:sz="4" w:space="0" w:color="000000"/>
              <w:left w:val="nil"/>
              <w:bottom w:val="nil"/>
              <w:right w:val="nil"/>
            </w:tcBorders>
            <w:vAlign w:val="bottom"/>
          </w:tcPr>
          <w:p w14:paraId="2C051F0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p>
        </w:tc>
        <w:tc>
          <w:tcPr>
            <w:tcW w:w="1416" w:type="dxa"/>
            <w:tcBorders>
              <w:top w:val="single" w:sz="4" w:space="0" w:color="000000"/>
              <w:left w:val="nil"/>
              <w:bottom w:val="nil"/>
              <w:right w:val="nil"/>
            </w:tcBorders>
            <w:vAlign w:val="bottom"/>
          </w:tcPr>
          <w:p w14:paraId="5B83FC5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p>
        </w:tc>
      </w:tr>
      <w:tr w:rsidR="00607B78" w:rsidRPr="009C2953" w14:paraId="218D95FE" w14:textId="77777777" w:rsidTr="00EA225A">
        <w:trPr>
          <w:trHeight w:val="300"/>
          <w:jc w:val="right"/>
        </w:trPr>
        <w:tc>
          <w:tcPr>
            <w:tcW w:w="5039" w:type="dxa"/>
            <w:tcBorders>
              <w:top w:val="nil"/>
              <w:left w:val="nil"/>
              <w:bottom w:val="nil"/>
              <w:right w:val="nil"/>
            </w:tcBorders>
            <w:hideMark/>
          </w:tcPr>
          <w:p w14:paraId="29F5CC88" w14:textId="020C1829" w:rsidR="00607B78" w:rsidRPr="009C2953" w:rsidRDefault="00607B78" w:rsidP="00A068F8">
            <w:pPr>
              <w:tabs>
                <w:tab w:val="left" w:pos="319"/>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3</w:t>
            </w:r>
            <w:r w:rsidR="00C26096" w:rsidRPr="009C2953">
              <w:rPr>
                <w:color w:val="000000"/>
                <w:sz w:val="18"/>
                <w:lang w:val="fr-FR"/>
              </w:rPr>
              <w:t>.</w:t>
            </w:r>
            <w:r w:rsidRPr="009C2953">
              <w:rPr>
                <w:color w:val="000000"/>
                <w:sz w:val="18"/>
                <w:lang w:val="fr-FR"/>
              </w:rPr>
              <w:t>1</w:t>
            </w:r>
            <w:r w:rsidRPr="009C2953">
              <w:rPr>
                <w:color w:val="000000"/>
                <w:sz w:val="18"/>
                <w:lang w:val="fr-FR"/>
              </w:rPr>
              <w:tab/>
              <w:t>Personnel du secrétariat</w:t>
            </w:r>
          </w:p>
        </w:tc>
        <w:tc>
          <w:tcPr>
            <w:tcW w:w="1623" w:type="dxa"/>
            <w:tcBorders>
              <w:top w:val="nil"/>
              <w:left w:val="nil"/>
              <w:bottom w:val="nil"/>
              <w:right w:val="nil"/>
            </w:tcBorders>
            <w:vAlign w:val="bottom"/>
            <w:hideMark/>
          </w:tcPr>
          <w:p w14:paraId="55B450A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2 249 975</w:t>
            </w:r>
          </w:p>
        </w:tc>
        <w:tc>
          <w:tcPr>
            <w:tcW w:w="1417" w:type="dxa"/>
            <w:tcBorders>
              <w:top w:val="nil"/>
              <w:left w:val="nil"/>
              <w:bottom w:val="nil"/>
              <w:right w:val="nil"/>
            </w:tcBorders>
            <w:vAlign w:val="bottom"/>
            <w:hideMark/>
          </w:tcPr>
          <w:p w14:paraId="0186E8F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1 698 953</w:t>
            </w:r>
          </w:p>
        </w:tc>
        <w:tc>
          <w:tcPr>
            <w:tcW w:w="1416" w:type="dxa"/>
            <w:tcBorders>
              <w:top w:val="nil"/>
              <w:left w:val="nil"/>
              <w:bottom w:val="nil"/>
              <w:right w:val="nil"/>
            </w:tcBorders>
            <w:vAlign w:val="bottom"/>
            <w:hideMark/>
          </w:tcPr>
          <w:p w14:paraId="2FA329F6"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551 022</w:t>
            </w:r>
          </w:p>
        </w:tc>
      </w:tr>
      <w:tr w:rsidR="00607B78" w:rsidRPr="009C2953" w14:paraId="5658BB08" w14:textId="77777777" w:rsidTr="00EA225A">
        <w:trPr>
          <w:trHeight w:val="302"/>
          <w:jc w:val="right"/>
        </w:trPr>
        <w:tc>
          <w:tcPr>
            <w:tcW w:w="5039" w:type="dxa"/>
            <w:tcBorders>
              <w:top w:val="nil"/>
              <w:left w:val="nil"/>
              <w:bottom w:val="single" w:sz="4" w:space="0" w:color="000000"/>
              <w:right w:val="nil"/>
            </w:tcBorders>
            <w:hideMark/>
          </w:tcPr>
          <w:p w14:paraId="4FBFE529" w14:textId="0C77C4C6" w:rsidR="00607B78" w:rsidRPr="009C2953" w:rsidRDefault="00607B78" w:rsidP="00A068F8">
            <w:pPr>
              <w:tabs>
                <w:tab w:val="left" w:pos="319"/>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3</w:t>
            </w:r>
            <w:r w:rsidR="00C26096" w:rsidRPr="009C2953">
              <w:rPr>
                <w:color w:val="000000"/>
                <w:sz w:val="18"/>
                <w:lang w:val="fr-FR"/>
              </w:rPr>
              <w:t>.</w:t>
            </w:r>
            <w:r w:rsidRPr="009C2953">
              <w:rPr>
                <w:color w:val="000000"/>
                <w:sz w:val="18"/>
                <w:lang w:val="fr-FR"/>
              </w:rPr>
              <w:t>2</w:t>
            </w:r>
            <w:r w:rsidRPr="009C2953">
              <w:rPr>
                <w:color w:val="000000"/>
                <w:sz w:val="18"/>
                <w:lang w:val="fr-FR"/>
              </w:rPr>
              <w:tab/>
              <w:t>Dépenses de fonctionnement (autres que</w:t>
            </w:r>
            <w:r w:rsidR="00F34644" w:rsidRPr="009C2953">
              <w:rPr>
                <w:color w:val="000000"/>
                <w:sz w:val="18"/>
                <w:lang w:val="fr-FR"/>
              </w:rPr>
              <w:t xml:space="preserve"> les </w:t>
            </w:r>
            <w:r w:rsidRPr="009C2953">
              <w:rPr>
                <w:color w:val="000000"/>
                <w:sz w:val="18"/>
                <w:lang w:val="fr-FR"/>
              </w:rPr>
              <w:t>dépenses de</w:t>
            </w:r>
            <w:r w:rsidR="00170E14" w:rsidRPr="009C2953">
              <w:rPr>
                <w:color w:val="000000"/>
                <w:sz w:val="18"/>
                <w:lang w:val="fr-FR"/>
              </w:rPr>
              <w:t> </w:t>
            </w:r>
            <w:r w:rsidRPr="009C2953">
              <w:rPr>
                <w:color w:val="000000"/>
                <w:sz w:val="18"/>
                <w:lang w:val="fr-FR"/>
              </w:rPr>
              <w:t>personnel)</w:t>
            </w:r>
          </w:p>
        </w:tc>
        <w:tc>
          <w:tcPr>
            <w:tcW w:w="1623" w:type="dxa"/>
            <w:tcBorders>
              <w:top w:val="nil"/>
              <w:left w:val="nil"/>
              <w:bottom w:val="single" w:sz="4" w:space="0" w:color="000000"/>
              <w:right w:val="nil"/>
            </w:tcBorders>
            <w:vAlign w:val="bottom"/>
            <w:hideMark/>
          </w:tcPr>
          <w:p w14:paraId="0FC73AB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321 000</w:t>
            </w:r>
          </w:p>
        </w:tc>
        <w:tc>
          <w:tcPr>
            <w:tcW w:w="1417" w:type="dxa"/>
            <w:tcBorders>
              <w:top w:val="nil"/>
              <w:left w:val="nil"/>
              <w:bottom w:val="single" w:sz="4" w:space="0" w:color="000000"/>
              <w:right w:val="nil"/>
            </w:tcBorders>
            <w:vAlign w:val="bottom"/>
            <w:hideMark/>
          </w:tcPr>
          <w:p w14:paraId="69242DFC"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249 646</w:t>
            </w:r>
          </w:p>
        </w:tc>
        <w:tc>
          <w:tcPr>
            <w:tcW w:w="1416" w:type="dxa"/>
            <w:tcBorders>
              <w:top w:val="nil"/>
              <w:left w:val="nil"/>
              <w:bottom w:val="single" w:sz="4" w:space="0" w:color="000000"/>
              <w:right w:val="nil"/>
            </w:tcBorders>
            <w:vAlign w:val="bottom"/>
            <w:hideMark/>
          </w:tcPr>
          <w:p w14:paraId="2C04FC88"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71 354</w:t>
            </w:r>
          </w:p>
        </w:tc>
      </w:tr>
      <w:tr w:rsidR="00607B78" w:rsidRPr="009C2953" w14:paraId="52941494" w14:textId="77777777" w:rsidTr="00EA225A">
        <w:trPr>
          <w:trHeight w:val="315"/>
          <w:jc w:val="right"/>
        </w:trPr>
        <w:tc>
          <w:tcPr>
            <w:tcW w:w="5039" w:type="dxa"/>
            <w:tcBorders>
              <w:top w:val="single" w:sz="4" w:space="0" w:color="000000"/>
              <w:left w:val="nil"/>
              <w:bottom w:val="single" w:sz="4" w:space="0" w:color="000000"/>
              <w:right w:val="nil"/>
            </w:tcBorders>
            <w:hideMark/>
          </w:tcPr>
          <w:p w14:paraId="250C02A4" w14:textId="4FDDF501"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3, secrétariat (dépenses de personnel et</w:t>
            </w:r>
            <w:r w:rsidR="00EA225A" w:rsidRPr="009C2953">
              <w:rPr>
                <w:b/>
                <w:color w:val="000000"/>
                <w:sz w:val="18"/>
                <w:lang w:val="fr-FR"/>
              </w:rPr>
              <w:t> </w:t>
            </w:r>
            <w:r w:rsidRPr="009C2953">
              <w:rPr>
                <w:b/>
                <w:color w:val="000000"/>
                <w:sz w:val="18"/>
                <w:lang w:val="fr-FR"/>
              </w:rPr>
              <w:t>de</w:t>
            </w:r>
            <w:r w:rsidR="00170E14" w:rsidRPr="009C2953">
              <w:rPr>
                <w:b/>
                <w:color w:val="000000"/>
                <w:sz w:val="18"/>
                <w:lang w:val="fr-FR"/>
              </w:rPr>
              <w:t> </w:t>
            </w:r>
            <w:r w:rsidRPr="009C2953">
              <w:rPr>
                <w:b/>
                <w:color w:val="000000"/>
                <w:sz w:val="18"/>
                <w:lang w:val="fr-FR"/>
              </w:rPr>
              <w:t>fonctionnement)</w:t>
            </w:r>
          </w:p>
        </w:tc>
        <w:tc>
          <w:tcPr>
            <w:tcW w:w="1623" w:type="dxa"/>
            <w:tcBorders>
              <w:top w:val="single" w:sz="4" w:space="0" w:color="000000"/>
              <w:left w:val="nil"/>
              <w:bottom w:val="single" w:sz="4" w:space="0" w:color="000000"/>
              <w:right w:val="nil"/>
            </w:tcBorders>
            <w:vAlign w:val="bottom"/>
            <w:hideMark/>
          </w:tcPr>
          <w:p w14:paraId="58CE142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2 570 975</w:t>
            </w:r>
          </w:p>
        </w:tc>
        <w:tc>
          <w:tcPr>
            <w:tcW w:w="1417" w:type="dxa"/>
            <w:tcBorders>
              <w:top w:val="single" w:sz="4" w:space="0" w:color="000000"/>
              <w:left w:val="nil"/>
              <w:bottom w:val="single" w:sz="4" w:space="0" w:color="000000"/>
              <w:right w:val="nil"/>
            </w:tcBorders>
            <w:vAlign w:val="bottom"/>
            <w:hideMark/>
          </w:tcPr>
          <w:p w14:paraId="74E846C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1 948 599</w:t>
            </w:r>
          </w:p>
        </w:tc>
        <w:tc>
          <w:tcPr>
            <w:tcW w:w="1416" w:type="dxa"/>
            <w:tcBorders>
              <w:top w:val="single" w:sz="4" w:space="0" w:color="000000"/>
              <w:left w:val="nil"/>
              <w:bottom w:val="single" w:sz="4" w:space="0" w:color="000000"/>
              <w:right w:val="nil"/>
            </w:tcBorders>
            <w:vAlign w:val="bottom"/>
            <w:hideMark/>
          </w:tcPr>
          <w:p w14:paraId="0DF030FD"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622 376</w:t>
            </w:r>
          </w:p>
        </w:tc>
      </w:tr>
      <w:tr w:rsidR="00607B78" w:rsidRPr="009C2953" w14:paraId="6CE424AC" w14:textId="77777777" w:rsidTr="00EA225A">
        <w:trPr>
          <w:trHeight w:val="315"/>
          <w:jc w:val="right"/>
        </w:trPr>
        <w:tc>
          <w:tcPr>
            <w:tcW w:w="5039" w:type="dxa"/>
            <w:tcBorders>
              <w:top w:val="single" w:sz="4" w:space="0" w:color="000000"/>
              <w:left w:val="nil"/>
              <w:bottom w:val="single" w:sz="4" w:space="0" w:color="000000"/>
              <w:right w:val="nil"/>
            </w:tcBorders>
            <w:hideMark/>
          </w:tcPr>
          <w:p w14:paraId="15E65439"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 partiel (1+2+3)</w:t>
            </w:r>
          </w:p>
        </w:tc>
        <w:tc>
          <w:tcPr>
            <w:tcW w:w="1623" w:type="dxa"/>
            <w:tcBorders>
              <w:top w:val="single" w:sz="4" w:space="0" w:color="000000"/>
              <w:left w:val="nil"/>
              <w:bottom w:val="single" w:sz="4" w:space="0" w:color="000000"/>
              <w:right w:val="nil"/>
            </w:tcBorders>
            <w:vAlign w:val="bottom"/>
            <w:hideMark/>
          </w:tcPr>
          <w:p w14:paraId="4039DC1C"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8 216 295</w:t>
            </w:r>
          </w:p>
        </w:tc>
        <w:tc>
          <w:tcPr>
            <w:tcW w:w="1417" w:type="dxa"/>
            <w:tcBorders>
              <w:top w:val="single" w:sz="4" w:space="0" w:color="000000"/>
              <w:left w:val="nil"/>
              <w:bottom w:val="single" w:sz="4" w:space="0" w:color="000000"/>
              <w:right w:val="nil"/>
            </w:tcBorders>
            <w:vAlign w:val="bottom"/>
            <w:hideMark/>
          </w:tcPr>
          <w:p w14:paraId="06BDEA01"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6 121 433</w:t>
            </w:r>
          </w:p>
        </w:tc>
        <w:tc>
          <w:tcPr>
            <w:tcW w:w="1416" w:type="dxa"/>
            <w:tcBorders>
              <w:top w:val="single" w:sz="4" w:space="0" w:color="000000"/>
              <w:left w:val="nil"/>
              <w:bottom w:val="single" w:sz="4" w:space="0" w:color="000000"/>
              <w:right w:val="nil"/>
            </w:tcBorders>
            <w:vAlign w:val="bottom"/>
            <w:hideMark/>
          </w:tcPr>
          <w:p w14:paraId="3EC6D4F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2 094 862</w:t>
            </w:r>
          </w:p>
        </w:tc>
      </w:tr>
      <w:tr w:rsidR="00607B78" w:rsidRPr="009C2953" w14:paraId="3267893D" w14:textId="77777777" w:rsidTr="00EA225A">
        <w:trPr>
          <w:trHeight w:val="315"/>
          <w:jc w:val="right"/>
        </w:trPr>
        <w:tc>
          <w:tcPr>
            <w:tcW w:w="5039" w:type="dxa"/>
            <w:tcBorders>
              <w:top w:val="single" w:sz="4" w:space="0" w:color="000000"/>
              <w:left w:val="nil"/>
              <w:bottom w:val="single" w:sz="4" w:space="0" w:color="000000"/>
              <w:right w:val="nil"/>
            </w:tcBorders>
            <w:hideMark/>
          </w:tcPr>
          <w:p w14:paraId="075FD5BF" w14:textId="40BDCDA3" w:rsidR="00607B78" w:rsidRPr="009C2953" w:rsidRDefault="00607B78" w:rsidP="00A068F8">
            <w:pPr>
              <w:tabs>
                <w:tab w:val="left" w:pos="624"/>
                <w:tab w:val="left" w:pos="1871"/>
                <w:tab w:val="left" w:pos="2495"/>
                <w:tab w:val="left" w:pos="3119"/>
                <w:tab w:val="left" w:pos="3742"/>
                <w:tab w:val="left" w:pos="4366"/>
              </w:tabs>
              <w:spacing w:before="40" w:after="40"/>
              <w:rPr>
                <w:color w:val="000000"/>
                <w:sz w:val="18"/>
                <w:szCs w:val="18"/>
                <w:lang w:val="fr-FR"/>
              </w:rPr>
            </w:pPr>
            <w:r w:rsidRPr="009C2953">
              <w:rPr>
                <w:color w:val="000000"/>
                <w:sz w:val="18"/>
                <w:lang w:val="fr-FR"/>
              </w:rPr>
              <w:t>Dépenses d</w:t>
            </w:r>
            <w:r w:rsidR="00EA2966" w:rsidRPr="009C2953">
              <w:rPr>
                <w:color w:val="000000"/>
                <w:sz w:val="18"/>
                <w:lang w:val="fr-FR"/>
              </w:rPr>
              <w:t>’</w:t>
            </w:r>
            <w:r w:rsidRPr="009C2953">
              <w:rPr>
                <w:color w:val="000000"/>
                <w:sz w:val="18"/>
                <w:lang w:val="fr-FR"/>
              </w:rPr>
              <w:t>appui</w:t>
            </w:r>
            <w:r w:rsidR="00F34644" w:rsidRPr="009C2953">
              <w:rPr>
                <w:color w:val="000000"/>
                <w:sz w:val="18"/>
                <w:lang w:val="fr-FR"/>
              </w:rPr>
              <w:t xml:space="preserve"> aux </w:t>
            </w:r>
            <w:r w:rsidRPr="009C2953">
              <w:rPr>
                <w:color w:val="000000"/>
                <w:sz w:val="18"/>
                <w:lang w:val="fr-FR"/>
              </w:rPr>
              <w:t xml:space="preserve">programmes </w:t>
            </w:r>
          </w:p>
        </w:tc>
        <w:tc>
          <w:tcPr>
            <w:tcW w:w="1623" w:type="dxa"/>
            <w:tcBorders>
              <w:top w:val="single" w:sz="4" w:space="0" w:color="000000"/>
              <w:left w:val="nil"/>
              <w:bottom w:val="single" w:sz="4" w:space="0" w:color="000000"/>
              <w:right w:val="nil"/>
            </w:tcBorders>
            <w:vAlign w:val="bottom"/>
            <w:hideMark/>
          </w:tcPr>
          <w:p w14:paraId="0297AC39"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657 304</w:t>
            </w:r>
          </w:p>
        </w:tc>
        <w:tc>
          <w:tcPr>
            <w:tcW w:w="1417" w:type="dxa"/>
            <w:tcBorders>
              <w:top w:val="single" w:sz="4" w:space="0" w:color="000000"/>
              <w:left w:val="nil"/>
              <w:bottom w:val="single" w:sz="4" w:space="0" w:color="000000"/>
              <w:right w:val="nil"/>
            </w:tcBorders>
            <w:vAlign w:val="bottom"/>
            <w:hideMark/>
          </w:tcPr>
          <w:p w14:paraId="0FB6C42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474 182</w:t>
            </w:r>
          </w:p>
        </w:tc>
        <w:tc>
          <w:tcPr>
            <w:tcW w:w="1416" w:type="dxa"/>
            <w:tcBorders>
              <w:top w:val="single" w:sz="4" w:space="0" w:color="000000"/>
              <w:left w:val="nil"/>
              <w:bottom w:val="single" w:sz="4" w:space="0" w:color="000000"/>
              <w:right w:val="nil"/>
            </w:tcBorders>
            <w:vAlign w:val="bottom"/>
            <w:hideMark/>
          </w:tcPr>
          <w:p w14:paraId="718FBD8C"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color w:val="000000"/>
                <w:sz w:val="18"/>
                <w:szCs w:val="18"/>
                <w:lang w:val="fr-FR"/>
              </w:rPr>
            </w:pPr>
            <w:r w:rsidRPr="009C2953">
              <w:rPr>
                <w:color w:val="000000"/>
                <w:sz w:val="18"/>
                <w:lang w:val="fr-FR"/>
              </w:rPr>
              <w:t>183 122</w:t>
            </w:r>
          </w:p>
        </w:tc>
      </w:tr>
      <w:tr w:rsidR="00607B78" w:rsidRPr="009C2953" w14:paraId="7E4CBE8C" w14:textId="77777777" w:rsidTr="00EA225A">
        <w:trPr>
          <w:trHeight w:val="315"/>
          <w:jc w:val="right"/>
        </w:trPr>
        <w:tc>
          <w:tcPr>
            <w:tcW w:w="5039" w:type="dxa"/>
            <w:tcBorders>
              <w:top w:val="single" w:sz="4" w:space="0" w:color="000000"/>
              <w:left w:val="nil"/>
              <w:bottom w:val="single" w:sz="12" w:space="0" w:color="000000"/>
              <w:right w:val="nil"/>
            </w:tcBorders>
            <w:hideMark/>
          </w:tcPr>
          <w:p w14:paraId="4908B9DC" w14:textId="77777777" w:rsidR="00607B78" w:rsidRPr="009C2953" w:rsidRDefault="00607B78" w:rsidP="00A068F8">
            <w:pPr>
              <w:tabs>
                <w:tab w:val="left" w:pos="624"/>
                <w:tab w:val="left" w:pos="1871"/>
                <w:tab w:val="left" w:pos="2495"/>
                <w:tab w:val="left" w:pos="3119"/>
                <w:tab w:val="left" w:pos="3742"/>
                <w:tab w:val="left" w:pos="4366"/>
              </w:tabs>
              <w:spacing w:before="40" w:after="40"/>
              <w:rPr>
                <w:b/>
                <w:color w:val="000000"/>
                <w:sz w:val="18"/>
                <w:szCs w:val="18"/>
                <w:lang w:val="fr-FR"/>
              </w:rPr>
            </w:pPr>
            <w:r w:rsidRPr="009C2953">
              <w:rPr>
                <w:b/>
                <w:color w:val="000000"/>
                <w:sz w:val="18"/>
                <w:lang w:val="fr-FR"/>
              </w:rPr>
              <w:t>Total</w:t>
            </w:r>
          </w:p>
        </w:tc>
        <w:tc>
          <w:tcPr>
            <w:tcW w:w="1623" w:type="dxa"/>
            <w:tcBorders>
              <w:top w:val="single" w:sz="4" w:space="0" w:color="000000"/>
              <w:left w:val="nil"/>
              <w:bottom w:val="single" w:sz="12" w:space="0" w:color="000000"/>
              <w:right w:val="nil"/>
            </w:tcBorders>
            <w:vAlign w:val="bottom"/>
            <w:hideMark/>
          </w:tcPr>
          <w:p w14:paraId="6ECEF872"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8 873 599</w:t>
            </w:r>
          </w:p>
        </w:tc>
        <w:tc>
          <w:tcPr>
            <w:tcW w:w="1417" w:type="dxa"/>
            <w:tcBorders>
              <w:top w:val="single" w:sz="4" w:space="0" w:color="000000"/>
              <w:left w:val="nil"/>
              <w:bottom w:val="single" w:sz="12" w:space="0" w:color="000000"/>
              <w:right w:val="nil"/>
            </w:tcBorders>
            <w:vAlign w:val="bottom"/>
            <w:hideMark/>
          </w:tcPr>
          <w:p w14:paraId="151E3137"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6 595 616</w:t>
            </w:r>
          </w:p>
        </w:tc>
        <w:tc>
          <w:tcPr>
            <w:tcW w:w="1416" w:type="dxa"/>
            <w:tcBorders>
              <w:top w:val="single" w:sz="4" w:space="0" w:color="000000"/>
              <w:left w:val="nil"/>
              <w:bottom w:val="single" w:sz="12" w:space="0" w:color="000000"/>
              <w:right w:val="nil"/>
            </w:tcBorders>
            <w:vAlign w:val="bottom"/>
            <w:hideMark/>
          </w:tcPr>
          <w:p w14:paraId="4252D1F0" w14:textId="77777777" w:rsidR="00607B78" w:rsidRPr="009C2953" w:rsidRDefault="00607B78" w:rsidP="00A068F8">
            <w:pPr>
              <w:tabs>
                <w:tab w:val="left" w:pos="624"/>
                <w:tab w:val="left" w:pos="1871"/>
                <w:tab w:val="left" w:pos="2495"/>
                <w:tab w:val="left" w:pos="3119"/>
                <w:tab w:val="left" w:pos="3742"/>
                <w:tab w:val="left" w:pos="4366"/>
              </w:tabs>
              <w:spacing w:before="40" w:after="40"/>
              <w:jc w:val="right"/>
              <w:rPr>
                <w:b/>
                <w:color w:val="000000"/>
                <w:sz w:val="18"/>
                <w:szCs w:val="18"/>
                <w:lang w:val="fr-FR"/>
              </w:rPr>
            </w:pPr>
            <w:r w:rsidRPr="009C2953">
              <w:rPr>
                <w:b/>
                <w:color w:val="000000"/>
                <w:sz w:val="18"/>
                <w:lang w:val="fr-FR"/>
              </w:rPr>
              <w:t>2 277 984</w:t>
            </w:r>
          </w:p>
        </w:tc>
      </w:tr>
    </w:tbl>
    <w:p w14:paraId="6137034F" w14:textId="77777777" w:rsidR="00607B78" w:rsidRPr="009C2953" w:rsidRDefault="00607B78" w:rsidP="00607B78">
      <w:pPr>
        <w:pStyle w:val="CH1"/>
        <w:rPr>
          <w:rFonts w:eastAsia="Yu Mincho"/>
        </w:rPr>
      </w:pPr>
      <w:r w:rsidRPr="009C2953">
        <w:tab/>
        <w:t>III.</w:t>
      </w:r>
      <w:r w:rsidRPr="009C2953">
        <w:tab/>
        <w:t>Budget révisé pour 2023</w:t>
      </w:r>
    </w:p>
    <w:p w14:paraId="1686D0AF" w14:textId="77777777" w:rsidR="00607B78" w:rsidRPr="009C2953" w:rsidRDefault="00607B78" w:rsidP="00607B78">
      <w:pPr>
        <w:pStyle w:val="Titletable"/>
      </w:pPr>
      <w:r w:rsidRPr="009C2953">
        <w:rPr>
          <w:b w:val="0"/>
        </w:rPr>
        <w:t xml:space="preserve">Tableau 6 </w:t>
      </w:r>
      <w:r w:rsidRPr="009C2953">
        <w:br/>
        <w:t>Budget révisé pour 2023</w:t>
      </w:r>
    </w:p>
    <w:p w14:paraId="4D007B07" w14:textId="62346243" w:rsidR="00607B78" w:rsidRPr="009C2953" w:rsidRDefault="00607B78" w:rsidP="00607B78">
      <w:pPr>
        <w:pStyle w:val="Titletable"/>
        <w:rPr>
          <w:b w:val="0"/>
          <w:bCs w:val="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00" w:firstRow="0" w:lastRow="0" w:firstColumn="0" w:lastColumn="0" w:noHBand="0" w:noVBand="1"/>
      </w:tblPr>
      <w:tblGrid>
        <w:gridCol w:w="5130"/>
        <w:gridCol w:w="1442"/>
        <w:gridCol w:w="1464"/>
        <w:gridCol w:w="1461"/>
      </w:tblGrid>
      <w:tr w:rsidR="00607B78" w:rsidRPr="009C2953" w14:paraId="2BB23791" w14:textId="77777777" w:rsidTr="00A068F8">
        <w:trPr>
          <w:trHeight w:val="57"/>
          <w:tblHeader/>
          <w:jc w:val="right"/>
        </w:trPr>
        <w:tc>
          <w:tcPr>
            <w:tcW w:w="5130" w:type="dxa"/>
            <w:tcBorders>
              <w:top w:val="single" w:sz="4" w:space="0" w:color="000000"/>
              <w:left w:val="nil"/>
              <w:bottom w:val="single" w:sz="12" w:space="0" w:color="000000"/>
              <w:right w:val="nil"/>
            </w:tcBorders>
            <w:vAlign w:val="bottom"/>
            <w:hideMark/>
          </w:tcPr>
          <w:p w14:paraId="267C90E3" w14:textId="77777777" w:rsidR="00607B78" w:rsidRPr="009C2953" w:rsidRDefault="00607B78" w:rsidP="00A068F8">
            <w:pPr>
              <w:pStyle w:val="Normal-pool"/>
              <w:spacing w:before="40" w:after="40"/>
              <w:rPr>
                <w:i/>
                <w:iCs/>
                <w:sz w:val="18"/>
                <w:szCs w:val="18"/>
              </w:rPr>
            </w:pPr>
            <w:r w:rsidRPr="009C2953">
              <w:rPr>
                <w:i/>
                <w:sz w:val="18"/>
              </w:rPr>
              <w:t>Postes de dépenses</w:t>
            </w:r>
          </w:p>
        </w:tc>
        <w:tc>
          <w:tcPr>
            <w:tcW w:w="1442" w:type="dxa"/>
            <w:tcBorders>
              <w:top w:val="single" w:sz="4" w:space="0" w:color="000000"/>
              <w:left w:val="nil"/>
              <w:bottom w:val="single" w:sz="12" w:space="0" w:color="000000"/>
              <w:right w:val="nil"/>
            </w:tcBorders>
            <w:vAlign w:val="bottom"/>
            <w:hideMark/>
          </w:tcPr>
          <w:p w14:paraId="13CF2A09" w14:textId="283D4B81" w:rsidR="00607B78" w:rsidRPr="009C2953" w:rsidRDefault="00607B78" w:rsidP="00A068F8">
            <w:pPr>
              <w:pStyle w:val="Normal-pool"/>
              <w:spacing w:before="40" w:after="40"/>
              <w:jc w:val="right"/>
              <w:rPr>
                <w:i/>
                <w:iCs/>
                <w:sz w:val="18"/>
                <w:szCs w:val="18"/>
              </w:rPr>
            </w:pPr>
            <w:r w:rsidRPr="009C2953">
              <w:rPr>
                <w:i/>
                <w:sz w:val="18"/>
              </w:rPr>
              <w:t>Budget approuvé pour</w:t>
            </w:r>
            <w:r w:rsidR="00FA7442">
              <w:rPr>
                <w:i/>
                <w:sz w:val="18"/>
              </w:rPr>
              <w:t> </w:t>
            </w:r>
            <w:r w:rsidRPr="009C2953">
              <w:rPr>
                <w:i/>
                <w:sz w:val="18"/>
              </w:rPr>
              <w:t>2023</w:t>
            </w:r>
          </w:p>
        </w:tc>
        <w:tc>
          <w:tcPr>
            <w:tcW w:w="1464" w:type="dxa"/>
            <w:tcBorders>
              <w:top w:val="single" w:sz="4" w:space="0" w:color="000000"/>
              <w:left w:val="nil"/>
              <w:bottom w:val="single" w:sz="12" w:space="0" w:color="000000"/>
              <w:right w:val="nil"/>
            </w:tcBorders>
            <w:vAlign w:val="bottom"/>
            <w:hideMark/>
          </w:tcPr>
          <w:p w14:paraId="0D8C5F62" w14:textId="77777777" w:rsidR="00607B78" w:rsidRPr="009C2953" w:rsidRDefault="00607B78" w:rsidP="00A068F8">
            <w:pPr>
              <w:pStyle w:val="Normal-pool"/>
              <w:spacing w:before="40" w:after="40"/>
              <w:jc w:val="right"/>
              <w:rPr>
                <w:i/>
                <w:iCs/>
                <w:sz w:val="18"/>
                <w:szCs w:val="18"/>
              </w:rPr>
            </w:pPr>
            <w:r w:rsidRPr="009C2953">
              <w:rPr>
                <w:i/>
                <w:sz w:val="18"/>
              </w:rPr>
              <w:t>Budget révisé pour 2023</w:t>
            </w:r>
          </w:p>
        </w:tc>
        <w:tc>
          <w:tcPr>
            <w:tcW w:w="1461" w:type="dxa"/>
            <w:tcBorders>
              <w:top w:val="single" w:sz="4" w:space="0" w:color="000000"/>
              <w:left w:val="nil"/>
              <w:bottom w:val="single" w:sz="12" w:space="0" w:color="000000"/>
              <w:right w:val="nil"/>
            </w:tcBorders>
            <w:vAlign w:val="bottom"/>
            <w:hideMark/>
          </w:tcPr>
          <w:p w14:paraId="5D33EA59" w14:textId="77777777" w:rsidR="00607B78" w:rsidRPr="009C2953" w:rsidRDefault="00607B78" w:rsidP="00A068F8">
            <w:pPr>
              <w:pStyle w:val="Normal-pool"/>
              <w:spacing w:before="40" w:after="40"/>
              <w:jc w:val="right"/>
              <w:rPr>
                <w:i/>
                <w:iCs/>
                <w:sz w:val="18"/>
                <w:szCs w:val="18"/>
              </w:rPr>
            </w:pPr>
            <w:r w:rsidRPr="009C2953">
              <w:rPr>
                <w:i/>
                <w:sz w:val="18"/>
              </w:rPr>
              <w:t>Augmentation (Diminution)</w:t>
            </w:r>
          </w:p>
        </w:tc>
      </w:tr>
      <w:tr w:rsidR="00607B78" w:rsidRPr="009C2953" w14:paraId="3F1E09E6" w14:textId="77777777" w:rsidTr="00A068F8">
        <w:trPr>
          <w:trHeight w:val="57"/>
          <w:jc w:val="right"/>
        </w:trPr>
        <w:tc>
          <w:tcPr>
            <w:tcW w:w="5130" w:type="dxa"/>
            <w:tcBorders>
              <w:top w:val="single" w:sz="12" w:space="0" w:color="000000"/>
              <w:left w:val="nil"/>
              <w:bottom w:val="nil"/>
              <w:right w:val="nil"/>
            </w:tcBorders>
            <w:hideMark/>
          </w:tcPr>
          <w:p w14:paraId="6F0A8A58" w14:textId="3E07F8C3" w:rsidR="00607B78" w:rsidRPr="009C2953" w:rsidRDefault="00607B78" w:rsidP="00A068F8">
            <w:pPr>
              <w:pStyle w:val="Normal-pool"/>
              <w:tabs>
                <w:tab w:val="left" w:pos="365"/>
              </w:tabs>
              <w:spacing w:before="40" w:after="40"/>
              <w:rPr>
                <w:b/>
                <w:sz w:val="18"/>
                <w:szCs w:val="18"/>
              </w:rPr>
            </w:pPr>
            <w:r w:rsidRPr="009C2953">
              <w:rPr>
                <w:b/>
                <w:sz w:val="18"/>
              </w:rPr>
              <w:t>1.</w:t>
            </w:r>
            <w:r w:rsidRPr="009C2953">
              <w:rPr>
                <w:b/>
                <w:sz w:val="18"/>
              </w:rPr>
              <w:tab/>
              <w:t>Réunions</w:t>
            </w:r>
            <w:r w:rsidR="00D24DC1" w:rsidRPr="009C2953">
              <w:rPr>
                <w:b/>
                <w:sz w:val="18"/>
              </w:rPr>
              <w:t xml:space="preserve"> des </w:t>
            </w:r>
            <w:r w:rsidRPr="009C2953">
              <w:rPr>
                <w:b/>
                <w:sz w:val="18"/>
              </w:rPr>
              <w:t>organes de</w:t>
            </w:r>
            <w:r w:rsidR="00F34644" w:rsidRPr="009C2953">
              <w:rPr>
                <w:b/>
                <w:sz w:val="18"/>
              </w:rPr>
              <w:t xml:space="preserve"> la </w:t>
            </w:r>
            <w:r w:rsidRPr="009C2953">
              <w:rPr>
                <w:b/>
                <w:sz w:val="18"/>
              </w:rPr>
              <w:t>IPBES</w:t>
            </w:r>
            <w:r w:rsidRPr="009C2953">
              <w:rPr>
                <w:sz w:val="18"/>
              </w:rPr>
              <w:t xml:space="preserve"> </w:t>
            </w:r>
          </w:p>
        </w:tc>
        <w:tc>
          <w:tcPr>
            <w:tcW w:w="1442" w:type="dxa"/>
            <w:tcBorders>
              <w:top w:val="single" w:sz="12" w:space="0" w:color="000000"/>
              <w:left w:val="nil"/>
              <w:bottom w:val="nil"/>
              <w:right w:val="nil"/>
            </w:tcBorders>
          </w:tcPr>
          <w:p w14:paraId="026A358D" w14:textId="77777777" w:rsidR="00607B78" w:rsidRPr="009C2953" w:rsidRDefault="00607B78" w:rsidP="00A068F8">
            <w:pPr>
              <w:pStyle w:val="Normal-pool"/>
              <w:spacing w:before="40" w:after="40"/>
              <w:jc w:val="right"/>
              <w:rPr>
                <w:b/>
                <w:sz w:val="18"/>
                <w:szCs w:val="18"/>
              </w:rPr>
            </w:pPr>
          </w:p>
        </w:tc>
        <w:tc>
          <w:tcPr>
            <w:tcW w:w="1464" w:type="dxa"/>
            <w:tcBorders>
              <w:top w:val="single" w:sz="12" w:space="0" w:color="000000"/>
              <w:left w:val="nil"/>
              <w:bottom w:val="nil"/>
              <w:right w:val="nil"/>
            </w:tcBorders>
          </w:tcPr>
          <w:p w14:paraId="3F952522" w14:textId="77777777" w:rsidR="00607B78" w:rsidRPr="009C2953" w:rsidRDefault="00607B78" w:rsidP="00A068F8">
            <w:pPr>
              <w:pStyle w:val="Normal-pool"/>
              <w:spacing w:before="40" w:after="40"/>
              <w:jc w:val="right"/>
              <w:rPr>
                <w:b/>
                <w:sz w:val="18"/>
                <w:szCs w:val="18"/>
              </w:rPr>
            </w:pPr>
          </w:p>
        </w:tc>
        <w:tc>
          <w:tcPr>
            <w:tcW w:w="1461" w:type="dxa"/>
            <w:tcBorders>
              <w:top w:val="single" w:sz="12" w:space="0" w:color="000000"/>
              <w:left w:val="nil"/>
              <w:bottom w:val="nil"/>
              <w:right w:val="nil"/>
            </w:tcBorders>
          </w:tcPr>
          <w:p w14:paraId="57BE6B0F" w14:textId="77777777" w:rsidR="00607B78" w:rsidRPr="009C2953" w:rsidRDefault="00607B78" w:rsidP="00A068F8">
            <w:pPr>
              <w:pStyle w:val="Normal-pool"/>
              <w:spacing w:before="40" w:after="40"/>
              <w:jc w:val="right"/>
              <w:rPr>
                <w:b/>
                <w:sz w:val="18"/>
                <w:szCs w:val="18"/>
              </w:rPr>
            </w:pPr>
          </w:p>
        </w:tc>
      </w:tr>
      <w:tr w:rsidR="00607B78" w:rsidRPr="009C2953" w14:paraId="509F7465" w14:textId="77777777" w:rsidTr="00A068F8">
        <w:trPr>
          <w:trHeight w:val="57"/>
          <w:jc w:val="right"/>
        </w:trPr>
        <w:tc>
          <w:tcPr>
            <w:tcW w:w="5130" w:type="dxa"/>
            <w:tcBorders>
              <w:top w:val="nil"/>
              <w:left w:val="nil"/>
              <w:bottom w:val="nil"/>
              <w:right w:val="nil"/>
            </w:tcBorders>
            <w:hideMark/>
          </w:tcPr>
          <w:p w14:paraId="7E6E8229" w14:textId="6F774ED3" w:rsidR="00607B78" w:rsidRPr="009C2953" w:rsidRDefault="00607B78" w:rsidP="00A068F8">
            <w:pPr>
              <w:pStyle w:val="Normal-pool"/>
              <w:tabs>
                <w:tab w:val="left" w:pos="365"/>
              </w:tabs>
              <w:spacing w:before="40" w:after="40"/>
              <w:rPr>
                <w:b/>
                <w:sz w:val="18"/>
                <w:szCs w:val="18"/>
              </w:rPr>
            </w:pPr>
            <w:r w:rsidRPr="009C2953">
              <w:rPr>
                <w:b/>
                <w:sz w:val="18"/>
              </w:rPr>
              <w:t>1.</w:t>
            </w:r>
            <w:r w:rsidRPr="009C2953">
              <w:rPr>
                <w:b/>
                <w:sz w:val="18"/>
              </w:rPr>
              <w:tab/>
              <w:t>Sessions de</w:t>
            </w:r>
            <w:r w:rsidR="00F34644" w:rsidRPr="009C2953">
              <w:rPr>
                <w:b/>
                <w:sz w:val="18"/>
              </w:rPr>
              <w:t xml:space="preserve"> la </w:t>
            </w:r>
            <w:r w:rsidRPr="009C2953">
              <w:rPr>
                <w:b/>
                <w:sz w:val="18"/>
              </w:rPr>
              <w:t>Plénière</w:t>
            </w:r>
          </w:p>
        </w:tc>
        <w:tc>
          <w:tcPr>
            <w:tcW w:w="1442" w:type="dxa"/>
            <w:tcBorders>
              <w:top w:val="nil"/>
              <w:left w:val="nil"/>
              <w:bottom w:val="nil"/>
              <w:right w:val="nil"/>
            </w:tcBorders>
          </w:tcPr>
          <w:p w14:paraId="70845547" w14:textId="77777777" w:rsidR="00607B78" w:rsidRPr="009C2953" w:rsidRDefault="00607B78" w:rsidP="00A068F8">
            <w:pPr>
              <w:pStyle w:val="Normal-pool"/>
              <w:spacing w:before="40" w:after="40"/>
              <w:jc w:val="right"/>
              <w:rPr>
                <w:b/>
                <w:sz w:val="18"/>
                <w:szCs w:val="18"/>
              </w:rPr>
            </w:pPr>
          </w:p>
        </w:tc>
        <w:tc>
          <w:tcPr>
            <w:tcW w:w="1464" w:type="dxa"/>
            <w:tcBorders>
              <w:top w:val="nil"/>
              <w:left w:val="nil"/>
              <w:bottom w:val="nil"/>
              <w:right w:val="nil"/>
            </w:tcBorders>
          </w:tcPr>
          <w:p w14:paraId="1FC884B3" w14:textId="77777777" w:rsidR="00607B78" w:rsidRPr="009C2953" w:rsidRDefault="00607B78" w:rsidP="00A068F8">
            <w:pPr>
              <w:pStyle w:val="Normal-pool"/>
              <w:spacing w:before="40" w:after="40"/>
              <w:jc w:val="right"/>
              <w:rPr>
                <w:sz w:val="18"/>
                <w:szCs w:val="18"/>
              </w:rPr>
            </w:pPr>
          </w:p>
        </w:tc>
        <w:tc>
          <w:tcPr>
            <w:tcW w:w="1461" w:type="dxa"/>
            <w:tcBorders>
              <w:top w:val="nil"/>
              <w:left w:val="nil"/>
              <w:bottom w:val="nil"/>
              <w:right w:val="nil"/>
            </w:tcBorders>
          </w:tcPr>
          <w:p w14:paraId="6A977CE6" w14:textId="77777777" w:rsidR="00607B78" w:rsidRPr="009C2953" w:rsidRDefault="00607B78" w:rsidP="00A068F8">
            <w:pPr>
              <w:pStyle w:val="Normal-pool"/>
              <w:spacing w:before="40" w:after="40"/>
              <w:jc w:val="right"/>
              <w:rPr>
                <w:sz w:val="18"/>
                <w:szCs w:val="18"/>
              </w:rPr>
            </w:pPr>
          </w:p>
        </w:tc>
      </w:tr>
      <w:tr w:rsidR="00607B78" w:rsidRPr="009C2953" w14:paraId="7BC3D3C8" w14:textId="77777777" w:rsidTr="00A068F8">
        <w:trPr>
          <w:trHeight w:val="57"/>
          <w:jc w:val="right"/>
        </w:trPr>
        <w:tc>
          <w:tcPr>
            <w:tcW w:w="5130" w:type="dxa"/>
            <w:tcBorders>
              <w:top w:val="nil"/>
              <w:left w:val="nil"/>
              <w:bottom w:val="nil"/>
              <w:right w:val="nil"/>
            </w:tcBorders>
            <w:hideMark/>
          </w:tcPr>
          <w:p w14:paraId="104135AA" w14:textId="47A57725" w:rsidR="00607B78" w:rsidRPr="009C2953" w:rsidRDefault="00607B78" w:rsidP="00A068F8">
            <w:pPr>
              <w:pStyle w:val="Normal-pool"/>
              <w:spacing w:before="40" w:after="40"/>
              <w:ind w:left="319"/>
              <w:rPr>
                <w:sz w:val="18"/>
                <w:szCs w:val="18"/>
              </w:rPr>
            </w:pPr>
            <w:r w:rsidRPr="009C2953">
              <w:rPr>
                <w:sz w:val="18"/>
              </w:rPr>
              <w:t>Frais de voyage</w:t>
            </w:r>
            <w:r w:rsidR="00D24DC1" w:rsidRPr="009C2953">
              <w:rPr>
                <w:sz w:val="18"/>
              </w:rPr>
              <w:t xml:space="preserve"> des </w:t>
            </w:r>
            <w:r w:rsidRPr="009C2953">
              <w:rPr>
                <w:sz w:val="18"/>
              </w:rPr>
              <w:t>participant(e)s à</w:t>
            </w:r>
            <w:r w:rsidR="00F34644" w:rsidRPr="009C2953">
              <w:rPr>
                <w:sz w:val="18"/>
              </w:rPr>
              <w:t xml:space="preserve"> la </w:t>
            </w:r>
            <w:r w:rsidRPr="009C2953">
              <w:rPr>
                <w:sz w:val="18"/>
              </w:rPr>
              <w:t>dixième session de</w:t>
            </w:r>
            <w:r w:rsidR="00EA225A" w:rsidRPr="009C2953">
              <w:rPr>
                <w:sz w:val="18"/>
              </w:rPr>
              <w:t> </w:t>
            </w:r>
            <w:r w:rsidR="00F34644" w:rsidRPr="009C2953">
              <w:rPr>
                <w:sz w:val="18"/>
              </w:rPr>
              <w:t>la </w:t>
            </w:r>
            <w:r w:rsidRPr="009C2953">
              <w:rPr>
                <w:sz w:val="18"/>
              </w:rPr>
              <w:t>Plénière (frais de voyage et indemnité journalière de</w:t>
            </w:r>
            <w:r w:rsidR="00170E14" w:rsidRPr="009C2953">
              <w:rPr>
                <w:sz w:val="18"/>
              </w:rPr>
              <w:t> </w:t>
            </w:r>
            <w:r w:rsidRPr="009C2953">
              <w:rPr>
                <w:sz w:val="18"/>
              </w:rPr>
              <w:t xml:space="preserve">subsistance) </w:t>
            </w:r>
          </w:p>
        </w:tc>
        <w:tc>
          <w:tcPr>
            <w:tcW w:w="1442" w:type="dxa"/>
            <w:tcBorders>
              <w:top w:val="nil"/>
              <w:left w:val="nil"/>
              <w:bottom w:val="nil"/>
              <w:right w:val="nil"/>
            </w:tcBorders>
            <w:vAlign w:val="bottom"/>
            <w:hideMark/>
          </w:tcPr>
          <w:p w14:paraId="30B46E9C" w14:textId="77777777" w:rsidR="00607B78" w:rsidRPr="009C2953" w:rsidRDefault="00607B78" w:rsidP="00A068F8">
            <w:pPr>
              <w:pStyle w:val="Normal-pool"/>
              <w:spacing w:before="40" w:after="40"/>
              <w:jc w:val="right"/>
              <w:rPr>
                <w:sz w:val="18"/>
                <w:szCs w:val="18"/>
              </w:rPr>
            </w:pPr>
            <w:r w:rsidRPr="009C2953">
              <w:rPr>
                <w:sz w:val="18"/>
              </w:rPr>
              <w:t>500 000</w:t>
            </w:r>
          </w:p>
        </w:tc>
        <w:tc>
          <w:tcPr>
            <w:tcW w:w="1464" w:type="dxa"/>
            <w:tcBorders>
              <w:top w:val="nil"/>
              <w:left w:val="nil"/>
              <w:bottom w:val="nil"/>
              <w:right w:val="nil"/>
            </w:tcBorders>
            <w:vAlign w:val="bottom"/>
            <w:hideMark/>
          </w:tcPr>
          <w:p w14:paraId="150424D3" w14:textId="77777777" w:rsidR="00607B78" w:rsidRPr="009C2953" w:rsidRDefault="00607B78" w:rsidP="00A068F8">
            <w:pPr>
              <w:pStyle w:val="Normal-pool"/>
              <w:spacing w:before="40" w:after="40"/>
              <w:jc w:val="right"/>
              <w:rPr>
                <w:sz w:val="18"/>
                <w:szCs w:val="18"/>
              </w:rPr>
            </w:pPr>
            <w:r w:rsidRPr="009C2953">
              <w:rPr>
                <w:sz w:val="18"/>
              </w:rPr>
              <w:t>500 000</w:t>
            </w:r>
          </w:p>
        </w:tc>
        <w:tc>
          <w:tcPr>
            <w:tcW w:w="1461" w:type="dxa"/>
            <w:tcBorders>
              <w:top w:val="nil"/>
              <w:left w:val="nil"/>
              <w:bottom w:val="nil"/>
              <w:right w:val="nil"/>
            </w:tcBorders>
            <w:vAlign w:val="bottom"/>
            <w:hideMark/>
          </w:tcPr>
          <w:p w14:paraId="5B05776F"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5D333525" w14:textId="77777777" w:rsidTr="00A068F8">
        <w:trPr>
          <w:trHeight w:val="57"/>
          <w:jc w:val="right"/>
        </w:trPr>
        <w:tc>
          <w:tcPr>
            <w:tcW w:w="5130" w:type="dxa"/>
            <w:tcBorders>
              <w:top w:val="nil"/>
              <w:left w:val="nil"/>
              <w:bottom w:val="nil"/>
              <w:right w:val="nil"/>
            </w:tcBorders>
            <w:hideMark/>
          </w:tcPr>
          <w:p w14:paraId="22A0A687" w14:textId="77777777" w:rsidR="00607B78" w:rsidRPr="009C2953" w:rsidRDefault="00607B78" w:rsidP="00A068F8">
            <w:pPr>
              <w:pStyle w:val="Normal-pool"/>
              <w:spacing w:before="40" w:after="40"/>
              <w:ind w:left="319"/>
              <w:rPr>
                <w:sz w:val="18"/>
                <w:szCs w:val="18"/>
              </w:rPr>
            </w:pPr>
            <w:r w:rsidRPr="009C2953">
              <w:rPr>
                <w:sz w:val="18"/>
              </w:rPr>
              <w:t>Services de conférence (traduction, édition et interprétation)</w:t>
            </w:r>
          </w:p>
        </w:tc>
        <w:tc>
          <w:tcPr>
            <w:tcW w:w="1442" w:type="dxa"/>
            <w:tcBorders>
              <w:top w:val="nil"/>
              <w:left w:val="nil"/>
              <w:bottom w:val="nil"/>
              <w:right w:val="nil"/>
            </w:tcBorders>
            <w:vAlign w:val="bottom"/>
            <w:hideMark/>
          </w:tcPr>
          <w:p w14:paraId="08216116" w14:textId="77777777" w:rsidR="00607B78" w:rsidRPr="009C2953" w:rsidRDefault="00607B78" w:rsidP="00A068F8">
            <w:pPr>
              <w:pStyle w:val="Normal-pool"/>
              <w:spacing w:before="40" w:after="40"/>
              <w:jc w:val="right"/>
              <w:rPr>
                <w:sz w:val="18"/>
                <w:szCs w:val="18"/>
              </w:rPr>
            </w:pPr>
            <w:r w:rsidRPr="009C2953">
              <w:rPr>
                <w:sz w:val="18"/>
              </w:rPr>
              <w:t>830 000</w:t>
            </w:r>
          </w:p>
        </w:tc>
        <w:tc>
          <w:tcPr>
            <w:tcW w:w="1464" w:type="dxa"/>
            <w:tcBorders>
              <w:top w:val="nil"/>
              <w:left w:val="nil"/>
              <w:bottom w:val="nil"/>
              <w:right w:val="nil"/>
            </w:tcBorders>
            <w:vAlign w:val="bottom"/>
            <w:hideMark/>
          </w:tcPr>
          <w:p w14:paraId="03964CE2" w14:textId="77777777" w:rsidR="00607B78" w:rsidRPr="009C2953" w:rsidRDefault="00607B78" w:rsidP="00A068F8">
            <w:pPr>
              <w:pStyle w:val="Normal-pool"/>
              <w:spacing w:before="40" w:after="40"/>
              <w:jc w:val="right"/>
              <w:rPr>
                <w:sz w:val="18"/>
                <w:szCs w:val="18"/>
              </w:rPr>
            </w:pPr>
            <w:r w:rsidRPr="009C2953">
              <w:rPr>
                <w:sz w:val="18"/>
              </w:rPr>
              <w:t>830 000</w:t>
            </w:r>
          </w:p>
        </w:tc>
        <w:tc>
          <w:tcPr>
            <w:tcW w:w="1461" w:type="dxa"/>
            <w:tcBorders>
              <w:top w:val="nil"/>
              <w:left w:val="nil"/>
              <w:bottom w:val="nil"/>
              <w:right w:val="nil"/>
            </w:tcBorders>
            <w:vAlign w:val="bottom"/>
            <w:hideMark/>
          </w:tcPr>
          <w:p w14:paraId="38101CF2"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2C551969" w14:textId="77777777" w:rsidTr="00A068F8">
        <w:trPr>
          <w:trHeight w:val="57"/>
          <w:jc w:val="right"/>
        </w:trPr>
        <w:tc>
          <w:tcPr>
            <w:tcW w:w="5130" w:type="dxa"/>
            <w:tcBorders>
              <w:top w:val="nil"/>
              <w:left w:val="nil"/>
              <w:bottom w:val="nil"/>
              <w:right w:val="nil"/>
            </w:tcBorders>
            <w:hideMark/>
          </w:tcPr>
          <w:p w14:paraId="108AC65A" w14:textId="66FBBC58" w:rsidR="00607B78" w:rsidRPr="009C2953" w:rsidRDefault="00607B78" w:rsidP="00A068F8">
            <w:pPr>
              <w:pStyle w:val="Normal-pool"/>
              <w:spacing w:before="40" w:after="40"/>
              <w:ind w:left="319"/>
              <w:rPr>
                <w:sz w:val="18"/>
                <w:szCs w:val="18"/>
              </w:rPr>
            </w:pPr>
            <w:r w:rsidRPr="009C2953">
              <w:rPr>
                <w:sz w:val="18"/>
              </w:rPr>
              <w:t>Services d</w:t>
            </w:r>
            <w:r w:rsidR="00EA2966" w:rsidRPr="009C2953">
              <w:rPr>
                <w:sz w:val="18"/>
              </w:rPr>
              <w:t>’</w:t>
            </w:r>
            <w:r w:rsidRPr="009C2953">
              <w:rPr>
                <w:sz w:val="18"/>
              </w:rPr>
              <w:t>établissement</w:t>
            </w:r>
            <w:r w:rsidR="00D24DC1" w:rsidRPr="009C2953">
              <w:rPr>
                <w:sz w:val="18"/>
              </w:rPr>
              <w:t xml:space="preserve"> des </w:t>
            </w:r>
            <w:r w:rsidRPr="009C2953">
              <w:rPr>
                <w:sz w:val="18"/>
              </w:rPr>
              <w:t>rapports</w:t>
            </w:r>
          </w:p>
        </w:tc>
        <w:tc>
          <w:tcPr>
            <w:tcW w:w="1442" w:type="dxa"/>
            <w:tcBorders>
              <w:top w:val="nil"/>
              <w:left w:val="nil"/>
              <w:bottom w:val="nil"/>
              <w:right w:val="nil"/>
            </w:tcBorders>
            <w:vAlign w:val="bottom"/>
            <w:hideMark/>
          </w:tcPr>
          <w:p w14:paraId="36E8327A" w14:textId="77777777" w:rsidR="00607B78" w:rsidRPr="009C2953" w:rsidRDefault="00607B78" w:rsidP="00A068F8">
            <w:pPr>
              <w:pStyle w:val="Normal-pool"/>
              <w:spacing w:before="40" w:after="40"/>
              <w:jc w:val="right"/>
              <w:rPr>
                <w:sz w:val="18"/>
                <w:szCs w:val="18"/>
              </w:rPr>
            </w:pPr>
            <w:r w:rsidRPr="009C2953">
              <w:rPr>
                <w:sz w:val="18"/>
              </w:rPr>
              <w:t>65 000</w:t>
            </w:r>
          </w:p>
        </w:tc>
        <w:tc>
          <w:tcPr>
            <w:tcW w:w="1464" w:type="dxa"/>
            <w:tcBorders>
              <w:top w:val="nil"/>
              <w:left w:val="nil"/>
              <w:bottom w:val="nil"/>
              <w:right w:val="nil"/>
            </w:tcBorders>
            <w:vAlign w:val="bottom"/>
            <w:hideMark/>
          </w:tcPr>
          <w:p w14:paraId="04E54C9D" w14:textId="77777777" w:rsidR="00607B78" w:rsidRPr="009C2953" w:rsidRDefault="00607B78" w:rsidP="00A068F8">
            <w:pPr>
              <w:pStyle w:val="Normal-pool"/>
              <w:spacing w:before="40" w:after="40"/>
              <w:jc w:val="right"/>
              <w:rPr>
                <w:sz w:val="18"/>
                <w:szCs w:val="18"/>
              </w:rPr>
            </w:pPr>
            <w:r w:rsidRPr="009C2953">
              <w:rPr>
                <w:sz w:val="18"/>
              </w:rPr>
              <w:t>65 000</w:t>
            </w:r>
          </w:p>
        </w:tc>
        <w:tc>
          <w:tcPr>
            <w:tcW w:w="1461" w:type="dxa"/>
            <w:tcBorders>
              <w:top w:val="nil"/>
              <w:left w:val="nil"/>
              <w:bottom w:val="nil"/>
              <w:right w:val="nil"/>
            </w:tcBorders>
            <w:vAlign w:val="bottom"/>
            <w:hideMark/>
          </w:tcPr>
          <w:p w14:paraId="6BB8D1CA"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71C1D88B" w14:textId="77777777" w:rsidTr="00A068F8">
        <w:trPr>
          <w:trHeight w:val="57"/>
          <w:jc w:val="right"/>
        </w:trPr>
        <w:tc>
          <w:tcPr>
            <w:tcW w:w="5130" w:type="dxa"/>
            <w:tcBorders>
              <w:top w:val="nil"/>
              <w:left w:val="nil"/>
              <w:bottom w:val="single" w:sz="4" w:space="0" w:color="000000"/>
              <w:right w:val="nil"/>
            </w:tcBorders>
            <w:hideMark/>
          </w:tcPr>
          <w:p w14:paraId="57BCA1B1" w14:textId="77777777" w:rsidR="00607B78" w:rsidRPr="009C2953" w:rsidRDefault="00607B78" w:rsidP="00A068F8">
            <w:pPr>
              <w:pStyle w:val="Normal-pool"/>
              <w:spacing w:before="40" w:after="40"/>
              <w:ind w:left="319"/>
              <w:rPr>
                <w:sz w:val="18"/>
                <w:szCs w:val="18"/>
              </w:rPr>
            </w:pPr>
            <w:r w:rsidRPr="009C2953">
              <w:rPr>
                <w:sz w:val="18"/>
              </w:rPr>
              <w:t xml:space="preserve">Services de sécurité et autres dépenses </w:t>
            </w:r>
          </w:p>
        </w:tc>
        <w:tc>
          <w:tcPr>
            <w:tcW w:w="1442" w:type="dxa"/>
            <w:tcBorders>
              <w:top w:val="nil"/>
              <w:left w:val="nil"/>
              <w:bottom w:val="single" w:sz="4" w:space="0" w:color="000000"/>
              <w:right w:val="nil"/>
            </w:tcBorders>
            <w:vAlign w:val="bottom"/>
            <w:hideMark/>
          </w:tcPr>
          <w:p w14:paraId="7A93E740" w14:textId="77777777" w:rsidR="00607B78" w:rsidRPr="009C2953" w:rsidRDefault="00607B78" w:rsidP="00A068F8">
            <w:pPr>
              <w:pStyle w:val="Normal-pool"/>
              <w:spacing w:before="40" w:after="40"/>
              <w:jc w:val="right"/>
              <w:rPr>
                <w:sz w:val="18"/>
                <w:szCs w:val="18"/>
              </w:rPr>
            </w:pPr>
            <w:r w:rsidRPr="009C2953">
              <w:rPr>
                <w:sz w:val="18"/>
              </w:rPr>
              <w:t>100 000</w:t>
            </w:r>
          </w:p>
        </w:tc>
        <w:tc>
          <w:tcPr>
            <w:tcW w:w="1464" w:type="dxa"/>
            <w:tcBorders>
              <w:top w:val="nil"/>
              <w:left w:val="nil"/>
              <w:bottom w:val="single" w:sz="4" w:space="0" w:color="000000"/>
              <w:right w:val="nil"/>
            </w:tcBorders>
            <w:vAlign w:val="bottom"/>
            <w:hideMark/>
          </w:tcPr>
          <w:p w14:paraId="171B8E4B" w14:textId="77777777" w:rsidR="00607B78" w:rsidRPr="009C2953" w:rsidRDefault="00607B78" w:rsidP="00A068F8">
            <w:pPr>
              <w:pStyle w:val="Normal-pool"/>
              <w:spacing w:before="40" w:after="40"/>
              <w:jc w:val="right"/>
              <w:rPr>
                <w:sz w:val="18"/>
                <w:szCs w:val="18"/>
              </w:rPr>
            </w:pPr>
            <w:r w:rsidRPr="009C2953">
              <w:rPr>
                <w:sz w:val="18"/>
              </w:rPr>
              <w:t>200 000</w:t>
            </w:r>
          </w:p>
        </w:tc>
        <w:tc>
          <w:tcPr>
            <w:tcW w:w="1461" w:type="dxa"/>
            <w:tcBorders>
              <w:top w:val="nil"/>
              <w:left w:val="nil"/>
              <w:bottom w:val="single" w:sz="4" w:space="0" w:color="000000"/>
              <w:right w:val="nil"/>
            </w:tcBorders>
            <w:vAlign w:val="bottom"/>
            <w:hideMark/>
          </w:tcPr>
          <w:p w14:paraId="172E9975" w14:textId="77777777" w:rsidR="00607B78" w:rsidRPr="009C2953" w:rsidRDefault="00607B78" w:rsidP="00A068F8">
            <w:pPr>
              <w:pStyle w:val="Normal-pool"/>
              <w:spacing w:before="40" w:after="40"/>
              <w:jc w:val="right"/>
              <w:rPr>
                <w:sz w:val="18"/>
                <w:szCs w:val="18"/>
              </w:rPr>
            </w:pPr>
            <w:r w:rsidRPr="009C2953">
              <w:rPr>
                <w:sz w:val="18"/>
              </w:rPr>
              <w:t>100 000</w:t>
            </w:r>
          </w:p>
        </w:tc>
      </w:tr>
      <w:tr w:rsidR="00607B78" w:rsidRPr="009C2953" w14:paraId="5C817721" w14:textId="77777777" w:rsidTr="00A068F8">
        <w:trPr>
          <w:trHeight w:val="57"/>
          <w:jc w:val="right"/>
        </w:trPr>
        <w:tc>
          <w:tcPr>
            <w:tcW w:w="5130" w:type="dxa"/>
            <w:tcBorders>
              <w:top w:val="single" w:sz="4" w:space="0" w:color="000000"/>
              <w:left w:val="nil"/>
              <w:bottom w:val="single" w:sz="4" w:space="0" w:color="000000"/>
              <w:right w:val="nil"/>
            </w:tcBorders>
            <w:hideMark/>
          </w:tcPr>
          <w:p w14:paraId="349D51CB" w14:textId="003EDDC6" w:rsidR="00607B78" w:rsidRPr="009C2953" w:rsidRDefault="00607B78" w:rsidP="00A068F8">
            <w:pPr>
              <w:pStyle w:val="Normal-pool"/>
              <w:spacing w:before="40" w:after="40"/>
              <w:rPr>
                <w:b/>
                <w:sz w:val="18"/>
                <w:szCs w:val="18"/>
              </w:rPr>
            </w:pPr>
            <w:r w:rsidRPr="009C2953">
              <w:rPr>
                <w:b/>
                <w:sz w:val="18"/>
              </w:rPr>
              <w:t>Total partiel 1.1, sessions de</w:t>
            </w:r>
            <w:r w:rsidR="00F34644" w:rsidRPr="009C2953">
              <w:rPr>
                <w:b/>
                <w:sz w:val="18"/>
              </w:rPr>
              <w:t xml:space="preserve"> la </w:t>
            </w:r>
            <w:r w:rsidRPr="009C2953">
              <w:rPr>
                <w:b/>
                <w:sz w:val="18"/>
              </w:rPr>
              <w:t>Plénière</w:t>
            </w:r>
          </w:p>
        </w:tc>
        <w:tc>
          <w:tcPr>
            <w:tcW w:w="1442" w:type="dxa"/>
            <w:tcBorders>
              <w:top w:val="single" w:sz="4" w:space="0" w:color="000000"/>
              <w:left w:val="nil"/>
              <w:bottom w:val="single" w:sz="4" w:space="0" w:color="000000"/>
              <w:right w:val="nil"/>
            </w:tcBorders>
            <w:vAlign w:val="bottom"/>
            <w:hideMark/>
          </w:tcPr>
          <w:p w14:paraId="1257B7FC" w14:textId="77777777" w:rsidR="00607B78" w:rsidRPr="009C2953" w:rsidRDefault="00607B78" w:rsidP="00A068F8">
            <w:pPr>
              <w:pStyle w:val="Normal-pool"/>
              <w:spacing w:before="40" w:after="40"/>
              <w:jc w:val="right"/>
              <w:rPr>
                <w:b/>
                <w:sz w:val="18"/>
                <w:szCs w:val="18"/>
              </w:rPr>
            </w:pPr>
            <w:r w:rsidRPr="009C2953">
              <w:rPr>
                <w:b/>
                <w:sz w:val="18"/>
              </w:rPr>
              <w:t>1 495 000</w:t>
            </w:r>
          </w:p>
        </w:tc>
        <w:tc>
          <w:tcPr>
            <w:tcW w:w="1464" w:type="dxa"/>
            <w:tcBorders>
              <w:top w:val="single" w:sz="4" w:space="0" w:color="000000"/>
              <w:left w:val="nil"/>
              <w:bottom w:val="single" w:sz="4" w:space="0" w:color="000000"/>
              <w:right w:val="nil"/>
            </w:tcBorders>
            <w:vAlign w:val="bottom"/>
            <w:hideMark/>
          </w:tcPr>
          <w:p w14:paraId="4A39ECDA" w14:textId="77777777" w:rsidR="00607B78" w:rsidRPr="009C2953" w:rsidRDefault="00607B78" w:rsidP="00A068F8">
            <w:pPr>
              <w:pStyle w:val="Normal-pool"/>
              <w:spacing w:before="40" w:after="40"/>
              <w:jc w:val="right"/>
              <w:rPr>
                <w:b/>
                <w:sz w:val="18"/>
                <w:szCs w:val="18"/>
              </w:rPr>
            </w:pPr>
            <w:r w:rsidRPr="009C2953">
              <w:rPr>
                <w:b/>
                <w:sz w:val="18"/>
              </w:rPr>
              <w:t>1 595 000</w:t>
            </w:r>
          </w:p>
        </w:tc>
        <w:tc>
          <w:tcPr>
            <w:tcW w:w="1461" w:type="dxa"/>
            <w:tcBorders>
              <w:top w:val="single" w:sz="4" w:space="0" w:color="000000"/>
              <w:left w:val="nil"/>
              <w:bottom w:val="single" w:sz="4" w:space="0" w:color="000000"/>
              <w:right w:val="nil"/>
            </w:tcBorders>
            <w:vAlign w:val="bottom"/>
            <w:hideMark/>
          </w:tcPr>
          <w:p w14:paraId="2B404AC7" w14:textId="77777777" w:rsidR="00607B78" w:rsidRPr="009C2953" w:rsidRDefault="00607B78" w:rsidP="00A068F8">
            <w:pPr>
              <w:pStyle w:val="Normal-pool"/>
              <w:spacing w:before="40" w:after="40"/>
              <w:jc w:val="right"/>
              <w:rPr>
                <w:b/>
                <w:sz w:val="18"/>
                <w:szCs w:val="18"/>
              </w:rPr>
            </w:pPr>
            <w:r w:rsidRPr="009C2953">
              <w:rPr>
                <w:b/>
                <w:sz w:val="18"/>
              </w:rPr>
              <w:t>100 000</w:t>
            </w:r>
          </w:p>
        </w:tc>
      </w:tr>
      <w:tr w:rsidR="00EA225A" w:rsidRPr="009C2953" w14:paraId="6CB419FC" w14:textId="77777777" w:rsidTr="00FC117D">
        <w:trPr>
          <w:trHeight w:val="57"/>
          <w:jc w:val="right"/>
        </w:trPr>
        <w:tc>
          <w:tcPr>
            <w:tcW w:w="9497" w:type="dxa"/>
            <w:gridSpan w:val="4"/>
            <w:tcBorders>
              <w:top w:val="single" w:sz="4" w:space="0" w:color="000000"/>
              <w:left w:val="nil"/>
              <w:bottom w:val="nil"/>
              <w:right w:val="nil"/>
            </w:tcBorders>
            <w:hideMark/>
          </w:tcPr>
          <w:p w14:paraId="58AC7FEA" w14:textId="4DD9504C" w:rsidR="00EA225A" w:rsidRPr="009C2953" w:rsidRDefault="00EA225A" w:rsidP="00773B9D">
            <w:pPr>
              <w:pStyle w:val="Normal-pool"/>
              <w:tabs>
                <w:tab w:val="left" w:pos="365"/>
              </w:tabs>
              <w:spacing w:before="40" w:after="40"/>
              <w:rPr>
                <w:sz w:val="18"/>
                <w:szCs w:val="18"/>
              </w:rPr>
            </w:pPr>
            <w:r w:rsidRPr="009C2953">
              <w:rPr>
                <w:b/>
                <w:sz w:val="18"/>
              </w:rPr>
              <w:t>1.2</w:t>
            </w:r>
            <w:r w:rsidRPr="009C2953">
              <w:rPr>
                <w:b/>
                <w:sz w:val="18"/>
              </w:rPr>
              <w:tab/>
              <w:t>Sessions du Bureau et du Groupe d</w:t>
            </w:r>
            <w:r w:rsidR="00EA2966" w:rsidRPr="009C2953">
              <w:rPr>
                <w:b/>
                <w:sz w:val="18"/>
              </w:rPr>
              <w:t>’</w:t>
            </w:r>
            <w:r w:rsidRPr="009C2953">
              <w:rPr>
                <w:b/>
                <w:sz w:val="18"/>
              </w:rPr>
              <w:t>experts multidisciplinaires</w:t>
            </w:r>
          </w:p>
        </w:tc>
      </w:tr>
      <w:tr w:rsidR="00607B78" w:rsidRPr="009C2953" w14:paraId="0D72397D" w14:textId="77777777" w:rsidTr="00A068F8">
        <w:trPr>
          <w:trHeight w:val="57"/>
          <w:jc w:val="right"/>
        </w:trPr>
        <w:tc>
          <w:tcPr>
            <w:tcW w:w="5130" w:type="dxa"/>
            <w:tcBorders>
              <w:top w:val="nil"/>
              <w:left w:val="nil"/>
              <w:bottom w:val="nil"/>
              <w:right w:val="nil"/>
            </w:tcBorders>
            <w:hideMark/>
          </w:tcPr>
          <w:p w14:paraId="5455BA8D" w14:textId="13480A45" w:rsidR="00607B78" w:rsidRPr="009C2953" w:rsidRDefault="00607B78" w:rsidP="00A068F8">
            <w:pPr>
              <w:pStyle w:val="Normal-pool"/>
              <w:spacing w:before="40" w:after="40"/>
              <w:ind w:left="319"/>
              <w:rPr>
                <w:sz w:val="18"/>
                <w:szCs w:val="18"/>
              </w:rPr>
            </w:pPr>
            <w:r w:rsidRPr="009C2953">
              <w:rPr>
                <w:sz w:val="18"/>
              </w:rPr>
              <w:t>Frais de voyage et coût</w:t>
            </w:r>
            <w:r w:rsidR="00D24DC1" w:rsidRPr="009C2953">
              <w:rPr>
                <w:sz w:val="18"/>
              </w:rPr>
              <w:t xml:space="preserve"> des </w:t>
            </w:r>
            <w:r w:rsidRPr="009C2953">
              <w:rPr>
                <w:sz w:val="18"/>
              </w:rPr>
              <w:t>réunions pour</w:t>
            </w:r>
            <w:r w:rsidR="00F34644" w:rsidRPr="009C2953">
              <w:rPr>
                <w:sz w:val="18"/>
              </w:rPr>
              <w:t xml:space="preserve"> </w:t>
            </w:r>
            <w:proofErr w:type="gramStart"/>
            <w:r w:rsidR="00F34644" w:rsidRPr="009C2953">
              <w:rPr>
                <w:sz w:val="18"/>
              </w:rPr>
              <w:t>les </w:t>
            </w:r>
            <w:r w:rsidRPr="009C2953">
              <w:rPr>
                <w:sz w:val="18"/>
              </w:rPr>
              <w:t>participant</w:t>
            </w:r>
            <w:proofErr w:type="gramEnd"/>
            <w:r w:rsidRPr="009C2953">
              <w:rPr>
                <w:sz w:val="18"/>
              </w:rPr>
              <w:t>(e)s à</w:t>
            </w:r>
            <w:r w:rsidR="00EA225A" w:rsidRPr="009C2953">
              <w:rPr>
                <w:sz w:val="18"/>
              </w:rPr>
              <w:t> </w:t>
            </w:r>
            <w:r w:rsidR="00F34644" w:rsidRPr="009C2953">
              <w:rPr>
                <w:sz w:val="18"/>
              </w:rPr>
              <w:t>une </w:t>
            </w:r>
            <w:r w:rsidRPr="009C2953">
              <w:rPr>
                <w:sz w:val="18"/>
              </w:rPr>
              <w:t>session du Bureau</w:t>
            </w:r>
          </w:p>
        </w:tc>
        <w:tc>
          <w:tcPr>
            <w:tcW w:w="1442" w:type="dxa"/>
            <w:tcBorders>
              <w:top w:val="nil"/>
              <w:left w:val="nil"/>
              <w:bottom w:val="nil"/>
              <w:right w:val="nil"/>
            </w:tcBorders>
            <w:vAlign w:val="bottom"/>
            <w:hideMark/>
          </w:tcPr>
          <w:p w14:paraId="77E2A389" w14:textId="77777777" w:rsidR="00607B78" w:rsidRPr="009C2953" w:rsidRDefault="00607B78" w:rsidP="00A068F8">
            <w:pPr>
              <w:pStyle w:val="Normal-pool"/>
              <w:spacing w:before="40" w:after="40"/>
              <w:jc w:val="right"/>
              <w:rPr>
                <w:sz w:val="18"/>
                <w:szCs w:val="18"/>
              </w:rPr>
            </w:pPr>
            <w:r w:rsidRPr="009C2953">
              <w:rPr>
                <w:sz w:val="18"/>
              </w:rPr>
              <w:t>35 450</w:t>
            </w:r>
          </w:p>
        </w:tc>
        <w:tc>
          <w:tcPr>
            <w:tcW w:w="1464" w:type="dxa"/>
            <w:tcBorders>
              <w:top w:val="nil"/>
              <w:left w:val="nil"/>
              <w:bottom w:val="nil"/>
              <w:right w:val="nil"/>
            </w:tcBorders>
            <w:vAlign w:val="bottom"/>
            <w:hideMark/>
          </w:tcPr>
          <w:p w14:paraId="4CA8C9B0" w14:textId="77777777" w:rsidR="00607B78" w:rsidRPr="009C2953" w:rsidRDefault="00607B78" w:rsidP="00A068F8">
            <w:pPr>
              <w:pStyle w:val="Normal-pool"/>
              <w:spacing w:before="40" w:after="40"/>
              <w:jc w:val="right"/>
              <w:rPr>
                <w:sz w:val="18"/>
                <w:szCs w:val="18"/>
              </w:rPr>
            </w:pPr>
            <w:r w:rsidRPr="009C2953">
              <w:rPr>
                <w:sz w:val="18"/>
              </w:rPr>
              <w:t>35 450</w:t>
            </w:r>
          </w:p>
        </w:tc>
        <w:tc>
          <w:tcPr>
            <w:tcW w:w="1461" w:type="dxa"/>
            <w:tcBorders>
              <w:top w:val="nil"/>
              <w:left w:val="nil"/>
              <w:bottom w:val="nil"/>
              <w:right w:val="nil"/>
            </w:tcBorders>
            <w:vAlign w:val="bottom"/>
            <w:hideMark/>
          </w:tcPr>
          <w:p w14:paraId="024E35CA"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5AEC5F48" w14:textId="77777777" w:rsidTr="00A068F8">
        <w:trPr>
          <w:trHeight w:val="57"/>
          <w:jc w:val="right"/>
        </w:trPr>
        <w:tc>
          <w:tcPr>
            <w:tcW w:w="5130" w:type="dxa"/>
            <w:tcBorders>
              <w:top w:val="nil"/>
              <w:left w:val="nil"/>
              <w:bottom w:val="single" w:sz="4" w:space="0" w:color="000000"/>
              <w:right w:val="nil"/>
            </w:tcBorders>
            <w:hideMark/>
          </w:tcPr>
          <w:p w14:paraId="72141F3D" w14:textId="4C567EB0" w:rsidR="00607B78" w:rsidRPr="009C2953" w:rsidRDefault="00607B78" w:rsidP="00A068F8">
            <w:pPr>
              <w:pStyle w:val="Normal-pool"/>
              <w:spacing w:before="40" w:after="40"/>
              <w:ind w:left="319"/>
              <w:rPr>
                <w:sz w:val="18"/>
                <w:szCs w:val="18"/>
              </w:rPr>
            </w:pPr>
            <w:r w:rsidRPr="009C2953">
              <w:rPr>
                <w:sz w:val="18"/>
              </w:rPr>
              <w:t>Frais de voyage et coût</w:t>
            </w:r>
            <w:r w:rsidR="00D24DC1" w:rsidRPr="009C2953">
              <w:rPr>
                <w:sz w:val="18"/>
              </w:rPr>
              <w:t xml:space="preserve"> des </w:t>
            </w:r>
            <w:r w:rsidRPr="009C2953">
              <w:rPr>
                <w:sz w:val="18"/>
              </w:rPr>
              <w:t>réunions pour</w:t>
            </w:r>
            <w:r w:rsidR="00F34644" w:rsidRPr="009C2953">
              <w:rPr>
                <w:sz w:val="18"/>
              </w:rPr>
              <w:t xml:space="preserve"> </w:t>
            </w:r>
            <w:proofErr w:type="gramStart"/>
            <w:r w:rsidR="00F34644" w:rsidRPr="009C2953">
              <w:rPr>
                <w:sz w:val="18"/>
              </w:rPr>
              <w:t>les </w:t>
            </w:r>
            <w:r w:rsidRPr="009C2953">
              <w:rPr>
                <w:sz w:val="18"/>
              </w:rPr>
              <w:t>participant</w:t>
            </w:r>
            <w:proofErr w:type="gramEnd"/>
            <w:r w:rsidRPr="009C2953">
              <w:rPr>
                <w:sz w:val="18"/>
              </w:rPr>
              <w:t>(e)s à</w:t>
            </w:r>
            <w:r w:rsidR="00EA225A" w:rsidRPr="009C2953">
              <w:rPr>
                <w:sz w:val="18"/>
              </w:rPr>
              <w:t> </w:t>
            </w:r>
            <w:r w:rsidR="00F34644" w:rsidRPr="009C2953">
              <w:rPr>
                <w:sz w:val="18"/>
              </w:rPr>
              <w:t>une </w:t>
            </w:r>
            <w:r w:rsidRPr="009C2953">
              <w:rPr>
                <w:sz w:val="18"/>
              </w:rPr>
              <w:t>session du Groupe d</w:t>
            </w:r>
            <w:r w:rsidR="00EA2966" w:rsidRPr="009C2953">
              <w:rPr>
                <w:sz w:val="18"/>
              </w:rPr>
              <w:t>’</w:t>
            </w:r>
            <w:r w:rsidRPr="009C2953">
              <w:rPr>
                <w:sz w:val="18"/>
              </w:rPr>
              <w:t>experts</w:t>
            </w:r>
          </w:p>
        </w:tc>
        <w:tc>
          <w:tcPr>
            <w:tcW w:w="1442" w:type="dxa"/>
            <w:tcBorders>
              <w:top w:val="nil"/>
              <w:left w:val="nil"/>
              <w:bottom w:val="single" w:sz="4" w:space="0" w:color="000000"/>
              <w:right w:val="nil"/>
            </w:tcBorders>
            <w:vAlign w:val="bottom"/>
            <w:hideMark/>
          </w:tcPr>
          <w:p w14:paraId="08FF6C29" w14:textId="77777777" w:rsidR="00607B78" w:rsidRPr="009C2953" w:rsidRDefault="00607B78" w:rsidP="00A068F8">
            <w:pPr>
              <w:pStyle w:val="Normal-pool"/>
              <w:spacing w:before="40" w:after="40"/>
              <w:jc w:val="right"/>
              <w:rPr>
                <w:sz w:val="18"/>
                <w:szCs w:val="18"/>
              </w:rPr>
            </w:pPr>
            <w:r w:rsidRPr="009C2953">
              <w:rPr>
                <w:sz w:val="18"/>
              </w:rPr>
              <w:t>85 000</w:t>
            </w:r>
          </w:p>
        </w:tc>
        <w:tc>
          <w:tcPr>
            <w:tcW w:w="1464" w:type="dxa"/>
            <w:tcBorders>
              <w:top w:val="nil"/>
              <w:left w:val="nil"/>
              <w:bottom w:val="single" w:sz="4" w:space="0" w:color="000000"/>
              <w:right w:val="nil"/>
            </w:tcBorders>
            <w:vAlign w:val="bottom"/>
            <w:hideMark/>
          </w:tcPr>
          <w:p w14:paraId="49E52441" w14:textId="77777777" w:rsidR="00607B78" w:rsidRPr="009C2953" w:rsidRDefault="00607B78" w:rsidP="00A068F8">
            <w:pPr>
              <w:pStyle w:val="Normal-pool"/>
              <w:spacing w:before="40" w:after="40"/>
              <w:jc w:val="right"/>
              <w:rPr>
                <w:sz w:val="18"/>
                <w:szCs w:val="18"/>
              </w:rPr>
            </w:pPr>
            <w:r w:rsidRPr="009C2953">
              <w:rPr>
                <w:sz w:val="18"/>
              </w:rPr>
              <w:t>85 000</w:t>
            </w:r>
          </w:p>
        </w:tc>
        <w:tc>
          <w:tcPr>
            <w:tcW w:w="1461" w:type="dxa"/>
            <w:tcBorders>
              <w:top w:val="nil"/>
              <w:left w:val="nil"/>
              <w:bottom w:val="single" w:sz="4" w:space="0" w:color="000000"/>
              <w:right w:val="nil"/>
            </w:tcBorders>
            <w:vAlign w:val="bottom"/>
            <w:hideMark/>
          </w:tcPr>
          <w:p w14:paraId="76ACB6C3"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31203544" w14:textId="77777777" w:rsidTr="00A068F8">
        <w:trPr>
          <w:trHeight w:val="57"/>
          <w:jc w:val="right"/>
        </w:trPr>
        <w:tc>
          <w:tcPr>
            <w:tcW w:w="5130" w:type="dxa"/>
            <w:tcBorders>
              <w:top w:val="single" w:sz="4" w:space="0" w:color="000000"/>
              <w:left w:val="nil"/>
              <w:bottom w:val="single" w:sz="4" w:space="0" w:color="000000"/>
              <w:right w:val="nil"/>
            </w:tcBorders>
            <w:hideMark/>
          </w:tcPr>
          <w:p w14:paraId="39104485" w14:textId="1AEE6304" w:rsidR="00607B78" w:rsidRPr="009C2953" w:rsidRDefault="00607B78" w:rsidP="00A068F8">
            <w:pPr>
              <w:pStyle w:val="Normal-pool"/>
              <w:spacing w:before="40" w:after="40"/>
              <w:rPr>
                <w:b/>
                <w:sz w:val="18"/>
                <w:szCs w:val="18"/>
              </w:rPr>
            </w:pPr>
            <w:r w:rsidRPr="009C2953">
              <w:rPr>
                <w:b/>
                <w:sz w:val="18"/>
              </w:rPr>
              <w:t>Total partiel 1.2, sessions du Bureau et du Groupe d</w:t>
            </w:r>
            <w:r w:rsidR="00EA2966" w:rsidRPr="009C2953">
              <w:rPr>
                <w:b/>
                <w:sz w:val="18"/>
              </w:rPr>
              <w:t>’</w:t>
            </w:r>
            <w:r w:rsidRPr="009C2953">
              <w:rPr>
                <w:b/>
                <w:sz w:val="18"/>
              </w:rPr>
              <w:t>experts multidisciplinaire</w:t>
            </w:r>
          </w:p>
        </w:tc>
        <w:tc>
          <w:tcPr>
            <w:tcW w:w="1442" w:type="dxa"/>
            <w:tcBorders>
              <w:top w:val="single" w:sz="4" w:space="0" w:color="000000"/>
              <w:left w:val="nil"/>
              <w:bottom w:val="single" w:sz="4" w:space="0" w:color="000000"/>
              <w:right w:val="nil"/>
            </w:tcBorders>
            <w:vAlign w:val="bottom"/>
            <w:hideMark/>
          </w:tcPr>
          <w:p w14:paraId="4021635B" w14:textId="77777777" w:rsidR="00607B78" w:rsidRPr="009C2953" w:rsidRDefault="00607B78" w:rsidP="00A068F8">
            <w:pPr>
              <w:pStyle w:val="Normal-pool"/>
              <w:spacing w:before="40" w:after="40"/>
              <w:jc w:val="right"/>
              <w:rPr>
                <w:b/>
                <w:sz w:val="18"/>
                <w:szCs w:val="18"/>
              </w:rPr>
            </w:pPr>
            <w:r w:rsidRPr="009C2953">
              <w:rPr>
                <w:b/>
                <w:sz w:val="18"/>
              </w:rPr>
              <w:t>120 450</w:t>
            </w:r>
          </w:p>
        </w:tc>
        <w:tc>
          <w:tcPr>
            <w:tcW w:w="1464" w:type="dxa"/>
            <w:tcBorders>
              <w:top w:val="single" w:sz="4" w:space="0" w:color="000000"/>
              <w:left w:val="nil"/>
              <w:bottom w:val="single" w:sz="4" w:space="0" w:color="000000"/>
              <w:right w:val="nil"/>
            </w:tcBorders>
            <w:vAlign w:val="bottom"/>
            <w:hideMark/>
          </w:tcPr>
          <w:p w14:paraId="5BED6702" w14:textId="77777777" w:rsidR="00607B78" w:rsidRPr="009C2953" w:rsidRDefault="00607B78" w:rsidP="00A068F8">
            <w:pPr>
              <w:pStyle w:val="Normal-pool"/>
              <w:spacing w:before="40" w:after="40"/>
              <w:jc w:val="right"/>
              <w:rPr>
                <w:b/>
                <w:sz w:val="18"/>
                <w:szCs w:val="18"/>
              </w:rPr>
            </w:pPr>
            <w:r w:rsidRPr="009C2953">
              <w:rPr>
                <w:b/>
                <w:sz w:val="18"/>
              </w:rPr>
              <w:t>120 450</w:t>
            </w:r>
          </w:p>
        </w:tc>
        <w:tc>
          <w:tcPr>
            <w:tcW w:w="1461" w:type="dxa"/>
            <w:tcBorders>
              <w:top w:val="single" w:sz="4" w:space="0" w:color="000000"/>
              <w:left w:val="nil"/>
              <w:bottom w:val="single" w:sz="4" w:space="0" w:color="000000"/>
              <w:right w:val="nil"/>
            </w:tcBorders>
            <w:vAlign w:val="bottom"/>
            <w:hideMark/>
          </w:tcPr>
          <w:p w14:paraId="3D95A679" w14:textId="77777777" w:rsidR="00607B78" w:rsidRPr="009C2953" w:rsidRDefault="00607B78" w:rsidP="00A068F8">
            <w:pPr>
              <w:pStyle w:val="Normal-pool"/>
              <w:spacing w:before="40" w:after="40"/>
              <w:jc w:val="right"/>
              <w:rPr>
                <w:b/>
                <w:sz w:val="18"/>
                <w:szCs w:val="18"/>
              </w:rPr>
            </w:pPr>
            <w:r w:rsidRPr="009C2953">
              <w:rPr>
                <w:b/>
                <w:sz w:val="18"/>
              </w:rPr>
              <w:t>0</w:t>
            </w:r>
          </w:p>
        </w:tc>
      </w:tr>
      <w:tr w:rsidR="00607B78" w:rsidRPr="009C2953" w14:paraId="05A67A81" w14:textId="77777777" w:rsidTr="00A068F8">
        <w:trPr>
          <w:trHeight w:val="57"/>
          <w:jc w:val="right"/>
        </w:trPr>
        <w:tc>
          <w:tcPr>
            <w:tcW w:w="5130" w:type="dxa"/>
            <w:tcBorders>
              <w:top w:val="single" w:sz="4" w:space="0" w:color="000000"/>
              <w:left w:val="nil"/>
              <w:bottom w:val="single" w:sz="4" w:space="0" w:color="000000"/>
              <w:right w:val="nil"/>
            </w:tcBorders>
            <w:hideMark/>
          </w:tcPr>
          <w:p w14:paraId="3BA84C38" w14:textId="6A47CADB" w:rsidR="00607B78" w:rsidRPr="009C2953" w:rsidRDefault="00607B78" w:rsidP="00A068F8">
            <w:pPr>
              <w:pStyle w:val="Normal-pool"/>
              <w:tabs>
                <w:tab w:val="left" w:pos="365"/>
              </w:tabs>
              <w:spacing w:before="40" w:after="40"/>
              <w:rPr>
                <w:b/>
                <w:sz w:val="18"/>
                <w:szCs w:val="18"/>
              </w:rPr>
            </w:pPr>
            <w:r w:rsidRPr="009C2953">
              <w:rPr>
                <w:b/>
                <w:sz w:val="18"/>
              </w:rPr>
              <w:t>1.3</w:t>
            </w:r>
            <w:r w:rsidRPr="009C2953">
              <w:rPr>
                <w:b/>
                <w:sz w:val="18"/>
              </w:rPr>
              <w:tab/>
              <w:t>Frais de voyage de</w:t>
            </w:r>
            <w:r w:rsidR="00F34644" w:rsidRPr="009C2953">
              <w:rPr>
                <w:b/>
                <w:sz w:val="18"/>
              </w:rPr>
              <w:t xml:space="preserve"> la </w:t>
            </w:r>
            <w:r w:rsidRPr="009C2953">
              <w:rPr>
                <w:b/>
                <w:sz w:val="18"/>
              </w:rPr>
              <w:t>Présidente pour représenter l</w:t>
            </w:r>
            <w:r w:rsidR="00EA2966" w:rsidRPr="009C2953">
              <w:rPr>
                <w:b/>
                <w:sz w:val="18"/>
              </w:rPr>
              <w:t>’</w:t>
            </w:r>
            <w:r w:rsidRPr="009C2953">
              <w:rPr>
                <w:b/>
                <w:sz w:val="18"/>
              </w:rPr>
              <w:t>IPBES</w:t>
            </w:r>
          </w:p>
        </w:tc>
        <w:tc>
          <w:tcPr>
            <w:tcW w:w="1442" w:type="dxa"/>
            <w:tcBorders>
              <w:top w:val="single" w:sz="4" w:space="0" w:color="000000"/>
              <w:left w:val="nil"/>
              <w:bottom w:val="single" w:sz="4" w:space="0" w:color="000000"/>
              <w:right w:val="nil"/>
            </w:tcBorders>
            <w:vAlign w:val="bottom"/>
            <w:hideMark/>
          </w:tcPr>
          <w:p w14:paraId="4280C401" w14:textId="77777777" w:rsidR="00607B78" w:rsidRPr="009C2953" w:rsidRDefault="00607B78" w:rsidP="00A068F8">
            <w:pPr>
              <w:pStyle w:val="Normal-pool"/>
              <w:spacing w:before="40" w:after="40"/>
              <w:jc w:val="right"/>
              <w:rPr>
                <w:sz w:val="18"/>
                <w:szCs w:val="18"/>
              </w:rPr>
            </w:pPr>
            <w:r w:rsidRPr="009C2953">
              <w:rPr>
                <w:sz w:val="18"/>
              </w:rPr>
              <w:t>25 000</w:t>
            </w:r>
          </w:p>
        </w:tc>
        <w:tc>
          <w:tcPr>
            <w:tcW w:w="1464" w:type="dxa"/>
            <w:tcBorders>
              <w:top w:val="single" w:sz="4" w:space="0" w:color="000000"/>
              <w:left w:val="nil"/>
              <w:bottom w:val="single" w:sz="4" w:space="0" w:color="000000"/>
              <w:right w:val="nil"/>
            </w:tcBorders>
            <w:vAlign w:val="bottom"/>
            <w:hideMark/>
          </w:tcPr>
          <w:p w14:paraId="60EC3506" w14:textId="77777777" w:rsidR="00607B78" w:rsidRPr="009C2953" w:rsidRDefault="00607B78" w:rsidP="00A068F8">
            <w:pPr>
              <w:pStyle w:val="Normal-pool"/>
              <w:spacing w:before="40" w:after="40"/>
              <w:jc w:val="right"/>
              <w:rPr>
                <w:sz w:val="18"/>
                <w:szCs w:val="18"/>
              </w:rPr>
            </w:pPr>
            <w:r w:rsidRPr="009C2953">
              <w:rPr>
                <w:sz w:val="18"/>
              </w:rPr>
              <w:t>25 000</w:t>
            </w:r>
          </w:p>
        </w:tc>
        <w:tc>
          <w:tcPr>
            <w:tcW w:w="1461" w:type="dxa"/>
            <w:tcBorders>
              <w:top w:val="single" w:sz="4" w:space="0" w:color="000000"/>
              <w:left w:val="nil"/>
              <w:bottom w:val="single" w:sz="4" w:space="0" w:color="000000"/>
              <w:right w:val="nil"/>
            </w:tcBorders>
            <w:vAlign w:val="bottom"/>
            <w:hideMark/>
          </w:tcPr>
          <w:p w14:paraId="60BB1F23" w14:textId="77777777" w:rsidR="00607B78" w:rsidRPr="009C2953" w:rsidRDefault="00607B78" w:rsidP="00A068F8">
            <w:pPr>
              <w:pStyle w:val="Normal-pool"/>
              <w:spacing w:before="40" w:after="40"/>
              <w:jc w:val="right"/>
              <w:rPr>
                <w:sz w:val="18"/>
                <w:szCs w:val="18"/>
              </w:rPr>
            </w:pPr>
            <w:r w:rsidRPr="009C2953">
              <w:rPr>
                <w:sz w:val="18"/>
              </w:rPr>
              <w:t>0</w:t>
            </w:r>
          </w:p>
        </w:tc>
      </w:tr>
      <w:tr w:rsidR="00607B78" w:rsidRPr="009C2953" w14:paraId="5918EFD3" w14:textId="77777777" w:rsidTr="00A068F8">
        <w:trPr>
          <w:trHeight w:val="57"/>
          <w:jc w:val="right"/>
        </w:trPr>
        <w:tc>
          <w:tcPr>
            <w:tcW w:w="5130" w:type="dxa"/>
            <w:tcBorders>
              <w:top w:val="single" w:sz="4" w:space="0" w:color="000000"/>
              <w:left w:val="nil"/>
              <w:bottom w:val="single" w:sz="4" w:space="0" w:color="000000"/>
              <w:right w:val="nil"/>
            </w:tcBorders>
            <w:hideMark/>
          </w:tcPr>
          <w:p w14:paraId="5EB652D8" w14:textId="6B3B8C39" w:rsidR="00607B78" w:rsidRPr="009C2953" w:rsidRDefault="00607B78" w:rsidP="00A068F8">
            <w:pPr>
              <w:pStyle w:val="Normal-pool"/>
              <w:tabs>
                <w:tab w:val="left" w:pos="365"/>
              </w:tabs>
              <w:spacing w:before="40" w:after="40"/>
              <w:rPr>
                <w:b/>
                <w:sz w:val="18"/>
                <w:szCs w:val="18"/>
              </w:rPr>
            </w:pPr>
            <w:r w:rsidRPr="009C2953">
              <w:rPr>
                <w:b/>
                <w:sz w:val="18"/>
              </w:rPr>
              <w:t>Total partiel 1, réunions</w:t>
            </w:r>
            <w:r w:rsidR="00D24DC1" w:rsidRPr="009C2953">
              <w:rPr>
                <w:b/>
                <w:sz w:val="18"/>
              </w:rPr>
              <w:t xml:space="preserve"> des </w:t>
            </w:r>
            <w:r w:rsidRPr="009C2953">
              <w:rPr>
                <w:b/>
                <w:sz w:val="18"/>
              </w:rPr>
              <w:t>organes de l</w:t>
            </w:r>
            <w:r w:rsidR="00EA2966" w:rsidRPr="009C2953">
              <w:rPr>
                <w:b/>
                <w:sz w:val="18"/>
              </w:rPr>
              <w:t>’</w:t>
            </w:r>
            <w:r w:rsidRPr="009C2953">
              <w:rPr>
                <w:b/>
                <w:sz w:val="18"/>
              </w:rPr>
              <w:t>IPBES</w:t>
            </w:r>
          </w:p>
        </w:tc>
        <w:tc>
          <w:tcPr>
            <w:tcW w:w="1442" w:type="dxa"/>
            <w:tcBorders>
              <w:top w:val="single" w:sz="4" w:space="0" w:color="000000"/>
              <w:left w:val="nil"/>
              <w:bottom w:val="single" w:sz="4" w:space="0" w:color="000000"/>
              <w:right w:val="nil"/>
            </w:tcBorders>
            <w:vAlign w:val="bottom"/>
            <w:hideMark/>
          </w:tcPr>
          <w:p w14:paraId="13951A37" w14:textId="77777777" w:rsidR="00607B78" w:rsidRPr="009C2953" w:rsidRDefault="00607B78" w:rsidP="00A068F8">
            <w:pPr>
              <w:pStyle w:val="Normal-pool"/>
              <w:spacing w:before="40" w:after="40"/>
              <w:jc w:val="right"/>
              <w:rPr>
                <w:b/>
                <w:sz w:val="18"/>
                <w:szCs w:val="18"/>
              </w:rPr>
            </w:pPr>
            <w:r w:rsidRPr="009C2953">
              <w:rPr>
                <w:b/>
                <w:sz w:val="18"/>
              </w:rPr>
              <w:t>1 640 450</w:t>
            </w:r>
          </w:p>
        </w:tc>
        <w:tc>
          <w:tcPr>
            <w:tcW w:w="1464" w:type="dxa"/>
            <w:tcBorders>
              <w:top w:val="single" w:sz="4" w:space="0" w:color="000000"/>
              <w:left w:val="nil"/>
              <w:bottom w:val="single" w:sz="4" w:space="0" w:color="000000"/>
              <w:right w:val="nil"/>
            </w:tcBorders>
            <w:vAlign w:val="bottom"/>
            <w:hideMark/>
          </w:tcPr>
          <w:p w14:paraId="5A1B591D" w14:textId="77777777" w:rsidR="00607B78" w:rsidRPr="009C2953" w:rsidRDefault="00607B78" w:rsidP="00A068F8">
            <w:pPr>
              <w:pStyle w:val="Normal-pool"/>
              <w:spacing w:before="40" w:after="40"/>
              <w:jc w:val="right"/>
              <w:rPr>
                <w:b/>
                <w:sz w:val="18"/>
                <w:szCs w:val="18"/>
              </w:rPr>
            </w:pPr>
            <w:r w:rsidRPr="009C2953">
              <w:rPr>
                <w:b/>
                <w:sz w:val="18"/>
              </w:rPr>
              <w:t>1 740 450</w:t>
            </w:r>
          </w:p>
        </w:tc>
        <w:tc>
          <w:tcPr>
            <w:tcW w:w="1461" w:type="dxa"/>
            <w:tcBorders>
              <w:top w:val="single" w:sz="4" w:space="0" w:color="000000"/>
              <w:left w:val="nil"/>
              <w:bottom w:val="single" w:sz="4" w:space="0" w:color="000000"/>
              <w:right w:val="nil"/>
            </w:tcBorders>
            <w:vAlign w:val="bottom"/>
            <w:hideMark/>
          </w:tcPr>
          <w:p w14:paraId="6636A305" w14:textId="77777777" w:rsidR="00607B78" w:rsidRPr="009C2953" w:rsidRDefault="00607B78" w:rsidP="00A068F8">
            <w:pPr>
              <w:pStyle w:val="Normal-pool"/>
              <w:spacing w:before="40" w:after="40"/>
              <w:jc w:val="right"/>
              <w:rPr>
                <w:b/>
                <w:sz w:val="18"/>
                <w:szCs w:val="18"/>
              </w:rPr>
            </w:pPr>
            <w:r w:rsidRPr="009C2953">
              <w:rPr>
                <w:b/>
                <w:sz w:val="18"/>
              </w:rPr>
              <w:t>100 000</w:t>
            </w:r>
          </w:p>
        </w:tc>
      </w:tr>
      <w:tr w:rsidR="00607B78" w:rsidRPr="009C2953" w14:paraId="44207B4C" w14:textId="77777777" w:rsidTr="00A068F8">
        <w:trPr>
          <w:trHeight w:val="57"/>
          <w:jc w:val="right"/>
        </w:trPr>
        <w:tc>
          <w:tcPr>
            <w:tcW w:w="9497" w:type="dxa"/>
            <w:gridSpan w:val="4"/>
            <w:tcBorders>
              <w:top w:val="single" w:sz="4" w:space="0" w:color="000000"/>
              <w:left w:val="nil"/>
              <w:bottom w:val="nil"/>
              <w:right w:val="nil"/>
            </w:tcBorders>
            <w:hideMark/>
          </w:tcPr>
          <w:p w14:paraId="2CB558E8" w14:textId="77777777" w:rsidR="00607B78" w:rsidRPr="009C2953" w:rsidRDefault="00607B78" w:rsidP="007205CA">
            <w:pPr>
              <w:pStyle w:val="Normal-pool"/>
              <w:keepNext/>
              <w:keepLines/>
              <w:tabs>
                <w:tab w:val="left" w:pos="365"/>
              </w:tabs>
              <w:spacing w:before="40" w:after="40"/>
              <w:rPr>
                <w:b/>
                <w:sz w:val="18"/>
                <w:szCs w:val="18"/>
              </w:rPr>
            </w:pPr>
            <w:r w:rsidRPr="009C2953">
              <w:rPr>
                <w:b/>
                <w:sz w:val="18"/>
              </w:rPr>
              <w:lastRenderedPageBreak/>
              <w:t>2.</w:t>
            </w:r>
            <w:r w:rsidRPr="009C2953">
              <w:rPr>
                <w:b/>
                <w:sz w:val="18"/>
              </w:rPr>
              <w:tab/>
              <w:t xml:space="preserve">Mise en œuvre du programme de travail </w:t>
            </w:r>
          </w:p>
        </w:tc>
      </w:tr>
      <w:tr w:rsidR="00607B78" w:rsidRPr="009C2953" w14:paraId="47E8395B" w14:textId="77777777" w:rsidTr="00A068F8">
        <w:trPr>
          <w:trHeight w:val="57"/>
          <w:jc w:val="right"/>
        </w:trPr>
        <w:tc>
          <w:tcPr>
            <w:tcW w:w="9497" w:type="dxa"/>
            <w:gridSpan w:val="4"/>
            <w:tcBorders>
              <w:top w:val="nil"/>
              <w:left w:val="nil"/>
              <w:bottom w:val="nil"/>
              <w:right w:val="nil"/>
            </w:tcBorders>
            <w:hideMark/>
          </w:tcPr>
          <w:p w14:paraId="2D26E33C" w14:textId="77777777" w:rsidR="00607B78" w:rsidRPr="009C2953" w:rsidRDefault="00607B78" w:rsidP="007205CA">
            <w:pPr>
              <w:pStyle w:val="Normal-pool"/>
              <w:keepNext/>
              <w:keepLines/>
              <w:spacing w:before="40" w:after="40"/>
              <w:rPr>
                <w:b/>
                <w:sz w:val="18"/>
                <w:szCs w:val="18"/>
              </w:rPr>
            </w:pPr>
            <w:r w:rsidRPr="009C2953">
              <w:rPr>
                <w:b/>
                <w:sz w:val="18"/>
              </w:rPr>
              <w:t>Partie A : premier programme de travail (pt1)</w:t>
            </w:r>
          </w:p>
        </w:tc>
      </w:tr>
      <w:tr w:rsidR="00607B78" w:rsidRPr="009C2953" w14:paraId="0D843C7B" w14:textId="77777777" w:rsidTr="00A068F8">
        <w:trPr>
          <w:trHeight w:val="57"/>
          <w:jc w:val="right"/>
        </w:trPr>
        <w:tc>
          <w:tcPr>
            <w:tcW w:w="5130" w:type="dxa"/>
            <w:tcBorders>
              <w:top w:val="nil"/>
              <w:left w:val="nil"/>
              <w:bottom w:val="nil"/>
              <w:right w:val="nil"/>
            </w:tcBorders>
            <w:hideMark/>
          </w:tcPr>
          <w:p w14:paraId="32ED399E" w14:textId="726AD6E5" w:rsidR="00607B78" w:rsidRPr="009C2953" w:rsidRDefault="00607B78" w:rsidP="007205CA">
            <w:pPr>
              <w:pStyle w:val="Normal-pool-Table"/>
              <w:keepNext/>
              <w:keepLines/>
              <w:rPr>
                <w:b/>
                <w:szCs w:val="18"/>
              </w:rPr>
            </w:pPr>
            <w:proofErr w:type="gramStart"/>
            <w:r w:rsidRPr="009C2953">
              <w:rPr>
                <w:b/>
              </w:rPr>
              <w:t>pt</w:t>
            </w:r>
            <w:proofErr w:type="gramEnd"/>
            <w:r w:rsidRPr="009C2953">
              <w:rPr>
                <w:b/>
              </w:rPr>
              <w:t>1-Objectif 3 : renforcer l</w:t>
            </w:r>
            <w:r w:rsidR="00EA2966" w:rsidRPr="009C2953">
              <w:rPr>
                <w:b/>
              </w:rPr>
              <w:t>’</w:t>
            </w:r>
            <w:r w:rsidRPr="009C2953">
              <w:rPr>
                <w:b/>
              </w:rPr>
              <w:t>interface connaissances-politique s</w:t>
            </w:r>
            <w:r w:rsidR="00EA2966" w:rsidRPr="009C2953">
              <w:rPr>
                <w:b/>
              </w:rPr>
              <w:t>’</w:t>
            </w:r>
            <w:r w:rsidRPr="009C2953">
              <w:rPr>
                <w:b/>
              </w:rPr>
              <w:t>agissant</w:t>
            </w:r>
            <w:r w:rsidR="00D24DC1" w:rsidRPr="009C2953">
              <w:rPr>
                <w:b/>
              </w:rPr>
              <w:t xml:space="preserve"> des </w:t>
            </w:r>
            <w:r w:rsidRPr="009C2953">
              <w:rPr>
                <w:b/>
              </w:rPr>
              <w:t>questions thématiques et méthodologiques</w:t>
            </w:r>
          </w:p>
        </w:tc>
        <w:tc>
          <w:tcPr>
            <w:tcW w:w="1442" w:type="dxa"/>
            <w:tcBorders>
              <w:top w:val="nil"/>
              <w:left w:val="nil"/>
              <w:bottom w:val="nil"/>
              <w:right w:val="nil"/>
            </w:tcBorders>
            <w:vAlign w:val="bottom"/>
            <w:hideMark/>
          </w:tcPr>
          <w:p w14:paraId="51C828E8" w14:textId="77777777" w:rsidR="00607B78" w:rsidRPr="009C2953" w:rsidRDefault="00607B78" w:rsidP="00A068F8">
            <w:pPr>
              <w:pStyle w:val="Normal-pool"/>
              <w:spacing w:before="40" w:after="40"/>
              <w:jc w:val="right"/>
              <w:rPr>
                <w:b/>
                <w:sz w:val="18"/>
                <w:szCs w:val="18"/>
              </w:rPr>
            </w:pPr>
            <w:r w:rsidRPr="009C2953">
              <w:rPr>
                <w:b/>
                <w:sz w:val="18"/>
              </w:rPr>
              <w:t>302 500</w:t>
            </w:r>
          </w:p>
        </w:tc>
        <w:tc>
          <w:tcPr>
            <w:tcW w:w="1464" w:type="dxa"/>
            <w:tcBorders>
              <w:top w:val="nil"/>
              <w:left w:val="nil"/>
              <w:bottom w:val="nil"/>
              <w:right w:val="nil"/>
            </w:tcBorders>
            <w:vAlign w:val="bottom"/>
            <w:hideMark/>
          </w:tcPr>
          <w:p w14:paraId="06D62334" w14:textId="77777777" w:rsidR="00607B78" w:rsidRPr="009C2953" w:rsidRDefault="00607B78" w:rsidP="00A068F8">
            <w:pPr>
              <w:pStyle w:val="Normal-pool"/>
              <w:spacing w:before="40" w:after="40"/>
              <w:jc w:val="right"/>
              <w:rPr>
                <w:b/>
                <w:sz w:val="18"/>
                <w:szCs w:val="18"/>
              </w:rPr>
            </w:pPr>
            <w:r w:rsidRPr="009C2953">
              <w:rPr>
                <w:b/>
                <w:sz w:val="18"/>
              </w:rPr>
              <w:t>316 250</w:t>
            </w:r>
          </w:p>
        </w:tc>
        <w:tc>
          <w:tcPr>
            <w:tcW w:w="1461" w:type="dxa"/>
            <w:tcBorders>
              <w:top w:val="nil"/>
              <w:left w:val="nil"/>
              <w:bottom w:val="nil"/>
              <w:right w:val="nil"/>
            </w:tcBorders>
            <w:vAlign w:val="bottom"/>
            <w:hideMark/>
          </w:tcPr>
          <w:p w14:paraId="601129FA" w14:textId="77777777" w:rsidR="00607B78" w:rsidRPr="009C2953" w:rsidRDefault="00607B78" w:rsidP="00A068F8">
            <w:pPr>
              <w:pStyle w:val="Normal-pool"/>
              <w:spacing w:before="40" w:after="40"/>
              <w:jc w:val="right"/>
              <w:rPr>
                <w:b/>
                <w:sz w:val="18"/>
                <w:szCs w:val="18"/>
              </w:rPr>
            </w:pPr>
            <w:r w:rsidRPr="009C2953">
              <w:rPr>
                <w:b/>
                <w:sz w:val="18"/>
              </w:rPr>
              <w:t>13 750</w:t>
            </w:r>
          </w:p>
        </w:tc>
      </w:tr>
      <w:tr w:rsidR="00607B78" w:rsidRPr="009C2953" w14:paraId="166186F3" w14:textId="77777777" w:rsidTr="00A068F8">
        <w:trPr>
          <w:trHeight w:val="57"/>
          <w:jc w:val="right"/>
        </w:trPr>
        <w:tc>
          <w:tcPr>
            <w:tcW w:w="5130" w:type="dxa"/>
            <w:tcBorders>
              <w:top w:val="nil"/>
              <w:left w:val="nil"/>
              <w:bottom w:val="single" w:sz="4" w:space="0" w:color="000000"/>
              <w:right w:val="nil"/>
            </w:tcBorders>
            <w:hideMark/>
          </w:tcPr>
          <w:p w14:paraId="2510FA4D" w14:textId="13CCD3D6" w:rsidR="00607B78" w:rsidRPr="009C2953" w:rsidRDefault="00607B78" w:rsidP="00A068F8">
            <w:pPr>
              <w:pStyle w:val="Normal-pool-Table"/>
              <w:rPr>
                <w:szCs w:val="18"/>
              </w:rPr>
            </w:pPr>
            <w:proofErr w:type="gramStart"/>
            <w:r w:rsidRPr="009C2953">
              <w:rPr>
                <w:b/>
                <w:color w:val="000000"/>
              </w:rPr>
              <w:t>pt</w:t>
            </w:r>
            <w:proofErr w:type="gramEnd"/>
            <w:r w:rsidRPr="009C2953">
              <w:rPr>
                <w:b/>
                <w:color w:val="000000"/>
              </w:rPr>
              <w:t xml:space="preserve">1 - </w:t>
            </w:r>
            <w:r w:rsidRPr="009C2953">
              <w:t>Produit 3 b) ii) : Évaluation</w:t>
            </w:r>
            <w:r w:rsidR="00D24DC1" w:rsidRPr="009C2953">
              <w:t xml:space="preserve"> des </w:t>
            </w:r>
            <w:r w:rsidRPr="009C2953">
              <w:t xml:space="preserve">espèces exotiques envahissantes </w:t>
            </w:r>
          </w:p>
        </w:tc>
        <w:tc>
          <w:tcPr>
            <w:tcW w:w="1442" w:type="dxa"/>
            <w:tcBorders>
              <w:top w:val="nil"/>
              <w:left w:val="nil"/>
              <w:bottom w:val="single" w:sz="4" w:space="0" w:color="000000"/>
              <w:right w:val="nil"/>
            </w:tcBorders>
            <w:vAlign w:val="bottom"/>
            <w:hideMark/>
          </w:tcPr>
          <w:p w14:paraId="175F179E" w14:textId="77777777" w:rsidR="00607B78" w:rsidRPr="009C2953" w:rsidRDefault="00607B78" w:rsidP="00A068F8">
            <w:pPr>
              <w:pStyle w:val="Normal-pool"/>
              <w:spacing w:before="40" w:after="40"/>
              <w:jc w:val="right"/>
              <w:rPr>
                <w:sz w:val="18"/>
                <w:szCs w:val="18"/>
              </w:rPr>
            </w:pPr>
            <w:r w:rsidRPr="009C2953">
              <w:rPr>
                <w:sz w:val="18"/>
              </w:rPr>
              <w:t>302 500</w:t>
            </w:r>
          </w:p>
        </w:tc>
        <w:tc>
          <w:tcPr>
            <w:tcW w:w="1464" w:type="dxa"/>
            <w:tcBorders>
              <w:top w:val="nil"/>
              <w:left w:val="nil"/>
              <w:bottom w:val="single" w:sz="4" w:space="0" w:color="000000"/>
              <w:right w:val="nil"/>
            </w:tcBorders>
            <w:vAlign w:val="bottom"/>
            <w:hideMark/>
          </w:tcPr>
          <w:p w14:paraId="3619D25B" w14:textId="77777777" w:rsidR="00607B78" w:rsidRPr="009C2953" w:rsidRDefault="00607B78" w:rsidP="00A068F8">
            <w:pPr>
              <w:pStyle w:val="Normal-pool"/>
              <w:spacing w:before="40" w:after="40"/>
              <w:jc w:val="right"/>
              <w:rPr>
                <w:sz w:val="18"/>
                <w:szCs w:val="18"/>
              </w:rPr>
            </w:pPr>
            <w:r w:rsidRPr="009C2953">
              <w:rPr>
                <w:sz w:val="18"/>
              </w:rPr>
              <w:t>316 250</w:t>
            </w:r>
          </w:p>
        </w:tc>
        <w:tc>
          <w:tcPr>
            <w:tcW w:w="1461" w:type="dxa"/>
            <w:tcBorders>
              <w:top w:val="nil"/>
              <w:left w:val="nil"/>
              <w:bottom w:val="single" w:sz="4" w:space="0" w:color="000000"/>
              <w:right w:val="nil"/>
            </w:tcBorders>
            <w:vAlign w:val="bottom"/>
            <w:hideMark/>
          </w:tcPr>
          <w:p w14:paraId="17A7AB40" w14:textId="77777777" w:rsidR="00607B78" w:rsidRPr="009C2953" w:rsidRDefault="00607B78" w:rsidP="00A068F8">
            <w:pPr>
              <w:pStyle w:val="Normal-pool"/>
              <w:spacing w:before="40" w:after="40"/>
              <w:jc w:val="right"/>
              <w:rPr>
                <w:sz w:val="18"/>
                <w:szCs w:val="18"/>
              </w:rPr>
            </w:pPr>
            <w:r w:rsidRPr="009C2953">
              <w:rPr>
                <w:sz w:val="18"/>
              </w:rPr>
              <w:t>13 750</w:t>
            </w:r>
          </w:p>
        </w:tc>
      </w:tr>
      <w:tr w:rsidR="00607B78" w:rsidRPr="009C2953" w14:paraId="01655BB7" w14:textId="77777777" w:rsidTr="00A068F8">
        <w:trPr>
          <w:trHeight w:val="57"/>
          <w:jc w:val="right"/>
        </w:trPr>
        <w:tc>
          <w:tcPr>
            <w:tcW w:w="5130" w:type="dxa"/>
            <w:tcBorders>
              <w:top w:val="single" w:sz="4" w:space="0" w:color="000000"/>
              <w:left w:val="nil"/>
              <w:bottom w:val="single" w:sz="4" w:space="0" w:color="auto"/>
              <w:right w:val="nil"/>
            </w:tcBorders>
            <w:hideMark/>
          </w:tcPr>
          <w:p w14:paraId="3682E3CE" w14:textId="77777777" w:rsidR="00607B78" w:rsidRPr="009C2953" w:rsidRDefault="00607B78" w:rsidP="00A068F8">
            <w:pPr>
              <w:pStyle w:val="Normal-pool"/>
              <w:spacing w:before="40" w:after="40"/>
              <w:rPr>
                <w:b/>
                <w:sz w:val="18"/>
                <w:szCs w:val="18"/>
              </w:rPr>
            </w:pPr>
            <w:r w:rsidRPr="009C2953">
              <w:rPr>
                <w:b/>
                <w:sz w:val="18"/>
              </w:rPr>
              <w:t>Total partiel, partie A</w:t>
            </w:r>
          </w:p>
        </w:tc>
        <w:tc>
          <w:tcPr>
            <w:tcW w:w="1442" w:type="dxa"/>
            <w:tcBorders>
              <w:top w:val="single" w:sz="4" w:space="0" w:color="000000"/>
              <w:left w:val="nil"/>
              <w:bottom w:val="single" w:sz="4" w:space="0" w:color="auto"/>
              <w:right w:val="nil"/>
            </w:tcBorders>
            <w:vAlign w:val="bottom"/>
            <w:hideMark/>
          </w:tcPr>
          <w:p w14:paraId="566A3345" w14:textId="6F01D7FE" w:rsidR="00607B78" w:rsidRPr="009C2953" w:rsidRDefault="00607B78" w:rsidP="00A068F8">
            <w:pPr>
              <w:pStyle w:val="Normal-pool"/>
              <w:spacing w:before="40" w:after="40"/>
              <w:jc w:val="right"/>
              <w:rPr>
                <w:b/>
                <w:sz w:val="18"/>
                <w:szCs w:val="18"/>
              </w:rPr>
            </w:pPr>
            <w:r w:rsidRPr="009C2953">
              <w:rPr>
                <w:b/>
                <w:sz w:val="18"/>
              </w:rPr>
              <w:t>302</w:t>
            </w:r>
            <w:r w:rsidR="00791838" w:rsidRPr="009C2953">
              <w:rPr>
                <w:b/>
                <w:sz w:val="18"/>
              </w:rPr>
              <w:t> </w:t>
            </w:r>
            <w:r w:rsidRPr="009C2953">
              <w:rPr>
                <w:b/>
                <w:sz w:val="18"/>
              </w:rPr>
              <w:t>500</w:t>
            </w:r>
          </w:p>
        </w:tc>
        <w:tc>
          <w:tcPr>
            <w:tcW w:w="1464" w:type="dxa"/>
            <w:tcBorders>
              <w:top w:val="single" w:sz="4" w:space="0" w:color="000000"/>
              <w:left w:val="nil"/>
              <w:bottom w:val="single" w:sz="4" w:space="0" w:color="000000"/>
              <w:right w:val="nil"/>
            </w:tcBorders>
            <w:vAlign w:val="bottom"/>
            <w:hideMark/>
          </w:tcPr>
          <w:p w14:paraId="433DCB50" w14:textId="77777777" w:rsidR="00607B78" w:rsidRPr="009C2953" w:rsidRDefault="00607B78" w:rsidP="00A068F8">
            <w:pPr>
              <w:pStyle w:val="Normal-pool"/>
              <w:spacing w:before="40" w:after="40"/>
              <w:jc w:val="right"/>
              <w:rPr>
                <w:b/>
                <w:sz w:val="18"/>
                <w:szCs w:val="18"/>
              </w:rPr>
            </w:pPr>
            <w:r w:rsidRPr="009C2953">
              <w:rPr>
                <w:b/>
                <w:sz w:val="18"/>
              </w:rPr>
              <w:t>316 250</w:t>
            </w:r>
          </w:p>
        </w:tc>
        <w:tc>
          <w:tcPr>
            <w:tcW w:w="1461" w:type="dxa"/>
            <w:tcBorders>
              <w:top w:val="single" w:sz="4" w:space="0" w:color="000000"/>
              <w:left w:val="nil"/>
              <w:bottom w:val="single" w:sz="4" w:space="0" w:color="000000"/>
              <w:right w:val="nil"/>
            </w:tcBorders>
            <w:vAlign w:val="bottom"/>
            <w:hideMark/>
          </w:tcPr>
          <w:p w14:paraId="34AD8F75" w14:textId="77777777" w:rsidR="00607B78" w:rsidRPr="009C2953" w:rsidRDefault="00607B78" w:rsidP="00A068F8">
            <w:pPr>
              <w:pStyle w:val="Normal-pool"/>
              <w:spacing w:before="40" w:after="40"/>
              <w:jc w:val="right"/>
              <w:rPr>
                <w:b/>
                <w:sz w:val="18"/>
                <w:szCs w:val="18"/>
              </w:rPr>
            </w:pPr>
            <w:r w:rsidRPr="009C2953">
              <w:rPr>
                <w:b/>
                <w:sz w:val="18"/>
              </w:rPr>
              <w:t>13 750</w:t>
            </w:r>
          </w:p>
        </w:tc>
      </w:tr>
      <w:tr w:rsidR="00EA225A" w:rsidRPr="009C2953" w14:paraId="15D6BCAD" w14:textId="77777777" w:rsidTr="00FC117D">
        <w:trPr>
          <w:trHeight w:val="57"/>
          <w:jc w:val="right"/>
        </w:trPr>
        <w:tc>
          <w:tcPr>
            <w:tcW w:w="9497" w:type="dxa"/>
            <w:gridSpan w:val="4"/>
            <w:tcBorders>
              <w:top w:val="single" w:sz="4" w:space="0" w:color="auto"/>
              <w:left w:val="nil"/>
              <w:bottom w:val="single" w:sz="4" w:space="0" w:color="auto"/>
              <w:right w:val="nil"/>
            </w:tcBorders>
            <w:hideMark/>
          </w:tcPr>
          <w:p w14:paraId="55862217" w14:textId="6157C5AE" w:rsidR="00EA225A" w:rsidRPr="009C2953" w:rsidRDefault="00EA225A" w:rsidP="00EA225A">
            <w:pPr>
              <w:pStyle w:val="Normal-pool"/>
              <w:spacing w:before="40" w:after="40"/>
              <w:rPr>
                <w:sz w:val="18"/>
                <w:szCs w:val="18"/>
              </w:rPr>
            </w:pPr>
            <w:r w:rsidRPr="009C2953">
              <w:rPr>
                <w:b/>
                <w:sz w:val="18"/>
              </w:rPr>
              <w:t>Partie B : programme de travail glissant pour la période allant jusqu</w:t>
            </w:r>
            <w:r w:rsidR="00EA2966" w:rsidRPr="009C2953">
              <w:rPr>
                <w:b/>
                <w:sz w:val="18"/>
              </w:rPr>
              <w:t>’</w:t>
            </w:r>
            <w:r w:rsidRPr="009C2953">
              <w:rPr>
                <w:b/>
                <w:sz w:val="18"/>
              </w:rPr>
              <w:t>en 2030</w:t>
            </w:r>
          </w:p>
        </w:tc>
      </w:tr>
      <w:tr w:rsidR="00607B78" w:rsidRPr="009C2953" w14:paraId="36F2F13A" w14:textId="77777777" w:rsidTr="00A068F8">
        <w:trPr>
          <w:trHeight w:val="57"/>
          <w:jc w:val="right"/>
        </w:trPr>
        <w:tc>
          <w:tcPr>
            <w:tcW w:w="5130" w:type="dxa"/>
            <w:tcBorders>
              <w:top w:val="single" w:sz="4" w:space="0" w:color="auto"/>
              <w:left w:val="nil"/>
              <w:bottom w:val="single" w:sz="4" w:space="0" w:color="auto"/>
              <w:right w:val="nil"/>
            </w:tcBorders>
            <w:hideMark/>
          </w:tcPr>
          <w:p w14:paraId="6A10F709" w14:textId="52547950" w:rsidR="00607B78" w:rsidRPr="009C2953" w:rsidRDefault="00607B78" w:rsidP="00A068F8">
            <w:pPr>
              <w:pStyle w:val="Normal-pool"/>
              <w:spacing w:before="40" w:after="40"/>
              <w:rPr>
                <w:b/>
                <w:sz w:val="18"/>
                <w:szCs w:val="18"/>
              </w:rPr>
            </w:pPr>
            <w:r w:rsidRPr="009C2953">
              <w:rPr>
                <w:b/>
                <w:sz w:val="18"/>
              </w:rPr>
              <w:t>Objectif 1 : évaluation</w:t>
            </w:r>
            <w:r w:rsidR="00D24DC1" w:rsidRPr="009C2953">
              <w:rPr>
                <w:b/>
                <w:sz w:val="18"/>
              </w:rPr>
              <w:t xml:space="preserve"> des </w:t>
            </w:r>
            <w:r w:rsidRPr="009C2953">
              <w:rPr>
                <w:b/>
                <w:sz w:val="18"/>
              </w:rPr>
              <w:t>connaissances</w:t>
            </w:r>
          </w:p>
        </w:tc>
        <w:tc>
          <w:tcPr>
            <w:tcW w:w="1442" w:type="dxa"/>
            <w:tcBorders>
              <w:top w:val="single" w:sz="4" w:space="0" w:color="auto"/>
              <w:left w:val="nil"/>
              <w:bottom w:val="single" w:sz="4" w:space="0" w:color="auto"/>
              <w:right w:val="nil"/>
            </w:tcBorders>
            <w:vAlign w:val="bottom"/>
            <w:hideMark/>
          </w:tcPr>
          <w:p w14:paraId="27E20B55" w14:textId="77777777" w:rsidR="00607B78" w:rsidRPr="009C2953" w:rsidRDefault="00607B78" w:rsidP="00A068F8">
            <w:pPr>
              <w:pStyle w:val="Normal-pool"/>
              <w:spacing w:before="40" w:after="40"/>
              <w:jc w:val="right"/>
              <w:rPr>
                <w:b/>
                <w:sz w:val="18"/>
                <w:szCs w:val="18"/>
              </w:rPr>
            </w:pPr>
            <w:r w:rsidRPr="009C2953">
              <w:rPr>
                <w:b/>
                <w:sz w:val="18"/>
              </w:rPr>
              <w:t>1 724 800</w:t>
            </w:r>
          </w:p>
        </w:tc>
        <w:tc>
          <w:tcPr>
            <w:tcW w:w="1464" w:type="dxa"/>
            <w:tcBorders>
              <w:top w:val="single" w:sz="4" w:space="0" w:color="auto"/>
              <w:left w:val="nil"/>
              <w:bottom w:val="single" w:sz="4" w:space="0" w:color="auto"/>
              <w:right w:val="nil"/>
            </w:tcBorders>
            <w:vAlign w:val="bottom"/>
            <w:hideMark/>
          </w:tcPr>
          <w:p w14:paraId="25D98769" w14:textId="77777777" w:rsidR="00607B78" w:rsidRPr="009C2953" w:rsidRDefault="00607B78" w:rsidP="00A068F8">
            <w:pPr>
              <w:pStyle w:val="Normal-pool"/>
              <w:spacing w:before="40" w:after="40"/>
              <w:jc w:val="right"/>
              <w:rPr>
                <w:b/>
                <w:sz w:val="18"/>
                <w:szCs w:val="18"/>
              </w:rPr>
            </w:pPr>
            <w:r w:rsidRPr="009C2953">
              <w:rPr>
                <w:b/>
                <w:sz w:val="18"/>
              </w:rPr>
              <w:t>1 301 900</w:t>
            </w:r>
          </w:p>
        </w:tc>
        <w:tc>
          <w:tcPr>
            <w:tcW w:w="1461" w:type="dxa"/>
            <w:tcBorders>
              <w:top w:val="single" w:sz="4" w:space="0" w:color="auto"/>
              <w:left w:val="nil"/>
              <w:bottom w:val="single" w:sz="4" w:space="0" w:color="auto"/>
              <w:right w:val="nil"/>
            </w:tcBorders>
            <w:vAlign w:val="bottom"/>
            <w:hideMark/>
          </w:tcPr>
          <w:p w14:paraId="252C7E38" w14:textId="42E648C7" w:rsidR="00607B78" w:rsidRPr="009C2953" w:rsidRDefault="00607B78" w:rsidP="00A068F8">
            <w:pPr>
              <w:pStyle w:val="Normal-pool"/>
              <w:spacing w:before="40" w:after="40"/>
              <w:jc w:val="right"/>
              <w:rPr>
                <w:b/>
                <w:sz w:val="18"/>
                <w:szCs w:val="18"/>
              </w:rPr>
            </w:pPr>
            <w:r w:rsidRPr="009C2953">
              <w:rPr>
                <w:b/>
                <w:sz w:val="18"/>
              </w:rPr>
              <w:t>(422</w:t>
            </w:r>
            <w:r w:rsidR="001809DF" w:rsidRPr="009C2953">
              <w:rPr>
                <w:b/>
                <w:sz w:val="18"/>
              </w:rPr>
              <w:t> </w:t>
            </w:r>
            <w:r w:rsidRPr="009C2953">
              <w:rPr>
                <w:b/>
                <w:sz w:val="18"/>
              </w:rPr>
              <w:t>900)</w:t>
            </w:r>
          </w:p>
        </w:tc>
      </w:tr>
      <w:tr w:rsidR="00607B78" w:rsidRPr="009C2953" w14:paraId="6D4E190E" w14:textId="77777777" w:rsidTr="00A068F8">
        <w:trPr>
          <w:trHeight w:val="57"/>
          <w:jc w:val="right"/>
        </w:trPr>
        <w:tc>
          <w:tcPr>
            <w:tcW w:w="5130" w:type="dxa"/>
            <w:tcBorders>
              <w:top w:val="single" w:sz="4" w:space="0" w:color="auto"/>
              <w:left w:val="nil"/>
              <w:bottom w:val="nil"/>
              <w:right w:val="nil"/>
            </w:tcBorders>
            <w:hideMark/>
          </w:tcPr>
          <w:p w14:paraId="211D1178" w14:textId="4F8F1DC9" w:rsidR="00607B78" w:rsidRPr="009C2953" w:rsidRDefault="00607B78" w:rsidP="00A068F8">
            <w:pPr>
              <w:pStyle w:val="Normal-pool"/>
              <w:spacing w:before="40" w:after="40"/>
              <w:ind w:left="35"/>
              <w:rPr>
                <w:sz w:val="18"/>
                <w:szCs w:val="18"/>
              </w:rPr>
            </w:pPr>
            <w:r w:rsidRPr="009C2953">
              <w:rPr>
                <w:sz w:val="18"/>
              </w:rPr>
              <w:t>Produit 1 a) : évaluation thématique</w:t>
            </w:r>
            <w:r w:rsidR="00D24DC1" w:rsidRPr="009C2953">
              <w:rPr>
                <w:sz w:val="18"/>
              </w:rPr>
              <w:t xml:space="preserve"> des </w:t>
            </w:r>
            <w:r w:rsidRPr="009C2953">
              <w:rPr>
                <w:sz w:val="18"/>
              </w:rPr>
              <w:t>liens d</w:t>
            </w:r>
            <w:r w:rsidR="00EA2966" w:rsidRPr="009C2953">
              <w:rPr>
                <w:sz w:val="18"/>
              </w:rPr>
              <w:t>’</w:t>
            </w:r>
            <w:r w:rsidRPr="009C2953">
              <w:rPr>
                <w:sz w:val="18"/>
              </w:rPr>
              <w:t>interdépendance entre</w:t>
            </w:r>
            <w:r w:rsidR="00F34644" w:rsidRPr="009C2953">
              <w:rPr>
                <w:sz w:val="18"/>
              </w:rPr>
              <w:t xml:space="preserve"> la </w:t>
            </w:r>
            <w:r w:rsidRPr="009C2953">
              <w:rPr>
                <w:sz w:val="18"/>
              </w:rPr>
              <w:t>biodiversité, l</w:t>
            </w:r>
            <w:r w:rsidR="00EA2966" w:rsidRPr="009C2953">
              <w:rPr>
                <w:sz w:val="18"/>
              </w:rPr>
              <w:t>’</w:t>
            </w:r>
            <w:r w:rsidRPr="009C2953">
              <w:rPr>
                <w:sz w:val="18"/>
              </w:rPr>
              <w:t>eau, l</w:t>
            </w:r>
            <w:r w:rsidR="00EA2966" w:rsidRPr="009C2953">
              <w:rPr>
                <w:sz w:val="18"/>
              </w:rPr>
              <w:t>’</w:t>
            </w:r>
            <w:r w:rsidRPr="009C2953">
              <w:rPr>
                <w:sz w:val="18"/>
              </w:rPr>
              <w:t>alimentation et</w:t>
            </w:r>
            <w:r w:rsidR="00F34644" w:rsidRPr="009C2953">
              <w:rPr>
                <w:sz w:val="18"/>
              </w:rPr>
              <w:t xml:space="preserve"> la </w:t>
            </w:r>
            <w:r w:rsidRPr="009C2953">
              <w:rPr>
                <w:sz w:val="18"/>
              </w:rPr>
              <w:t>santé (évaluation</w:t>
            </w:r>
            <w:r w:rsidR="00D24DC1" w:rsidRPr="009C2953">
              <w:rPr>
                <w:sz w:val="18"/>
              </w:rPr>
              <w:t xml:space="preserve"> des </w:t>
            </w:r>
            <w:r w:rsidRPr="009C2953">
              <w:rPr>
                <w:sz w:val="18"/>
              </w:rPr>
              <w:t>interdépendances)</w:t>
            </w:r>
          </w:p>
        </w:tc>
        <w:tc>
          <w:tcPr>
            <w:tcW w:w="1442" w:type="dxa"/>
            <w:tcBorders>
              <w:top w:val="single" w:sz="4" w:space="0" w:color="auto"/>
              <w:left w:val="nil"/>
              <w:bottom w:val="nil"/>
              <w:right w:val="nil"/>
            </w:tcBorders>
            <w:vAlign w:val="bottom"/>
            <w:hideMark/>
          </w:tcPr>
          <w:p w14:paraId="7333E270" w14:textId="77777777" w:rsidR="00607B78" w:rsidRPr="009C2953" w:rsidRDefault="00607B78" w:rsidP="00A068F8">
            <w:pPr>
              <w:pStyle w:val="Normal-pool"/>
              <w:spacing w:before="40" w:after="40"/>
              <w:jc w:val="right"/>
              <w:rPr>
                <w:sz w:val="18"/>
                <w:szCs w:val="18"/>
              </w:rPr>
            </w:pPr>
            <w:r w:rsidRPr="009C2953">
              <w:rPr>
                <w:sz w:val="18"/>
              </w:rPr>
              <w:t>837 300</w:t>
            </w:r>
          </w:p>
        </w:tc>
        <w:tc>
          <w:tcPr>
            <w:tcW w:w="1464" w:type="dxa"/>
            <w:tcBorders>
              <w:top w:val="single" w:sz="4" w:space="0" w:color="auto"/>
              <w:left w:val="nil"/>
              <w:bottom w:val="nil"/>
              <w:right w:val="nil"/>
            </w:tcBorders>
            <w:vAlign w:val="bottom"/>
            <w:hideMark/>
          </w:tcPr>
          <w:p w14:paraId="2882C538" w14:textId="77777777" w:rsidR="00607B78" w:rsidRPr="009C2953" w:rsidRDefault="00607B78" w:rsidP="00A068F8">
            <w:pPr>
              <w:pStyle w:val="Normal-pool"/>
              <w:spacing w:before="40" w:after="40"/>
              <w:jc w:val="right"/>
              <w:rPr>
                <w:sz w:val="18"/>
                <w:szCs w:val="18"/>
              </w:rPr>
            </w:pPr>
            <w:r w:rsidRPr="009C2953">
              <w:rPr>
                <w:sz w:val="18"/>
              </w:rPr>
              <w:t>606 900</w:t>
            </w:r>
          </w:p>
        </w:tc>
        <w:tc>
          <w:tcPr>
            <w:tcW w:w="1461" w:type="dxa"/>
            <w:tcBorders>
              <w:top w:val="single" w:sz="4" w:space="0" w:color="auto"/>
              <w:left w:val="nil"/>
              <w:bottom w:val="nil"/>
              <w:right w:val="nil"/>
            </w:tcBorders>
            <w:vAlign w:val="bottom"/>
            <w:hideMark/>
          </w:tcPr>
          <w:p w14:paraId="3BD4C9CA" w14:textId="5FE39349" w:rsidR="00607B78" w:rsidRPr="009C2953" w:rsidRDefault="00607B78" w:rsidP="00A068F8">
            <w:pPr>
              <w:pStyle w:val="Normal-pool"/>
              <w:spacing w:before="40" w:after="40"/>
              <w:jc w:val="right"/>
              <w:rPr>
                <w:sz w:val="18"/>
                <w:szCs w:val="18"/>
              </w:rPr>
            </w:pPr>
            <w:r w:rsidRPr="009C2953">
              <w:rPr>
                <w:sz w:val="18"/>
              </w:rPr>
              <w:t>(230</w:t>
            </w:r>
            <w:r w:rsidR="001809DF" w:rsidRPr="009C2953">
              <w:rPr>
                <w:sz w:val="18"/>
              </w:rPr>
              <w:t> </w:t>
            </w:r>
            <w:r w:rsidRPr="009C2953">
              <w:rPr>
                <w:sz w:val="18"/>
              </w:rPr>
              <w:t>400)</w:t>
            </w:r>
          </w:p>
        </w:tc>
      </w:tr>
      <w:tr w:rsidR="00607B78" w:rsidRPr="009C2953" w14:paraId="68D2B8EA" w14:textId="77777777" w:rsidTr="00A068F8">
        <w:trPr>
          <w:trHeight w:val="57"/>
          <w:jc w:val="right"/>
        </w:trPr>
        <w:tc>
          <w:tcPr>
            <w:tcW w:w="5130" w:type="dxa"/>
            <w:tcBorders>
              <w:top w:val="nil"/>
              <w:left w:val="nil"/>
              <w:bottom w:val="nil"/>
              <w:right w:val="nil"/>
            </w:tcBorders>
            <w:hideMark/>
          </w:tcPr>
          <w:p w14:paraId="682423A5" w14:textId="1580481C" w:rsidR="00607B78" w:rsidRPr="009C2953" w:rsidRDefault="00607B78" w:rsidP="00A068F8">
            <w:pPr>
              <w:pStyle w:val="Normal-pool"/>
              <w:spacing w:before="40" w:after="40"/>
              <w:ind w:left="35"/>
              <w:rPr>
                <w:sz w:val="18"/>
                <w:szCs w:val="18"/>
              </w:rPr>
            </w:pPr>
            <w:r w:rsidRPr="009C2953">
              <w:rPr>
                <w:sz w:val="18"/>
              </w:rPr>
              <w:t>Produit 1 c) : évaluation thématique</w:t>
            </w:r>
            <w:r w:rsidR="00D24DC1" w:rsidRPr="009C2953">
              <w:rPr>
                <w:sz w:val="18"/>
              </w:rPr>
              <w:t xml:space="preserve"> des </w:t>
            </w:r>
            <w:r w:rsidRPr="009C2953">
              <w:rPr>
                <w:sz w:val="18"/>
              </w:rPr>
              <w:t>causes sous-jacentes de</w:t>
            </w:r>
            <w:r w:rsidR="00EA225A" w:rsidRPr="009C2953">
              <w:rPr>
                <w:sz w:val="18"/>
              </w:rPr>
              <w:t> </w:t>
            </w:r>
            <w:r w:rsidR="00F34644" w:rsidRPr="009C2953">
              <w:rPr>
                <w:sz w:val="18"/>
              </w:rPr>
              <w:t>la </w:t>
            </w:r>
            <w:r w:rsidRPr="009C2953">
              <w:rPr>
                <w:sz w:val="18"/>
              </w:rPr>
              <w:t>perte de biodiversité et</w:t>
            </w:r>
            <w:r w:rsidR="00D24DC1" w:rsidRPr="009C2953">
              <w:rPr>
                <w:sz w:val="18"/>
              </w:rPr>
              <w:t xml:space="preserve"> des </w:t>
            </w:r>
            <w:r w:rsidRPr="009C2953">
              <w:rPr>
                <w:sz w:val="18"/>
              </w:rPr>
              <w:t>déterminants du changement transformateur, ainsi que</w:t>
            </w:r>
            <w:r w:rsidR="00D24DC1" w:rsidRPr="009C2953">
              <w:rPr>
                <w:sz w:val="18"/>
              </w:rPr>
              <w:t xml:space="preserve"> des </w:t>
            </w:r>
            <w:r w:rsidRPr="009C2953">
              <w:rPr>
                <w:sz w:val="18"/>
              </w:rPr>
              <w:t>solutions possibles afin de réaliser</w:t>
            </w:r>
            <w:r w:rsidR="00F34644" w:rsidRPr="009C2953">
              <w:rPr>
                <w:sz w:val="18"/>
              </w:rPr>
              <w:t xml:space="preserve"> la </w:t>
            </w:r>
            <w:r w:rsidRPr="009C2953">
              <w:rPr>
                <w:sz w:val="18"/>
              </w:rPr>
              <w:t>Vision 2050 pour</w:t>
            </w:r>
            <w:r w:rsidR="00F34644" w:rsidRPr="009C2953">
              <w:rPr>
                <w:sz w:val="18"/>
              </w:rPr>
              <w:t xml:space="preserve"> la </w:t>
            </w:r>
            <w:r w:rsidRPr="009C2953">
              <w:rPr>
                <w:sz w:val="18"/>
              </w:rPr>
              <w:t>biodiversité (évaluation du changement transformateur)</w:t>
            </w:r>
          </w:p>
        </w:tc>
        <w:tc>
          <w:tcPr>
            <w:tcW w:w="1442" w:type="dxa"/>
            <w:tcBorders>
              <w:top w:val="nil"/>
              <w:left w:val="nil"/>
              <w:bottom w:val="nil"/>
              <w:right w:val="nil"/>
            </w:tcBorders>
            <w:vAlign w:val="bottom"/>
            <w:hideMark/>
          </w:tcPr>
          <w:p w14:paraId="4D7870FE" w14:textId="77777777" w:rsidR="00607B78" w:rsidRPr="009C2953" w:rsidRDefault="00607B78" w:rsidP="00A068F8">
            <w:pPr>
              <w:pStyle w:val="Normal-pool"/>
              <w:spacing w:before="40" w:after="40"/>
              <w:jc w:val="right"/>
              <w:rPr>
                <w:sz w:val="18"/>
                <w:szCs w:val="18"/>
              </w:rPr>
            </w:pPr>
            <w:r w:rsidRPr="009C2953">
              <w:rPr>
                <w:sz w:val="18"/>
              </w:rPr>
              <w:t>516 250</w:t>
            </w:r>
          </w:p>
        </w:tc>
        <w:tc>
          <w:tcPr>
            <w:tcW w:w="1464" w:type="dxa"/>
            <w:tcBorders>
              <w:top w:val="nil"/>
              <w:left w:val="nil"/>
              <w:bottom w:val="nil"/>
              <w:right w:val="nil"/>
            </w:tcBorders>
            <w:vAlign w:val="bottom"/>
            <w:hideMark/>
          </w:tcPr>
          <w:p w14:paraId="2093AA60" w14:textId="77777777" w:rsidR="00607B78" w:rsidRPr="009C2953" w:rsidRDefault="00607B78" w:rsidP="00A068F8">
            <w:pPr>
              <w:pStyle w:val="Normal-pool"/>
              <w:spacing w:before="40" w:after="40"/>
              <w:jc w:val="right"/>
              <w:rPr>
                <w:sz w:val="18"/>
                <w:szCs w:val="18"/>
              </w:rPr>
            </w:pPr>
            <w:r w:rsidRPr="009C2953">
              <w:rPr>
                <w:sz w:val="18"/>
              </w:rPr>
              <w:t>401 250</w:t>
            </w:r>
          </w:p>
        </w:tc>
        <w:tc>
          <w:tcPr>
            <w:tcW w:w="1461" w:type="dxa"/>
            <w:tcBorders>
              <w:top w:val="nil"/>
              <w:left w:val="nil"/>
              <w:bottom w:val="nil"/>
              <w:right w:val="nil"/>
            </w:tcBorders>
            <w:vAlign w:val="bottom"/>
            <w:hideMark/>
          </w:tcPr>
          <w:p w14:paraId="5BFBE024" w14:textId="050B5CAC" w:rsidR="00607B78" w:rsidRPr="009C2953" w:rsidRDefault="00607B78" w:rsidP="00A068F8">
            <w:pPr>
              <w:pStyle w:val="Normal-pool"/>
              <w:spacing w:before="40" w:after="40"/>
              <w:jc w:val="right"/>
              <w:rPr>
                <w:sz w:val="18"/>
                <w:szCs w:val="18"/>
              </w:rPr>
            </w:pPr>
            <w:r w:rsidRPr="009C2953">
              <w:rPr>
                <w:sz w:val="18"/>
              </w:rPr>
              <w:t>(115</w:t>
            </w:r>
            <w:r w:rsidR="001809DF" w:rsidRPr="009C2953">
              <w:rPr>
                <w:sz w:val="18"/>
              </w:rPr>
              <w:t> </w:t>
            </w:r>
            <w:r w:rsidRPr="009C2953">
              <w:rPr>
                <w:sz w:val="18"/>
              </w:rPr>
              <w:t>000)</w:t>
            </w:r>
          </w:p>
        </w:tc>
      </w:tr>
      <w:tr w:rsidR="00607B78" w:rsidRPr="009C2953" w14:paraId="66645919" w14:textId="77777777" w:rsidTr="00A068F8">
        <w:trPr>
          <w:trHeight w:val="57"/>
          <w:jc w:val="right"/>
        </w:trPr>
        <w:tc>
          <w:tcPr>
            <w:tcW w:w="5130" w:type="dxa"/>
            <w:tcBorders>
              <w:top w:val="nil"/>
              <w:left w:val="nil"/>
              <w:bottom w:val="single" w:sz="4" w:space="0" w:color="auto"/>
              <w:right w:val="nil"/>
            </w:tcBorders>
            <w:hideMark/>
          </w:tcPr>
          <w:p w14:paraId="770CE22A" w14:textId="1CC84D73" w:rsidR="00607B78" w:rsidRPr="009C2953" w:rsidRDefault="00607B78" w:rsidP="00A068F8">
            <w:pPr>
              <w:pStyle w:val="Normal-pool"/>
              <w:spacing w:before="40" w:after="40"/>
              <w:ind w:left="35"/>
              <w:rPr>
                <w:sz w:val="18"/>
                <w:szCs w:val="18"/>
              </w:rPr>
            </w:pPr>
            <w:r w:rsidRPr="009C2953">
              <w:rPr>
                <w:sz w:val="18"/>
              </w:rPr>
              <w:t>Produit 1 d) : évaluation méthodologique</w:t>
            </w:r>
            <w:r w:rsidR="00D24DC1" w:rsidRPr="009C2953">
              <w:rPr>
                <w:sz w:val="18"/>
              </w:rPr>
              <w:t xml:space="preserve"> des </w:t>
            </w:r>
            <w:r w:rsidRPr="009C2953">
              <w:rPr>
                <w:sz w:val="18"/>
              </w:rPr>
              <w:t>conséquences de</w:t>
            </w:r>
            <w:r w:rsidR="00EA225A" w:rsidRPr="009C2953">
              <w:rPr>
                <w:sz w:val="18"/>
              </w:rPr>
              <w:t xml:space="preserve"> </w:t>
            </w:r>
            <w:r w:rsidRPr="009C2953">
              <w:rPr>
                <w:sz w:val="18"/>
              </w:rPr>
              <w:t>l</w:t>
            </w:r>
            <w:r w:rsidR="00EA2966" w:rsidRPr="009C2953">
              <w:rPr>
                <w:sz w:val="18"/>
              </w:rPr>
              <w:t>’</w:t>
            </w:r>
            <w:r w:rsidRPr="009C2953">
              <w:rPr>
                <w:sz w:val="18"/>
              </w:rPr>
              <w:t>activité</w:t>
            </w:r>
            <w:r w:rsidR="00D24DC1" w:rsidRPr="009C2953">
              <w:rPr>
                <w:sz w:val="18"/>
              </w:rPr>
              <w:t xml:space="preserve"> des </w:t>
            </w:r>
            <w:r w:rsidRPr="009C2953">
              <w:rPr>
                <w:sz w:val="18"/>
              </w:rPr>
              <w:t>entreprises sur</w:t>
            </w:r>
            <w:r w:rsidR="00F34644" w:rsidRPr="009C2953">
              <w:rPr>
                <w:sz w:val="18"/>
              </w:rPr>
              <w:t xml:space="preserve"> la </w:t>
            </w:r>
            <w:r w:rsidRPr="009C2953">
              <w:rPr>
                <w:sz w:val="18"/>
              </w:rPr>
              <w:t>biodiversité et sur</w:t>
            </w:r>
            <w:r w:rsidR="00F34644" w:rsidRPr="009C2953">
              <w:rPr>
                <w:sz w:val="18"/>
              </w:rPr>
              <w:t xml:space="preserve"> les </w:t>
            </w:r>
            <w:r w:rsidRPr="009C2953">
              <w:rPr>
                <w:sz w:val="18"/>
              </w:rPr>
              <w:t>contributions de</w:t>
            </w:r>
            <w:r w:rsidR="00F34644" w:rsidRPr="009C2953">
              <w:rPr>
                <w:sz w:val="18"/>
              </w:rPr>
              <w:t xml:space="preserve"> la </w:t>
            </w:r>
            <w:r w:rsidRPr="009C2953">
              <w:rPr>
                <w:sz w:val="18"/>
              </w:rPr>
              <w:t>nature</w:t>
            </w:r>
            <w:r w:rsidR="00F34644" w:rsidRPr="009C2953">
              <w:rPr>
                <w:sz w:val="18"/>
              </w:rPr>
              <w:t xml:space="preserve"> aux </w:t>
            </w:r>
            <w:r w:rsidRPr="009C2953">
              <w:rPr>
                <w:sz w:val="18"/>
              </w:rPr>
              <w:t>populations et de</w:t>
            </w:r>
            <w:r w:rsidR="00F34644" w:rsidRPr="009C2953">
              <w:rPr>
                <w:sz w:val="18"/>
              </w:rPr>
              <w:t xml:space="preserve"> la </w:t>
            </w:r>
            <w:r w:rsidRPr="009C2953">
              <w:rPr>
                <w:sz w:val="18"/>
              </w:rPr>
              <w:t>dépendance</w:t>
            </w:r>
            <w:r w:rsidR="00D24DC1" w:rsidRPr="009C2953">
              <w:rPr>
                <w:sz w:val="18"/>
              </w:rPr>
              <w:t xml:space="preserve"> des </w:t>
            </w:r>
            <w:r w:rsidRPr="009C2953">
              <w:rPr>
                <w:sz w:val="18"/>
              </w:rPr>
              <w:t>entreprises à</w:t>
            </w:r>
            <w:r w:rsidR="00EA225A" w:rsidRPr="009C2953">
              <w:rPr>
                <w:sz w:val="18"/>
              </w:rPr>
              <w:t> </w:t>
            </w:r>
            <w:r w:rsidR="00F34644" w:rsidRPr="009C2953">
              <w:rPr>
                <w:sz w:val="18"/>
              </w:rPr>
              <w:t>leur </w:t>
            </w:r>
            <w:r w:rsidRPr="009C2953">
              <w:rPr>
                <w:sz w:val="18"/>
              </w:rPr>
              <w:t>égard (évaluation</w:t>
            </w:r>
            <w:r w:rsidR="00D24DC1" w:rsidRPr="009C2953">
              <w:rPr>
                <w:sz w:val="18"/>
              </w:rPr>
              <w:t xml:space="preserve"> des </w:t>
            </w:r>
            <w:r w:rsidRPr="009C2953">
              <w:rPr>
                <w:sz w:val="18"/>
              </w:rPr>
              <w:t>entreprises et de</w:t>
            </w:r>
            <w:r w:rsidR="00F34644" w:rsidRPr="009C2953">
              <w:rPr>
                <w:sz w:val="18"/>
              </w:rPr>
              <w:t xml:space="preserve"> la </w:t>
            </w:r>
            <w:r w:rsidRPr="009C2953">
              <w:rPr>
                <w:sz w:val="18"/>
              </w:rPr>
              <w:t>biodiversité)</w:t>
            </w:r>
          </w:p>
        </w:tc>
        <w:tc>
          <w:tcPr>
            <w:tcW w:w="1442" w:type="dxa"/>
            <w:tcBorders>
              <w:top w:val="nil"/>
              <w:left w:val="nil"/>
              <w:bottom w:val="single" w:sz="4" w:space="0" w:color="auto"/>
              <w:right w:val="nil"/>
            </w:tcBorders>
            <w:vAlign w:val="bottom"/>
            <w:hideMark/>
          </w:tcPr>
          <w:p w14:paraId="444D5A72" w14:textId="77777777" w:rsidR="00607B78" w:rsidRPr="009C2953" w:rsidRDefault="00607B78" w:rsidP="00A068F8">
            <w:pPr>
              <w:pStyle w:val="Normal-pool"/>
              <w:spacing w:before="40" w:after="40"/>
              <w:jc w:val="right"/>
              <w:rPr>
                <w:sz w:val="18"/>
                <w:szCs w:val="18"/>
              </w:rPr>
            </w:pPr>
            <w:r w:rsidRPr="009C2953">
              <w:rPr>
                <w:sz w:val="18"/>
              </w:rPr>
              <w:t>371 250</w:t>
            </w:r>
          </w:p>
        </w:tc>
        <w:tc>
          <w:tcPr>
            <w:tcW w:w="1464" w:type="dxa"/>
            <w:tcBorders>
              <w:top w:val="nil"/>
              <w:left w:val="nil"/>
              <w:bottom w:val="single" w:sz="4" w:space="0" w:color="auto"/>
              <w:right w:val="nil"/>
            </w:tcBorders>
            <w:vAlign w:val="bottom"/>
            <w:hideMark/>
          </w:tcPr>
          <w:p w14:paraId="6693A48C" w14:textId="77777777" w:rsidR="00607B78" w:rsidRPr="009C2953" w:rsidRDefault="00607B78" w:rsidP="00A068F8">
            <w:pPr>
              <w:pStyle w:val="Normal-pool"/>
              <w:spacing w:before="40" w:after="40"/>
              <w:jc w:val="right"/>
              <w:rPr>
                <w:sz w:val="18"/>
                <w:szCs w:val="18"/>
              </w:rPr>
            </w:pPr>
            <w:r w:rsidRPr="009C2953">
              <w:rPr>
                <w:sz w:val="18"/>
              </w:rPr>
              <w:t>293 750</w:t>
            </w:r>
          </w:p>
        </w:tc>
        <w:tc>
          <w:tcPr>
            <w:tcW w:w="1461" w:type="dxa"/>
            <w:tcBorders>
              <w:top w:val="nil"/>
              <w:left w:val="nil"/>
              <w:bottom w:val="single" w:sz="4" w:space="0" w:color="auto"/>
              <w:right w:val="nil"/>
            </w:tcBorders>
            <w:vAlign w:val="bottom"/>
            <w:hideMark/>
          </w:tcPr>
          <w:p w14:paraId="491C8698" w14:textId="1246DEFE" w:rsidR="00607B78" w:rsidRPr="009C2953" w:rsidRDefault="00607B78" w:rsidP="00A068F8">
            <w:pPr>
              <w:pStyle w:val="Normal-pool"/>
              <w:spacing w:before="40" w:after="40"/>
              <w:jc w:val="right"/>
              <w:rPr>
                <w:sz w:val="18"/>
                <w:szCs w:val="18"/>
              </w:rPr>
            </w:pPr>
            <w:r w:rsidRPr="009C2953">
              <w:rPr>
                <w:sz w:val="18"/>
              </w:rPr>
              <w:t>(77</w:t>
            </w:r>
            <w:r w:rsidR="008747EC" w:rsidRPr="009C2953">
              <w:rPr>
                <w:sz w:val="18"/>
              </w:rPr>
              <w:t> </w:t>
            </w:r>
            <w:r w:rsidRPr="009C2953">
              <w:rPr>
                <w:sz w:val="18"/>
              </w:rPr>
              <w:t>500)</w:t>
            </w:r>
          </w:p>
        </w:tc>
      </w:tr>
      <w:tr w:rsidR="00607B78" w:rsidRPr="009C2953" w14:paraId="43012F5B" w14:textId="77777777" w:rsidTr="00A068F8">
        <w:trPr>
          <w:trHeight w:val="57"/>
          <w:jc w:val="right"/>
        </w:trPr>
        <w:tc>
          <w:tcPr>
            <w:tcW w:w="5130" w:type="dxa"/>
            <w:tcBorders>
              <w:top w:val="single" w:sz="4" w:space="0" w:color="auto"/>
              <w:left w:val="nil"/>
              <w:bottom w:val="single" w:sz="4" w:space="0" w:color="auto"/>
              <w:right w:val="nil"/>
            </w:tcBorders>
            <w:hideMark/>
          </w:tcPr>
          <w:p w14:paraId="32BAF2CB" w14:textId="6CF456D9" w:rsidR="00607B78" w:rsidRPr="009C2953" w:rsidRDefault="00607B78" w:rsidP="00A068F8">
            <w:pPr>
              <w:pStyle w:val="Normal-pool"/>
              <w:spacing w:before="40" w:after="40"/>
              <w:rPr>
                <w:b/>
                <w:sz w:val="18"/>
                <w:szCs w:val="18"/>
              </w:rPr>
            </w:pPr>
            <w:r w:rsidRPr="009C2953">
              <w:rPr>
                <w:b/>
                <w:sz w:val="18"/>
              </w:rPr>
              <w:t>Objectif 2 : renforcement</w:t>
            </w:r>
            <w:r w:rsidR="00D24DC1" w:rsidRPr="009C2953">
              <w:rPr>
                <w:b/>
                <w:sz w:val="18"/>
              </w:rPr>
              <w:t xml:space="preserve"> des </w:t>
            </w:r>
            <w:r w:rsidRPr="009C2953">
              <w:rPr>
                <w:b/>
                <w:sz w:val="18"/>
              </w:rPr>
              <w:t>capacités</w:t>
            </w:r>
          </w:p>
        </w:tc>
        <w:tc>
          <w:tcPr>
            <w:tcW w:w="1442" w:type="dxa"/>
            <w:tcBorders>
              <w:top w:val="single" w:sz="4" w:space="0" w:color="auto"/>
              <w:left w:val="nil"/>
              <w:bottom w:val="single" w:sz="4" w:space="0" w:color="auto"/>
              <w:right w:val="nil"/>
            </w:tcBorders>
            <w:vAlign w:val="bottom"/>
            <w:hideMark/>
          </w:tcPr>
          <w:p w14:paraId="49012000" w14:textId="77777777" w:rsidR="00607B78" w:rsidRPr="009C2953" w:rsidRDefault="00607B78" w:rsidP="00A068F8">
            <w:pPr>
              <w:pStyle w:val="Normal-pool"/>
              <w:spacing w:before="40" w:after="40"/>
              <w:jc w:val="right"/>
              <w:rPr>
                <w:b/>
                <w:sz w:val="18"/>
                <w:szCs w:val="18"/>
              </w:rPr>
            </w:pPr>
            <w:r w:rsidRPr="009C2953">
              <w:rPr>
                <w:b/>
                <w:sz w:val="18"/>
              </w:rPr>
              <w:t>767 500</w:t>
            </w:r>
          </w:p>
        </w:tc>
        <w:tc>
          <w:tcPr>
            <w:tcW w:w="1464" w:type="dxa"/>
            <w:tcBorders>
              <w:top w:val="single" w:sz="4" w:space="0" w:color="auto"/>
              <w:left w:val="nil"/>
              <w:bottom w:val="single" w:sz="4" w:space="0" w:color="auto"/>
              <w:right w:val="nil"/>
            </w:tcBorders>
            <w:vAlign w:val="bottom"/>
            <w:hideMark/>
          </w:tcPr>
          <w:p w14:paraId="4B357A10" w14:textId="77777777" w:rsidR="00607B78" w:rsidRPr="009C2953" w:rsidRDefault="00607B78" w:rsidP="00A068F8">
            <w:pPr>
              <w:pStyle w:val="Normal-pool"/>
              <w:spacing w:before="40" w:after="40"/>
              <w:jc w:val="right"/>
              <w:rPr>
                <w:b/>
                <w:sz w:val="18"/>
                <w:szCs w:val="18"/>
              </w:rPr>
            </w:pPr>
            <w:r w:rsidRPr="009C2953">
              <w:rPr>
                <w:b/>
                <w:sz w:val="18"/>
              </w:rPr>
              <w:t>688 325</w:t>
            </w:r>
          </w:p>
        </w:tc>
        <w:tc>
          <w:tcPr>
            <w:tcW w:w="1461" w:type="dxa"/>
            <w:tcBorders>
              <w:top w:val="single" w:sz="4" w:space="0" w:color="auto"/>
              <w:left w:val="nil"/>
              <w:bottom w:val="single" w:sz="4" w:space="0" w:color="auto"/>
              <w:right w:val="nil"/>
            </w:tcBorders>
            <w:vAlign w:val="bottom"/>
            <w:hideMark/>
          </w:tcPr>
          <w:p w14:paraId="5D989E63" w14:textId="4F86FE2F" w:rsidR="00607B78" w:rsidRPr="009C2953" w:rsidRDefault="00607B78" w:rsidP="00A068F8">
            <w:pPr>
              <w:pStyle w:val="Normal-pool"/>
              <w:spacing w:before="40" w:after="40"/>
              <w:jc w:val="right"/>
              <w:rPr>
                <w:b/>
                <w:sz w:val="18"/>
                <w:szCs w:val="18"/>
              </w:rPr>
            </w:pPr>
            <w:r w:rsidRPr="009C2953">
              <w:rPr>
                <w:b/>
                <w:sz w:val="18"/>
              </w:rPr>
              <w:t>(79</w:t>
            </w:r>
            <w:r w:rsidR="008747EC" w:rsidRPr="009C2953">
              <w:rPr>
                <w:b/>
                <w:sz w:val="18"/>
              </w:rPr>
              <w:t> </w:t>
            </w:r>
            <w:r w:rsidRPr="009C2953">
              <w:rPr>
                <w:b/>
                <w:sz w:val="18"/>
              </w:rPr>
              <w:t>175)</w:t>
            </w:r>
          </w:p>
        </w:tc>
      </w:tr>
      <w:tr w:rsidR="00607B78" w:rsidRPr="009C2953" w14:paraId="419E6BAF" w14:textId="77777777" w:rsidTr="00A068F8">
        <w:trPr>
          <w:trHeight w:val="57"/>
          <w:jc w:val="right"/>
        </w:trPr>
        <w:tc>
          <w:tcPr>
            <w:tcW w:w="5130" w:type="dxa"/>
            <w:tcBorders>
              <w:top w:val="single" w:sz="4" w:space="0" w:color="auto"/>
              <w:left w:val="nil"/>
              <w:bottom w:val="single" w:sz="4" w:space="0" w:color="auto"/>
              <w:right w:val="nil"/>
            </w:tcBorders>
            <w:hideMark/>
          </w:tcPr>
          <w:p w14:paraId="1F828569" w14:textId="34CBE3A3" w:rsidR="00607B78" w:rsidRPr="009C2953" w:rsidRDefault="00607B78" w:rsidP="00A068F8">
            <w:pPr>
              <w:pStyle w:val="Normal-pool"/>
              <w:spacing w:before="40" w:after="40"/>
              <w:ind w:left="35"/>
              <w:rPr>
                <w:sz w:val="18"/>
                <w:szCs w:val="18"/>
              </w:rPr>
            </w:pPr>
            <w:r w:rsidRPr="009C2953">
              <w:rPr>
                <w:sz w:val="18"/>
              </w:rPr>
              <w:t>Objectif 2 a) : apprentissage et engagement améliorés ; objectif 2 b) : accès facilité</w:t>
            </w:r>
            <w:r w:rsidR="00F34644" w:rsidRPr="009C2953">
              <w:rPr>
                <w:sz w:val="18"/>
              </w:rPr>
              <w:t xml:space="preserve"> aux </w:t>
            </w:r>
            <w:r w:rsidRPr="009C2953">
              <w:rPr>
                <w:sz w:val="18"/>
              </w:rPr>
              <w:t>compétences d</w:t>
            </w:r>
            <w:r w:rsidR="00EA2966" w:rsidRPr="009C2953">
              <w:rPr>
                <w:sz w:val="18"/>
              </w:rPr>
              <w:t>’</w:t>
            </w:r>
            <w:r w:rsidRPr="009C2953">
              <w:rPr>
                <w:sz w:val="18"/>
              </w:rPr>
              <w:t>experts et à</w:t>
            </w:r>
            <w:r w:rsidR="00EA225A" w:rsidRPr="009C2953">
              <w:rPr>
                <w:sz w:val="18"/>
              </w:rPr>
              <w:t xml:space="preserve"> </w:t>
            </w:r>
            <w:r w:rsidRPr="009C2953">
              <w:rPr>
                <w:sz w:val="18"/>
              </w:rPr>
              <w:t>l</w:t>
            </w:r>
            <w:r w:rsidR="00EA2966" w:rsidRPr="009C2953">
              <w:rPr>
                <w:sz w:val="18"/>
              </w:rPr>
              <w:t>’</w:t>
            </w:r>
            <w:r w:rsidRPr="009C2953">
              <w:rPr>
                <w:sz w:val="18"/>
              </w:rPr>
              <w:t>information ; objectif 2 c) : capacités nationales et régionales renforcées</w:t>
            </w:r>
          </w:p>
        </w:tc>
        <w:tc>
          <w:tcPr>
            <w:tcW w:w="1442" w:type="dxa"/>
            <w:tcBorders>
              <w:top w:val="single" w:sz="4" w:space="0" w:color="auto"/>
              <w:left w:val="nil"/>
              <w:bottom w:val="single" w:sz="4" w:space="0" w:color="auto"/>
              <w:right w:val="nil"/>
            </w:tcBorders>
            <w:vAlign w:val="bottom"/>
            <w:hideMark/>
          </w:tcPr>
          <w:p w14:paraId="6D44CE54" w14:textId="77777777" w:rsidR="00607B78" w:rsidRPr="009C2953" w:rsidRDefault="00607B78" w:rsidP="00A068F8">
            <w:pPr>
              <w:pStyle w:val="Normal-pool"/>
              <w:spacing w:before="40" w:after="40"/>
              <w:jc w:val="right"/>
              <w:rPr>
                <w:sz w:val="18"/>
                <w:szCs w:val="18"/>
              </w:rPr>
            </w:pPr>
            <w:r w:rsidRPr="009C2953">
              <w:rPr>
                <w:sz w:val="18"/>
              </w:rPr>
              <w:t>767 500</w:t>
            </w:r>
          </w:p>
        </w:tc>
        <w:tc>
          <w:tcPr>
            <w:tcW w:w="1464" w:type="dxa"/>
            <w:tcBorders>
              <w:top w:val="single" w:sz="4" w:space="0" w:color="auto"/>
              <w:left w:val="nil"/>
              <w:bottom w:val="single" w:sz="4" w:space="0" w:color="auto"/>
              <w:right w:val="nil"/>
            </w:tcBorders>
            <w:vAlign w:val="bottom"/>
            <w:hideMark/>
          </w:tcPr>
          <w:p w14:paraId="03AC6DC5" w14:textId="77777777" w:rsidR="00607B78" w:rsidRPr="009C2953" w:rsidRDefault="00607B78" w:rsidP="00A068F8">
            <w:pPr>
              <w:pStyle w:val="Normal-pool"/>
              <w:spacing w:before="40" w:after="40"/>
              <w:jc w:val="right"/>
              <w:rPr>
                <w:sz w:val="18"/>
                <w:szCs w:val="18"/>
              </w:rPr>
            </w:pPr>
            <w:r w:rsidRPr="009C2953">
              <w:rPr>
                <w:sz w:val="18"/>
              </w:rPr>
              <w:t>688 325</w:t>
            </w:r>
          </w:p>
        </w:tc>
        <w:tc>
          <w:tcPr>
            <w:tcW w:w="1461" w:type="dxa"/>
            <w:tcBorders>
              <w:top w:val="single" w:sz="4" w:space="0" w:color="auto"/>
              <w:left w:val="nil"/>
              <w:bottom w:val="single" w:sz="4" w:space="0" w:color="auto"/>
              <w:right w:val="nil"/>
            </w:tcBorders>
            <w:vAlign w:val="bottom"/>
            <w:hideMark/>
          </w:tcPr>
          <w:p w14:paraId="08FBDEC9" w14:textId="017F5E0F" w:rsidR="00607B78" w:rsidRPr="009C2953" w:rsidRDefault="00607B78" w:rsidP="00A068F8">
            <w:pPr>
              <w:pStyle w:val="Normal-pool"/>
              <w:spacing w:before="40" w:after="40"/>
              <w:jc w:val="right"/>
              <w:rPr>
                <w:sz w:val="18"/>
                <w:szCs w:val="18"/>
              </w:rPr>
            </w:pPr>
            <w:r w:rsidRPr="009C2953">
              <w:rPr>
                <w:sz w:val="18"/>
              </w:rPr>
              <w:t>(79</w:t>
            </w:r>
            <w:r w:rsidR="008747EC" w:rsidRPr="009C2953">
              <w:rPr>
                <w:sz w:val="18"/>
              </w:rPr>
              <w:t> </w:t>
            </w:r>
            <w:r w:rsidRPr="009C2953">
              <w:rPr>
                <w:sz w:val="18"/>
              </w:rPr>
              <w:t>175)</w:t>
            </w:r>
          </w:p>
        </w:tc>
      </w:tr>
      <w:tr w:rsidR="00607B78" w:rsidRPr="009C2953" w14:paraId="231EE983" w14:textId="77777777" w:rsidTr="00A068F8">
        <w:trPr>
          <w:trHeight w:val="57"/>
          <w:jc w:val="right"/>
        </w:trPr>
        <w:tc>
          <w:tcPr>
            <w:tcW w:w="5130" w:type="dxa"/>
            <w:tcBorders>
              <w:top w:val="single" w:sz="4" w:space="0" w:color="auto"/>
              <w:left w:val="nil"/>
              <w:bottom w:val="single" w:sz="4" w:space="0" w:color="auto"/>
              <w:right w:val="nil"/>
            </w:tcBorders>
            <w:hideMark/>
          </w:tcPr>
          <w:p w14:paraId="7595E7EC" w14:textId="24105843" w:rsidR="00607B78" w:rsidRPr="009C2953" w:rsidRDefault="00607B78" w:rsidP="00A068F8">
            <w:pPr>
              <w:pStyle w:val="Normal-pool"/>
              <w:spacing w:before="40" w:after="40"/>
              <w:rPr>
                <w:b/>
                <w:sz w:val="18"/>
                <w:szCs w:val="18"/>
              </w:rPr>
            </w:pPr>
            <w:r w:rsidRPr="009C2953">
              <w:rPr>
                <w:b/>
                <w:sz w:val="18"/>
              </w:rPr>
              <w:t>Objectif 3 : consolidation de</w:t>
            </w:r>
            <w:r w:rsidR="00F34644" w:rsidRPr="009C2953">
              <w:rPr>
                <w:b/>
                <w:sz w:val="18"/>
              </w:rPr>
              <w:t xml:space="preserve"> la </w:t>
            </w:r>
            <w:r w:rsidRPr="009C2953">
              <w:rPr>
                <w:b/>
                <w:sz w:val="18"/>
              </w:rPr>
              <w:t>base de connaissances</w:t>
            </w:r>
          </w:p>
        </w:tc>
        <w:tc>
          <w:tcPr>
            <w:tcW w:w="1442" w:type="dxa"/>
            <w:tcBorders>
              <w:top w:val="single" w:sz="4" w:space="0" w:color="auto"/>
              <w:left w:val="nil"/>
              <w:bottom w:val="single" w:sz="4" w:space="0" w:color="auto"/>
              <w:right w:val="nil"/>
            </w:tcBorders>
            <w:vAlign w:val="bottom"/>
            <w:hideMark/>
          </w:tcPr>
          <w:p w14:paraId="12EF304A" w14:textId="77777777" w:rsidR="00607B78" w:rsidRPr="009C2953" w:rsidRDefault="00607B78" w:rsidP="00A068F8">
            <w:pPr>
              <w:pStyle w:val="Normal-pool"/>
              <w:spacing w:before="40" w:after="40"/>
              <w:jc w:val="right"/>
              <w:rPr>
                <w:b/>
                <w:sz w:val="18"/>
                <w:szCs w:val="18"/>
              </w:rPr>
            </w:pPr>
            <w:r w:rsidRPr="009C2953">
              <w:rPr>
                <w:b/>
                <w:sz w:val="18"/>
              </w:rPr>
              <w:t>712 000</w:t>
            </w:r>
          </w:p>
        </w:tc>
        <w:tc>
          <w:tcPr>
            <w:tcW w:w="1464" w:type="dxa"/>
            <w:tcBorders>
              <w:top w:val="single" w:sz="4" w:space="0" w:color="auto"/>
              <w:left w:val="nil"/>
              <w:bottom w:val="single" w:sz="4" w:space="0" w:color="auto"/>
              <w:right w:val="nil"/>
            </w:tcBorders>
            <w:vAlign w:val="bottom"/>
            <w:hideMark/>
          </w:tcPr>
          <w:p w14:paraId="7D1C3B8E" w14:textId="77777777" w:rsidR="00607B78" w:rsidRPr="009C2953" w:rsidRDefault="00607B78" w:rsidP="00A068F8">
            <w:pPr>
              <w:pStyle w:val="Normal-pool"/>
              <w:spacing w:before="40" w:after="40"/>
              <w:jc w:val="right"/>
              <w:rPr>
                <w:b/>
                <w:sz w:val="18"/>
                <w:szCs w:val="18"/>
              </w:rPr>
            </w:pPr>
            <w:r w:rsidRPr="009C2953">
              <w:rPr>
                <w:b/>
                <w:sz w:val="18"/>
              </w:rPr>
              <w:t>597 000</w:t>
            </w:r>
          </w:p>
        </w:tc>
        <w:tc>
          <w:tcPr>
            <w:tcW w:w="1461" w:type="dxa"/>
            <w:tcBorders>
              <w:top w:val="single" w:sz="4" w:space="0" w:color="auto"/>
              <w:left w:val="nil"/>
              <w:bottom w:val="single" w:sz="4" w:space="0" w:color="auto"/>
              <w:right w:val="nil"/>
            </w:tcBorders>
            <w:vAlign w:val="bottom"/>
            <w:hideMark/>
          </w:tcPr>
          <w:p w14:paraId="3F25AB06" w14:textId="52CC3DF9" w:rsidR="00607B78" w:rsidRPr="009C2953" w:rsidRDefault="00607B78" w:rsidP="00A068F8">
            <w:pPr>
              <w:pStyle w:val="Normal-pool"/>
              <w:spacing w:before="40" w:after="40"/>
              <w:jc w:val="right"/>
              <w:rPr>
                <w:b/>
                <w:sz w:val="18"/>
                <w:szCs w:val="18"/>
              </w:rPr>
            </w:pPr>
            <w:r w:rsidRPr="009C2953">
              <w:rPr>
                <w:b/>
                <w:sz w:val="18"/>
              </w:rPr>
              <w:t>(115</w:t>
            </w:r>
            <w:r w:rsidR="008747EC" w:rsidRPr="009C2953">
              <w:rPr>
                <w:b/>
                <w:sz w:val="18"/>
              </w:rPr>
              <w:t> </w:t>
            </w:r>
            <w:r w:rsidRPr="009C2953">
              <w:rPr>
                <w:b/>
                <w:sz w:val="18"/>
              </w:rPr>
              <w:t>000)</w:t>
            </w:r>
          </w:p>
        </w:tc>
      </w:tr>
      <w:tr w:rsidR="00607B78" w:rsidRPr="009C2953" w14:paraId="6D53F95E" w14:textId="77777777" w:rsidTr="00A068F8">
        <w:trPr>
          <w:trHeight w:val="57"/>
          <w:jc w:val="right"/>
        </w:trPr>
        <w:tc>
          <w:tcPr>
            <w:tcW w:w="5130" w:type="dxa"/>
            <w:tcBorders>
              <w:top w:val="single" w:sz="4" w:space="0" w:color="auto"/>
              <w:left w:val="nil"/>
              <w:bottom w:val="nil"/>
              <w:right w:val="nil"/>
            </w:tcBorders>
            <w:hideMark/>
          </w:tcPr>
          <w:p w14:paraId="73F10261" w14:textId="40F4658B" w:rsidR="00607B78" w:rsidRPr="009C2953" w:rsidRDefault="00607B78" w:rsidP="00A068F8">
            <w:pPr>
              <w:pStyle w:val="Normal-pool"/>
              <w:spacing w:before="40" w:after="40"/>
              <w:ind w:left="35"/>
              <w:rPr>
                <w:sz w:val="18"/>
                <w:szCs w:val="18"/>
              </w:rPr>
            </w:pPr>
            <w:r w:rsidRPr="009C2953">
              <w:rPr>
                <w:sz w:val="18"/>
              </w:rPr>
              <w:t>Objectif 3 a) : travaux avancés sur</w:t>
            </w:r>
            <w:r w:rsidR="00F34644" w:rsidRPr="009C2953">
              <w:rPr>
                <w:sz w:val="18"/>
              </w:rPr>
              <w:t xml:space="preserve"> les </w:t>
            </w:r>
            <w:r w:rsidRPr="009C2953">
              <w:rPr>
                <w:sz w:val="18"/>
              </w:rPr>
              <w:t>connaissances et</w:t>
            </w:r>
            <w:r w:rsidR="00F34644" w:rsidRPr="009C2953">
              <w:rPr>
                <w:sz w:val="18"/>
              </w:rPr>
              <w:t xml:space="preserve"> les </w:t>
            </w:r>
            <w:r w:rsidRPr="009C2953">
              <w:rPr>
                <w:sz w:val="18"/>
              </w:rPr>
              <w:t>données</w:t>
            </w:r>
          </w:p>
        </w:tc>
        <w:tc>
          <w:tcPr>
            <w:tcW w:w="1442" w:type="dxa"/>
            <w:tcBorders>
              <w:top w:val="single" w:sz="4" w:space="0" w:color="auto"/>
              <w:left w:val="nil"/>
              <w:bottom w:val="nil"/>
              <w:right w:val="nil"/>
            </w:tcBorders>
            <w:vAlign w:val="bottom"/>
            <w:hideMark/>
          </w:tcPr>
          <w:p w14:paraId="7FF5417D" w14:textId="77777777" w:rsidR="00607B78" w:rsidRPr="009C2953" w:rsidRDefault="00607B78" w:rsidP="00A068F8">
            <w:pPr>
              <w:pStyle w:val="Normal-pool"/>
              <w:spacing w:before="40" w:after="40"/>
              <w:jc w:val="right"/>
              <w:rPr>
                <w:sz w:val="18"/>
                <w:szCs w:val="18"/>
              </w:rPr>
            </w:pPr>
            <w:r w:rsidRPr="009C2953">
              <w:rPr>
                <w:sz w:val="18"/>
              </w:rPr>
              <w:t>293 000</w:t>
            </w:r>
          </w:p>
        </w:tc>
        <w:tc>
          <w:tcPr>
            <w:tcW w:w="1464" w:type="dxa"/>
            <w:tcBorders>
              <w:top w:val="single" w:sz="4" w:space="0" w:color="auto"/>
              <w:left w:val="nil"/>
              <w:bottom w:val="nil"/>
              <w:right w:val="nil"/>
            </w:tcBorders>
            <w:vAlign w:val="bottom"/>
            <w:hideMark/>
          </w:tcPr>
          <w:p w14:paraId="7EDE5B28" w14:textId="77777777" w:rsidR="00607B78" w:rsidRPr="009C2953" w:rsidRDefault="00607B78" w:rsidP="00A068F8">
            <w:pPr>
              <w:pStyle w:val="Normal-pool"/>
              <w:spacing w:before="40" w:after="40"/>
              <w:jc w:val="right"/>
              <w:rPr>
                <w:sz w:val="18"/>
                <w:szCs w:val="18"/>
              </w:rPr>
            </w:pPr>
            <w:r w:rsidRPr="009C2953">
              <w:rPr>
                <w:sz w:val="18"/>
              </w:rPr>
              <w:t>209 000</w:t>
            </w:r>
          </w:p>
        </w:tc>
        <w:tc>
          <w:tcPr>
            <w:tcW w:w="1461" w:type="dxa"/>
            <w:tcBorders>
              <w:top w:val="single" w:sz="4" w:space="0" w:color="auto"/>
              <w:left w:val="nil"/>
              <w:bottom w:val="nil"/>
              <w:right w:val="nil"/>
            </w:tcBorders>
            <w:vAlign w:val="bottom"/>
            <w:hideMark/>
          </w:tcPr>
          <w:p w14:paraId="335C0C63" w14:textId="294C8258" w:rsidR="00607B78" w:rsidRPr="009C2953" w:rsidRDefault="00607B78" w:rsidP="00A068F8">
            <w:pPr>
              <w:pStyle w:val="Normal-pool"/>
              <w:spacing w:before="40" w:after="40"/>
              <w:jc w:val="right"/>
              <w:rPr>
                <w:sz w:val="18"/>
                <w:szCs w:val="18"/>
              </w:rPr>
            </w:pPr>
            <w:r w:rsidRPr="009C2953">
              <w:rPr>
                <w:sz w:val="18"/>
              </w:rPr>
              <w:t>(84</w:t>
            </w:r>
            <w:r w:rsidR="008747EC" w:rsidRPr="009C2953">
              <w:rPr>
                <w:sz w:val="18"/>
              </w:rPr>
              <w:t> </w:t>
            </w:r>
            <w:r w:rsidRPr="009C2953">
              <w:rPr>
                <w:sz w:val="18"/>
              </w:rPr>
              <w:t>000)</w:t>
            </w:r>
          </w:p>
        </w:tc>
      </w:tr>
      <w:tr w:rsidR="00607B78" w:rsidRPr="009C2953" w14:paraId="0E95DFBC" w14:textId="77777777" w:rsidTr="00A068F8">
        <w:trPr>
          <w:trHeight w:val="57"/>
          <w:jc w:val="right"/>
        </w:trPr>
        <w:tc>
          <w:tcPr>
            <w:tcW w:w="5130" w:type="dxa"/>
            <w:tcBorders>
              <w:top w:val="nil"/>
              <w:left w:val="nil"/>
              <w:bottom w:val="single" w:sz="4" w:space="0" w:color="auto"/>
              <w:right w:val="nil"/>
            </w:tcBorders>
            <w:hideMark/>
          </w:tcPr>
          <w:p w14:paraId="49928F52" w14:textId="523E4989" w:rsidR="00607B78" w:rsidRPr="009C2953" w:rsidRDefault="00607B78" w:rsidP="00A068F8">
            <w:pPr>
              <w:pStyle w:val="Normal-pool"/>
              <w:spacing w:before="40" w:after="40"/>
              <w:ind w:left="35"/>
              <w:rPr>
                <w:sz w:val="18"/>
                <w:szCs w:val="18"/>
              </w:rPr>
            </w:pPr>
            <w:r w:rsidRPr="009C2953">
              <w:rPr>
                <w:sz w:val="18"/>
              </w:rPr>
              <w:t>Objectif 3 b) : reconnaissance et utilisation améliorées</w:t>
            </w:r>
            <w:r w:rsidR="00D24DC1" w:rsidRPr="009C2953">
              <w:rPr>
                <w:sz w:val="18"/>
              </w:rPr>
              <w:t xml:space="preserve"> des </w:t>
            </w:r>
            <w:r w:rsidRPr="009C2953">
              <w:rPr>
                <w:sz w:val="18"/>
              </w:rPr>
              <w:t>systèmes de savoirs autochtones et locaux</w:t>
            </w:r>
          </w:p>
        </w:tc>
        <w:tc>
          <w:tcPr>
            <w:tcW w:w="1442" w:type="dxa"/>
            <w:tcBorders>
              <w:top w:val="nil"/>
              <w:left w:val="nil"/>
              <w:bottom w:val="single" w:sz="4" w:space="0" w:color="auto"/>
              <w:right w:val="nil"/>
            </w:tcBorders>
            <w:vAlign w:val="bottom"/>
            <w:hideMark/>
          </w:tcPr>
          <w:p w14:paraId="16912684" w14:textId="77777777" w:rsidR="00607B78" w:rsidRPr="009C2953" w:rsidRDefault="00607B78" w:rsidP="00A068F8">
            <w:pPr>
              <w:pStyle w:val="Normal-pool"/>
              <w:spacing w:before="40" w:after="40"/>
              <w:jc w:val="right"/>
              <w:rPr>
                <w:sz w:val="18"/>
                <w:szCs w:val="18"/>
              </w:rPr>
            </w:pPr>
            <w:r w:rsidRPr="009C2953">
              <w:rPr>
                <w:sz w:val="18"/>
              </w:rPr>
              <w:t>419 000</w:t>
            </w:r>
          </w:p>
        </w:tc>
        <w:tc>
          <w:tcPr>
            <w:tcW w:w="1464" w:type="dxa"/>
            <w:tcBorders>
              <w:top w:val="nil"/>
              <w:left w:val="nil"/>
              <w:bottom w:val="single" w:sz="4" w:space="0" w:color="auto"/>
              <w:right w:val="nil"/>
            </w:tcBorders>
            <w:vAlign w:val="bottom"/>
            <w:hideMark/>
          </w:tcPr>
          <w:p w14:paraId="597F54BE" w14:textId="77777777" w:rsidR="00607B78" w:rsidRPr="009C2953" w:rsidRDefault="00607B78" w:rsidP="00A068F8">
            <w:pPr>
              <w:pStyle w:val="Normal-pool"/>
              <w:spacing w:before="40" w:after="40"/>
              <w:jc w:val="right"/>
              <w:rPr>
                <w:sz w:val="18"/>
                <w:szCs w:val="18"/>
              </w:rPr>
            </w:pPr>
            <w:r w:rsidRPr="009C2953">
              <w:rPr>
                <w:sz w:val="18"/>
              </w:rPr>
              <w:t>388 000</w:t>
            </w:r>
          </w:p>
        </w:tc>
        <w:tc>
          <w:tcPr>
            <w:tcW w:w="1461" w:type="dxa"/>
            <w:tcBorders>
              <w:top w:val="nil"/>
              <w:left w:val="nil"/>
              <w:bottom w:val="single" w:sz="4" w:space="0" w:color="auto"/>
              <w:right w:val="nil"/>
            </w:tcBorders>
            <w:vAlign w:val="bottom"/>
            <w:hideMark/>
          </w:tcPr>
          <w:p w14:paraId="04E2DF1C" w14:textId="3D1091DB" w:rsidR="00607B78" w:rsidRPr="009C2953" w:rsidRDefault="00607B78" w:rsidP="00A068F8">
            <w:pPr>
              <w:pStyle w:val="Normal-pool"/>
              <w:spacing w:before="40" w:after="40"/>
              <w:jc w:val="right"/>
              <w:rPr>
                <w:sz w:val="18"/>
                <w:szCs w:val="18"/>
              </w:rPr>
            </w:pPr>
            <w:r w:rsidRPr="009C2953">
              <w:rPr>
                <w:sz w:val="18"/>
              </w:rPr>
              <w:t>(31</w:t>
            </w:r>
            <w:r w:rsidR="008747EC" w:rsidRPr="009C2953">
              <w:rPr>
                <w:sz w:val="18"/>
              </w:rPr>
              <w:t> </w:t>
            </w:r>
            <w:r w:rsidRPr="009C2953">
              <w:rPr>
                <w:sz w:val="18"/>
              </w:rPr>
              <w:t>000)</w:t>
            </w:r>
          </w:p>
        </w:tc>
      </w:tr>
      <w:tr w:rsidR="00607B78" w:rsidRPr="009C2953" w14:paraId="144924D2" w14:textId="77777777" w:rsidTr="00A068F8">
        <w:trPr>
          <w:trHeight w:val="57"/>
          <w:jc w:val="right"/>
        </w:trPr>
        <w:tc>
          <w:tcPr>
            <w:tcW w:w="5130" w:type="dxa"/>
            <w:tcBorders>
              <w:top w:val="single" w:sz="4" w:space="0" w:color="auto"/>
              <w:left w:val="nil"/>
              <w:bottom w:val="single" w:sz="4" w:space="0" w:color="auto"/>
              <w:right w:val="nil"/>
            </w:tcBorders>
            <w:hideMark/>
          </w:tcPr>
          <w:p w14:paraId="26B4E95E" w14:textId="557CEB87" w:rsidR="00607B78" w:rsidRPr="009C2953" w:rsidRDefault="00607B78" w:rsidP="00A068F8">
            <w:pPr>
              <w:pStyle w:val="Normal-pool"/>
              <w:spacing w:before="40" w:after="40"/>
              <w:rPr>
                <w:b/>
                <w:sz w:val="18"/>
                <w:szCs w:val="18"/>
              </w:rPr>
            </w:pPr>
            <w:r w:rsidRPr="009C2953">
              <w:rPr>
                <w:b/>
                <w:sz w:val="18"/>
              </w:rPr>
              <w:t>Objectif 4 : appui à l</w:t>
            </w:r>
            <w:r w:rsidR="00EA2966" w:rsidRPr="009C2953">
              <w:rPr>
                <w:b/>
                <w:sz w:val="18"/>
              </w:rPr>
              <w:t>’</w:t>
            </w:r>
            <w:r w:rsidRPr="009C2953">
              <w:rPr>
                <w:b/>
                <w:sz w:val="18"/>
              </w:rPr>
              <w:t>élaboration</w:t>
            </w:r>
            <w:r w:rsidR="00D24DC1" w:rsidRPr="009C2953">
              <w:rPr>
                <w:b/>
                <w:sz w:val="18"/>
              </w:rPr>
              <w:t xml:space="preserve"> des </w:t>
            </w:r>
            <w:r w:rsidRPr="009C2953">
              <w:rPr>
                <w:b/>
                <w:sz w:val="18"/>
              </w:rPr>
              <w:t>politiques</w:t>
            </w:r>
          </w:p>
        </w:tc>
        <w:tc>
          <w:tcPr>
            <w:tcW w:w="1442" w:type="dxa"/>
            <w:tcBorders>
              <w:top w:val="single" w:sz="4" w:space="0" w:color="auto"/>
              <w:left w:val="nil"/>
              <w:bottom w:val="single" w:sz="4" w:space="0" w:color="auto"/>
              <w:right w:val="nil"/>
            </w:tcBorders>
            <w:vAlign w:val="bottom"/>
            <w:hideMark/>
          </w:tcPr>
          <w:p w14:paraId="05698C3A" w14:textId="77777777" w:rsidR="00607B78" w:rsidRPr="009C2953" w:rsidRDefault="00607B78" w:rsidP="00A068F8">
            <w:pPr>
              <w:pStyle w:val="Normal-pool"/>
              <w:spacing w:before="40" w:after="40"/>
              <w:jc w:val="right"/>
              <w:rPr>
                <w:b/>
                <w:sz w:val="18"/>
                <w:szCs w:val="18"/>
              </w:rPr>
            </w:pPr>
            <w:r w:rsidRPr="009C2953">
              <w:rPr>
                <w:b/>
                <w:sz w:val="18"/>
              </w:rPr>
              <w:t>750 000</w:t>
            </w:r>
          </w:p>
        </w:tc>
        <w:tc>
          <w:tcPr>
            <w:tcW w:w="1464" w:type="dxa"/>
            <w:tcBorders>
              <w:top w:val="single" w:sz="4" w:space="0" w:color="auto"/>
              <w:left w:val="nil"/>
              <w:bottom w:val="single" w:sz="4" w:space="0" w:color="auto"/>
              <w:right w:val="nil"/>
            </w:tcBorders>
            <w:vAlign w:val="bottom"/>
            <w:hideMark/>
          </w:tcPr>
          <w:p w14:paraId="3D352EB7" w14:textId="77777777" w:rsidR="00607B78" w:rsidRPr="009C2953" w:rsidRDefault="00607B78" w:rsidP="00A068F8">
            <w:pPr>
              <w:pStyle w:val="Normal-pool"/>
              <w:spacing w:before="40" w:after="40"/>
              <w:jc w:val="right"/>
              <w:rPr>
                <w:b/>
                <w:sz w:val="18"/>
                <w:szCs w:val="18"/>
              </w:rPr>
            </w:pPr>
            <w:r w:rsidRPr="009C2953">
              <w:rPr>
                <w:b/>
                <w:sz w:val="18"/>
              </w:rPr>
              <w:t>335 000</w:t>
            </w:r>
          </w:p>
        </w:tc>
        <w:tc>
          <w:tcPr>
            <w:tcW w:w="1461" w:type="dxa"/>
            <w:tcBorders>
              <w:top w:val="single" w:sz="4" w:space="0" w:color="auto"/>
              <w:left w:val="nil"/>
              <w:bottom w:val="single" w:sz="4" w:space="0" w:color="auto"/>
              <w:right w:val="nil"/>
            </w:tcBorders>
            <w:vAlign w:val="bottom"/>
            <w:hideMark/>
          </w:tcPr>
          <w:p w14:paraId="3C4DEB50" w14:textId="49BC2020" w:rsidR="00607B78" w:rsidRPr="009C2953" w:rsidRDefault="00607B78" w:rsidP="00A068F8">
            <w:pPr>
              <w:pStyle w:val="Normal-pool"/>
              <w:spacing w:before="40" w:after="40"/>
              <w:jc w:val="right"/>
              <w:rPr>
                <w:b/>
                <w:sz w:val="18"/>
                <w:szCs w:val="18"/>
              </w:rPr>
            </w:pPr>
            <w:r w:rsidRPr="009C2953">
              <w:rPr>
                <w:b/>
                <w:sz w:val="18"/>
              </w:rPr>
              <w:t>(415</w:t>
            </w:r>
            <w:r w:rsidR="008747EC" w:rsidRPr="009C2953">
              <w:rPr>
                <w:b/>
                <w:sz w:val="18"/>
              </w:rPr>
              <w:t> </w:t>
            </w:r>
            <w:r w:rsidRPr="009C2953">
              <w:rPr>
                <w:b/>
                <w:sz w:val="18"/>
              </w:rPr>
              <w:t>000)</w:t>
            </w:r>
          </w:p>
        </w:tc>
      </w:tr>
      <w:tr w:rsidR="00607B78" w:rsidRPr="009C2953" w14:paraId="37A6E931" w14:textId="77777777" w:rsidTr="00A068F8">
        <w:trPr>
          <w:trHeight w:val="57"/>
          <w:jc w:val="right"/>
        </w:trPr>
        <w:tc>
          <w:tcPr>
            <w:tcW w:w="5130" w:type="dxa"/>
            <w:tcBorders>
              <w:top w:val="single" w:sz="4" w:space="0" w:color="auto"/>
              <w:left w:val="nil"/>
              <w:bottom w:val="nil"/>
              <w:right w:val="nil"/>
            </w:tcBorders>
            <w:hideMark/>
          </w:tcPr>
          <w:p w14:paraId="55164E13" w14:textId="4F01439F" w:rsidR="00607B78" w:rsidRPr="009C2953" w:rsidRDefault="00607B78" w:rsidP="00A068F8">
            <w:pPr>
              <w:pStyle w:val="Normal-pool"/>
              <w:spacing w:before="40" w:after="40"/>
              <w:ind w:left="35"/>
              <w:rPr>
                <w:sz w:val="18"/>
                <w:szCs w:val="18"/>
              </w:rPr>
            </w:pPr>
            <w:r w:rsidRPr="009C2953">
              <w:rPr>
                <w:sz w:val="18"/>
              </w:rPr>
              <w:t>Objectif 4 a) : travaux avancés sur</w:t>
            </w:r>
            <w:r w:rsidR="00F34644" w:rsidRPr="009C2953">
              <w:rPr>
                <w:sz w:val="18"/>
              </w:rPr>
              <w:t xml:space="preserve"> les </w:t>
            </w:r>
            <w:r w:rsidRPr="009C2953">
              <w:rPr>
                <w:sz w:val="18"/>
              </w:rPr>
              <w:t>moyens d</w:t>
            </w:r>
            <w:r w:rsidR="00EA2966" w:rsidRPr="009C2953">
              <w:rPr>
                <w:sz w:val="18"/>
              </w:rPr>
              <w:t>’</w:t>
            </w:r>
            <w:r w:rsidRPr="009C2953">
              <w:rPr>
                <w:sz w:val="18"/>
              </w:rPr>
              <w:t>action,</w:t>
            </w:r>
            <w:r w:rsidR="00F34644" w:rsidRPr="009C2953">
              <w:rPr>
                <w:sz w:val="18"/>
              </w:rPr>
              <w:t xml:space="preserve"> les </w:t>
            </w:r>
            <w:r w:rsidRPr="009C2953">
              <w:rPr>
                <w:sz w:val="18"/>
              </w:rPr>
              <w:t>outils d</w:t>
            </w:r>
            <w:r w:rsidR="00EA2966" w:rsidRPr="009C2953">
              <w:rPr>
                <w:sz w:val="18"/>
              </w:rPr>
              <w:t>’</w:t>
            </w:r>
            <w:r w:rsidRPr="009C2953">
              <w:rPr>
                <w:sz w:val="18"/>
              </w:rPr>
              <w:t>appui à l</w:t>
            </w:r>
            <w:r w:rsidR="00EA2966" w:rsidRPr="009C2953">
              <w:rPr>
                <w:sz w:val="18"/>
              </w:rPr>
              <w:t>’</w:t>
            </w:r>
            <w:r w:rsidRPr="009C2953">
              <w:rPr>
                <w:sz w:val="18"/>
              </w:rPr>
              <w:t>élaboration</w:t>
            </w:r>
            <w:r w:rsidR="00D24DC1" w:rsidRPr="009C2953">
              <w:rPr>
                <w:sz w:val="18"/>
              </w:rPr>
              <w:t xml:space="preserve"> des </w:t>
            </w:r>
            <w:r w:rsidRPr="009C2953">
              <w:rPr>
                <w:sz w:val="18"/>
              </w:rPr>
              <w:t>politiques et</w:t>
            </w:r>
            <w:r w:rsidR="00F34644" w:rsidRPr="009C2953">
              <w:rPr>
                <w:sz w:val="18"/>
              </w:rPr>
              <w:t xml:space="preserve"> les </w:t>
            </w:r>
            <w:r w:rsidRPr="009C2953">
              <w:rPr>
                <w:sz w:val="18"/>
              </w:rPr>
              <w:t>méthodes</w:t>
            </w:r>
          </w:p>
        </w:tc>
        <w:tc>
          <w:tcPr>
            <w:tcW w:w="1442" w:type="dxa"/>
            <w:tcBorders>
              <w:top w:val="single" w:sz="4" w:space="0" w:color="auto"/>
              <w:left w:val="nil"/>
              <w:bottom w:val="nil"/>
              <w:right w:val="nil"/>
            </w:tcBorders>
            <w:vAlign w:val="bottom"/>
            <w:hideMark/>
          </w:tcPr>
          <w:p w14:paraId="53BE1B2C" w14:textId="77777777" w:rsidR="00607B78" w:rsidRPr="009C2953" w:rsidRDefault="00607B78" w:rsidP="00A068F8">
            <w:pPr>
              <w:pStyle w:val="Normal-pool"/>
              <w:spacing w:before="40" w:after="40"/>
              <w:jc w:val="right"/>
              <w:rPr>
                <w:sz w:val="18"/>
                <w:szCs w:val="18"/>
              </w:rPr>
            </w:pPr>
            <w:r w:rsidRPr="009C2953">
              <w:rPr>
                <w:sz w:val="18"/>
              </w:rPr>
              <w:t>244 000</w:t>
            </w:r>
          </w:p>
        </w:tc>
        <w:tc>
          <w:tcPr>
            <w:tcW w:w="1464" w:type="dxa"/>
            <w:tcBorders>
              <w:top w:val="single" w:sz="4" w:space="0" w:color="auto"/>
              <w:left w:val="nil"/>
              <w:bottom w:val="nil"/>
              <w:right w:val="nil"/>
            </w:tcBorders>
            <w:vAlign w:val="bottom"/>
            <w:hideMark/>
          </w:tcPr>
          <w:p w14:paraId="3F2552E2" w14:textId="77777777" w:rsidR="00607B78" w:rsidRPr="009C2953" w:rsidRDefault="00607B78" w:rsidP="00A068F8">
            <w:pPr>
              <w:pStyle w:val="Normal-pool"/>
              <w:spacing w:before="40" w:after="40"/>
              <w:jc w:val="right"/>
              <w:rPr>
                <w:sz w:val="18"/>
                <w:szCs w:val="18"/>
              </w:rPr>
            </w:pPr>
            <w:r w:rsidRPr="009C2953">
              <w:rPr>
                <w:sz w:val="18"/>
              </w:rPr>
              <w:t>165 000</w:t>
            </w:r>
          </w:p>
        </w:tc>
        <w:tc>
          <w:tcPr>
            <w:tcW w:w="1461" w:type="dxa"/>
            <w:tcBorders>
              <w:top w:val="single" w:sz="4" w:space="0" w:color="auto"/>
              <w:left w:val="nil"/>
              <w:bottom w:val="nil"/>
              <w:right w:val="nil"/>
            </w:tcBorders>
            <w:vAlign w:val="bottom"/>
            <w:hideMark/>
          </w:tcPr>
          <w:p w14:paraId="15E97129" w14:textId="6022EF5F" w:rsidR="00607B78" w:rsidRPr="009C2953" w:rsidRDefault="00607B78" w:rsidP="00A068F8">
            <w:pPr>
              <w:pStyle w:val="Normal-pool"/>
              <w:spacing w:before="40" w:after="40"/>
              <w:jc w:val="right"/>
              <w:rPr>
                <w:sz w:val="18"/>
                <w:szCs w:val="18"/>
              </w:rPr>
            </w:pPr>
            <w:r w:rsidRPr="009C2953">
              <w:rPr>
                <w:sz w:val="18"/>
              </w:rPr>
              <w:t>(79</w:t>
            </w:r>
            <w:r w:rsidR="008747EC" w:rsidRPr="009C2953">
              <w:rPr>
                <w:sz w:val="18"/>
              </w:rPr>
              <w:t> </w:t>
            </w:r>
            <w:r w:rsidRPr="009C2953">
              <w:rPr>
                <w:sz w:val="18"/>
              </w:rPr>
              <w:t>000)</w:t>
            </w:r>
          </w:p>
        </w:tc>
      </w:tr>
      <w:tr w:rsidR="00607B78" w:rsidRPr="009C2953" w14:paraId="65416655" w14:textId="77777777" w:rsidTr="00A068F8">
        <w:trPr>
          <w:trHeight w:val="57"/>
          <w:jc w:val="right"/>
        </w:trPr>
        <w:tc>
          <w:tcPr>
            <w:tcW w:w="5130" w:type="dxa"/>
            <w:tcBorders>
              <w:top w:val="nil"/>
              <w:left w:val="nil"/>
              <w:bottom w:val="nil"/>
              <w:right w:val="nil"/>
            </w:tcBorders>
            <w:hideMark/>
          </w:tcPr>
          <w:p w14:paraId="194CD897" w14:textId="68098009" w:rsidR="00607B78" w:rsidRPr="009C2953" w:rsidRDefault="00607B78" w:rsidP="00A068F8">
            <w:pPr>
              <w:pStyle w:val="Normal-pool"/>
              <w:spacing w:before="40" w:after="40"/>
              <w:ind w:left="35"/>
              <w:rPr>
                <w:sz w:val="18"/>
                <w:szCs w:val="18"/>
              </w:rPr>
            </w:pPr>
            <w:r w:rsidRPr="009C2953">
              <w:rPr>
                <w:sz w:val="18"/>
              </w:rPr>
              <w:t>Objectif 4 b) : travaux avancés sur</w:t>
            </w:r>
            <w:r w:rsidR="00F34644" w:rsidRPr="009C2953">
              <w:rPr>
                <w:sz w:val="18"/>
              </w:rPr>
              <w:t xml:space="preserve"> les </w:t>
            </w:r>
            <w:r w:rsidRPr="009C2953">
              <w:rPr>
                <w:sz w:val="18"/>
              </w:rPr>
              <w:t>scénarios et</w:t>
            </w:r>
            <w:r w:rsidR="00F34644" w:rsidRPr="009C2953">
              <w:rPr>
                <w:sz w:val="18"/>
              </w:rPr>
              <w:t xml:space="preserve"> les </w:t>
            </w:r>
            <w:r w:rsidRPr="009C2953">
              <w:rPr>
                <w:sz w:val="18"/>
              </w:rPr>
              <w:t>modèles de</w:t>
            </w:r>
            <w:r w:rsidR="00773B9D" w:rsidRPr="009C2953">
              <w:rPr>
                <w:sz w:val="18"/>
              </w:rPr>
              <w:t> </w:t>
            </w:r>
            <w:r w:rsidR="00F34644" w:rsidRPr="009C2953">
              <w:rPr>
                <w:sz w:val="18"/>
              </w:rPr>
              <w:t>la </w:t>
            </w:r>
            <w:r w:rsidRPr="009C2953">
              <w:rPr>
                <w:sz w:val="18"/>
              </w:rPr>
              <w:t>biodiversité et</w:t>
            </w:r>
            <w:r w:rsidR="00D24DC1" w:rsidRPr="009C2953">
              <w:rPr>
                <w:sz w:val="18"/>
              </w:rPr>
              <w:t xml:space="preserve"> des </w:t>
            </w:r>
            <w:r w:rsidRPr="009C2953">
              <w:rPr>
                <w:sz w:val="18"/>
              </w:rPr>
              <w:t xml:space="preserve">fonctions et services écosystémiques </w:t>
            </w:r>
          </w:p>
        </w:tc>
        <w:tc>
          <w:tcPr>
            <w:tcW w:w="1442" w:type="dxa"/>
            <w:tcBorders>
              <w:top w:val="nil"/>
              <w:left w:val="nil"/>
              <w:bottom w:val="nil"/>
              <w:right w:val="nil"/>
            </w:tcBorders>
            <w:vAlign w:val="bottom"/>
            <w:hideMark/>
          </w:tcPr>
          <w:p w14:paraId="341DDFE3" w14:textId="77777777" w:rsidR="00607B78" w:rsidRPr="009C2953" w:rsidRDefault="00607B78" w:rsidP="00A068F8">
            <w:pPr>
              <w:pStyle w:val="Normal-pool"/>
              <w:spacing w:before="40" w:after="40"/>
              <w:jc w:val="right"/>
              <w:rPr>
                <w:sz w:val="18"/>
                <w:szCs w:val="18"/>
              </w:rPr>
            </w:pPr>
            <w:r w:rsidRPr="009C2953">
              <w:rPr>
                <w:sz w:val="18"/>
              </w:rPr>
              <w:t>271 000</w:t>
            </w:r>
          </w:p>
        </w:tc>
        <w:tc>
          <w:tcPr>
            <w:tcW w:w="1464" w:type="dxa"/>
            <w:tcBorders>
              <w:top w:val="nil"/>
              <w:left w:val="nil"/>
              <w:bottom w:val="nil"/>
              <w:right w:val="nil"/>
            </w:tcBorders>
            <w:vAlign w:val="bottom"/>
            <w:hideMark/>
          </w:tcPr>
          <w:p w14:paraId="7922E8CB" w14:textId="77777777" w:rsidR="00607B78" w:rsidRPr="009C2953" w:rsidRDefault="00607B78" w:rsidP="00A068F8">
            <w:pPr>
              <w:pStyle w:val="Normal-pool"/>
              <w:spacing w:before="40" w:after="40"/>
              <w:jc w:val="right"/>
              <w:rPr>
                <w:sz w:val="18"/>
                <w:szCs w:val="18"/>
              </w:rPr>
            </w:pPr>
            <w:r w:rsidRPr="009C2953">
              <w:rPr>
                <w:sz w:val="18"/>
              </w:rPr>
              <w:t>170 000</w:t>
            </w:r>
          </w:p>
        </w:tc>
        <w:tc>
          <w:tcPr>
            <w:tcW w:w="1461" w:type="dxa"/>
            <w:tcBorders>
              <w:top w:val="nil"/>
              <w:left w:val="nil"/>
              <w:bottom w:val="nil"/>
              <w:right w:val="nil"/>
            </w:tcBorders>
            <w:vAlign w:val="bottom"/>
            <w:hideMark/>
          </w:tcPr>
          <w:p w14:paraId="4B49B213" w14:textId="090B5A5C" w:rsidR="00607B78" w:rsidRPr="009C2953" w:rsidRDefault="00607B78" w:rsidP="00A068F8">
            <w:pPr>
              <w:pStyle w:val="Normal-pool"/>
              <w:spacing w:before="40" w:after="40"/>
              <w:jc w:val="right"/>
              <w:rPr>
                <w:sz w:val="18"/>
                <w:szCs w:val="18"/>
              </w:rPr>
            </w:pPr>
            <w:r w:rsidRPr="009C2953">
              <w:rPr>
                <w:sz w:val="18"/>
              </w:rPr>
              <w:t>(101</w:t>
            </w:r>
            <w:r w:rsidR="008747EC" w:rsidRPr="009C2953">
              <w:rPr>
                <w:sz w:val="18"/>
              </w:rPr>
              <w:t> </w:t>
            </w:r>
            <w:r w:rsidRPr="009C2953">
              <w:rPr>
                <w:sz w:val="18"/>
              </w:rPr>
              <w:t>000)</w:t>
            </w:r>
          </w:p>
        </w:tc>
      </w:tr>
      <w:tr w:rsidR="00607B78" w:rsidRPr="009C2953" w14:paraId="153FCCEE" w14:textId="77777777" w:rsidTr="00A068F8">
        <w:trPr>
          <w:trHeight w:val="57"/>
          <w:jc w:val="right"/>
        </w:trPr>
        <w:tc>
          <w:tcPr>
            <w:tcW w:w="5130" w:type="dxa"/>
            <w:tcBorders>
              <w:top w:val="nil"/>
              <w:left w:val="nil"/>
              <w:bottom w:val="single" w:sz="4" w:space="0" w:color="auto"/>
              <w:right w:val="nil"/>
            </w:tcBorders>
            <w:hideMark/>
          </w:tcPr>
          <w:p w14:paraId="18FFA625" w14:textId="074B769E" w:rsidR="00607B78" w:rsidRPr="009C2953" w:rsidRDefault="00607B78" w:rsidP="00A068F8">
            <w:pPr>
              <w:pStyle w:val="Normal-pool"/>
              <w:spacing w:before="40" w:after="40"/>
              <w:ind w:left="35"/>
              <w:rPr>
                <w:sz w:val="18"/>
                <w:szCs w:val="18"/>
              </w:rPr>
            </w:pPr>
            <w:r w:rsidRPr="009C2953">
              <w:rPr>
                <w:sz w:val="18"/>
              </w:rPr>
              <w:t>Objectif 4 c) : travaux avancés sur</w:t>
            </w:r>
            <w:r w:rsidR="00F34644" w:rsidRPr="009C2953">
              <w:rPr>
                <w:sz w:val="18"/>
              </w:rPr>
              <w:t xml:space="preserve"> les </w:t>
            </w:r>
            <w:r w:rsidRPr="009C2953">
              <w:rPr>
                <w:sz w:val="18"/>
              </w:rPr>
              <w:t>valeurs multiples</w:t>
            </w:r>
          </w:p>
        </w:tc>
        <w:tc>
          <w:tcPr>
            <w:tcW w:w="1442" w:type="dxa"/>
            <w:tcBorders>
              <w:top w:val="nil"/>
              <w:left w:val="nil"/>
              <w:bottom w:val="single" w:sz="4" w:space="0" w:color="auto"/>
              <w:right w:val="nil"/>
            </w:tcBorders>
            <w:vAlign w:val="bottom"/>
            <w:hideMark/>
          </w:tcPr>
          <w:p w14:paraId="2295960F" w14:textId="77777777" w:rsidR="00607B78" w:rsidRPr="009C2953" w:rsidRDefault="00607B78" w:rsidP="00A068F8">
            <w:pPr>
              <w:pStyle w:val="Normal-pool"/>
              <w:spacing w:before="40" w:after="40"/>
              <w:jc w:val="right"/>
              <w:rPr>
                <w:sz w:val="18"/>
                <w:szCs w:val="18"/>
              </w:rPr>
            </w:pPr>
            <w:r w:rsidRPr="009C2953">
              <w:rPr>
                <w:sz w:val="18"/>
              </w:rPr>
              <w:t>235 000</w:t>
            </w:r>
          </w:p>
        </w:tc>
        <w:tc>
          <w:tcPr>
            <w:tcW w:w="1464" w:type="dxa"/>
            <w:tcBorders>
              <w:top w:val="nil"/>
              <w:left w:val="nil"/>
              <w:bottom w:val="single" w:sz="4" w:space="0" w:color="auto"/>
              <w:right w:val="nil"/>
            </w:tcBorders>
            <w:vAlign w:val="bottom"/>
            <w:hideMark/>
          </w:tcPr>
          <w:p w14:paraId="5FAA9543" w14:textId="77777777" w:rsidR="00607B78" w:rsidRPr="009C2953" w:rsidRDefault="00607B78" w:rsidP="00A068F8">
            <w:pPr>
              <w:pStyle w:val="Normal-pool"/>
              <w:spacing w:before="40" w:after="40"/>
              <w:jc w:val="right"/>
              <w:rPr>
                <w:sz w:val="18"/>
                <w:szCs w:val="18"/>
              </w:rPr>
            </w:pPr>
            <w:r w:rsidRPr="009C2953">
              <w:rPr>
                <w:sz w:val="18"/>
              </w:rPr>
              <w:t>0</w:t>
            </w:r>
          </w:p>
        </w:tc>
        <w:tc>
          <w:tcPr>
            <w:tcW w:w="1461" w:type="dxa"/>
            <w:tcBorders>
              <w:top w:val="nil"/>
              <w:left w:val="nil"/>
              <w:bottom w:val="single" w:sz="4" w:space="0" w:color="auto"/>
              <w:right w:val="nil"/>
            </w:tcBorders>
            <w:vAlign w:val="bottom"/>
            <w:hideMark/>
          </w:tcPr>
          <w:p w14:paraId="2E2D270C" w14:textId="27AC133D" w:rsidR="00607B78" w:rsidRPr="009C2953" w:rsidRDefault="00607B78" w:rsidP="008747EC">
            <w:pPr>
              <w:pStyle w:val="Normal-pool"/>
              <w:spacing w:before="40" w:after="40"/>
              <w:jc w:val="right"/>
              <w:rPr>
                <w:sz w:val="18"/>
                <w:szCs w:val="18"/>
              </w:rPr>
            </w:pPr>
            <w:r w:rsidRPr="009C2953">
              <w:rPr>
                <w:sz w:val="18"/>
              </w:rPr>
              <w:t>(235</w:t>
            </w:r>
            <w:r w:rsidR="008747EC" w:rsidRPr="009C2953">
              <w:rPr>
                <w:sz w:val="18"/>
              </w:rPr>
              <w:t> </w:t>
            </w:r>
            <w:r w:rsidRPr="009C2953">
              <w:rPr>
                <w:sz w:val="18"/>
              </w:rPr>
              <w:t>000)</w:t>
            </w:r>
          </w:p>
        </w:tc>
      </w:tr>
      <w:tr w:rsidR="00607B78" w:rsidRPr="009C2953" w14:paraId="6BF72F8D" w14:textId="77777777" w:rsidTr="00A068F8">
        <w:trPr>
          <w:trHeight w:val="57"/>
          <w:jc w:val="right"/>
        </w:trPr>
        <w:tc>
          <w:tcPr>
            <w:tcW w:w="5130" w:type="dxa"/>
            <w:tcBorders>
              <w:top w:val="single" w:sz="4" w:space="0" w:color="auto"/>
              <w:left w:val="nil"/>
              <w:bottom w:val="single" w:sz="4" w:space="0" w:color="auto"/>
              <w:right w:val="nil"/>
            </w:tcBorders>
            <w:hideMark/>
          </w:tcPr>
          <w:p w14:paraId="4BA58A92" w14:textId="77777777" w:rsidR="00607B78" w:rsidRPr="009C2953" w:rsidRDefault="00607B78" w:rsidP="00A068F8">
            <w:pPr>
              <w:pStyle w:val="Normal-pool"/>
              <w:spacing w:before="40" w:after="40"/>
              <w:rPr>
                <w:b/>
                <w:sz w:val="18"/>
                <w:szCs w:val="18"/>
              </w:rPr>
            </w:pPr>
            <w:r w:rsidRPr="009C2953">
              <w:rPr>
                <w:b/>
                <w:sz w:val="18"/>
              </w:rPr>
              <w:t>Objectif 5 : communication et participation</w:t>
            </w:r>
          </w:p>
        </w:tc>
        <w:tc>
          <w:tcPr>
            <w:tcW w:w="1442" w:type="dxa"/>
            <w:tcBorders>
              <w:top w:val="single" w:sz="4" w:space="0" w:color="auto"/>
              <w:left w:val="nil"/>
              <w:bottom w:val="single" w:sz="4" w:space="0" w:color="auto"/>
              <w:right w:val="nil"/>
            </w:tcBorders>
            <w:vAlign w:val="bottom"/>
            <w:hideMark/>
          </w:tcPr>
          <w:p w14:paraId="28C1E127" w14:textId="77777777" w:rsidR="00607B78" w:rsidRPr="009C2953" w:rsidRDefault="00607B78" w:rsidP="00A068F8">
            <w:pPr>
              <w:pStyle w:val="Normal-pool"/>
              <w:spacing w:before="40" w:after="40"/>
              <w:jc w:val="right"/>
              <w:rPr>
                <w:b/>
                <w:sz w:val="18"/>
                <w:szCs w:val="18"/>
              </w:rPr>
            </w:pPr>
            <w:r w:rsidRPr="009C2953">
              <w:rPr>
                <w:b/>
                <w:sz w:val="18"/>
              </w:rPr>
              <w:t>280 000</w:t>
            </w:r>
          </w:p>
        </w:tc>
        <w:tc>
          <w:tcPr>
            <w:tcW w:w="1464" w:type="dxa"/>
            <w:tcBorders>
              <w:top w:val="single" w:sz="4" w:space="0" w:color="auto"/>
              <w:left w:val="nil"/>
              <w:bottom w:val="single" w:sz="4" w:space="0" w:color="auto"/>
              <w:right w:val="nil"/>
            </w:tcBorders>
            <w:vAlign w:val="bottom"/>
            <w:hideMark/>
          </w:tcPr>
          <w:p w14:paraId="30E74E0A" w14:textId="77777777" w:rsidR="00607B78" w:rsidRPr="009C2953" w:rsidRDefault="00607B78" w:rsidP="00A068F8">
            <w:pPr>
              <w:pStyle w:val="Normal-pool"/>
              <w:spacing w:before="40" w:after="40"/>
              <w:jc w:val="right"/>
              <w:rPr>
                <w:b/>
                <w:sz w:val="18"/>
                <w:szCs w:val="18"/>
              </w:rPr>
            </w:pPr>
            <w:r w:rsidRPr="009C2953">
              <w:rPr>
                <w:b/>
                <w:sz w:val="18"/>
              </w:rPr>
              <w:t>350 000</w:t>
            </w:r>
          </w:p>
        </w:tc>
        <w:tc>
          <w:tcPr>
            <w:tcW w:w="1461" w:type="dxa"/>
            <w:tcBorders>
              <w:top w:val="single" w:sz="4" w:space="0" w:color="auto"/>
              <w:left w:val="nil"/>
              <w:bottom w:val="single" w:sz="4" w:space="0" w:color="auto"/>
              <w:right w:val="nil"/>
            </w:tcBorders>
            <w:vAlign w:val="bottom"/>
            <w:hideMark/>
          </w:tcPr>
          <w:p w14:paraId="34A9AA4E" w14:textId="77777777" w:rsidR="00607B78" w:rsidRPr="009C2953" w:rsidRDefault="00607B78" w:rsidP="00A068F8">
            <w:pPr>
              <w:pStyle w:val="Normal-pool"/>
              <w:spacing w:before="40" w:after="40"/>
              <w:jc w:val="right"/>
              <w:rPr>
                <w:b/>
                <w:sz w:val="18"/>
                <w:szCs w:val="18"/>
              </w:rPr>
            </w:pPr>
            <w:r w:rsidRPr="009C2953">
              <w:rPr>
                <w:b/>
                <w:sz w:val="18"/>
              </w:rPr>
              <w:t>70 000</w:t>
            </w:r>
          </w:p>
        </w:tc>
      </w:tr>
      <w:tr w:rsidR="00607B78" w:rsidRPr="009C2953" w14:paraId="183CB068" w14:textId="77777777" w:rsidTr="00A068F8">
        <w:trPr>
          <w:trHeight w:val="57"/>
          <w:jc w:val="right"/>
        </w:trPr>
        <w:tc>
          <w:tcPr>
            <w:tcW w:w="5130" w:type="dxa"/>
            <w:tcBorders>
              <w:top w:val="single" w:sz="4" w:space="0" w:color="auto"/>
              <w:left w:val="nil"/>
              <w:bottom w:val="nil"/>
              <w:right w:val="nil"/>
            </w:tcBorders>
            <w:hideMark/>
          </w:tcPr>
          <w:p w14:paraId="04E81D6D" w14:textId="77777777" w:rsidR="00607B78" w:rsidRPr="009C2953" w:rsidRDefault="00607B78" w:rsidP="00A068F8">
            <w:pPr>
              <w:pStyle w:val="Normal-pool"/>
              <w:spacing w:before="40" w:after="40"/>
              <w:ind w:left="35"/>
              <w:rPr>
                <w:sz w:val="18"/>
                <w:szCs w:val="18"/>
              </w:rPr>
            </w:pPr>
            <w:r w:rsidRPr="009C2953">
              <w:rPr>
                <w:sz w:val="18"/>
              </w:rPr>
              <w:t>Objectif 5 a) : communication renforcée</w:t>
            </w:r>
          </w:p>
        </w:tc>
        <w:tc>
          <w:tcPr>
            <w:tcW w:w="1442" w:type="dxa"/>
            <w:tcBorders>
              <w:top w:val="single" w:sz="4" w:space="0" w:color="auto"/>
              <w:left w:val="nil"/>
              <w:bottom w:val="nil"/>
              <w:right w:val="nil"/>
            </w:tcBorders>
            <w:vAlign w:val="bottom"/>
            <w:hideMark/>
          </w:tcPr>
          <w:p w14:paraId="57BD92F9" w14:textId="77777777" w:rsidR="00607B78" w:rsidRPr="009C2953" w:rsidRDefault="00607B78" w:rsidP="00A068F8">
            <w:pPr>
              <w:pStyle w:val="Normal-pool"/>
              <w:spacing w:before="40" w:after="40"/>
              <w:jc w:val="right"/>
              <w:rPr>
                <w:sz w:val="18"/>
                <w:szCs w:val="18"/>
              </w:rPr>
            </w:pPr>
            <w:r w:rsidRPr="009C2953">
              <w:rPr>
                <w:sz w:val="18"/>
              </w:rPr>
              <w:t>250 000</w:t>
            </w:r>
          </w:p>
        </w:tc>
        <w:tc>
          <w:tcPr>
            <w:tcW w:w="1464" w:type="dxa"/>
            <w:tcBorders>
              <w:top w:val="single" w:sz="4" w:space="0" w:color="auto"/>
              <w:left w:val="nil"/>
              <w:bottom w:val="nil"/>
              <w:right w:val="nil"/>
            </w:tcBorders>
            <w:vAlign w:val="bottom"/>
            <w:hideMark/>
          </w:tcPr>
          <w:p w14:paraId="1EBC3306" w14:textId="77777777" w:rsidR="00607B78" w:rsidRPr="009C2953" w:rsidRDefault="00607B78" w:rsidP="00A068F8">
            <w:pPr>
              <w:pStyle w:val="Normal-pool"/>
              <w:spacing w:before="40" w:after="40"/>
              <w:jc w:val="right"/>
              <w:rPr>
                <w:sz w:val="18"/>
                <w:szCs w:val="18"/>
              </w:rPr>
            </w:pPr>
            <w:r w:rsidRPr="009C2953">
              <w:rPr>
                <w:sz w:val="18"/>
              </w:rPr>
              <w:t>290 000</w:t>
            </w:r>
          </w:p>
        </w:tc>
        <w:tc>
          <w:tcPr>
            <w:tcW w:w="1461" w:type="dxa"/>
            <w:tcBorders>
              <w:top w:val="single" w:sz="4" w:space="0" w:color="auto"/>
              <w:left w:val="nil"/>
              <w:bottom w:val="nil"/>
              <w:right w:val="nil"/>
            </w:tcBorders>
            <w:vAlign w:val="bottom"/>
            <w:hideMark/>
          </w:tcPr>
          <w:p w14:paraId="34FE3B7B" w14:textId="77777777" w:rsidR="00607B78" w:rsidRPr="009C2953" w:rsidRDefault="00607B78" w:rsidP="00A068F8">
            <w:pPr>
              <w:pStyle w:val="Normal-pool"/>
              <w:spacing w:before="40" w:after="40"/>
              <w:jc w:val="right"/>
              <w:rPr>
                <w:sz w:val="18"/>
                <w:szCs w:val="18"/>
              </w:rPr>
            </w:pPr>
            <w:r w:rsidRPr="009C2953">
              <w:rPr>
                <w:sz w:val="18"/>
              </w:rPr>
              <w:t xml:space="preserve">40 000 </w:t>
            </w:r>
          </w:p>
        </w:tc>
      </w:tr>
      <w:tr w:rsidR="00607B78" w:rsidRPr="009C2953" w14:paraId="260643BB" w14:textId="77777777" w:rsidTr="00A068F8">
        <w:trPr>
          <w:trHeight w:val="57"/>
          <w:jc w:val="right"/>
        </w:trPr>
        <w:tc>
          <w:tcPr>
            <w:tcW w:w="5130" w:type="dxa"/>
            <w:tcBorders>
              <w:top w:val="nil"/>
              <w:left w:val="nil"/>
              <w:bottom w:val="single" w:sz="4" w:space="0" w:color="000000"/>
              <w:right w:val="nil"/>
            </w:tcBorders>
            <w:hideMark/>
          </w:tcPr>
          <w:p w14:paraId="6B484DA3" w14:textId="7429EB28" w:rsidR="00607B78" w:rsidRPr="009C2953" w:rsidRDefault="00607B78" w:rsidP="00A068F8">
            <w:pPr>
              <w:pStyle w:val="Normal-pool"/>
              <w:spacing w:before="40" w:after="40"/>
              <w:ind w:left="35"/>
              <w:rPr>
                <w:sz w:val="18"/>
                <w:szCs w:val="18"/>
              </w:rPr>
            </w:pPr>
            <w:r w:rsidRPr="009C2953">
              <w:rPr>
                <w:sz w:val="18"/>
              </w:rPr>
              <w:t>Objectif 5 c) : participation renforcée</w:t>
            </w:r>
            <w:r w:rsidR="00D24DC1" w:rsidRPr="009C2953">
              <w:rPr>
                <w:sz w:val="18"/>
              </w:rPr>
              <w:t xml:space="preserve"> des </w:t>
            </w:r>
            <w:r w:rsidRPr="009C2953">
              <w:rPr>
                <w:sz w:val="18"/>
              </w:rPr>
              <w:t>parties prenantes</w:t>
            </w:r>
          </w:p>
        </w:tc>
        <w:tc>
          <w:tcPr>
            <w:tcW w:w="1442" w:type="dxa"/>
            <w:tcBorders>
              <w:top w:val="nil"/>
              <w:left w:val="nil"/>
              <w:bottom w:val="single" w:sz="4" w:space="0" w:color="000000"/>
              <w:right w:val="nil"/>
            </w:tcBorders>
            <w:vAlign w:val="bottom"/>
            <w:hideMark/>
          </w:tcPr>
          <w:p w14:paraId="4FD74779" w14:textId="77777777" w:rsidR="00607B78" w:rsidRPr="009C2953" w:rsidRDefault="00607B78" w:rsidP="00A068F8">
            <w:pPr>
              <w:pStyle w:val="Normal-pool"/>
              <w:spacing w:before="40" w:after="40"/>
              <w:jc w:val="right"/>
              <w:rPr>
                <w:sz w:val="18"/>
                <w:szCs w:val="18"/>
              </w:rPr>
            </w:pPr>
            <w:r w:rsidRPr="009C2953">
              <w:rPr>
                <w:sz w:val="18"/>
              </w:rPr>
              <w:t>30 000</w:t>
            </w:r>
          </w:p>
        </w:tc>
        <w:tc>
          <w:tcPr>
            <w:tcW w:w="1464" w:type="dxa"/>
            <w:tcBorders>
              <w:top w:val="nil"/>
              <w:left w:val="nil"/>
              <w:bottom w:val="single" w:sz="4" w:space="0" w:color="000000"/>
              <w:right w:val="nil"/>
            </w:tcBorders>
            <w:vAlign w:val="bottom"/>
            <w:hideMark/>
          </w:tcPr>
          <w:p w14:paraId="10DDBE1C" w14:textId="77777777" w:rsidR="00607B78" w:rsidRPr="009C2953" w:rsidRDefault="00607B78" w:rsidP="00A068F8">
            <w:pPr>
              <w:pStyle w:val="Normal-pool"/>
              <w:spacing w:before="40" w:after="40"/>
              <w:jc w:val="right"/>
              <w:rPr>
                <w:sz w:val="18"/>
                <w:szCs w:val="18"/>
              </w:rPr>
            </w:pPr>
            <w:r w:rsidRPr="009C2953">
              <w:rPr>
                <w:sz w:val="18"/>
              </w:rPr>
              <w:t>60 000</w:t>
            </w:r>
          </w:p>
        </w:tc>
        <w:tc>
          <w:tcPr>
            <w:tcW w:w="1461" w:type="dxa"/>
            <w:tcBorders>
              <w:top w:val="nil"/>
              <w:left w:val="nil"/>
              <w:bottom w:val="single" w:sz="4" w:space="0" w:color="000000"/>
              <w:right w:val="nil"/>
            </w:tcBorders>
            <w:vAlign w:val="bottom"/>
            <w:hideMark/>
          </w:tcPr>
          <w:p w14:paraId="25D2E0C9" w14:textId="77777777" w:rsidR="00607B78" w:rsidRPr="009C2953" w:rsidRDefault="00607B78" w:rsidP="00A068F8">
            <w:pPr>
              <w:pStyle w:val="Normal-pool"/>
              <w:spacing w:before="40" w:after="40"/>
              <w:jc w:val="right"/>
              <w:rPr>
                <w:sz w:val="18"/>
                <w:szCs w:val="18"/>
              </w:rPr>
            </w:pPr>
            <w:r w:rsidRPr="009C2953">
              <w:rPr>
                <w:sz w:val="18"/>
              </w:rPr>
              <w:t>30 000</w:t>
            </w:r>
          </w:p>
        </w:tc>
      </w:tr>
      <w:tr w:rsidR="00607B78" w:rsidRPr="009C2953" w14:paraId="3B65D4E1" w14:textId="77777777" w:rsidTr="00A068F8">
        <w:trPr>
          <w:trHeight w:val="57"/>
          <w:jc w:val="right"/>
        </w:trPr>
        <w:tc>
          <w:tcPr>
            <w:tcW w:w="5130" w:type="dxa"/>
            <w:tcBorders>
              <w:top w:val="single" w:sz="4" w:space="0" w:color="000000"/>
              <w:left w:val="nil"/>
              <w:bottom w:val="single" w:sz="4" w:space="0" w:color="000000"/>
              <w:right w:val="nil"/>
            </w:tcBorders>
            <w:hideMark/>
          </w:tcPr>
          <w:p w14:paraId="59612610" w14:textId="77777777" w:rsidR="00607B78" w:rsidRPr="009C2953" w:rsidRDefault="00607B78" w:rsidP="00A068F8">
            <w:pPr>
              <w:pStyle w:val="Normal-pool"/>
              <w:spacing w:before="40" w:after="40"/>
              <w:rPr>
                <w:b/>
                <w:sz w:val="18"/>
                <w:szCs w:val="18"/>
              </w:rPr>
            </w:pPr>
            <w:r w:rsidRPr="009C2953">
              <w:rPr>
                <w:b/>
                <w:sz w:val="18"/>
              </w:rPr>
              <w:t>Total partiel, partie B</w:t>
            </w:r>
          </w:p>
        </w:tc>
        <w:tc>
          <w:tcPr>
            <w:tcW w:w="1442" w:type="dxa"/>
            <w:tcBorders>
              <w:top w:val="single" w:sz="4" w:space="0" w:color="000000"/>
              <w:left w:val="nil"/>
              <w:bottom w:val="single" w:sz="4" w:space="0" w:color="000000"/>
              <w:right w:val="nil"/>
            </w:tcBorders>
            <w:vAlign w:val="bottom"/>
            <w:hideMark/>
          </w:tcPr>
          <w:p w14:paraId="7EFE1870" w14:textId="77777777" w:rsidR="00607B78" w:rsidRPr="009C2953" w:rsidRDefault="00607B78" w:rsidP="00A068F8">
            <w:pPr>
              <w:pStyle w:val="Normal-pool"/>
              <w:spacing w:before="40" w:after="40"/>
              <w:jc w:val="right"/>
              <w:rPr>
                <w:b/>
                <w:sz w:val="18"/>
                <w:szCs w:val="18"/>
              </w:rPr>
            </w:pPr>
            <w:r w:rsidRPr="009C2953">
              <w:rPr>
                <w:b/>
                <w:sz w:val="18"/>
              </w:rPr>
              <w:t>4 234 300</w:t>
            </w:r>
          </w:p>
        </w:tc>
        <w:tc>
          <w:tcPr>
            <w:tcW w:w="1464" w:type="dxa"/>
            <w:tcBorders>
              <w:top w:val="single" w:sz="4" w:space="0" w:color="000000"/>
              <w:left w:val="nil"/>
              <w:bottom w:val="single" w:sz="4" w:space="0" w:color="000000"/>
              <w:right w:val="nil"/>
            </w:tcBorders>
            <w:vAlign w:val="bottom"/>
            <w:hideMark/>
          </w:tcPr>
          <w:p w14:paraId="74FC7EB7" w14:textId="77777777" w:rsidR="00607B78" w:rsidRPr="009C2953" w:rsidRDefault="00607B78" w:rsidP="00A068F8">
            <w:pPr>
              <w:pStyle w:val="Normal-pool"/>
              <w:spacing w:before="40" w:after="40"/>
              <w:jc w:val="right"/>
              <w:rPr>
                <w:b/>
                <w:sz w:val="18"/>
                <w:szCs w:val="18"/>
              </w:rPr>
            </w:pPr>
            <w:r w:rsidRPr="009C2953">
              <w:rPr>
                <w:b/>
                <w:sz w:val="18"/>
              </w:rPr>
              <w:t>3 272 225</w:t>
            </w:r>
          </w:p>
        </w:tc>
        <w:tc>
          <w:tcPr>
            <w:tcW w:w="1461" w:type="dxa"/>
            <w:tcBorders>
              <w:top w:val="single" w:sz="4" w:space="0" w:color="000000"/>
              <w:left w:val="nil"/>
              <w:bottom w:val="single" w:sz="4" w:space="0" w:color="000000"/>
              <w:right w:val="nil"/>
            </w:tcBorders>
            <w:vAlign w:val="bottom"/>
            <w:hideMark/>
          </w:tcPr>
          <w:p w14:paraId="15962067" w14:textId="549C0BBC" w:rsidR="00607B78" w:rsidRPr="009C2953" w:rsidRDefault="00607B78" w:rsidP="00A068F8">
            <w:pPr>
              <w:pStyle w:val="Normal-pool"/>
              <w:spacing w:before="40" w:after="40"/>
              <w:jc w:val="right"/>
              <w:rPr>
                <w:b/>
                <w:sz w:val="18"/>
                <w:szCs w:val="18"/>
              </w:rPr>
            </w:pPr>
            <w:r w:rsidRPr="009C2953">
              <w:rPr>
                <w:b/>
                <w:sz w:val="18"/>
              </w:rPr>
              <w:t>(962</w:t>
            </w:r>
            <w:r w:rsidR="008747EC" w:rsidRPr="009C2953">
              <w:rPr>
                <w:b/>
                <w:sz w:val="18"/>
              </w:rPr>
              <w:t> </w:t>
            </w:r>
            <w:r w:rsidRPr="009C2953">
              <w:rPr>
                <w:b/>
                <w:sz w:val="18"/>
              </w:rPr>
              <w:t>075)</w:t>
            </w:r>
          </w:p>
        </w:tc>
      </w:tr>
      <w:tr w:rsidR="00607B78" w:rsidRPr="009C2953" w14:paraId="123648A2" w14:textId="77777777" w:rsidTr="00A068F8">
        <w:trPr>
          <w:trHeight w:val="57"/>
          <w:jc w:val="right"/>
        </w:trPr>
        <w:tc>
          <w:tcPr>
            <w:tcW w:w="5130" w:type="dxa"/>
            <w:tcBorders>
              <w:top w:val="single" w:sz="4" w:space="0" w:color="000000"/>
              <w:left w:val="nil"/>
              <w:bottom w:val="single" w:sz="4" w:space="0" w:color="000000"/>
              <w:right w:val="nil"/>
            </w:tcBorders>
            <w:hideMark/>
          </w:tcPr>
          <w:p w14:paraId="4CA47DD3" w14:textId="77777777" w:rsidR="00607B78" w:rsidRPr="009C2953" w:rsidRDefault="00607B78" w:rsidP="00A068F8">
            <w:pPr>
              <w:pStyle w:val="Normal-pool"/>
              <w:spacing w:before="40" w:after="40"/>
              <w:rPr>
                <w:b/>
                <w:sz w:val="18"/>
                <w:szCs w:val="18"/>
              </w:rPr>
            </w:pPr>
            <w:r w:rsidRPr="009C2953">
              <w:rPr>
                <w:b/>
                <w:sz w:val="18"/>
              </w:rPr>
              <w:t>Total partiel 2, mise en œuvre du programme de travail</w:t>
            </w:r>
          </w:p>
        </w:tc>
        <w:tc>
          <w:tcPr>
            <w:tcW w:w="1442" w:type="dxa"/>
            <w:tcBorders>
              <w:top w:val="single" w:sz="4" w:space="0" w:color="000000"/>
              <w:left w:val="nil"/>
              <w:bottom w:val="single" w:sz="4" w:space="0" w:color="000000"/>
              <w:right w:val="nil"/>
            </w:tcBorders>
            <w:vAlign w:val="bottom"/>
            <w:hideMark/>
          </w:tcPr>
          <w:p w14:paraId="5D7BE96F" w14:textId="77777777" w:rsidR="00607B78" w:rsidRPr="009C2953" w:rsidRDefault="00607B78" w:rsidP="00A068F8">
            <w:pPr>
              <w:pStyle w:val="Normal-pool"/>
              <w:spacing w:before="40" w:after="40"/>
              <w:jc w:val="right"/>
              <w:rPr>
                <w:b/>
                <w:sz w:val="18"/>
                <w:szCs w:val="18"/>
              </w:rPr>
            </w:pPr>
            <w:r w:rsidRPr="009C2953">
              <w:rPr>
                <w:b/>
                <w:sz w:val="18"/>
              </w:rPr>
              <w:t>4 536 800</w:t>
            </w:r>
          </w:p>
        </w:tc>
        <w:tc>
          <w:tcPr>
            <w:tcW w:w="1464" w:type="dxa"/>
            <w:tcBorders>
              <w:top w:val="single" w:sz="4" w:space="0" w:color="000000"/>
              <w:left w:val="nil"/>
              <w:bottom w:val="single" w:sz="4" w:space="0" w:color="000000"/>
              <w:right w:val="nil"/>
            </w:tcBorders>
            <w:vAlign w:val="bottom"/>
            <w:hideMark/>
          </w:tcPr>
          <w:p w14:paraId="75B722BC" w14:textId="77777777" w:rsidR="00607B78" w:rsidRPr="009C2953" w:rsidRDefault="00607B78" w:rsidP="00A068F8">
            <w:pPr>
              <w:pStyle w:val="Normal-pool"/>
              <w:spacing w:before="40" w:after="40"/>
              <w:jc w:val="right"/>
              <w:rPr>
                <w:b/>
                <w:sz w:val="18"/>
                <w:szCs w:val="18"/>
              </w:rPr>
            </w:pPr>
            <w:r w:rsidRPr="009C2953">
              <w:rPr>
                <w:b/>
                <w:sz w:val="18"/>
              </w:rPr>
              <w:t>3 588 475</w:t>
            </w:r>
          </w:p>
        </w:tc>
        <w:tc>
          <w:tcPr>
            <w:tcW w:w="1461" w:type="dxa"/>
            <w:tcBorders>
              <w:top w:val="single" w:sz="4" w:space="0" w:color="000000"/>
              <w:left w:val="nil"/>
              <w:bottom w:val="single" w:sz="4" w:space="0" w:color="000000"/>
              <w:right w:val="nil"/>
            </w:tcBorders>
            <w:vAlign w:val="bottom"/>
            <w:hideMark/>
          </w:tcPr>
          <w:p w14:paraId="0DBC7738" w14:textId="491F6611" w:rsidR="00607B78" w:rsidRPr="009C2953" w:rsidRDefault="00607B78" w:rsidP="00A068F8">
            <w:pPr>
              <w:pStyle w:val="Normal-pool"/>
              <w:spacing w:before="40" w:after="40"/>
              <w:jc w:val="right"/>
              <w:rPr>
                <w:b/>
                <w:sz w:val="18"/>
                <w:szCs w:val="18"/>
              </w:rPr>
            </w:pPr>
            <w:r w:rsidRPr="009C2953">
              <w:rPr>
                <w:b/>
                <w:sz w:val="18"/>
              </w:rPr>
              <w:t>(948</w:t>
            </w:r>
            <w:r w:rsidR="008747EC" w:rsidRPr="009C2953">
              <w:rPr>
                <w:b/>
                <w:sz w:val="18"/>
              </w:rPr>
              <w:t> </w:t>
            </w:r>
            <w:r w:rsidRPr="009C2953">
              <w:rPr>
                <w:b/>
                <w:sz w:val="18"/>
              </w:rPr>
              <w:t>325)</w:t>
            </w:r>
          </w:p>
        </w:tc>
      </w:tr>
      <w:tr w:rsidR="00607B78" w:rsidRPr="009C2953" w14:paraId="44E14E38" w14:textId="77777777" w:rsidTr="00A068F8">
        <w:trPr>
          <w:trHeight w:val="57"/>
          <w:jc w:val="right"/>
        </w:trPr>
        <w:tc>
          <w:tcPr>
            <w:tcW w:w="5130" w:type="dxa"/>
            <w:tcBorders>
              <w:top w:val="single" w:sz="4" w:space="0" w:color="000000"/>
              <w:left w:val="nil"/>
              <w:bottom w:val="nil"/>
              <w:right w:val="nil"/>
            </w:tcBorders>
            <w:hideMark/>
          </w:tcPr>
          <w:p w14:paraId="478D258D" w14:textId="77777777" w:rsidR="00607B78" w:rsidRPr="009C2953" w:rsidRDefault="00607B78" w:rsidP="00A068F8">
            <w:pPr>
              <w:pStyle w:val="Normal-pool"/>
              <w:tabs>
                <w:tab w:val="left" w:pos="365"/>
              </w:tabs>
              <w:spacing w:before="40" w:after="40"/>
              <w:rPr>
                <w:b/>
                <w:sz w:val="18"/>
                <w:szCs w:val="18"/>
              </w:rPr>
            </w:pPr>
            <w:r w:rsidRPr="009C2953">
              <w:rPr>
                <w:b/>
                <w:sz w:val="18"/>
              </w:rPr>
              <w:t>3.</w:t>
            </w:r>
            <w:r w:rsidRPr="009C2953">
              <w:rPr>
                <w:b/>
                <w:sz w:val="18"/>
              </w:rPr>
              <w:tab/>
              <w:t>Secrétariat</w:t>
            </w:r>
          </w:p>
        </w:tc>
        <w:tc>
          <w:tcPr>
            <w:tcW w:w="1442" w:type="dxa"/>
            <w:tcBorders>
              <w:top w:val="single" w:sz="4" w:space="0" w:color="000000"/>
              <w:left w:val="nil"/>
              <w:bottom w:val="nil"/>
              <w:right w:val="nil"/>
            </w:tcBorders>
            <w:vAlign w:val="bottom"/>
          </w:tcPr>
          <w:p w14:paraId="0CE65CA1" w14:textId="77777777" w:rsidR="00607B78" w:rsidRPr="009C2953" w:rsidRDefault="00607B78" w:rsidP="00A068F8">
            <w:pPr>
              <w:pStyle w:val="Normal-pool"/>
              <w:spacing w:before="40" w:after="40"/>
              <w:jc w:val="right"/>
              <w:rPr>
                <w:b/>
                <w:sz w:val="18"/>
                <w:szCs w:val="18"/>
              </w:rPr>
            </w:pPr>
          </w:p>
        </w:tc>
        <w:tc>
          <w:tcPr>
            <w:tcW w:w="1464" w:type="dxa"/>
            <w:tcBorders>
              <w:top w:val="single" w:sz="4" w:space="0" w:color="000000"/>
              <w:left w:val="nil"/>
              <w:bottom w:val="nil"/>
              <w:right w:val="nil"/>
            </w:tcBorders>
            <w:vAlign w:val="bottom"/>
          </w:tcPr>
          <w:p w14:paraId="7C7C4E1F" w14:textId="77777777" w:rsidR="00607B78" w:rsidRPr="009C2953" w:rsidRDefault="00607B78" w:rsidP="00A068F8">
            <w:pPr>
              <w:pStyle w:val="Normal-pool"/>
              <w:spacing w:before="40" w:after="40"/>
              <w:jc w:val="right"/>
              <w:rPr>
                <w:sz w:val="18"/>
                <w:szCs w:val="18"/>
              </w:rPr>
            </w:pPr>
          </w:p>
        </w:tc>
        <w:tc>
          <w:tcPr>
            <w:tcW w:w="1461" w:type="dxa"/>
            <w:tcBorders>
              <w:top w:val="single" w:sz="4" w:space="0" w:color="000000"/>
              <w:left w:val="nil"/>
              <w:bottom w:val="nil"/>
              <w:right w:val="nil"/>
            </w:tcBorders>
            <w:vAlign w:val="bottom"/>
          </w:tcPr>
          <w:p w14:paraId="47CDFFF6" w14:textId="77777777" w:rsidR="00607B78" w:rsidRPr="009C2953" w:rsidRDefault="00607B78" w:rsidP="00A068F8">
            <w:pPr>
              <w:pStyle w:val="Normal-pool"/>
              <w:spacing w:before="40" w:after="40"/>
              <w:jc w:val="right"/>
              <w:rPr>
                <w:sz w:val="18"/>
                <w:szCs w:val="18"/>
              </w:rPr>
            </w:pPr>
          </w:p>
        </w:tc>
      </w:tr>
      <w:tr w:rsidR="00607B78" w:rsidRPr="009C2953" w14:paraId="2557930B" w14:textId="77777777" w:rsidTr="00A068F8">
        <w:trPr>
          <w:trHeight w:val="57"/>
          <w:jc w:val="right"/>
        </w:trPr>
        <w:tc>
          <w:tcPr>
            <w:tcW w:w="5130" w:type="dxa"/>
            <w:tcBorders>
              <w:top w:val="nil"/>
              <w:left w:val="nil"/>
              <w:bottom w:val="nil"/>
              <w:right w:val="nil"/>
            </w:tcBorders>
            <w:hideMark/>
          </w:tcPr>
          <w:p w14:paraId="1282899F" w14:textId="15A6F90D" w:rsidR="00607B78" w:rsidRPr="009C2953" w:rsidRDefault="00607B78" w:rsidP="00A068F8">
            <w:pPr>
              <w:pStyle w:val="Normal-pool"/>
              <w:tabs>
                <w:tab w:val="left" w:pos="365"/>
              </w:tabs>
              <w:spacing w:before="40" w:after="40"/>
              <w:rPr>
                <w:sz w:val="18"/>
                <w:szCs w:val="18"/>
              </w:rPr>
            </w:pPr>
            <w:r w:rsidRPr="009C2953">
              <w:rPr>
                <w:sz w:val="18"/>
              </w:rPr>
              <w:t>3</w:t>
            </w:r>
            <w:r w:rsidR="000366BD" w:rsidRPr="009C2953">
              <w:rPr>
                <w:sz w:val="18"/>
              </w:rPr>
              <w:t>.</w:t>
            </w:r>
            <w:r w:rsidRPr="009C2953">
              <w:rPr>
                <w:sz w:val="18"/>
              </w:rPr>
              <w:t>1</w:t>
            </w:r>
            <w:r w:rsidRPr="009C2953">
              <w:rPr>
                <w:sz w:val="18"/>
              </w:rPr>
              <w:tab/>
              <w:t>Personnel du secrétariat</w:t>
            </w:r>
          </w:p>
        </w:tc>
        <w:tc>
          <w:tcPr>
            <w:tcW w:w="1442" w:type="dxa"/>
            <w:tcBorders>
              <w:top w:val="nil"/>
              <w:left w:val="nil"/>
              <w:bottom w:val="nil"/>
              <w:right w:val="nil"/>
            </w:tcBorders>
            <w:vAlign w:val="bottom"/>
            <w:hideMark/>
          </w:tcPr>
          <w:p w14:paraId="34E652FB" w14:textId="77777777" w:rsidR="00607B78" w:rsidRPr="009C2953" w:rsidRDefault="00607B78" w:rsidP="00A068F8">
            <w:pPr>
              <w:pStyle w:val="Normal-pool"/>
              <w:spacing w:before="40" w:after="40"/>
              <w:jc w:val="right"/>
              <w:rPr>
                <w:sz w:val="18"/>
                <w:szCs w:val="18"/>
              </w:rPr>
            </w:pPr>
            <w:r w:rsidRPr="009C2953">
              <w:rPr>
                <w:sz w:val="18"/>
              </w:rPr>
              <w:t>3 035 000</w:t>
            </w:r>
          </w:p>
        </w:tc>
        <w:tc>
          <w:tcPr>
            <w:tcW w:w="1464" w:type="dxa"/>
            <w:tcBorders>
              <w:top w:val="nil"/>
              <w:left w:val="nil"/>
              <w:bottom w:val="nil"/>
              <w:right w:val="nil"/>
            </w:tcBorders>
            <w:vAlign w:val="bottom"/>
            <w:hideMark/>
          </w:tcPr>
          <w:p w14:paraId="030A4632" w14:textId="77777777" w:rsidR="00607B78" w:rsidRPr="009C2953" w:rsidRDefault="00607B78" w:rsidP="00A068F8">
            <w:pPr>
              <w:pStyle w:val="Normal-pool"/>
              <w:spacing w:before="40" w:after="40"/>
              <w:jc w:val="right"/>
              <w:rPr>
                <w:sz w:val="18"/>
                <w:szCs w:val="18"/>
              </w:rPr>
            </w:pPr>
            <w:r w:rsidRPr="009C2953">
              <w:rPr>
                <w:sz w:val="18"/>
              </w:rPr>
              <w:t>2 718 198</w:t>
            </w:r>
          </w:p>
        </w:tc>
        <w:tc>
          <w:tcPr>
            <w:tcW w:w="1461" w:type="dxa"/>
            <w:tcBorders>
              <w:top w:val="nil"/>
              <w:left w:val="nil"/>
              <w:bottom w:val="nil"/>
              <w:right w:val="nil"/>
            </w:tcBorders>
            <w:vAlign w:val="bottom"/>
            <w:hideMark/>
          </w:tcPr>
          <w:p w14:paraId="3C33ABEE" w14:textId="50A79B1E" w:rsidR="00607B78" w:rsidRPr="009C2953" w:rsidRDefault="00607B78" w:rsidP="00A068F8">
            <w:pPr>
              <w:pStyle w:val="Normal-pool"/>
              <w:spacing w:before="40" w:after="40"/>
              <w:jc w:val="right"/>
              <w:rPr>
                <w:sz w:val="18"/>
                <w:szCs w:val="18"/>
              </w:rPr>
            </w:pPr>
            <w:r w:rsidRPr="009C2953">
              <w:rPr>
                <w:sz w:val="18"/>
              </w:rPr>
              <w:t>(316</w:t>
            </w:r>
            <w:r w:rsidR="008747EC" w:rsidRPr="009C2953">
              <w:rPr>
                <w:sz w:val="18"/>
              </w:rPr>
              <w:t> </w:t>
            </w:r>
            <w:r w:rsidRPr="009C2953">
              <w:rPr>
                <w:sz w:val="18"/>
              </w:rPr>
              <w:t>802)</w:t>
            </w:r>
          </w:p>
        </w:tc>
      </w:tr>
      <w:tr w:rsidR="00607B78" w:rsidRPr="009C2953" w14:paraId="6AF43EDF" w14:textId="77777777" w:rsidTr="00A068F8">
        <w:trPr>
          <w:trHeight w:val="57"/>
          <w:jc w:val="right"/>
        </w:trPr>
        <w:tc>
          <w:tcPr>
            <w:tcW w:w="5130" w:type="dxa"/>
            <w:tcBorders>
              <w:top w:val="nil"/>
              <w:left w:val="nil"/>
              <w:bottom w:val="single" w:sz="4" w:space="0" w:color="000000"/>
              <w:right w:val="nil"/>
            </w:tcBorders>
            <w:hideMark/>
          </w:tcPr>
          <w:p w14:paraId="2BB0E5B6" w14:textId="631E6C93" w:rsidR="00607B78" w:rsidRPr="009C2953" w:rsidRDefault="00607B78" w:rsidP="00A068F8">
            <w:pPr>
              <w:pStyle w:val="Normal-pool"/>
              <w:tabs>
                <w:tab w:val="left" w:pos="365"/>
              </w:tabs>
              <w:spacing w:before="40" w:after="40"/>
              <w:rPr>
                <w:sz w:val="18"/>
                <w:szCs w:val="18"/>
              </w:rPr>
            </w:pPr>
            <w:r w:rsidRPr="009C2953">
              <w:rPr>
                <w:sz w:val="18"/>
              </w:rPr>
              <w:t>3</w:t>
            </w:r>
            <w:r w:rsidR="000366BD" w:rsidRPr="009C2953">
              <w:rPr>
                <w:sz w:val="18"/>
              </w:rPr>
              <w:t>.</w:t>
            </w:r>
            <w:r w:rsidRPr="009C2953">
              <w:rPr>
                <w:sz w:val="18"/>
              </w:rPr>
              <w:t>2</w:t>
            </w:r>
            <w:r w:rsidRPr="009C2953">
              <w:rPr>
                <w:sz w:val="18"/>
              </w:rPr>
              <w:tab/>
              <w:t>Dépenses de fonctionnement (autres que</w:t>
            </w:r>
            <w:r w:rsidR="00F34644" w:rsidRPr="009C2953">
              <w:rPr>
                <w:sz w:val="18"/>
              </w:rPr>
              <w:t xml:space="preserve"> les </w:t>
            </w:r>
            <w:r w:rsidRPr="009C2953">
              <w:rPr>
                <w:sz w:val="18"/>
              </w:rPr>
              <w:t>dépenses de</w:t>
            </w:r>
            <w:r w:rsidR="0025203C" w:rsidRPr="009C2953">
              <w:rPr>
                <w:sz w:val="18"/>
              </w:rPr>
              <w:t> </w:t>
            </w:r>
            <w:r w:rsidRPr="009C2953">
              <w:rPr>
                <w:sz w:val="18"/>
              </w:rPr>
              <w:t>personnel)</w:t>
            </w:r>
          </w:p>
        </w:tc>
        <w:tc>
          <w:tcPr>
            <w:tcW w:w="1442" w:type="dxa"/>
            <w:tcBorders>
              <w:top w:val="nil"/>
              <w:left w:val="nil"/>
              <w:bottom w:val="single" w:sz="4" w:space="0" w:color="000000"/>
              <w:right w:val="nil"/>
            </w:tcBorders>
            <w:vAlign w:val="bottom"/>
            <w:hideMark/>
          </w:tcPr>
          <w:p w14:paraId="3C69535B" w14:textId="77777777" w:rsidR="00607B78" w:rsidRPr="009C2953" w:rsidRDefault="00607B78" w:rsidP="00A068F8">
            <w:pPr>
              <w:pStyle w:val="Normal-pool"/>
              <w:spacing w:before="40" w:after="40"/>
              <w:jc w:val="right"/>
              <w:rPr>
                <w:sz w:val="18"/>
                <w:szCs w:val="18"/>
              </w:rPr>
            </w:pPr>
            <w:r w:rsidRPr="009C2953">
              <w:rPr>
                <w:sz w:val="18"/>
              </w:rPr>
              <w:t>346 000</w:t>
            </w:r>
          </w:p>
        </w:tc>
        <w:tc>
          <w:tcPr>
            <w:tcW w:w="1464" w:type="dxa"/>
            <w:tcBorders>
              <w:top w:val="nil"/>
              <w:left w:val="nil"/>
              <w:bottom w:val="single" w:sz="4" w:space="0" w:color="000000"/>
              <w:right w:val="nil"/>
            </w:tcBorders>
            <w:vAlign w:val="bottom"/>
            <w:hideMark/>
          </w:tcPr>
          <w:p w14:paraId="2FAF948A" w14:textId="77777777" w:rsidR="00607B78" w:rsidRPr="009C2953" w:rsidRDefault="00607B78" w:rsidP="00A068F8">
            <w:pPr>
              <w:pStyle w:val="Normal-pool"/>
              <w:spacing w:before="40" w:after="40"/>
              <w:jc w:val="right"/>
              <w:rPr>
                <w:sz w:val="18"/>
                <w:szCs w:val="18"/>
              </w:rPr>
            </w:pPr>
            <w:r w:rsidRPr="009C2953">
              <w:rPr>
                <w:sz w:val="18"/>
              </w:rPr>
              <w:t>352 500</w:t>
            </w:r>
          </w:p>
        </w:tc>
        <w:tc>
          <w:tcPr>
            <w:tcW w:w="1461" w:type="dxa"/>
            <w:tcBorders>
              <w:top w:val="nil"/>
              <w:left w:val="nil"/>
              <w:bottom w:val="single" w:sz="4" w:space="0" w:color="000000"/>
              <w:right w:val="nil"/>
            </w:tcBorders>
            <w:vAlign w:val="bottom"/>
            <w:hideMark/>
          </w:tcPr>
          <w:p w14:paraId="7DE23ABC" w14:textId="64BC8865" w:rsidR="00607B78" w:rsidRPr="009C2953" w:rsidRDefault="00607B78" w:rsidP="00A068F8">
            <w:pPr>
              <w:pStyle w:val="Normal-pool"/>
              <w:spacing w:before="40" w:after="40"/>
              <w:jc w:val="right"/>
              <w:rPr>
                <w:sz w:val="18"/>
                <w:szCs w:val="18"/>
              </w:rPr>
            </w:pPr>
            <w:r w:rsidRPr="009C2953">
              <w:rPr>
                <w:sz w:val="18"/>
              </w:rPr>
              <w:t>6</w:t>
            </w:r>
            <w:r w:rsidR="008747EC" w:rsidRPr="009C2953">
              <w:rPr>
                <w:sz w:val="18"/>
              </w:rPr>
              <w:t> </w:t>
            </w:r>
            <w:r w:rsidRPr="009C2953">
              <w:rPr>
                <w:sz w:val="18"/>
              </w:rPr>
              <w:t>500</w:t>
            </w:r>
          </w:p>
        </w:tc>
      </w:tr>
      <w:tr w:rsidR="00607B78" w:rsidRPr="009C2953" w14:paraId="27AB703E" w14:textId="77777777" w:rsidTr="00A068F8">
        <w:trPr>
          <w:trHeight w:val="57"/>
          <w:jc w:val="right"/>
        </w:trPr>
        <w:tc>
          <w:tcPr>
            <w:tcW w:w="5130" w:type="dxa"/>
            <w:tcBorders>
              <w:top w:val="single" w:sz="4" w:space="0" w:color="000000"/>
              <w:left w:val="nil"/>
              <w:bottom w:val="single" w:sz="4" w:space="0" w:color="000000"/>
              <w:right w:val="nil"/>
            </w:tcBorders>
            <w:hideMark/>
          </w:tcPr>
          <w:p w14:paraId="371CE587" w14:textId="7CD0412D" w:rsidR="00607B78" w:rsidRPr="009C2953" w:rsidRDefault="00607B78" w:rsidP="00A068F8">
            <w:pPr>
              <w:pStyle w:val="Normal-pool"/>
              <w:spacing w:before="40" w:after="40"/>
              <w:rPr>
                <w:b/>
                <w:sz w:val="18"/>
                <w:szCs w:val="18"/>
              </w:rPr>
            </w:pPr>
            <w:r w:rsidRPr="009C2953">
              <w:rPr>
                <w:b/>
                <w:sz w:val="18"/>
              </w:rPr>
              <w:t>Total partiel 3, secrétariat (dépenses de personnel et</w:t>
            </w:r>
            <w:r w:rsidR="00773B9D" w:rsidRPr="009C2953">
              <w:rPr>
                <w:b/>
                <w:sz w:val="18"/>
              </w:rPr>
              <w:t> </w:t>
            </w:r>
            <w:r w:rsidRPr="009C2953">
              <w:rPr>
                <w:b/>
                <w:sz w:val="18"/>
              </w:rPr>
              <w:t>de</w:t>
            </w:r>
            <w:r w:rsidR="0025203C" w:rsidRPr="009C2953">
              <w:rPr>
                <w:b/>
                <w:sz w:val="18"/>
              </w:rPr>
              <w:t> </w:t>
            </w:r>
            <w:r w:rsidRPr="009C2953">
              <w:rPr>
                <w:b/>
                <w:sz w:val="18"/>
              </w:rPr>
              <w:t>fonctionnement)</w:t>
            </w:r>
          </w:p>
        </w:tc>
        <w:tc>
          <w:tcPr>
            <w:tcW w:w="1442" w:type="dxa"/>
            <w:tcBorders>
              <w:top w:val="single" w:sz="4" w:space="0" w:color="000000"/>
              <w:left w:val="nil"/>
              <w:bottom w:val="single" w:sz="4" w:space="0" w:color="000000"/>
              <w:right w:val="nil"/>
            </w:tcBorders>
            <w:vAlign w:val="bottom"/>
            <w:hideMark/>
          </w:tcPr>
          <w:p w14:paraId="6A9E30E6" w14:textId="77777777" w:rsidR="00607B78" w:rsidRPr="009C2953" w:rsidRDefault="00607B78" w:rsidP="00A068F8">
            <w:pPr>
              <w:pStyle w:val="Normal-pool"/>
              <w:spacing w:before="40" w:after="40"/>
              <w:jc w:val="right"/>
              <w:rPr>
                <w:b/>
                <w:sz w:val="18"/>
                <w:szCs w:val="18"/>
              </w:rPr>
            </w:pPr>
            <w:r w:rsidRPr="009C2953">
              <w:rPr>
                <w:b/>
                <w:sz w:val="18"/>
              </w:rPr>
              <w:t>3 381 000</w:t>
            </w:r>
          </w:p>
        </w:tc>
        <w:tc>
          <w:tcPr>
            <w:tcW w:w="1464" w:type="dxa"/>
            <w:tcBorders>
              <w:top w:val="single" w:sz="4" w:space="0" w:color="000000"/>
              <w:left w:val="nil"/>
              <w:bottom w:val="single" w:sz="4" w:space="0" w:color="000000"/>
              <w:right w:val="nil"/>
            </w:tcBorders>
            <w:vAlign w:val="bottom"/>
            <w:hideMark/>
          </w:tcPr>
          <w:p w14:paraId="51C6E4FC" w14:textId="77777777" w:rsidR="00607B78" w:rsidRPr="009C2953" w:rsidRDefault="00607B78" w:rsidP="00A068F8">
            <w:pPr>
              <w:pStyle w:val="Normal-pool"/>
              <w:spacing w:before="40" w:after="40"/>
              <w:jc w:val="right"/>
              <w:rPr>
                <w:b/>
                <w:sz w:val="18"/>
                <w:szCs w:val="18"/>
              </w:rPr>
            </w:pPr>
            <w:r w:rsidRPr="009C2953">
              <w:rPr>
                <w:b/>
                <w:sz w:val="18"/>
              </w:rPr>
              <w:t>3 070 698</w:t>
            </w:r>
          </w:p>
        </w:tc>
        <w:tc>
          <w:tcPr>
            <w:tcW w:w="1461" w:type="dxa"/>
            <w:tcBorders>
              <w:top w:val="single" w:sz="4" w:space="0" w:color="000000"/>
              <w:left w:val="nil"/>
              <w:bottom w:val="single" w:sz="4" w:space="0" w:color="000000"/>
              <w:right w:val="nil"/>
            </w:tcBorders>
            <w:vAlign w:val="bottom"/>
            <w:hideMark/>
          </w:tcPr>
          <w:p w14:paraId="564B73EF" w14:textId="3F7A8169" w:rsidR="00607B78" w:rsidRPr="009C2953" w:rsidRDefault="00607B78" w:rsidP="00A068F8">
            <w:pPr>
              <w:pStyle w:val="Normal-pool"/>
              <w:spacing w:before="40" w:after="40"/>
              <w:jc w:val="right"/>
              <w:rPr>
                <w:b/>
                <w:sz w:val="18"/>
                <w:szCs w:val="18"/>
              </w:rPr>
            </w:pPr>
            <w:r w:rsidRPr="009C2953">
              <w:rPr>
                <w:b/>
                <w:sz w:val="18"/>
              </w:rPr>
              <w:t>(310</w:t>
            </w:r>
            <w:r w:rsidR="008747EC" w:rsidRPr="009C2953">
              <w:rPr>
                <w:b/>
                <w:sz w:val="18"/>
              </w:rPr>
              <w:t> </w:t>
            </w:r>
            <w:r w:rsidRPr="009C2953">
              <w:rPr>
                <w:b/>
                <w:sz w:val="18"/>
              </w:rPr>
              <w:t>302)</w:t>
            </w:r>
          </w:p>
        </w:tc>
      </w:tr>
      <w:tr w:rsidR="00607B78" w:rsidRPr="009C2953" w14:paraId="6711C3E4" w14:textId="77777777" w:rsidTr="00A068F8">
        <w:trPr>
          <w:trHeight w:val="57"/>
          <w:jc w:val="right"/>
        </w:trPr>
        <w:tc>
          <w:tcPr>
            <w:tcW w:w="5130" w:type="dxa"/>
            <w:tcBorders>
              <w:top w:val="single" w:sz="4" w:space="0" w:color="000000"/>
              <w:left w:val="nil"/>
              <w:bottom w:val="single" w:sz="4" w:space="0" w:color="000000"/>
              <w:right w:val="nil"/>
            </w:tcBorders>
            <w:hideMark/>
          </w:tcPr>
          <w:p w14:paraId="76FDBAE2" w14:textId="77777777" w:rsidR="00607B78" w:rsidRPr="009C2953" w:rsidRDefault="00607B78" w:rsidP="00A068F8">
            <w:pPr>
              <w:pStyle w:val="Normal-pool"/>
              <w:spacing w:before="40" w:after="40"/>
              <w:rPr>
                <w:b/>
                <w:sz w:val="18"/>
                <w:szCs w:val="18"/>
              </w:rPr>
            </w:pPr>
            <w:r w:rsidRPr="009C2953">
              <w:rPr>
                <w:b/>
                <w:sz w:val="18"/>
              </w:rPr>
              <w:t>Total partiel (1+2+3)</w:t>
            </w:r>
          </w:p>
        </w:tc>
        <w:tc>
          <w:tcPr>
            <w:tcW w:w="1442" w:type="dxa"/>
            <w:tcBorders>
              <w:top w:val="single" w:sz="4" w:space="0" w:color="000000"/>
              <w:left w:val="nil"/>
              <w:bottom w:val="single" w:sz="4" w:space="0" w:color="000000"/>
              <w:right w:val="nil"/>
            </w:tcBorders>
            <w:vAlign w:val="bottom"/>
            <w:hideMark/>
          </w:tcPr>
          <w:p w14:paraId="7EF7716D" w14:textId="77777777" w:rsidR="00607B78" w:rsidRPr="009C2953" w:rsidRDefault="00607B78" w:rsidP="00A068F8">
            <w:pPr>
              <w:pStyle w:val="Normal-pool"/>
              <w:spacing w:before="40" w:after="40"/>
              <w:jc w:val="right"/>
              <w:rPr>
                <w:b/>
                <w:sz w:val="18"/>
                <w:szCs w:val="18"/>
              </w:rPr>
            </w:pPr>
            <w:r w:rsidRPr="009C2953">
              <w:rPr>
                <w:b/>
                <w:sz w:val="18"/>
              </w:rPr>
              <w:t>9 558 250</w:t>
            </w:r>
          </w:p>
        </w:tc>
        <w:tc>
          <w:tcPr>
            <w:tcW w:w="1464" w:type="dxa"/>
            <w:tcBorders>
              <w:top w:val="single" w:sz="4" w:space="0" w:color="000000"/>
              <w:left w:val="nil"/>
              <w:bottom w:val="single" w:sz="4" w:space="0" w:color="000000"/>
              <w:right w:val="nil"/>
            </w:tcBorders>
            <w:vAlign w:val="bottom"/>
            <w:hideMark/>
          </w:tcPr>
          <w:p w14:paraId="75C75037" w14:textId="77777777" w:rsidR="00607B78" w:rsidRPr="009C2953" w:rsidRDefault="00607B78" w:rsidP="00A068F8">
            <w:pPr>
              <w:pStyle w:val="Normal-pool"/>
              <w:spacing w:before="40" w:after="40"/>
              <w:jc w:val="right"/>
              <w:rPr>
                <w:b/>
                <w:sz w:val="18"/>
                <w:szCs w:val="18"/>
              </w:rPr>
            </w:pPr>
            <w:r w:rsidRPr="009C2953">
              <w:rPr>
                <w:b/>
                <w:sz w:val="18"/>
              </w:rPr>
              <w:t>8 399 623</w:t>
            </w:r>
          </w:p>
        </w:tc>
        <w:tc>
          <w:tcPr>
            <w:tcW w:w="1461" w:type="dxa"/>
            <w:tcBorders>
              <w:top w:val="single" w:sz="4" w:space="0" w:color="000000"/>
              <w:left w:val="nil"/>
              <w:bottom w:val="single" w:sz="4" w:space="0" w:color="000000"/>
              <w:right w:val="nil"/>
            </w:tcBorders>
            <w:vAlign w:val="bottom"/>
            <w:hideMark/>
          </w:tcPr>
          <w:p w14:paraId="7A5D444A" w14:textId="56623B4A" w:rsidR="00607B78" w:rsidRPr="009C2953" w:rsidRDefault="00607B78" w:rsidP="00A068F8">
            <w:pPr>
              <w:pStyle w:val="Normal-pool"/>
              <w:spacing w:before="40" w:after="40"/>
              <w:jc w:val="right"/>
              <w:rPr>
                <w:b/>
                <w:sz w:val="18"/>
                <w:szCs w:val="18"/>
              </w:rPr>
            </w:pPr>
            <w:r w:rsidRPr="009C2953">
              <w:rPr>
                <w:b/>
                <w:sz w:val="18"/>
              </w:rPr>
              <w:t>(1</w:t>
            </w:r>
            <w:r w:rsidR="00A04189" w:rsidRPr="009C2953">
              <w:rPr>
                <w:b/>
                <w:sz w:val="18"/>
              </w:rPr>
              <w:t> </w:t>
            </w:r>
            <w:r w:rsidRPr="009C2953">
              <w:rPr>
                <w:b/>
                <w:sz w:val="18"/>
              </w:rPr>
              <w:t>158</w:t>
            </w:r>
            <w:r w:rsidR="00A04189" w:rsidRPr="009C2953">
              <w:rPr>
                <w:b/>
                <w:sz w:val="18"/>
              </w:rPr>
              <w:t> </w:t>
            </w:r>
            <w:r w:rsidRPr="009C2953">
              <w:rPr>
                <w:b/>
                <w:sz w:val="18"/>
              </w:rPr>
              <w:t>627)</w:t>
            </w:r>
          </w:p>
        </w:tc>
      </w:tr>
      <w:tr w:rsidR="00607B78" w:rsidRPr="009C2953" w14:paraId="5937C098" w14:textId="77777777" w:rsidTr="00A068F8">
        <w:trPr>
          <w:trHeight w:val="57"/>
          <w:jc w:val="right"/>
        </w:trPr>
        <w:tc>
          <w:tcPr>
            <w:tcW w:w="5130" w:type="dxa"/>
            <w:tcBorders>
              <w:top w:val="single" w:sz="4" w:space="0" w:color="000000"/>
              <w:left w:val="nil"/>
              <w:bottom w:val="single" w:sz="4" w:space="0" w:color="000000"/>
              <w:right w:val="nil"/>
            </w:tcBorders>
            <w:hideMark/>
          </w:tcPr>
          <w:p w14:paraId="2F94E928" w14:textId="5D87EEE2" w:rsidR="00607B78" w:rsidRPr="009C2953" w:rsidRDefault="00607B78" w:rsidP="00A068F8">
            <w:pPr>
              <w:pStyle w:val="Normal-pool"/>
              <w:spacing w:before="40" w:after="40"/>
              <w:rPr>
                <w:sz w:val="18"/>
                <w:szCs w:val="18"/>
              </w:rPr>
            </w:pPr>
            <w:r w:rsidRPr="009C2953">
              <w:rPr>
                <w:sz w:val="18"/>
              </w:rPr>
              <w:t>Dépenses d</w:t>
            </w:r>
            <w:r w:rsidR="00EA2966" w:rsidRPr="009C2953">
              <w:rPr>
                <w:sz w:val="18"/>
              </w:rPr>
              <w:t>’</w:t>
            </w:r>
            <w:r w:rsidRPr="009C2953">
              <w:rPr>
                <w:sz w:val="18"/>
              </w:rPr>
              <w:t>appui</w:t>
            </w:r>
            <w:r w:rsidR="00F34644" w:rsidRPr="009C2953">
              <w:rPr>
                <w:sz w:val="18"/>
              </w:rPr>
              <w:t xml:space="preserve"> aux </w:t>
            </w:r>
            <w:r w:rsidRPr="009C2953">
              <w:rPr>
                <w:sz w:val="18"/>
              </w:rPr>
              <w:t xml:space="preserve">programmes </w:t>
            </w:r>
          </w:p>
        </w:tc>
        <w:tc>
          <w:tcPr>
            <w:tcW w:w="1442" w:type="dxa"/>
            <w:tcBorders>
              <w:top w:val="single" w:sz="4" w:space="0" w:color="000000"/>
              <w:left w:val="nil"/>
              <w:bottom w:val="single" w:sz="4" w:space="0" w:color="000000"/>
              <w:right w:val="nil"/>
            </w:tcBorders>
            <w:vAlign w:val="bottom"/>
            <w:hideMark/>
          </w:tcPr>
          <w:p w14:paraId="7EC16983" w14:textId="77777777" w:rsidR="00607B78" w:rsidRPr="009C2953" w:rsidRDefault="00607B78" w:rsidP="00A068F8">
            <w:pPr>
              <w:pStyle w:val="Normal-pool"/>
              <w:spacing w:before="40" w:after="40"/>
              <w:jc w:val="right"/>
              <w:rPr>
                <w:sz w:val="18"/>
                <w:szCs w:val="18"/>
              </w:rPr>
            </w:pPr>
            <w:r w:rsidRPr="009C2953">
              <w:rPr>
                <w:sz w:val="18"/>
              </w:rPr>
              <w:t>764 660</w:t>
            </w:r>
          </w:p>
        </w:tc>
        <w:tc>
          <w:tcPr>
            <w:tcW w:w="1464" w:type="dxa"/>
            <w:tcBorders>
              <w:top w:val="single" w:sz="4" w:space="0" w:color="000000"/>
              <w:left w:val="nil"/>
              <w:bottom w:val="single" w:sz="4" w:space="0" w:color="000000"/>
              <w:right w:val="nil"/>
            </w:tcBorders>
            <w:vAlign w:val="bottom"/>
            <w:hideMark/>
          </w:tcPr>
          <w:p w14:paraId="5CF9B974" w14:textId="77777777" w:rsidR="00607B78" w:rsidRPr="009C2953" w:rsidRDefault="00607B78" w:rsidP="00A068F8">
            <w:pPr>
              <w:pStyle w:val="Normal-pool"/>
              <w:spacing w:before="40" w:after="40"/>
              <w:jc w:val="right"/>
              <w:rPr>
                <w:sz w:val="18"/>
                <w:szCs w:val="18"/>
              </w:rPr>
            </w:pPr>
            <w:r w:rsidRPr="009C2953">
              <w:rPr>
                <w:sz w:val="18"/>
              </w:rPr>
              <w:t>671 970</w:t>
            </w:r>
          </w:p>
        </w:tc>
        <w:tc>
          <w:tcPr>
            <w:tcW w:w="1461" w:type="dxa"/>
            <w:tcBorders>
              <w:top w:val="single" w:sz="4" w:space="0" w:color="000000"/>
              <w:left w:val="nil"/>
              <w:bottom w:val="single" w:sz="4" w:space="0" w:color="000000"/>
              <w:right w:val="nil"/>
            </w:tcBorders>
            <w:vAlign w:val="bottom"/>
            <w:hideMark/>
          </w:tcPr>
          <w:p w14:paraId="734C8283" w14:textId="6DAAECAF" w:rsidR="00607B78" w:rsidRPr="009C2953" w:rsidRDefault="00607B78" w:rsidP="00A068F8">
            <w:pPr>
              <w:pStyle w:val="Normal-pool"/>
              <w:spacing w:before="40" w:after="40"/>
              <w:jc w:val="right"/>
              <w:rPr>
                <w:sz w:val="18"/>
                <w:szCs w:val="18"/>
              </w:rPr>
            </w:pPr>
            <w:r w:rsidRPr="009C2953">
              <w:rPr>
                <w:sz w:val="18"/>
              </w:rPr>
              <w:t>(92</w:t>
            </w:r>
            <w:r w:rsidR="00A04189" w:rsidRPr="009C2953">
              <w:rPr>
                <w:sz w:val="18"/>
              </w:rPr>
              <w:t> </w:t>
            </w:r>
            <w:r w:rsidRPr="009C2953">
              <w:rPr>
                <w:sz w:val="18"/>
              </w:rPr>
              <w:t>690)</w:t>
            </w:r>
          </w:p>
        </w:tc>
      </w:tr>
      <w:tr w:rsidR="00607B78" w:rsidRPr="009C2953" w14:paraId="4174A4E7" w14:textId="77777777" w:rsidTr="00A068F8">
        <w:trPr>
          <w:trHeight w:val="57"/>
          <w:jc w:val="right"/>
        </w:trPr>
        <w:tc>
          <w:tcPr>
            <w:tcW w:w="5130" w:type="dxa"/>
            <w:tcBorders>
              <w:top w:val="single" w:sz="4" w:space="0" w:color="000000"/>
              <w:left w:val="nil"/>
              <w:bottom w:val="single" w:sz="12" w:space="0" w:color="000000"/>
              <w:right w:val="nil"/>
            </w:tcBorders>
            <w:hideMark/>
          </w:tcPr>
          <w:p w14:paraId="4AE45B5D" w14:textId="77777777" w:rsidR="00607B78" w:rsidRPr="009C2953" w:rsidRDefault="00607B78" w:rsidP="00A068F8">
            <w:pPr>
              <w:pStyle w:val="Normal-pool"/>
              <w:spacing w:before="40" w:after="40"/>
              <w:rPr>
                <w:b/>
                <w:sz w:val="18"/>
                <w:szCs w:val="18"/>
              </w:rPr>
            </w:pPr>
            <w:r w:rsidRPr="009C2953">
              <w:rPr>
                <w:b/>
                <w:sz w:val="18"/>
              </w:rPr>
              <w:t>Total</w:t>
            </w:r>
          </w:p>
        </w:tc>
        <w:tc>
          <w:tcPr>
            <w:tcW w:w="1442" w:type="dxa"/>
            <w:tcBorders>
              <w:top w:val="single" w:sz="4" w:space="0" w:color="000000"/>
              <w:left w:val="nil"/>
              <w:bottom w:val="single" w:sz="12" w:space="0" w:color="000000"/>
              <w:right w:val="nil"/>
            </w:tcBorders>
            <w:vAlign w:val="bottom"/>
            <w:hideMark/>
          </w:tcPr>
          <w:p w14:paraId="3591D7F3" w14:textId="77777777" w:rsidR="00607B78" w:rsidRPr="009C2953" w:rsidRDefault="00607B78" w:rsidP="00A068F8">
            <w:pPr>
              <w:pStyle w:val="Normal-pool"/>
              <w:spacing w:before="40" w:after="40"/>
              <w:jc w:val="right"/>
              <w:rPr>
                <w:b/>
                <w:sz w:val="18"/>
                <w:szCs w:val="18"/>
              </w:rPr>
            </w:pPr>
            <w:r w:rsidRPr="009C2953">
              <w:rPr>
                <w:b/>
                <w:sz w:val="18"/>
              </w:rPr>
              <w:t>10 322 910</w:t>
            </w:r>
          </w:p>
        </w:tc>
        <w:tc>
          <w:tcPr>
            <w:tcW w:w="1464" w:type="dxa"/>
            <w:tcBorders>
              <w:top w:val="single" w:sz="4" w:space="0" w:color="000000"/>
              <w:left w:val="nil"/>
              <w:bottom w:val="single" w:sz="12" w:space="0" w:color="000000"/>
              <w:right w:val="nil"/>
            </w:tcBorders>
            <w:vAlign w:val="bottom"/>
            <w:hideMark/>
          </w:tcPr>
          <w:p w14:paraId="371664F6" w14:textId="77777777" w:rsidR="00607B78" w:rsidRPr="009C2953" w:rsidRDefault="00607B78" w:rsidP="00A068F8">
            <w:pPr>
              <w:pStyle w:val="Normal-pool"/>
              <w:spacing w:before="40" w:after="40"/>
              <w:jc w:val="right"/>
              <w:rPr>
                <w:b/>
                <w:sz w:val="18"/>
                <w:szCs w:val="18"/>
              </w:rPr>
            </w:pPr>
            <w:r w:rsidRPr="009C2953">
              <w:rPr>
                <w:b/>
                <w:sz w:val="18"/>
              </w:rPr>
              <w:t>9 071 593</w:t>
            </w:r>
          </w:p>
        </w:tc>
        <w:tc>
          <w:tcPr>
            <w:tcW w:w="1461" w:type="dxa"/>
            <w:tcBorders>
              <w:top w:val="single" w:sz="4" w:space="0" w:color="000000"/>
              <w:left w:val="nil"/>
              <w:bottom w:val="single" w:sz="12" w:space="0" w:color="000000"/>
              <w:right w:val="nil"/>
            </w:tcBorders>
            <w:vAlign w:val="bottom"/>
            <w:hideMark/>
          </w:tcPr>
          <w:p w14:paraId="712C097B" w14:textId="10DF60FE" w:rsidR="00607B78" w:rsidRPr="009C2953" w:rsidRDefault="00607B78" w:rsidP="00A068F8">
            <w:pPr>
              <w:pStyle w:val="Normal-pool"/>
              <w:spacing w:before="40" w:after="40"/>
              <w:jc w:val="right"/>
              <w:rPr>
                <w:b/>
                <w:sz w:val="18"/>
                <w:szCs w:val="18"/>
              </w:rPr>
            </w:pPr>
            <w:r w:rsidRPr="009C2953">
              <w:rPr>
                <w:b/>
                <w:sz w:val="18"/>
              </w:rPr>
              <w:t>(1</w:t>
            </w:r>
            <w:r w:rsidR="00A04189" w:rsidRPr="009C2953">
              <w:rPr>
                <w:b/>
                <w:sz w:val="18"/>
              </w:rPr>
              <w:t> </w:t>
            </w:r>
            <w:r w:rsidRPr="009C2953">
              <w:rPr>
                <w:b/>
                <w:sz w:val="18"/>
              </w:rPr>
              <w:t>251</w:t>
            </w:r>
            <w:r w:rsidR="00A04189" w:rsidRPr="009C2953">
              <w:rPr>
                <w:b/>
                <w:sz w:val="18"/>
              </w:rPr>
              <w:t> </w:t>
            </w:r>
            <w:r w:rsidRPr="009C2953">
              <w:rPr>
                <w:b/>
                <w:sz w:val="18"/>
              </w:rPr>
              <w:t>317)</w:t>
            </w:r>
          </w:p>
        </w:tc>
      </w:tr>
    </w:tbl>
    <w:p w14:paraId="32E6F714" w14:textId="77777777" w:rsidR="00607B78" w:rsidRPr="009C2953" w:rsidRDefault="00607B78" w:rsidP="00607B78">
      <w:pPr>
        <w:pStyle w:val="CH1"/>
        <w:rPr>
          <w:rFonts w:eastAsia="Yu Mincho"/>
        </w:rPr>
      </w:pPr>
      <w:r w:rsidRPr="009C2953">
        <w:lastRenderedPageBreak/>
        <w:tab/>
        <w:t>IV.</w:t>
      </w:r>
      <w:r w:rsidRPr="009C2953">
        <w:tab/>
        <w:t>Budget pour 2024</w:t>
      </w:r>
    </w:p>
    <w:p w14:paraId="61A186D7" w14:textId="77777777" w:rsidR="00607B78" w:rsidRPr="009C2953" w:rsidRDefault="00607B78" w:rsidP="00607B78">
      <w:pPr>
        <w:pStyle w:val="Titletable"/>
      </w:pPr>
      <w:r w:rsidRPr="009C2953">
        <w:rPr>
          <w:b w:val="0"/>
        </w:rPr>
        <w:t xml:space="preserve">Tableau 7 </w:t>
      </w:r>
      <w:r w:rsidRPr="009C2953">
        <w:br/>
        <w:t xml:space="preserve">Budget pour 2024 </w:t>
      </w:r>
    </w:p>
    <w:p w14:paraId="0CBED860" w14:textId="3FE97E82" w:rsidR="00607B78" w:rsidRPr="009C2953" w:rsidRDefault="00607B78" w:rsidP="00607B78">
      <w:pPr>
        <w:pStyle w:val="Titletable"/>
        <w:rPr>
          <w:b w:val="0"/>
          <w:bCs w:val="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00" w:firstRow="0" w:lastRow="0" w:firstColumn="0" w:lastColumn="0" w:noHBand="0" w:noVBand="1"/>
      </w:tblPr>
      <w:tblGrid>
        <w:gridCol w:w="5245"/>
        <w:gridCol w:w="1550"/>
        <w:gridCol w:w="1416"/>
        <w:gridCol w:w="1286"/>
      </w:tblGrid>
      <w:tr w:rsidR="00607B78" w:rsidRPr="009C2953" w14:paraId="599E938B" w14:textId="77777777" w:rsidTr="00A068F8">
        <w:trPr>
          <w:trHeight w:val="57"/>
          <w:tblHeader/>
          <w:jc w:val="right"/>
        </w:trPr>
        <w:tc>
          <w:tcPr>
            <w:tcW w:w="5245" w:type="dxa"/>
            <w:tcBorders>
              <w:top w:val="single" w:sz="4" w:space="0" w:color="000000"/>
              <w:left w:val="nil"/>
              <w:bottom w:val="single" w:sz="12" w:space="0" w:color="000000"/>
              <w:right w:val="nil"/>
            </w:tcBorders>
            <w:vAlign w:val="bottom"/>
            <w:hideMark/>
          </w:tcPr>
          <w:p w14:paraId="107F8E6E" w14:textId="77777777" w:rsidR="00607B78" w:rsidRPr="009C2953" w:rsidRDefault="00607B78" w:rsidP="00A068F8">
            <w:pPr>
              <w:pStyle w:val="Normal-pool-Table"/>
              <w:spacing w:after="30"/>
              <w:rPr>
                <w:i/>
                <w:iCs/>
              </w:rPr>
            </w:pPr>
            <w:r w:rsidRPr="009C2953">
              <w:rPr>
                <w:i/>
              </w:rPr>
              <w:t>Postes de dépenses</w:t>
            </w:r>
          </w:p>
        </w:tc>
        <w:tc>
          <w:tcPr>
            <w:tcW w:w="1550" w:type="dxa"/>
            <w:tcBorders>
              <w:top w:val="single" w:sz="4" w:space="0" w:color="000000"/>
              <w:left w:val="nil"/>
              <w:bottom w:val="single" w:sz="12" w:space="0" w:color="000000"/>
              <w:right w:val="nil"/>
            </w:tcBorders>
            <w:vAlign w:val="bottom"/>
            <w:hideMark/>
          </w:tcPr>
          <w:p w14:paraId="0887C43E" w14:textId="77777777" w:rsidR="00607B78" w:rsidRPr="009C2953" w:rsidRDefault="00607B78" w:rsidP="00A068F8">
            <w:pPr>
              <w:pStyle w:val="Normal-pool-Table"/>
              <w:spacing w:after="30"/>
              <w:jc w:val="right"/>
              <w:rPr>
                <w:i/>
                <w:iCs/>
              </w:rPr>
            </w:pPr>
            <w:r w:rsidRPr="009C2953">
              <w:rPr>
                <w:i/>
              </w:rPr>
              <w:t>Budget provisoire pour 2024</w:t>
            </w:r>
          </w:p>
        </w:tc>
        <w:tc>
          <w:tcPr>
            <w:tcW w:w="1416" w:type="dxa"/>
            <w:tcBorders>
              <w:top w:val="single" w:sz="4" w:space="0" w:color="000000"/>
              <w:left w:val="nil"/>
              <w:bottom w:val="single" w:sz="12" w:space="0" w:color="000000"/>
              <w:right w:val="nil"/>
            </w:tcBorders>
            <w:vAlign w:val="bottom"/>
            <w:hideMark/>
          </w:tcPr>
          <w:p w14:paraId="5B802D6D" w14:textId="77777777" w:rsidR="00607B78" w:rsidRPr="009C2953" w:rsidRDefault="00607B78" w:rsidP="00A068F8">
            <w:pPr>
              <w:pStyle w:val="Normal-pool-Table"/>
              <w:spacing w:after="30"/>
              <w:jc w:val="right"/>
              <w:rPr>
                <w:i/>
                <w:iCs/>
              </w:rPr>
            </w:pPr>
            <w:r w:rsidRPr="009C2953">
              <w:rPr>
                <w:i/>
              </w:rPr>
              <w:t>Budget révisé pour 2024</w:t>
            </w:r>
          </w:p>
        </w:tc>
        <w:tc>
          <w:tcPr>
            <w:tcW w:w="1286" w:type="dxa"/>
            <w:tcBorders>
              <w:top w:val="single" w:sz="4" w:space="0" w:color="000000"/>
              <w:left w:val="nil"/>
              <w:bottom w:val="single" w:sz="12" w:space="0" w:color="000000"/>
              <w:right w:val="nil"/>
            </w:tcBorders>
            <w:vAlign w:val="bottom"/>
            <w:hideMark/>
          </w:tcPr>
          <w:p w14:paraId="5F5BA38F" w14:textId="77777777" w:rsidR="00607B78" w:rsidRPr="009C2953" w:rsidRDefault="00607B78" w:rsidP="00A068F8">
            <w:pPr>
              <w:pStyle w:val="Normal-pool-Table"/>
              <w:spacing w:after="30"/>
              <w:jc w:val="right"/>
              <w:rPr>
                <w:i/>
                <w:iCs/>
              </w:rPr>
            </w:pPr>
            <w:r w:rsidRPr="009C2953">
              <w:rPr>
                <w:i/>
              </w:rPr>
              <w:t>Augmentation (Diminution)</w:t>
            </w:r>
          </w:p>
        </w:tc>
      </w:tr>
      <w:tr w:rsidR="00607B78" w:rsidRPr="009C2953" w14:paraId="0826131A" w14:textId="77777777" w:rsidTr="00A068F8">
        <w:trPr>
          <w:trHeight w:val="57"/>
          <w:jc w:val="right"/>
        </w:trPr>
        <w:tc>
          <w:tcPr>
            <w:tcW w:w="5245" w:type="dxa"/>
            <w:tcBorders>
              <w:top w:val="single" w:sz="12" w:space="0" w:color="000000"/>
              <w:left w:val="nil"/>
              <w:bottom w:val="nil"/>
              <w:right w:val="nil"/>
            </w:tcBorders>
            <w:vAlign w:val="bottom"/>
            <w:hideMark/>
          </w:tcPr>
          <w:p w14:paraId="338F193C" w14:textId="553C078B" w:rsidR="00607B78" w:rsidRPr="009C2953" w:rsidRDefault="00607B78" w:rsidP="00C07E37">
            <w:pPr>
              <w:pStyle w:val="Normal-pool-Table"/>
              <w:tabs>
                <w:tab w:val="clear" w:pos="624"/>
                <w:tab w:val="left" w:pos="322"/>
              </w:tabs>
              <w:spacing w:after="30"/>
              <w:rPr>
                <w:b/>
                <w:szCs w:val="18"/>
              </w:rPr>
            </w:pPr>
            <w:r w:rsidRPr="009C2953">
              <w:rPr>
                <w:b/>
                <w:szCs w:val="18"/>
              </w:rPr>
              <w:t>1.</w:t>
            </w:r>
            <w:r w:rsidRPr="009C2953">
              <w:rPr>
                <w:b/>
                <w:szCs w:val="18"/>
              </w:rPr>
              <w:tab/>
              <w:t>Réunions</w:t>
            </w:r>
            <w:r w:rsidR="00D24DC1" w:rsidRPr="009C2953">
              <w:rPr>
                <w:b/>
                <w:szCs w:val="18"/>
              </w:rPr>
              <w:t xml:space="preserve"> des </w:t>
            </w:r>
            <w:r w:rsidRPr="009C2953">
              <w:rPr>
                <w:b/>
              </w:rPr>
              <w:t>organes</w:t>
            </w:r>
            <w:r w:rsidRPr="009C2953">
              <w:rPr>
                <w:b/>
                <w:szCs w:val="18"/>
              </w:rPr>
              <w:t xml:space="preserve"> de</w:t>
            </w:r>
            <w:r w:rsidR="00F34644" w:rsidRPr="009C2953">
              <w:rPr>
                <w:b/>
                <w:szCs w:val="18"/>
              </w:rPr>
              <w:t xml:space="preserve"> la </w:t>
            </w:r>
            <w:r w:rsidRPr="009C2953">
              <w:rPr>
                <w:b/>
                <w:szCs w:val="18"/>
              </w:rPr>
              <w:t>IPBES</w:t>
            </w:r>
          </w:p>
        </w:tc>
        <w:tc>
          <w:tcPr>
            <w:tcW w:w="1550" w:type="dxa"/>
            <w:tcBorders>
              <w:top w:val="single" w:sz="12" w:space="0" w:color="000000"/>
              <w:left w:val="nil"/>
              <w:bottom w:val="nil"/>
              <w:right w:val="nil"/>
            </w:tcBorders>
            <w:vAlign w:val="bottom"/>
          </w:tcPr>
          <w:p w14:paraId="13C7CF31" w14:textId="77777777" w:rsidR="00607B78" w:rsidRPr="009C2953" w:rsidRDefault="00607B78" w:rsidP="00A068F8">
            <w:pPr>
              <w:pStyle w:val="Normal-pool-Table"/>
              <w:spacing w:after="30"/>
              <w:jc w:val="right"/>
              <w:rPr>
                <w:b/>
              </w:rPr>
            </w:pPr>
          </w:p>
        </w:tc>
        <w:tc>
          <w:tcPr>
            <w:tcW w:w="1416" w:type="dxa"/>
            <w:tcBorders>
              <w:top w:val="single" w:sz="12" w:space="0" w:color="000000"/>
              <w:left w:val="nil"/>
              <w:bottom w:val="nil"/>
              <w:right w:val="nil"/>
            </w:tcBorders>
            <w:vAlign w:val="bottom"/>
          </w:tcPr>
          <w:p w14:paraId="73644DB5" w14:textId="77777777" w:rsidR="00607B78" w:rsidRPr="009C2953" w:rsidRDefault="00607B78" w:rsidP="00A068F8">
            <w:pPr>
              <w:pStyle w:val="Normal-pool-Table"/>
              <w:spacing w:after="30"/>
              <w:jc w:val="right"/>
            </w:pPr>
          </w:p>
        </w:tc>
        <w:tc>
          <w:tcPr>
            <w:tcW w:w="1286" w:type="dxa"/>
            <w:tcBorders>
              <w:top w:val="single" w:sz="12" w:space="0" w:color="000000"/>
              <w:left w:val="nil"/>
              <w:bottom w:val="nil"/>
              <w:right w:val="nil"/>
            </w:tcBorders>
            <w:vAlign w:val="bottom"/>
          </w:tcPr>
          <w:p w14:paraId="6A0620D2" w14:textId="77777777" w:rsidR="00607B78" w:rsidRPr="009C2953" w:rsidRDefault="00607B78" w:rsidP="00A068F8">
            <w:pPr>
              <w:pStyle w:val="Normal-pool-Table"/>
              <w:spacing w:after="30"/>
              <w:jc w:val="right"/>
            </w:pPr>
          </w:p>
        </w:tc>
      </w:tr>
      <w:tr w:rsidR="00607B78" w:rsidRPr="009C2953" w14:paraId="297E5877" w14:textId="77777777" w:rsidTr="00A068F8">
        <w:trPr>
          <w:trHeight w:val="57"/>
          <w:jc w:val="right"/>
        </w:trPr>
        <w:tc>
          <w:tcPr>
            <w:tcW w:w="5245" w:type="dxa"/>
            <w:tcBorders>
              <w:top w:val="nil"/>
              <w:left w:val="nil"/>
              <w:bottom w:val="nil"/>
              <w:right w:val="nil"/>
            </w:tcBorders>
            <w:vAlign w:val="bottom"/>
            <w:hideMark/>
          </w:tcPr>
          <w:p w14:paraId="37B774C2" w14:textId="71EAD993" w:rsidR="00607B78" w:rsidRPr="009C2953" w:rsidRDefault="00607B78" w:rsidP="00C07E37">
            <w:pPr>
              <w:pStyle w:val="Normal-pool-Table"/>
              <w:tabs>
                <w:tab w:val="clear" w:pos="624"/>
                <w:tab w:val="left" w:pos="322"/>
              </w:tabs>
              <w:spacing w:after="30"/>
              <w:rPr>
                <w:b/>
                <w:szCs w:val="18"/>
              </w:rPr>
            </w:pPr>
            <w:r w:rsidRPr="009C2953">
              <w:rPr>
                <w:b/>
                <w:szCs w:val="18"/>
              </w:rPr>
              <w:t>1.1.</w:t>
            </w:r>
            <w:r w:rsidRPr="009C2953">
              <w:rPr>
                <w:b/>
                <w:szCs w:val="18"/>
              </w:rPr>
              <w:tab/>
            </w:r>
            <w:r w:rsidRPr="009C2953">
              <w:rPr>
                <w:b/>
              </w:rPr>
              <w:t>Sessions</w:t>
            </w:r>
            <w:r w:rsidRPr="009C2953">
              <w:rPr>
                <w:b/>
                <w:szCs w:val="18"/>
              </w:rPr>
              <w:t xml:space="preserve"> de</w:t>
            </w:r>
            <w:r w:rsidR="00F34644" w:rsidRPr="009C2953">
              <w:rPr>
                <w:b/>
                <w:szCs w:val="18"/>
              </w:rPr>
              <w:t xml:space="preserve"> la </w:t>
            </w:r>
            <w:r w:rsidRPr="009C2953">
              <w:rPr>
                <w:b/>
                <w:szCs w:val="18"/>
              </w:rPr>
              <w:t>Plénière</w:t>
            </w:r>
          </w:p>
        </w:tc>
        <w:tc>
          <w:tcPr>
            <w:tcW w:w="1550" w:type="dxa"/>
            <w:tcBorders>
              <w:top w:val="nil"/>
              <w:left w:val="nil"/>
              <w:bottom w:val="nil"/>
              <w:right w:val="nil"/>
            </w:tcBorders>
            <w:vAlign w:val="bottom"/>
          </w:tcPr>
          <w:p w14:paraId="140705AE" w14:textId="77777777" w:rsidR="00607B78" w:rsidRPr="009C2953" w:rsidRDefault="00607B78" w:rsidP="00A068F8">
            <w:pPr>
              <w:pStyle w:val="Normal-pool-Table"/>
              <w:spacing w:after="30"/>
              <w:jc w:val="right"/>
              <w:rPr>
                <w:b/>
              </w:rPr>
            </w:pPr>
          </w:p>
        </w:tc>
        <w:tc>
          <w:tcPr>
            <w:tcW w:w="1416" w:type="dxa"/>
            <w:tcBorders>
              <w:top w:val="nil"/>
              <w:left w:val="nil"/>
              <w:bottom w:val="nil"/>
              <w:right w:val="nil"/>
            </w:tcBorders>
            <w:vAlign w:val="bottom"/>
          </w:tcPr>
          <w:p w14:paraId="6C719776" w14:textId="77777777" w:rsidR="00607B78" w:rsidRPr="009C2953" w:rsidRDefault="00607B78" w:rsidP="00A068F8">
            <w:pPr>
              <w:pStyle w:val="Normal-pool-Table"/>
              <w:spacing w:after="30"/>
              <w:jc w:val="right"/>
            </w:pPr>
          </w:p>
        </w:tc>
        <w:tc>
          <w:tcPr>
            <w:tcW w:w="1286" w:type="dxa"/>
            <w:tcBorders>
              <w:top w:val="nil"/>
              <w:left w:val="nil"/>
              <w:bottom w:val="nil"/>
              <w:right w:val="nil"/>
            </w:tcBorders>
            <w:vAlign w:val="bottom"/>
          </w:tcPr>
          <w:p w14:paraId="5CCC6CFF" w14:textId="77777777" w:rsidR="00607B78" w:rsidRPr="009C2953" w:rsidRDefault="00607B78" w:rsidP="00A068F8">
            <w:pPr>
              <w:pStyle w:val="Normal-pool-Table"/>
              <w:spacing w:after="30"/>
              <w:jc w:val="right"/>
            </w:pPr>
          </w:p>
        </w:tc>
      </w:tr>
      <w:tr w:rsidR="00607B78" w:rsidRPr="009C2953" w14:paraId="2A8E94DF" w14:textId="77777777" w:rsidTr="00A068F8">
        <w:trPr>
          <w:trHeight w:val="57"/>
          <w:jc w:val="right"/>
        </w:trPr>
        <w:tc>
          <w:tcPr>
            <w:tcW w:w="5245" w:type="dxa"/>
            <w:tcBorders>
              <w:top w:val="nil"/>
              <w:left w:val="nil"/>
              <w:bottom w:val="nil"/>
              <w:right w:val="nil"/>
            </w:tcBorders>
            <w:vAlign w:val="bottom"/>
            <w:hideMark/>
          </w:tcPr>
          <w:p w14:paraId="6F14A14C" w14:textId="3E0D42C9" w:rsidR="00607B78" w:rsidRPr="009C2953" w:rsidRDefault="00607B78" w:rsidP="00A068F8">
            <w:pPr>
              <w:pStyle w:val="Normal-pool-Table"/>
              <w:spacing w:after="30"/>
            </w:pPr>
            <w:r w:rsidRPr="009C2953">
              <w:t>Frais de voyage</w:t>
            </w:r>
            <w:r w:rsidR="00D24DC1" w:rsidRPr="009C2953">
              <w:t xml:space="preserve"> des </w:t>
            </w:r>
            <w:r w:rsidRPr="009C2953">
              <w:t>participant(e)s à</w:t>
            </w:r>
            <w:r w:rsidR="00F34644" w:rsidRPr="009C2953">
              <w:t xml:space="preserve"> la </w:t>
            </w:r>
            <w:r w:rsidRPr="009C2953">
              <w:t>onzième session de</w:t>
            </w:r>
            <w:r w:rsidR="000B4F26" w:rsidRPr="009C2953">
              <w:t xml:space="preserve"> </w:t>
            </w:r>
            <w:r w:rsidR="00F34644" w:rsidRPr="009C2953">
              <w:t>la </w:t>
            </w:r>
            <w:r w:rsidRPr="009C2953">
              <w:t xml:space="preserve">Plénière (frais de voyage et indemnité journalière de subsistance) </w:t>
            </w:r>
          </w:p>
        </w:tc>
        <w:tc>
          <w:tcPr>
            <w:tcW w:w="1550" w:type="dxa"/>
            <w:tcBorders>
              <w:top w:val="nil"/>
              <w:left w:val="nil"/>
              <w:bottom w:val="nil"/>
              <w:right w:val="nil"/>
            </w:tcBorders>
            <w:vAlign w:val="bottom"/>
            <w:hideMark/>
          </w:tcPr>
          <w:p w14:paraId="057CD92C" w14:textId="77777777" w:rsidR="00607B78" w:rsidRPr="009C2953" w:rsidRDefault="00607B78" w:rsidP="00A068F8">
            <w:pPr>
              <w:pStyle w:val="Normal-pool-Table"/>
              <w:spacing w:after="30"/>
              <w:jc w:val="right"/>
            </w:pPr>
            <w:r w:rsidRPr="009C2953">
              <w:t>500 000</w:t>
            </w:r>
          </w:p>
        </w:tc>
        <w:tc>
          <w:tcPr>
            <w:tcW w:w="1416" w:type="dxa"/>
            <w:tcBorders>
              <w:top w:val="nil"/>
              <w:left w:val="nil"/>
              <w:bottom w:val="nil"/>
              <w:right w:val="nil"/>
            </w:tcBorders>
            <w:vAlign w:val="bottom"/>
            <w:hideMark/>
          </w:tcPr>
          <w:p w14:paraId="21A42A81" w14:textId="77777777" w:rsidR="00607B78" w:rsidRPr="009C2953" w:rsidRDefault="00607B78" w:rsidP="00A068F8">
            <w:pPr>
              <w:pStyle w:val="Normal-pool-Table"/>
              <w:spacing w:after="30"/>
              <w:jc w:val="right"/>
            </w:pPr>
            <w:r w:rsidRPr="009C2953">
              <w:t>500 000</w:t>
            </w:r>
          </w:p>
        </w:tc>
        <w:tc>
          <w:tcPr>
            <w:tcW w:w="1286" w:type="dxa"/>
            <w:tcBorders>
              <w:top w:val="nil"/>
              <w:left w:val="nil"/>
              <w:bottom w:val="nil"/>
              <w:right w:val="nil"/>
            </w:tcBorders>
            <w:vAlign w:val="bottom"/>
            <w:hideMark/>
          </w:tcPr>
          <w:p w14:paraId="31FF4F36" w14:textId="77777777" w:rsidR="00607B78" w:rsidRPr="009C2953" w:rsidRDefault="00607B78" w:rsidP="00A068F8">
            <w:pPr>
              <w:pStyle w:val="Normal-pool-Table"/>
              <w:spacing w:after="30"/>
              <w:jc w:val="right"/>
            </w:pPr>
            <w:r w:rsidRPr="009C2953">
              <w:t>0</w:t>
            </w:r>
          </w:p>
        </w:tc>
      </w:tr>
      <w:tr w:rsidR="00607B78" w:rsidRPr="009C2953" w14:paraId="2D9FC4DC" w14:textId="77777777" w:rsidTr="00A068F8">
        <w:trPr>
          <w:trHeight w:val="57"/>
          <w:jc w:val="right"/>
        </w:trPr>
        <w:tc>
          <w:tcPr>
            <w:tcW w:w="5245" w:type="dxa"/>
            <w:tcBorders>
              <w:top w:val="nil"/>
              <w:left w:val="nil"/>
              <w:bottom w:val="nil"/>
              <w:right w:val="nil"/>
            </w:tcBorders>
            <w:vAlign w:val="bottom"/>
            <w:hideMark/>
          </w:tcPr>
          <w:p w14:paraId="3AF20913" w14:textId="77777777" w:rsidR="00607B78" w:rsidRPr="009C2953" w:rsidRDefault="00607B78" w:rsidP="00A068F8">
            <w:pPr>
              <w:pStyle w:val="Normal-pool-Table"/>
              <w:spacing w:after="30"/>
            </w:pPr>
            <w:r w:rsidRPr="009C2953">
              <w:t>Services de conférence (traduction, édition et interprétation)</w:t>
            </w:r>
          </w:p>
        </w:tc>
        <w:tc>
          <w:tcPr>
            <w:tcW w:w="1550" w:type="dxa"/>
            <w:tcBorders>
              <w:top w:val="nil"/>
              <w:left w:val="nil"/>
              <w:bottom w:val="nil"/>
              <w:right w:val="nil"/>
            </w:tcBorders>
            <w:vAlign w:val="bottom"/>
            <w:hideMark/>
          </w:tcPr>
          <w:p w14:paraId="7253047A" w14:textId="77777777" w:rsidR="00607B78" w:rsidRPr="009C2953" w:rsidRDefault="00607B78" w:rsidP="00A068F8">
            <w:pPr>
              <w:pStyle w:val="Normal-pool-Table"/>
              <w:spacing w:after="30"/>
              <w:jc w:val="right"/>
            </w:pPr>
            <w:r w:rsidRPr="009C2953">
              <w:t>830 000</w:t>
            </w:r>
          </w:p>
        </w:tc>
        <w:tc>
          <w:tcPr>
            <w:tcW w:w="1416" w:type="dxa"/>
            <w:tcBorders>
              <w:top w:val="nil"/>
              <w:left w:val="nil"/>
              <w:bottom w:val="nil"/>
              <w:right w:val="nil"/>
            </w:tcBorders>
            <w:vAlign w:val="bottom"/>
            <w:hideMark/>
          </w:tcPr>
          <w:p w14:paraId="75DFAFB5" w14:textId="77777777" w:rsidR="00607B78" w:rsidRPr="009C2953" w:rsidRDefault="00607B78" w:rsidP="00A068F8">
            <w:pPr>
              <w:pStyle w:val="Normal-pool-Table"/>
              <w:spacing w:after="30"/>
              <w:jc w:val="right"/>
            </w:pPr>
            <w:r w:rsidRPr="009C2953">
              <w:t>830 000</w:t>
            </w:r>
          </w:p>
        </w:tc>
        <w:tc>
          <w:tcPr>
            <w:tcW w:w="1286" w:type="dxa"/>
            <w:tcBorders>
              <w:top w:val="nil"/>
              <w:left w:val="nil"/>
              <w:bottom w:val="nil"/>
              <w:right w:val="nil"/>
            </w:tcBorders>
            <w:vAlign w:val="bottom"/>
            <w:hideMark/>
          </w:tcPr>
          <w:p w14:paraId="2164A878" w14:textId="77777777" w:rsidR="00607B78" w:rsidRPr="009C2953" w:rsidRDefault="00607B78" w:rsidP="00A068F8">
            <w:pPr>
              <w:pStyle w:val="Normal-pool-Table"/>
              <w:spacing w:after="30"/>
              <w:jc w:val="right"/>
            </w:pPr>
            <w:r w:rsidRPr="009C2953">
              <w:t>0</w:t>
            </w:r>
          </w:p>
        </w:tc>
      </w:tr>
      <w:tr w:rsidR="00607B78" w:rsidRPr="009C2953" w14:paraId="6E65BF74" w14:textId="77777777" w:rsidTr="00A068F8">
        <w:trPr>
          <w:trHeight w:val="57"/>
          <w:jc w:val="right"/>
        </w:trPr>
        <w:tc>
          <w:tcPr>
            <w:tcW w:w="5245" w:type="dxa"/>
            <w:tcBorders>
              <w:top w:val="nil"/>
              <w:left w:val="nil"/>
              <w:bottom w:val="nil"/>
              <w:right w:val="nil"/>
            </w:tcBorders>
            <w:vAlign w:val="bottom"/>
            <w:hideMark/>
          </w:tcPr>
          <w:p w14:paraId="654FE76A" w14:textId="4730834F" w:rsidR="00607B78" w:rsidRPr="009C2953" w:rsidRDefault="00607B78" w:rsidP="00A068F8">
            <w:pPr>
              <w:pStyle w:val="Normal-pool-Table"/>
              <w:spacing w:after="30"/>
            </w:pPr>
            <w:r w:rsidRPr="009C2953">
              <w:t>Services d</w:t>
            </w:r>
            <w:r w:rsidR="00EA2966" w:rsidRPr="009C2953">
              <w:t>’</w:t>
            </w:r>
            <w:r w:rsidRPr="009C2953">
              <w:t>établissement</w:t>
            </w:r>
            <w:r w:rsidR="00D24DC1" w:rsidRPr="009C2953">
              <w:t xml:space="preserve"> des </w:t>
            </w:r>
            <w:r w:rsidRPr="009C2953">
              <w:t>rapports</w:t>
            </w:r>
          </w:p>
        </w:tc>
        <w:tc>
          <w:tcPr>
            <w:tcW w:w="1550" w:type="dxa"/>
            <w:tcBorders>
              <w:top w:val="nil"/>
              <w:left w:val="nil"/>
              <w:bottom w:val="nil"/>
              <w:right w:val="nil"/>
            </w:tcBorders>
            <w:vAlign w:val="bottom"/>
            <w:hideMark/>
          </w:tcPr>
          <w:p w14:paraId="456DAFE3" w14:textId="77777777" w:rsidR="00607B78" w:rsidRPr="009C2953" w:rsidRDefault="00607B78" w:rsidP="00A068F8">
            <w:pPr>
              <w:pStyle w:val="Normal-pool-Table"/>
              <w:spacing w:after="30"/>
              <w:jc w:val="right"/>
            </w:pPr>
            <w:r w:rsidRPr="009C2953">
              <w:t>65 000</w:t>
            </w:r>
          </w:p>
        </w:tc>
        <w:tc>
          <w:tcPr>
            <w:tcW w:w="1416" w:type="dxa"/>
            <w:tcBorders>
              <w:top w:val="nil"/>
              <w:left w:val="nil"/>
              <w:bottom w:val="nil"/>
              <w:right w:val="nil"/>
            </w:tcBorders>
            <w:vAlign w:val="bottom"/>
            <w:hideMark/>
          </w:tcPr>
          <w:p w14:paraId="1C018443" w14:textId="77777777" w:rsidR="00607B78" w:rsidRPr="009C2953" w:rsidRDefault="00607B78" w:rsidP="00A068F8">
            <w:pPr>
              <w:pStyle w:val="Normal-pool-Table"/>
              <w:spacing w:after="30"/>
              <w:jc w:val="right"/>
            </w:pPr>
            <w:r w:rsidRPr="009C2953">
              <w:t>65 000</w:t>
            </w:r>
          </w:p>
        </w:tc>
        <w:tc>
          <w:tcPr>
            <w:tcW w:w="1286" w:type="dxa"/>
            <w:tcBorders>
              <w:top w:val="nil"/>
              <w:left w:val="nil"/>
              <w:bottom w:val="nil"/>
              <w:right w:val="nil"/>
            </w:tcBorders>
            <w:vAlign w:val="bottom"/>
            <w:hideMark/>
          </w:tcPr>
          <w:p w14:paraId="013BCE4B" w14:textId="77777777" w:rsidR="00607B78" w:rsidRPr="009C2953" w:rsidRDefault="00607B78" w:rsidP="00A068F8">
            <w:pPr>
              <w:pStyle w:val="Normal-pool-Table"/>
              <w:spacing w:after="30"/>
              <w:jc w:val="right"/>
            </w:pPr>
            <w:r w:rsidRPr="009C2953">
              <w:t>0</w:t>
            </w:r>
          </w:p>
        </w:tc>
      </w:tr>
      <w:tr w:rsidR="00607B78" w:rsidRPr="009C2953" w14:paraId="6AB7FFC7" w14:textId="77777777" w:rsidTr="00A068F8">
        <w:trPr>
          <w:trHeight w:val="57"/>
          <w:jc w:val="right"/>
        </w:trPr>
        <w:tc>
          <w:tcPr>
            <w:tcW w:w="5245" w:type="dxa"/>
            <w:tcBorders>
              <w:top w:val="nil"/>
              <w:left w:val="nil"/>
              <w:bottom w:val="single" w:sz="4" w:space="0" w:color="000000"/>
              <w:right w:val="nil"/>
            </w:tcBorders>
            <w:vAlign w:val="bottom"/>
            <w:hideMark/>
          </w:tcPr>
          <w:p w14:paraId="506EA56D" w14:textId="77777777" w:rsidR="00607B78" w:rsidRPr="009C2953" w:rsidRDefault="00607B78" w:rsidP="00A068F8">
            <w:pPr>
              <w:pStyle w:val="Normal-pool-Table"/>
              <w:spacing w:after="30"/>
            </w:pPr>
            <w:r w:rsidRPr="009C2953">
              <w:t xml:space="preserve">Services de sécurité et autres dépenses </w:t>
            </w:r>
          </w:p>
        </w:tc>
        <w:tc>
          <w:tcPr>
            <w:tcW w:w="1550" w:type="dxa"/>
            <w:tcBorders>
              <w:top w:val="nil"/>
              <w:left w:val="nil"/>
              <w:bottom w:val="single" w:sz="4" w:space="0" w:color="000000"/>
              <w:right w:val="nil"/>
            </w:tcBorders>
            <w:vAlign w:val="bottom"/>
            <w:hideMark/>
          </w:tcPr>
          <w:p w14:paraId="3FCD1559" w14:textId="77777777" w:rsidR="00607B78" w:rsidRPr="009C2953" w:rsidRDefault="00607B78" w:rsidP="00A068F8">
            <w:pPr>
              <w:pStyle w:val="Normal-pool-Table"/>
              <w:spacing w:after="30"/>
              <w:jc w:val="right"/>
            </w:pPr>
            <w:r w:rsidRPr="009C2953">
              <w:t>100 000</w:t>
            </w:r>
          </w:p>
        </w:tc>
        <w:tc>
          <w:tcPr>
            <w:tcW w:w="1416" w:type="dxa"/>
            <w:tcBorders>
              <w:top w:val="nil"/>
              <w:left w:val="nil"/>
              <w:bottom w:val="single" w:sz="4" w:space="0" w:color="000000"/>
              <w:right w:val="nil"/>
            </w:tcBorders>
            <w:vAlign w:val="bottom"/>
            <w:hideMark/>
          </w:tcPr>
          <w:p w14:paraId="39B8CD80" w14:textId="77777777" w:rsidR="00607B78" w:rsidRPr="009C2953" w:rsidRDefault="00607B78" w:rsidP="00A068F8">
            <w:pPr>
              <w:pStyle w:val="Normal-pool-Table"/>
              <w:spacing w:after="30"/>
              <w:jc w:val="right"/>
            </w:pPr>
            <w:r w:rsidRPr="009C2953">
              <w:t>100 000</w:t>
            </w:r>
          </w:p>
        </w:tc>
        <w:tc>
          <w:tcPr>
            <w:tcW w:w="1286" w:type="dxa"/>
            <w:tcBorders>
              <w:top w:val="nil"/>
              <w:left w:val="nil"/>
              <w:bottom w:val="single" w:sz="4" w:space="0" w:color="000000"/>
              <w:right w:val="nil"/>
            </w:tcBorders>
            <w:vAlign w:val="bottom"/>
            <w:hideMark/>
          </w:tcPr>
          <w:p w14:paraId="01B07CFF" w14:textId="77777777" w:rsidR="00607B78" w:rsidRPr="009C2953" w:rsidRDefault="00607B78" w:rsidP="00A068F8">
            <w:pPr>
              <w:pStyle w:val="Normal-pool-Table"/>
              <w:spacing w:after="30"/>
              <w:jc w:val="right"/>
            </w:pPr>
            <w:r w:rsidRPr="009C2953">
              <w:t>0</w:t>
            </w:r>
          </w:p>
        </w:tc>
      </w:tr>
      <w:tr w:rsidR="00607B78" w:rsidRPr="009C2953" w14:paraId="5729FF08"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2FDC5787" w14:textId="7D6238DF" w:rsidR="00607B78" w:rsidRPr="009C2953" w:rsidRDefault="00607B78" w:rsidP="00A068F8">
            <w:pPr>
              <w:pStyle w:val="Normal-pool-Table"/>
              <w:spacing w:after="30"/>
              <w:rPr>
                <w:b/>
              </w:rPr>
            </w:pPr>
            <w:r w:rsidRPr="009C2953">
              <w:rPr>
                <w:b/>
              </w:rPr>
              <w:t>Total partiel 1.1, sessions de</w:t>
            </w:r>
            <w:r w:rsidR="00F34644" w:rsidRPr="009C2953">
              <w:rPr>
                <w:b/>
              </w:rPr>
              <w:t xml:space="preserve"> la </w:t>
            </w:r>
            <w:r w:rsidRPr="009C2953">
              <w:rPr>
                <w:b/>
              </w:rPr>
              <w:t>Plénière</w:t>
            </w:r>
          </w:p>
        </w:tc>
        <w:tc>
          <w:tcPr>
            <w:tcW w:w="1550" w:type="dxa"/>
            <w:tcBorders>
              <w:top w:val="single" w:sz="4" w:space="0" w:color="000000"/>
              <w:left w:val="nil"/>
              <w:bottom w:val="single" w:sz="4" w:space="0" w:color="000000"/>
              <w:right w:val="nil"/>
            </w:tcBorders>
            <w:vAlign w:val="bottom"/>
            <w:hideMark/>
          </w:tcPr>
          <w:p w14:paraId="3316A58B" w14:textId="77777777" w:rsidR="00607B78" w:rsidRPr="009C2953" w:rsidRDefault="00607B78" w:rsidP="00A068F8">
            <w:pPr>
              <w:pStyle w:val="Normal-pool-Table"/>
              <w:spacing w:after="30"/>
              <w:jc w:val="right"/>
              <w:rPr>
                <w:b/>
              </w:rPr>
            </w:pPr>
            <w:r w:rsidRPr="009C2953">
              <w:rPr>
                <w:b/>
              </w:rPr>
              <w:t>1 495 000</w:t>
            </w:r>
          </w:p>
        </w:tc>
        <w:tc>
          <w:tcPr>
            <w:tcW w:w="1416" w:type="dxa"/>
            <w:tcBorders>
              <w:top w:val="single" w:sz="4" w:space="0" w:color="000000"/>
              <w:left w:val="nil"/>
              <w:bottom w:val="single" w:sz="4" w:space="0" w:color="000000"/>
              <w:right w:val="nil"/>
            </w:tcBorders>
            <w:vAlign w:val="bottom"/>
            <w:hideMark/>
          </w:tcPr>
          <w:p w14:paraId="06D994A0" w14:textId="77777777" w:rsidR="00607B78" w:rsidRPr="009C2953" w:rsidRDefault="00607B78" w:rsidP="00A068F8">
            <w:pPr>
              <w:pStyle w:val="Normal-pool-Table"/>
              <w:spacing w:after="30"/>
              <w:jc w:val="right"/>
              <w:rPr>
                <w:b/>
              </w:rPr>
            </w:pPr>
            <w:r w:rsidRPr="009C2953">
              <w:rPr>
                <w:b/>
              </w:rPr>
              <w:t>1 495 000</w:t>
            </w:r>
          </w:p>
        </w:tc>
        <w:tc>
          <w:tcPr>
            <w:tcW w:w="1286" w:type="dxa"/>
            <w:tcBorders>
              <w:top w:val="single" w:sz="4" w:space="0" w:color="000000"/>
              <w:left w:val="nil"/>
              <w:bottom w:val="single" w:sz="4" w:space="0" w:color="000000"/>
              <w:right w:val="nil"/>
            </w:tcBorders>
            <w:vAlign w:val="bottom"/>
            <w:hideMark/>
          </w:tcPr>
          <w:p w14:paraId="64276A68" w14:textId="77777777" w:rsidR="00607B78" w:rsidRPr="009C2953" w:rsidRDefault="00607B78" w:rsidP="00A068F8">
            <w:pPr>
              <w:pStyle w:val="Normal-pool-Table"/>
              <w:spacing w:after="30"/>
              <w:jc w:val="right"/>
              <w:rPr>
                <w:b/>
              </w:rPr>
            </w:pPr>
            <w:r w:rsidRPr="009C2953">
              <w:rPr>
                <w:b/>
              </w:rPr>
              <w:t>0</w:t>
            </w:r>
          </w:p>
        </w:tc>
      </w:tr>
      <w:tr w:rsidR="006C5A4F" w:rsidRPr="009C2953" w14:paraId="16EBFDAC" w14:textId="77777777" w:rsidTr="00FC117D">
        <w:trPr>
          <w:trHeight w:val="57"/>
          <w:jc w:val="right"/>
        </w:trPr>
        <w:tc>
          <w:tcPr>
            <w:tcW w:w="9497" w:type="dxa"/>
            <w:gridSpan w:val="4"/>
            <w:tcBorders>
              <w:top w:val="single" w:sz="4" w:space="0" w:color="000000"/>
              <w:left w:val="nil"/>
              <w:bottom w:val="single" w:sz="4" w:space="0" w:color="auto"/>
              <w:right w:val="nil"/>
            </w:tcBorders>
            <w:vAlign w:val="bottom"/>
            <w:hideMark/>
          </w:tcPr>
          <w:p w14:paraId="37A02D06" w14:textId="0F7D5104" w:rsidR="006C5A4F" w:rsidRPr="009C2953" w:rsidRDefault="006C5A4F" w:rsidP="006C5A4F">
            <w:pPr>
              <w:pStyle w:val="Normal-pool-Table"/>
              <w:tabs>
                <w:tab w:val="clear" w:pos="624"/>
                <w:tab w:val="left" w:pos="322"/>
              </w:tabs>
              <w:spacing w:after="30"/>
              <w:rPr>
                <w:b/>
              </w:rPr>
            </w:pPr>
            <w:r w:rsidRPr="009C2953">
              <w:rPr>
                <w:b/>
              </w:rPr>
              <w:t>1.2</w:t>
            </w:r>
            <w:r w:rsidRPr="009C2953">
              <w:rPr>
                <w:b/>
              </w:rPr>
              <w:tab/>
              <w:t>Sessions du Bureau et du Groupe d</w:t>
            </w:r>
            <w:r w:rsidR="00EA2966" w:rsidRPr="009C2953">
              <w:rPr>
                <w:b/>
              </w:rPr>
              <w:t>’</w:t>
            </w:r>
            <w:r w:rsidRPr="009C2953">
              <w:rPr>
                <w:b/>
              </w:rPr>
              <w:t>experts multidisciplinaires</w:t>
            </w:r>
          </w:p>
        </w:tc>
      </w:tr>
      <w:tr w:rsidR="00607B78" w:rsidRPr="009C2953" w14:paraId="04E765C9" w14:textId="77777777" w:rsidTr="00A068F8">
        <w:trPr>
          <w:trHeight w:val="57"/>
          <w:jc w:val="right"/>
        </w:trPr>
        <w:tc>
          <w:tcPr>
            <w:tcW w:w="5245" w:type="dxa"/>
            <w:tcBorders>
              <w:top w:val="single" w:sz="4" w:space="0" w:color="auto"/>
              <w:left w:val="nil"/>
              <w:bottom w:val="nil"/>
              <w:right w:val="nil"/>
            </w:tcBorders>
            <w:vAlign w:val="bottom"/>
            <w:hideMark/>
          </w:tcPr>
          <w:p w14:paraId="766F75B0" w14:textId="14E2DCAD" w:rsidR="00607B78" w:rsidRPr="009C2953" w:rsidRDefault="00607B78" w:rsidP="00A068F8">
            <w:pPr>
              <w:pStyle w:val="Normal-pool-Table"/>
              <w:spacing w:after="30"/>
            </w:pPr>
            <w:r w:rsidRPr="009C2953">
              <w:t>Frais de voyage et coût</w:t>
            </w:r>
            <w:r w:rsidR="00D24DC1" w:rsidRPr="009C2953">
              <w:t xml:space="preserve"> des </w:t>
            </w:r>
            <w:r w:rsidRPr="009C2953">
              <w:t>réunions pour</w:t>
            </w:r>
            <w:r w:rsidR="00F34644" w:rsidRPr="009C2953">
              <w:t xml:space="preserve"> </w:t>
            </w:r>
            <w:proofErr w:type="gramStart"/>
            <w:r w:rsidR="00F34644" w:rsidRPr="009C2953">
              <w:t>les </w:t>
            </w:r>
            <w:r w:rsidRPr="009C2953">
              <w:t>participant</w:t>
            </w:r>
            <w:proofErr w:type="gramEnd"/>
            <w:r w:rsidRPr="009C2953">
              <w:t>(e)s à</w:t>
            </w:r>
            <w:r w:rsidR="006C5A4F" w:rsidRPr="009C2953">
              <w:t> </w:t>
            </w:r>
            <w:r w:rsidR="00F34644" w:rsidRPr="009C2953">
              <w:t>une </w:t>
            </w:r>
            <w:r w:rsidRPr="009C2953">
              <w:t>session du Bureau</w:t>
            </w:r>
          </w:p>
        </w:tc>
        <w:tc>
          <w:tcPr>
            <w:tcW w:w="1550" w:type="dxa"/>
            <w:tcBorders>
              <w:top w:val="single" w:sz="4" w:space="0" w:color="auto"/>
              <w:left w:val="nil"/>
              <w:bottom w:val="nil"/>
              <w:right w:val="nil"/>
            </w:tcBorders>
            <w:vAlign w:val="bottom"/>
            <w:hideMark/>
          </w:tcPr>
          <w:p w14:paraId="2D02E8B6" w14:textId="77777777" w:rsidR="00607B78" w:rsidRPr="009C2953" w:rsidRDefault="00607B78" w:rsidP="00A068F8">
            <w:pPr>
              <w:pStyle w:val="Normal-pool-Table"/>
              <w:spacing w:after="30"/>
              <w:jc w:val="right"/>
            </w:pPr>
            <w:r w:rsidRPr="009C2953">
              <w:t>35 450</w:t>
            </w:r>
          </w:p>
        </w:tc>
        <w:tc>
          <w:tcPr>
            <w:tcW w:w="1416" w:type="dxa"/>
            <w:tcBorders>
              <w:top w:val="single" w:sz="4" w:space="0" w:color="auto"/>
              <w:left w:val="nil"/>
              <w:bottom w:val="nil"/>
              <w:right w:val="nil"/>
            </w:tcBorders>
            <w:vAlign w:val="bottom"/>
            <w:hideMark/>
          </w:tcPr>
          <w:p w14:paraId="63A646B0" w14:textId="77777777" w:rsidR="00607B78" w:rsidRPr="009C2953" w:rsidRDefault="00607B78" w:rsidP="00A068F8">
            <w:pPr>
              <w:pStyle w:val="Normal-pool-Table"/>
              <w:spacing w:after="30"/>
              <w:jc w:val="right"/>
            </w:pPr>
            <w:r w:rsidRPr="009C2953">
              <w:t>35 450</w:t>
            </w:r>
          </w:p>
        </w:tc>
        <w:tc>
          <w:tcPr>
            <w:tcW w:w="1286" w:type="dxa"/>
            <w:tcBorders>
              <w:top w:val="single" w:sz="4" w:space="0" w:color="auto"/>
              <w:left w:val="nil"/>
              <w:bottom w:val="nil"/>
              <w:right w:val="nil"/>
            </w:tcBorders>
            <w:vAlign w:val="bottom"/>
            <w:hideMark/>
          </w:tcPr>
          <w:p w14:paraId="7CF2AD18" w14:textId="77777777" w:rsidR="00607B78" w:rsidRPr="009C2953" w:rsidRDefault="00607B78" w:rsidP="00A068F8">
            <w:pPr>
              <w:pStyle w:val="Normal-pool-Table"/>
              <w:spacing w:after="30"/>
              <w:jc w:val="right"/>
            </w:pPr>
            <w:r w:rsidRPr="009C2953">
              <w:t>0</w:t>
            </w:r>
          </w:p>
        </w:tc>
      </w:tr>
      <w:tr w:rsidR="00607B78" w:rsidRPr="009C2953" w14:paraId="6F9C3D03" w14:textId="77777777" w:rsidTr="00A068F8">
        <w:trPr>
          <w:trHeight w:val="57"/>
          <w:jc w:val="right"/>
        </w:trPr>
        <w:tc>
          <w:tcPr>
            <w:tcW w:w="5245" w:type="dxa"/>
            <w:tcBorders>
              <w:top w:val="nil"/>
              <w:left w:val="nil"/>
              <w:bottom w:val="single" w:sz="4" w:space="0" w:color="000000"/>
              <w:right w:val="nil"/>
            </w:tcBorders>
            <w:vAlign w:val="bottom"/>
            <w:hideMark/>
          </w:tcPr>
          <w:p w14:paraId="3C38916F" w14:textId="06536791" w:rsidR="00607B78" w:rsidRPr="009C2953" w:rsidRDefault="00607B78" w:rsidP="00A068F8">
            <w:pPr>
              <w:pStyle w:val="Normal-pool-Table"/>
              <w:spacing w:after="30"/>
            </w:pPr>
            <w:r w:rsidRPr="009C2953">
              <w:t>Frais de voyage et coût</w:t>
            </w:r>
            <w:r w:rsidR="00D24DC1" w:rsidRPr="009C2953">
              <w:t xml:space="preserve"> des </w:t>
            </w:r>
            <w:r w:rsidRPr="009C2953">
              <w:t>réunions pour</w:t>
            </w:r>
            <w:r w:rsidR="00F34644" w:rsidRPr="009C2953">
              <w:t xml:space="preserve"> </w:t>
            </w:r>
            <w:proofErr w:type="gramStart"/>
            <w:r w:rsidR="00F34644" w:rsidRPr="009C2953">
              <w:t>les </w:t>
            </w:r>
            <w:r w:rsidRPr="009C2953">
              <w:t>participant</w:t>
            </w:r>
            <w:proofErr w:type="gramEnd"/>
            <w:r w:rsidRPr="009C2953">
              <w:t>(e)s à</w:t>
            </w:r>
            <w:r w:rsidR="006C5A4F" w:rsidRPr="009C2953">
              <w:t> </w:t>
            </w:r>
            <w:r w:rsidR="00F34644" w:rsidRPr="009C2953">
              <w:t>une </w:t>
            </w:r>
            <w:r w:rsidRPr="009C2953">
              <w:t>session du Groupe d</w:t>
            </w:r>
            <w:r w:rsidR="00EA2966" w:rsidRPr="009C2953">
              <w:t>’</w:t>
            </w:r>
            <w:r w:rsidRPr="009C2953">
              <w:t>experts</w:t>
            </w:r>
          </w:p>
        </w:tc>
        <w:tc>
          <w:tcPr>
            <w:tcW w:w="1550" w:type="dxa"/>
            <w:tcBorders>
              <w:top w:val="nil"/>
              <w:left w:val="nil"/>
              <w:bottom w:val="single" w:sz="4" w:space="0" w:color="000000"/>
              <w:right w:val="nil"/>
            </w:tcBorders>
            <w:vAlign w:val="bottom"/>
            <w:hideMark/>
          </w:tcPr>
          <w:p w14:paraId="613018C1" w14:textId="77777777" w:rsidR="00607B78" w:rsidRPr="009C2953" w:rsidRDefault="00607B78" w:rsidP="00A068F8">
            <w:pPr>
              <w:pStyle w:val="Normal-pool-Table"/>
              <w:spacing w:after="30"/>
              <w:jc w:val="right"/>
            </w:pPr>
            <w:r w:rsidRPr="009C2953">
              <w:t>85 000</w:t>
            </w:r>
          </w:p>
        </w:tc>
        <w:tc>
          <w:tcPr>
            <w:tcW w:w="1416" w:type="dxa"/>
            <w:tcBorders>
              <w:top w:val="nil"/>
              <w:left w:val="nil"/>
              <w:bottom w:val="single" w:sz="4" w:space="0" w:color="000000"/>
              <w:right w:val="nil"/>
            </w:tcBorders>
            <w:vAlign w:val="bottom"/>
            <w:hideMark/>
          </w:tcPr>
          <w:p w14:paraId="0D327E41" w14:textId="77777777" w:rsidR="00607B78" w:rsidRPr="009C2953" w:rsidRDefault="00607B78" w:rsidP="00A068F8">
            <w:pPr>
              <w:pStyle w:val="Normal-pool-Table"/>
              <w:spacing w:after="30"/>
              <w:jc w:val="right"/>
            </w:pPr>
            <w:r w:rsidRPr="009C2953">
              <w:t>85 000</w:t>
            </w:r>
          </w:p>
        </w:tc>
        <w:tc>
          <w:tcPr>
            <w:tcW w:w="1286" w:type="dxa"/>
            <w:tcBorders>
              <w:top w:val="nil"/>
              <w:left w:val="nil"/>
              <w:bottom w:val="single" w:sz="4" w:space="0" w:color="000000"/>
              <w:right w:val="nil"/>
            </w:tcBorders>
            <w:vAlign w:val="bottom"/>
            <w:hideMark/>
          </w:tcPr>
          <w:p w14:paraId="65224ACB" w14:textId="77777777" w:rsidR="00607B78" w:rsidRPr="009C2953" w:rsidRDefault="00607B78" w:rsidP="00A068F8">
            <w:pPr>
              <w:pStyle w:val="Normal-pool-Table"/>
              <w:spacing w:after="30"/>
              <w:jc w:val="right"/>
            </w:pPr>
            <w:r w:rsidRPr="009C2953">
              <w:t>0</w:t>
            </w:r>
          </w:p>
        </w:tc>
      </w:tr>
      <w:tr w:rsidR="00607B78" w:rsidRPr="009C2953" w14:paraId="3E31821D"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57DD922D" w14:textId="76A8FC40" w:rsidR="00607B78" w:rsidRPr="009C2953" w:rsidRDefault="00607B78" w:rsidP="00A068F8">
            <w:pPr>
              <w:pStyle w:val="Normal-pool-Table"/>
              <w:spacing w:after="30"/>
              <w:rPr>
                <w:b/>
              </w:rPr>
            </w:pPr>
            <w:r w:rsidRPr="009C2953">
              <w:rPr>
                <w:b/>
              </w:rPr>
              <w:t>Total partiel 1.2, sessions du Bureau et du Groupe d</w:t>
            </w:r>
            <w:r w:rsidR="00EA2966" w:rsidRPr="009C2953">
              <w:rPr>
                <w:b/>
              </w:rPr>
              <w:t>’</w:t>
            </w:r>
            <w:r w:rsidRPr="009C2953">
              <w:rPr>
                <w:b/>
              </w:rPr>
              <w:t>experts multidisciplinaire</w:t>
            </w:r>
          </w:p>
        </w:tc>
        <w:tc>
          <w:tcPr>
            <w:tcW w:w="1550" w:type="dxa"/>
            <w:tcBorders>
              <w:top w:val="single" w:sz="4" w:space="0" w:color="000000"/>
              <w:left w:val="nil"/>
              <w:bottom w:val="single" w:sz="4" w:space="0" w:color="000000"/>
              <w:right w:val="nil"/>
            </w:tcBorders>
            <w:vAlign w:val="bottom"/>
            <w:hideMark/>
          </w:tcPr>
          <w:p w14:paraId="6A3DAC60" w14:textId="77777777" w:rsidR="00607B78" w:rsidRPr="009C2953" w:rsidRDefault="00607B78" w:rsidP="00A068F8">
            <w:pPr>
              <w:pStyle w:val="Normal-pool-Table"/>
              <w:spacing w:after="30"/>
              <w:jc w:val="right"/>
              <w:rPr>
                <w:b/>
              </w:rPr>
            </w:pPr>
            <w:r w:rsidRPr="009C2953">
              <w:rPr>
                <w:b/>
              </w:rPr>
              <w:t>120 450</w:t>
            </w:r>
          </w:p>
        </w:tc>
        <w:tc>
          <w:tcPr>
            <w:tcW w:w="1416" w:type="dxa"/>
            <w:tcBorders>
              <w:top w:val="single" w:sz="4" w:space="0" w:color="000000"/>
              <w:left w:val="nil"/>
              <w:bottom w:val="single" w:sz="4" w:space="0" w:color="000000"/>
              <w:right w:val="nil"/>
            </w:tcBorders>
            <w:vAlign w:val="bottom"/>
            <w:hideMark/>
          </w:tcPr>
          <w:p w14:paraId="5B0ACB85" w14:textId="77777777" w:rsidR="00607B78" w:rsidRPr="009C2953" w:rsidRDefault="00607B78" w:rsidP="00A068F8">
            <w:pPr>
              <w:pStyle w:val="Normal-pool-Table"/>
              <w:spacing w:after="30"/>
              <w:jc w:val="right"/>
              <w:rPr>
                <w:b/>
              </w:rPr>
            </w:pPr>
            <w:r w:rsidRPr="009C2953">
              <w:rPr>
                <w:b/>
              </w:rPr>
              <w:t>120 450</w:t>
            </w:r>
          </w:p>
        </w:tc>
        <w:tc>
          <w:tcPr>
            <w:tcW w:w="1286" w:type="dxa"/>
            <w:tcBorders>
              <w:top w:val="single" w:sz="4" w:space="0" w:color="000000"/>
              <w:left w:val="nil"/>
              <w:bottom w:val="single" w:sz="4" w:space="0" w:color="000000"/>
              <w:right w:val="nil"/>
            </w:tcBorders>
            <w:vAlign w:val="bottom"/>
            <w:hideMark/>
          </w:tcPr>
          <w:p w14:paraId="482E95B1" w14:textId="77777777" w:rsidR="00607B78" w:rsidRPr="009C2953" w:rsidRDefault="00607B78" w:rsidP="00A068F8">
            <w:pPr>
              <w:pStyle w:val="Normal-pool-Table"/>
              <w:spacing w:after="30"/>
              <w:jc w:val="right"/>
              <w:rPr>
                <w:b/>
              </w:rPr>
            </w:pPr>
            <w:r w:rsidRPr="009C2953">
              <w:rPr>
                <w:b/>
              </w:rPr>
              <w:t>0</w:t>
            </w:r>
          </w:p>
        </w:tc>
      </w:tr>
      <w:tr w:rsidR="00607B78" w:rsidRPr="009C2953" w14:paraId="63B0591D"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0C597212" w14:textId="3C8B357E" w:rsidR="00607B78" w:rsidRPr="009C2953" w:rsidRDefault="00607B78" w:rsidP="00A068F8">
            <w:pPr>
              <w:pStyle w:val="Normal-pool-Table"/>
              <w:tabs>
                <w:tab w:val="clear" w:pos="624"/>
                <w:tab w:val="left" w:pos="322"/>
              </w:tabs>
              <w:spacing w:after="30"/>
              <w:rPr>
                <w:b/>
              </w:rPr>
            </w:pPr>
            <w:r w:rsidRPr="009C2953">
              <w:rPr>
                <w:b/>
              </w:rPr>
              <w:t>1.3</w:t>
            </w:r>
            <w:r w:rsidRPr="009C2953">
              <w:rPr>
                <w:b/>
              </w:rPr>
              <w:tab/>
              <w:t>Frais de voyage de</w:t>
            </w:r>
            <w:r w:rsidR="00F34644" w:rsidRPr="009C2953">
              <w:rPr>
                <w:b/>
              </w:rPr>
              <w:t xml:space="preserve"> la </w:t>
            </w:r>
            <w:r w:rsidRPr="009C2953">
              <w:rPr>
                <w:b/>
              </w:rPr>
              <w:t>Présidente pour représenter l</w:t>
            </w:r>
            <w:r w:rsidR="00EA2966" w:rsidRPr="009C2953">
              <w:rPr>
                <w:b/>
              </w:rPr>
              <w:t>’</w:t>
            </w:r>
            <w:r w:rsidRPr="009C2953">
              <w:rPr>
                <w:b/>
              </w:rPr>
              <w:t>IPBES</w:t>
            </w:r>
          </w:p>
        </w:tc>
        <w:tc>
          <w:tcPr>
            <w:tcW w:w="1550" w:type="dxa"/>
            <w:tcBorders>
              <w:top w:val="single" w:sz="4" w:space="0" w:color="000000"/>
              <w:left w:val="nil"/>
              <w:bottom w:val="single" w:sz="4" w:space="0" w:color="000000"/>
              <w:right w:val="nil"/>
            </w:tcBorders>
            <w:vAlign w:val="bottom"/>
            <w:hideMark/>
          </w:tcPr>
          <w:p w14:paraId="5E79E6B7" w14:textId="77777777" w:rsidR="00607B78" w:rsidRPr="009C2953" w:rsidRDefault="00607B78" w:rsidP="00A068F8">
            <w:pPr>
              <w:pStyle w:val="Normal-pool-Table"/>
              <w:spacing w:after="30"/>
              <w:jc w:val="right"/>
              <w:rPr>
                <w:b/>
              </w:rPr>
            </w:pPr>
            <w:r w:rsidRPr="009C2953">
              <w:rPr>
                <w:b/>
              </w:rPr>
              <w:t>25 000</w:t>
            </w:r>
          </w:p>
        </w:tc>
        <w:tc>
          <w:tcPr>
            <w:tcW w:w="1416" w:type="dxa"/>
            <w:tcBorders>
              <w:top w:val="single" w:sz="4" w:space="0" w:color="000000"/>
              <w:left w:val="nil"/>
              <w:bottom w:val="single" w:sz="4" w:space="0" w:color="000000"/>
              <w:right w:val="nil"/>
            </w:tcBorders>
            <w:vAlign w:val="bottom"/>
            <w:hideMark/>
          </w:tcPr>
          <w:p w14:paraId="0594F3F1" w14:textId="77777777" w:rsidR="00607B78" w:rsidRPr="009C2953" w:rsidRDefault="00607B78" w:rsidP="00A068F8">
            <w:pPr>
              <w:pStyle w:val="Normal-pool-Table"/>
              <w:spacing w:after="30"/>
              <w:jc w:val="right"/>
              <w:rPr>
                <w:b/>
              </w:rPr>
            </w:pPr>
            <w:r w:rsidRPr="009C2953">
              <w:rPr>
                <w:b/>
              </w:rPr>
              <w:t>25 000</w:t>
            </w:r>
          </w:p>
        </w:tc>
        <w:tc>
          <w:tcPr>
            <w:tcW w:w="1286" w:type="dxa"/>
            <w:tcBorders>
              <w:top w:val="single" w:sz="4" w:space="0" w:color="000000"/>
              <w:left w:val="nil"/>
              <w:bottom w:val="single" w:sz="4" w:space="0" w:color="000000"/>
              <w:right w:val="nil"/>
            </w:tcBorders>
            <w:vAlign w:val="bottom"/>
            <w:hideMark/>
          </w:tcPr>
          <w:p w14:paraId="3E5F28E3" w14:textId="77777777" w:rsidR="00607B78" w:rsidRPr="009C2953" w:rsidRDefault="00607B78" w:rsidP="00A068F8">
            <w:pPr>
              <w:pStyle w:val="Normal-pool-Table"/>
              <w:spacing w:after="30"/>
              <w:jc w:val="right"/>
              <w:rPr>
                <w:b/>
              </w:rPr>
            </w:pPr>
            <w:r w:rsidRPr="009C2953">
              <w:rPr>
                <w:b/>
              </w:rPr>
              <w:t>0</w:t>
            </w:r>
          </w:p>
        </w:tc>
      </w:tr>
      <w:tr w:rsidR="00607B78" w:rsidRPr="009C2953" w14:paraId="31C85D93"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7F57A6C4" w14:textId="05BB4622" w:rsidR="00607B78" w:rsidRPr="009C2953" w:rsidRDefault="00607B78" w:rsidP="00A068F8">
            <w:pPr>
              <w:pStyle w:val="Normal-pool-Table"/>
              <w:spacing w:after="30"/>
              <w:rPr>
                <w:b/>
              </w:rPr>
            </w:pPr>
            <w:r w:rsidRPr="009C2953">
              <w:rPr>
                <w:b/>
              </w:rPr>
              <w:t>Total partiel 1, réunions</w:t>
            </w:r>
            <w:r w:rsidR="00D24DC1" w:rsidRPr="009C2953">
              <w:rPr>
                <w:b/>
              </w:rPr>
              <w:t xml:space="preserve"> des </w:t>
            </w:r>
            <w:r w:rsidRPr="009C2953">
              <w:rPr>
                <w:b/>
              </w:rPr>
              <w:t>organes de l</w:t>
            </w:r>
            <w:r w:rsidR="00EA2966" w:rsidRPr="009C2953">
              <w:rPr>
                <w:b/>
              </w:rPr>
              <w:t>’</w:t>
            </w:r>
            <w:r w:rsidRPr="009C2953">
              <w:rPr>
                <w:b/>
              </w:rPr>
              <w:t>IPBES</w:t>
            </w:r>
          </w:p>
        </w:tc>
        <w:tc>
          <w:tcPr>
            <w:tcW w:w="1550" w:type="dxa"/>
            <w:tcBorders>
              <w:top w:val="single" w:sz="4" w:space="0" w:color="000000"/>
              <w:left w:val="nil"/>
              <w:bottom w:val="single" w:sz="4" w:space="0" w:color="000000"/>
              <w:right w:val="nil"/>
            </w:tcBorders>
            <w:vAlign w:val="bottom"/>
            <w:hideMark/>
          </w:tcPr>
          <w:p w14:paraId="60A5A95C" w14:textId="77777777" w:rsidR="00607B78" w:rsidRPr="009C2953" w:rsidRDefault="00607B78" w:rsidP="00A068F8">
            <w:pPr>
              <w:pStyle w:val="Normal-pool-Table"/>
              <w:spacing w:after="30"/>
              <w:jc w:val="right"/>
              <w:rPr>
                <w:b/>
              </w:rPr>
            </w:pPr>
            <w:r w:rsidRPr="009C2953">
              <w:rPr>
                <w:b/>
              </w:rPr>
              <w:t>1 640 450</w:t>
            </w:r>
          </w:p>
        </w:tc>
        <w:tc>
          <w:tcPr>
            <w:tcW w:w="1416" w:type="dxa"/>
            <w:tcBorders>
              <w:top w:val="single" w:sz="4" w:space="0" w:color="000000"/>
              <w:left w:val="nil"/>
              <w:bottom w:val="single" w:sz="4" w:space="0" w:color="000000"/>
              <w:right w:val="nil"/>
            </w:tcBorders>
            <w:vAlign w:val="bottom"/>
            <w:hideMark/>
          </w:tcPr>
          <w:p w14:paraId="4E5F0783" w14:textId="77777777" w:rsidR="00607B78" w:rsidRPr="009C2953" w:rsidRDefault="00607B78" w:rsidP="00A068F8">
            <w:pPr>
              <w:pStyle w:val="Normal-pool-Table"/>
              <w:spacing w:after="30"/>
              <w:jc w:val="right"/>
              <w:rPr>
                <w:b/>
              </w:rPr>
            </w:pPr>
            <w:r w:rsidRPr="009C2953">
              <w:rPr>
                <w:b/>
              </w:rPr>
              <w:t>1 640 450</w:t>
            </w:r>
          </w:p>
        </w:tc>
        <w:tc>
          <w:tcPr>
            <w:tcW w:w="1286" w:type="dxa"/>
            <w:tcBorders>
              <w:top w:val="single" w:sz="4" w:space="0" w:color="000000"/>
              <w:left w:val="nil"/>
              <w:bottom w:val="single" w:sz="4" w:space="0" w:color="000000"/>
              <w:right w:val="nil"/>
            </w:tcBorders>
            <w:vAlign w:val="bottom"/>
            <w:hideMark/>
          </w:tcPr>
          <w:p w14:paraId="2EB0054E" w14:textId="77777777" w:rsidR="00607B78" w:rsidRPr="009C2953" w:rsidRDefault="00607B78" w:rsidP="00A068F8">
            <w:pPr>
              <w:pStyle w:val="Normal-pool-Table"/>
              <w:spacing w:after="30"/>
              <w:jc w:val="right"/>
              <w:rPr>
                <w:b/>
              </w:rPr>
            </w:pPr>
            <w:r w:rsidRPr="009C2953">
              <w:rPr>
                <w:b/>
              </w:rPr>
              <w:t>0</w:t>
            </w:r>
          </w:p>
        </w:tc>
      </w:tr>
      <w:tr w:rsidR="00607B78" w:rsidRPr="009C2953" w14:paraId="07D498B6" w14:textId="77777777" w:rsidTr="00A068F8">
        <w:trPr>
          <w:trHeight w:val="57"/>
          <w:jc w:val="right"/>
        </w:trPr>
        <w:tc>
          <w:tcPr>
            <w:tcW w:w="9497" w:type="dxa"/>
            <w:gridSpan w:val="4"/>
            <w:tcBorders>
              <w:top w:val="single" w:sz="4" w:space="0" w:color="000000"/>
              <w:left w:val="nil"/>
              <w:bottom w:val="nil"/>
              <w:right w:val="nil"/>
            </w:tcBorders>
            <w:vAlign w:val="bottom"/>
            <w:hideMark/>
          </w:tcPr>
          <w:p w14:paraId="6EBA9AE1" w14:textId="77777777" w:rsidR="00607B78" w:rsidRPr="009C2953" w:rsidRDefault="00607B78" w:rsidP="00A068F8">
            <w:pPr>
              <w:pStyle w:val="Normal-pool-Table"/>
              <w:tabs>
                <w:tab w:val="clear" w:pos="624"/>
                <w:tab w:val="left" w:pos="322"/>
              </w:tabs>
              <w:spacing w:after="30"/>
              <w:rPr>
                <w:b/>
              </w:rPr>
            </w:pPr>
            <w:r w:rsidRPr="009C2953">
              <w:rPr>
                <w:b/>
              </w:rPr>
              <w:t>2.</w:t>
            </w:r>
            <w:r w:rsidRPr="009C2953">
              <w:rPr>
                <w:b/>
              </w:rPr>
              <w:tab/>
              <w:t xml:space="preserve">Mise en œuvre du programme de travail </w:t>
            </w:r>
          </w:p>
        </w:tc>
      </w:tr>
      <w:tr w:rsidR="00607B78" w:rsidRPr="009C2953" w14:paraId="69D3A51D" w14:textId="77777777" w:rsidTr="00A068F8">
        <w:trPr>
          <w:trHeight w:val="57"/>
          <w:jc w:val="right"/>
        </w:trPr>
        <w:tc>
          <w:tcPr>
            <w:tcW w:w="9497" w:type="dxa"/>
            <w:gridSpan w:val="4"/>
            <w:tcBorders>
              <w:top w:val="nil"/>
              <w:left w:val="nil"/>
              <w:bottom w:val="nil"/>
              <w:right w:val="nil"/>
            </w:tcBorders>
            <w:vAlign w:val="bottom"/>
            <w:hideMark/>
          </w:tcPr>
          <w:p w14:paraId="01F3320C" w14:textId="77777777" w:rsidR="00607B78" w:rsidRPr="009C2953" w:rsidRDefault="00607B78" w:rsidP="00A068F8">
            <w:pPr>
              <w:pStyle w:val="Normal-pool-Table"/>
              <w:spacing w:after="30"/>
              <w:rPr>
                <w:b/>
              </w:rPr>
            </w:pPr>
            <w:r w:rsidRPr="009C2953">
              <w:rPr>
                <w:b/>
              </w:rPr>
              <w:t>Partie A : premier programme de travail (pt1)</w:t>
            </w:r>
          </w:p>
        </w:tc>
      </w:tr>
      <w:tr w:rsidR="00607B78" w:rsidRPr="009C2953" w14:paraId="1E20591B" w14:textId="77777777" w:rsidTr="00A068F8">
        <w:trPr>
          <w:trHeight w:val="57"/>
          <w:jc w:val="right"/>
        </w:trPr>
        <w:tc>
          <w:tcPr>
            <w:tcW w:w="5245" w:type="dxa"/>
            <w:tcBorders>
              <w:top w:val="nil"/>
              <w:left w:val="nil"/>
              <w:bottom w:val="nil"/>
              <w:right w:val="nil"/>
            </w:tcBorders>
            <w:vAlign w:val="bottom"/>
            <w:hideMark/>
          </w:tcPr>
          <w:p w14:paraId="77723090" w14:textId="1A801E41" w:rsidR="00607B78" w:rsidRPr="009C2953" w:rsidRDefault="00607B78" w:rsidP="00A068F8">
            <w:pPr>
              <w:pStyle w:val="Normal-pool-Table"/>
              <w:spacing w:after="30"/>
              <w:rPr>
                <w:b/>
              </w:rPr>
            </w:pPr>
            <w:proofErr w:type="gramStart"/>
            <w:r w:rsidRPr="009C2953">
              <w:rPr>
                <w:b/>
              </w:rPr>
              <w:t>pt</w:t>
            </w:r>
            <w:proofErr w:type="gramEnd"/>
            <w:r w:rsidRPr="009C2953">
              <w:rPr>
                <w:b/>
              </w:rPr>
              <w:t>1-Objectif 3 : renforcer l</w:t>
            </w:r>
            <w:r w:rsidR="00EA2966" w:rsidRPr="009C2953">
              <w:rPr>
                <w:b/>
              </w:rPr>
              <w:t>’</w:t>
            </w:r>
            <w:r w:rsidRPr="009C2953">
              <w:rPr>
                <w:b/>
              </w:rPr>
              <w:t>interface connaissances-politique s</w:t>
            </w:r>
            <w:r w:rsidR="00EA2966" w:rsidRPr="009C2953">
              <w:rPr>
                <w:b/>
              </w:rPr>
              <w:t>’</w:t>
            </w:r>
            <w:r w:rsidRPr="009C2953">
              <w:rPr>
                <w:b/>
              </w:rPr>
              <w:t>agissant</w:t>
            </w:r>
            <w:r w:rsidR="00D24DC1" w:rsidRPr="009C2953">
              <w:rPr>
                <w:b/>
              </w:rPr>
              <w:t xml:space="preserve"> des </w:t>
            </w:r>
            <w:r w:rsidRPr="009C2953">
              <w:rPr>
                <w:b/>
              </w:rPr>
              <w:t>questions thématiques et méthodologiques</w:t>
            </w:r>
          </w:p>
        </w:tc>
        <w:tc>
          <w:tcPr>
            <w:tcW w:w="1550" w:type="dxa"/>
            <w:tcBorders>
              <w:top w:val="nil"/>
              <w:left w:val="nil"/>
              <w:bottom w:val="nil"/>
              <w:right w:val="nil"/>
            </w:tcBorders>
            <w:vAlign w:val="bottom"/>
          </w:tcPr>
          <w:p w14:paraId="72BDEBC9" w14:textId="77777777" w:rsidR="00607B78" w:rsidRPr="009C2953" w:rsidRDefault="00607B78" w:rsidP="00A068F8">
            <w:pPr>
              <w:pStyle w:val="Normal-pool-Table"/>
              <w:spacing w:after="30"/>
              <w:jc w:val="right"/>
              <w:rPr>
                <w:b/>
              </w:rPr>
            </w:pPr>
          </w:p>
        </w:tc>
        <w:tc>
          <w:tcPr>
            <w:tcW w:w="1416" w:type="dxa"/>
            <w:tcBorders>
              <w:top w:val="nil"/>
              <w:left w:val="nil"/>
              <w:bottom w:val="nil"/>
              <w:right w:val="nil"/>
            </w:tcBorders>
            <w:vAlign w:val="bottom"/>
            <w:hideMark/>
          </w:tcPr>
          <w:p w14:paraId="7B0B7860" w14:textId="77777777" w:rsidR="00607B78" w:rsidRPr="009C2953" w:rsidRDefault="00607B78" w:rsidP="00A068F8">
            <w:pPr>
              <w:pStyle w:val="Normal-pool-Table"/>
              <w:spacing w:after="30"/>
              <w:jc w:val="right"/>
              <w:rPr>
                <w:b/>
              </w:rPr>
            </w:pPr>
            <w:r w:rsidRPr="009C2953">
              <w:rPr>
                <w:b/>
              </w:rPr>
              <w:t>20 000</w:t>
            </w:r>
          </w:p>
        </w:tc>
        <w:tc>
          <w:tcPr>
            <w:tcW w:w="1286" w:type="dxa"/>
            <w:tcBorders>
              <w:top w:val="nil"/>
              <w:left w:val="nil"/>
              <w:bottom w:val="nil"/>
              <w:right w:val="nil"/>
            </w:tcBorders>
            <w:vAlign w:val="bottom"/>
            <w:hideMark/>
          </w:tcPr>
          <w:p w14:paraId="0215EC8C" w14:textId="77777777" w:rsidR="00607B78" w:rsidRPr="009C2953" w:rsidRDefault="00607B78" w:rsidP="00A068F8">
            <w:pPr>
              <w:pStyle w:val="Normal-pool-Table"/>
              <w:spacing w:after="30"/>
              <w:jc w:val="right"/>
              <w:rPr>
                <w:b/>
              </w:rPr>
            </w:pPr>
            <w:r w:rsidRPr="009C2953">
              <w:rPr>
                <w:b/>
              </w:rPr>
              <w:t>20 000</w:t>
            </w:r>
          </w:p>
        </w:tc>
      </w:tr>
      <w:tr w:rsidR="00607B78" w:rsidRPr="009C2953" w14:paraId="148DA065" w14:textId="77777777" w:rsidTr="00A068F8">
        <w:trPr>
          <w:trHeight w:val="57"/>
          <w:jc w:val="right"/>
        </w:trPr>
        <w:tc>
          <w:tcPr>
            <w:tcW w:w="5245" w:type="dxa"/>
            <w:tcBorders>
              <w:top w:val="nil"/>
              <w:left w:val="nil"/>
              <w:bottom w:val="single" w:sz="4" w:space="0" w:color="000000"/>
              <w:right w:val="nil"/>
            </w:tcBorders>
            <w:vAlign w:val="bottom"/>
            <w:hideMark/>
          </w:tcPr>
          <w:p w14:paraId="5A0714A9" w14:textId="264012C6" w:rsidR="00607B78" w:rsidRPr="009C2953" w:rsidRDefault="00607B78" w:rsidP="00A068F8">
            <w:pPr>
              <w:pStyle w:val="Normal-pool-Table"/>
              <w:spacing w:after="30"/>
            </w:pPr>
            <w:proofErr w:type="gramStart"/>
            <w:r w:rsidRPr="009C2953">
              <w:rPr>
                <w:b/>
                <w:color w:val="000000"/>
              </w:rPr>
              <w:t>pt</w:t>
            </w:r>
            <w:proofErr w:type="gramEnd"/>
            <w:r w:rsidRPr="009C2953">
              <w:rPr>
                <w:b/>
                <w:color w:val="000000"/>
              </w:rPr>
              <w:t xml:space="preserve">1 - </w:t>
            </w:r>
            <w:r w:rsidRPr="009C2953">
              <w:t>Produit 3 b) ii) : Évaluation</w:t>
            </w:r>
            <w:r w:rsidR="00D24DC1" w:rsidRPr="009C2953">
              <w:t xml:space="preserve"> des </w:t>
            </w:r>
            <w:r w:rsidRPr="009C2953">
              <w:t xml:space="preserve">espèces exotiques envahissantes </w:t>
            </w:r>
          </w:p>
        </w:tc>
        <w:tc>
          <w:tcPr>
            <w:tcW w:w="1550" w:type="dxa"/>
            <w:tcBorders>
              <w:top w:val="nil"/>
              <w:left w:val="nil"/>
              <w:bottom w:val="single" w:sz="4" w:space="0" w:color="000000"/>
              <w:right w:val="nil"/>
            </w:tcBorders>
            <w:vAlign w:val="bottom"/>
          </w:tcPr>
          <w:p w14:paraId="5CB07C8C" w14:textId="77777777" w:rsidR="00607B78" w:rsidRPr="009C2953" w:rsidRDefault="00607B78" w:rsidP="00A068F8">
            <w:pPr>
              <w:pStyle w:val="Normal-pool-Table"/>
              <w:spacing w:after="30"/>
              <w:jc w:val="right"/>
            </w:pPr>
          </w:p>
        </w:tc>
        <w:tc>
          <w:tcPr>
            <w:tcW w:w="1416" w:type="dxa"/>
            <w:tcBorders>
              <w:top w:val="nil"/>
              <w:left w:val="nil"/>
              <w:bottom w:val="single" w:sz="4" w:space="0" w:color="000000"/>
              <w:right w:val="nil"/>
            </w:tcBorders>
            <w:vAlign w:val="bottom"/>
            <w:hideMark/>
          </w:tcPr>
          <w:p w14:paraId="79A6E8F0" w14:textId="77777777" w:rsidR="00607B78" w:rsidRPr="009C2953" w:rsidRDefault="00607B78" w:rsidP="00A068F8">
            <w:pPr>
              <w:pStyle w:val="Normal-pool-Table"/>
              <w:spacing w:after="30"/>
              <w:jc w:val="right"/>
            </w:pPr>
            <w:r w:rsidRPr="009C2953">
              <w:t>20 000</w:t>
            </w:r>
          </w:p>
        </w:tc>
        <w:tc>
          <w:tcPr>
            <w:tcW w:w="1286" w:type="dxa"/>
            <w:tcBorders>
              <w:top w:val="nil"/>
              <w:left w:val="nil"/>
              <w:bottom w:val="single" w:sz="4" w:space="0" w:color="000000"/>
              <w:right w:val="nil"/>
            </w:tcBorders>
            <w:vAlign w:val="bottom"/>
            <w:hideMark/>
          </w:tcPr>
          <w:p w14:paraId="1343367A" w14:textId="77777777" w:rsidR="00607B78" w:rsidRPr="009C2953" w:rsidRDefault="00607B78" w:rsidP="00A068F8">
            <w:pPr>
              <w:pStyle w:val="Normal-pool-Table"/>
              <w:spacing w:after="30"/>
              <w:jc w:val="right"/>
            </w:pPr>
            <w:r w:rsidRPr="009C2953">
              <w:t>20 000</w:t>
            </w:r>
          </w:p>
        </w:tc>
      </w:tr>
      <w:tr w:rsidR="00607B78" w:rsidRPr="009C2953" w14:paraId="193426A2"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184EED67" w14:textId="77777777" w:rsidR="00607B78" w:rsidRPr="009C2953" w:rsidRDefault="00607B78" w:rsidP="00A068F8">
            <w:pPr>
              <w:pStyle w:val="Normal-pool-Table"/>
              <w:spacing w:after="30"/>
              <w:rPr>
                <w:b/>
              </w:rPr>
            </w:pPr>
            <w:r w:rsidRPr="009C2953">
              <w:rPr>
                <w:b/>
              </w:rPr>
              <w:t>Total partiel, partie A</w:t>
            </w:r>
          </w:p>
        </w:tc>
        <w:tc>
          <w:tcPr>
            <w:tcW w:w="1550" w:type="dxa"/>
            <w:tcBorders>
              <w:top w:val="single" w:sz="4" w:space="0" w:color="000000"/>
              <w:left w:val="nil"/>
              <w:bottom w:val="single" w:sz="4" w:space="0" w:color="000000"/>
              <w:right w:val="nil"/>
            </w:tcBorders>
            <w:vAlign w:val="bottom"/>
          </w:tcPr>
          <w:p w14:paraId="26F6506D" w14:textId="77777777" w:rsidR="00607B78" w:rsidRPr="009C2953" w:rsidRDefault="00607B78" w:rsidP="00A068F8">
            <w:pPr>
              <w:pStyle w:val="Normal-pool-Table"/>
              <w:spacing w:after="30"/>
              <w:jc w:val="right"/>
              <w:rPr>
                <w:b/>
              </w:rPr>
            </w:pPr>
          </w:p>
        </w:tc>
        <w:tc>
          <w:tcPr>
            <w:tcW w:w="1416" w:type="dxa"/>
            <w:tcBorders>
              <w:top w:val="single" w:sz="4" w:space="0" w:color="000000"/>
              <w:left w:val="nil"/>
              <w:bottom w:val="single" w:sz="4" w:space="0" w:color="000000"/>
              <w:right w:val="nil"/>
            </w:tcBorders>
            <w:vAlign w:val="bottom"/>
            <w:hideMark/>
          </w:tcPr>
          <w:p w14:paraId="52782E6D" w14:textId="77777777" w:rsidR="00607B78" w:rsidRPr="009C2953" w:rsidRDefault="00607B78" w:rsidP="00A068F8">
            <w:pPr>
              <w:pStyle w:val="Normal-pool-Table"/>
              <w:spacing w:after="30"/>
              <w:jc w:val="right"/>
              <w:rPr>
                <w:b/>
              </w:rPr>
            </w:pPr>
            <w:r w:rsidRPr="009C2953">
              <w:rPr>
                <w:b/>
              </w:rPr>
              <w:t>20 000</w:t>
            </w:r>
          </w:p>
        </w:tc>
        <w:tc>
          <w:tcPr>
            <w:tcW w:w="1286" w:type="dxa"/>
            <w:tcBorders>
              <w:top w:val="single" w:sz="4" w:space="0" w:color="000000"/>
              <w:left w:val="nil"/>
              <w:bottom w:val="single" w:sz="4" w:space="0" w:color="000000"/>
              <w:right w:val="nil"/>
            </w:tcBorders>
            <w:vAlign w:val="bottom"/>
            <w:hideMark/>
          </w:tcPr>
          <w:p w14:paraId="6799FAB7" w14:textId="77777777" w:rsidR="00607B78" w:rsidRPr="009C2953" w:rsidRDefault="00607B78" w:rsidP="00A068F8">
            <w:pPr>
              <w:pStyle w:val="Normal-pool-Table"/>
              <w:spacing w:after="30"/>
              <w:jc w:val="right"/>
              <w:rPr>
                <w:b/>
              </w:rPr>
            </w:pPr>
            <w:r w:rsidRPr="009C2953">
              <w:rPr>
                <w:b/>
              </w:rPr>
              <w:t>20 000</w:t>
            </w:r>
          </w:p>
        </w:tc>
      </w:tr>
      <w:tr w:rsidR="006C5A4F" w:rsidRPr="009C2953" w14:paraId="5433D829" w14:textId="77777777" w:rsidTr="00FC117D">
        <w:trPr>
          <w:trHeight w:val="57"/>
          <w:jc w:val="right"/>
        </w:trPr>
        <w:tc>
          <w:tcPr>
            <w:tcW w:w="9497" w:type="dxa"/>
            <w:gridSpan w:val="4"/>
            <w:tcBorders>
              <w:top w:val="single" w:sz="4" w:space="0" w:color="000000"/>
              <w:left w:val="nil"/>
              <w:bottom w:val="nil"/>
              <w:right w:val="nil"/>
            </w:tcBorders>
            <w:vAlign w:val="bottom"/>
            <w:hideMark/>
          </w:tcPr>
          <w:p w14:paraId="7EE5E29F" w14:textId="10D43B56" w:rsidR="006C5A4F" w:rsidRPr="009C2953" w:rsidRDefault="006C5A4F" w:rsidP="006C5A4F">
            <w:pPr>
              <w:pStyle w:val="Normal-pool-Table"/>
              <w:spacing w:after="30"/>
            </w:pPr>
            <w:r w:rsidRPr="009C2953">
              <w:rPr>
                <w:b/>
              </w:rPr>
              <w:t>Partie B : programme de travail glissant pour la période allant jusqu</w:t>
            </w:r>
            <w:r w:rsidR="00EA2966" w:rsidRPr="009C2953">
              <w:rPr>
                <w:b/>
              </w:rPr>
              <w:t>’</w:t>
            </w:r>
            <w:r w:rsidRPr="009C2953">
              <w:rPr>
                <w:b/>
              </w:rPr>
              <w:t>en 2030</w:t>
            </w:r>
          </w:p>
        </w:tc>
      </w:tr>
      <w:tr w:rsidR="00607B78" w:rsidRPr="009C2953" w14:paraId="1CD498E7" w14:textId="77777777" w:rsidTr="00A068F8">
        <w:trPr>
          <w:trHeight w:val="57"/>
          <w:jc w:val="right"/>
        </w:trPr>
        <w:tc>
          <w:tcPr>
            <w:tcW w:w="5245" w:type="dxa"/>
            <w:tcBorders>
              <w:top w:val="nil"/>
              <w:left w:val="nil"/>
              <w:bottom w:val="nil"/>
              <w:right w:val="nil"/>
            </w:tcBorders>
            <w:vAlign w:val="bottom"/>
            <w:hideMark/>
          </w:tcPr>
          <w:p w14:paraId="63F87409" w14:textId="088EDCCF" w:rsidR="00607B78" w:rsidRPr="009C2953" w:rsidRDefault="00607B78" w:rsidP="00A068F8">
            <w:pPr>
              <w:pStyle w:val="Normal-pool-Table"/>
              <w:spacing w:after="30"/>
              <w:rPr>
                <w:b/>
              </w:rPr>
            </w:pPr>
            <w:r w:rsidRPr="009C2953">
              <w:rPr>
                <w:b/>
              </w:rPr>
              <w:t>Objectif 1 : évaluation</w:t>
            </w:r>
            <w:r w:rsidR="00D24DC1" w:rsidRPr="009C2953">
              <w:rPr>
                <w:b/>
              </w:rPr>
              <w:t xml:space="preserve"> des </w:t>
            </w:r>
            <w:r w:rsidRPr="009C2953">
              <w:rPr>
                <w:b/>
              </w:rPr>
              <w:t>connaissances</w:t>
            </w:r>
          </w:p>
        </w:tc>
        <w:tc>
          <w:tcPr>
            <w:tcW w:w="1550" w:type="dxa"/>
            <w:tcBorders>
              <w:top w:val="nil"/>
              <w:left w:val="nil"/>
              <w:bottom w:val="nil"/>
              <w:right w:val="nil"/>
            </w:tcBorders>
            <w:vAlign w:val="bottom"/>
            <w:hideMark/>
          </w:tcPr>
          <w:p w14:paraId="4D8860A0" w14:textId="77777777" w:rsidR="00607B78" w:rsidRPr="009C2953" w:rsidRDefault="00607B78" w:rsidP="00A068F8">
            <w:pPr>
              <w:pStyle w:val="Normal-pool-Table"/>
              <w:spacing w:after="30"/>
              <w:jc w:val="right"/>
              <w:rPr>
                <w:b/>
              </w:rPr>
            </w:pPr>
            <w:r w:rsidRPr="009C2953">
              <w:rPr>
                <w:b/>
              </w:rPr>
              <w:t>2 145 050</w:t>
            </w:r>
          </w:p>
        </w:tc>
        <w:tc>
          <w:tcPr>
            <w:tcW w:w="1416" w:type="dxa"/>
            <w:tcBorders>
              <w:top w:val="nil"/>
              <w:left w:val="nil"/>
              <w:bottom w:val="nil"/>
              <w:right w:val="nil"/>
            </w:tcBorders>
            <w:vAlign w:val="bottom"/>
            <w:hideMark/>
          </w:tcPr>
          <w:p w14:paraId="03EFAE6C" w14:textId="77777777" w:rsidR="00607B78" w:rsidRPr="009C2953" w:rsidRDefault="00607B78" w:rsidP="00A068F8">
            <w:pPr>
              <w:pStyle w:val="Normal-pool-Table"/>
              <w:spacing w:after="30"/>
              <w:jc w:val="right"/>
              <w:rPr>
                <w:b/>
              </w:rPr>
            </w:pPr>
            <w:r w:rsidRPr="009C2953">
              <w:rPr>
                <w:b/>
              </w:rPr>
              <w:t>2 386 150</w:t>
            </w:r>
          </w:p>
        </w:tc>
        <w:tc>
          <w:tcPr>
            <w:tcW w:w="1286" w:type="dxa"/>
            <w:tcBorders>
              <w:top w:val="nil"/>
              <w:left w:val="nil"/>
              <w:bottom w:val="nil"/>
              <w:right w:val="nil"/>
            </w:tcBorders>
            <w:vAlign w:val="bottom"/>
            <w:hideMark/>
          </w:tcPr>
          <w:p w14:paraId="1D0325FA" w14:textId="77777777" w:rsidR="00607B78" w:rsidRPr="009C2953" w:rsidRDefault="00607B78" w:rsidP="00A068F8">
            <w:pPr>
              <w:pStyle w:val="Normal-pool-Table"/>
              <w:spacing w:after="30"/>
              <w:jc w:val="right"/>
              <w:rPr>
                <w:b/>
              </w:rPr>
            </w:pPr>
            <w:r w:rsidRPr="009C2953">
              <w:rPr>
                <w:b/>
              </w:rPr>
              <w:t>241 100</w:t>
            </w:r>
          </w:p>
        </w:tc>
      </w:tr>
      <w:tr w:rsidR="00607B78" w:rsidRPr="009C2953" w14:paraId="7D1B3BBE" w14:textId="77777777" w:rsidTr="00A068F8">
        <w:trPr>
          <w:trHeight w:val="57"/>
          <w:jc w:val="right"/>
        </w:trPr>
        <w:tc>
          <w:tcPr>
            <w:tcW w:w="5245" w:type="dxa"/>
            <w:tcBorders>
              <w:top w:val="nil"/>
              <w:left w:val="nil"/>
              <w:bottom w:val="nil"/>
              <w:right w:val="nil"/>
            </w:tcBorders>
            <w:vAlign w:val="bottom"/>
            <w:hideMark/>
          </w:tcPr>
          <w:p w14:paraId="22FA886C" w14:textId="58F6DA25" w:rsidR="00607B78" w:rsidRPr="009C2953" w:rsidRDefault="00607B78" w:rsidP="00A068F8">
            <w:pPr>
              <w:pStyle w:val="Normal-pool-Table"/>
              <w:spacing w:after="30"/>
            </w:pPr>
            <w:r w:rsidRPr="009C2953">
              <w:t>Produit 1 a) : évaluation thématique</w:t>
            </w:r>
            <w:r w:rsidR="00D24DC1" w:rsidRPr="009C2953">
              <w:t xml:space="preserve"> des </w:t>
            </w:r>
            <w:r w:rsidRPr="009C2953">
              <w:t>liens d</w:t>
            </w:r>
            <w:r w:rsidR="00EA2966" w:rsidRPr="009C2953">
              <w:t>’</w:t>
            </w:r>
            <w:r w:rsidRPr="009C2953">
              <w:t>interdépendance entre</w:t>
            </w:r>
            <w:r w:rsidR="00F34644" w:rsidRPr="009C2953">
              <w:t xml:space="preserve"> la </w:t>
            </w:r>
            <w:r w:rsidRPr="009C2953">
              <w:t>biodiversité, l</w:t>
            </w:r>
            <w:r w:rsidR="00EA2966" w:rsidRPr="009C2953">
              <w:t>’</w:t>
            </w:r>
            <w:r w:rsidRPr="009C2953">
              <w:t>eau, l</w:t>
            </w:r>
            <w:r w:rsidR="00EA2966" w:rsidRPr="009C2953">
              <w:t>’</w:t>
            </w:r>
            <w:r w:rsidRPr="009C2953">
              <w:t>alimentation et</w:t>
            </w:r>
            <w:r w:rsidR="00F34644" w:rsidRPr="009C2953">
              <w:t xml:space="preserve"> la </w:t>
            </w:r>
            <w:r w:rsidRPr="009C2953">
              <w:t>santé (évaluation</w:t>
            </w:r>
            <w:r w:rsidR="00D24DC1" w:rsidRPr="009C2953">
              <w:t xml:space="preserve"> des </w:t>
            </w:r>
            <w:r w:rsidRPr="009C2953">
              <w:t>interdépendances)</w:t>
            </w:r>
          </w:p>
        </w:tc>
        <w:tc>
          <w:tcPr>
            <w:tcW w:w="1550" w:type="dxa"/>
            <w:tcBorders>
              <w:top w:val="nil"/>
              <w:left w:val="nil"/>
              <w:bottom w:val="nil"/>
              <w:right w:val="nil"/>
            </w:tcBorders>
            <w:vAlign w:val="bottom"/>
            <w:hideMark/>
          </w:tcPr>
          <w:p w14:paraId="00505B0C" w14:textId="77777777" w:rsidR="00607B78" w:rsidRPr="009C2953" w:rsidRDefault="00607B78" w:rsidP="00A068F8">
            <w:pPr>
              <w:pStyle w:val="Normal-pool-Table"/>
              <w:spacing w:after="30"/>
              <w:jc w:val="right"/>
            </w:pPr>
            <w:r w:rsidRPr="009C2953">
              <w:t>986 050</w:t>
            </w:r>
          </w:p>
        </w:tc>
        <w:tc>
          <w:tcPr>
            <w:tcW w:w="1416" w:type="dxa"/>
            <w:tcBorders>
              <w:top w:val="nil"/>
              <w:left w:val="nil"/>
              <w:bottom w:val="nil"/>
              <w:right w:val="nil"/>
            </w:tcBorders>
            <w:vAlign w:val="bottom"/>
            <w:hideMark/>
          </w:tcPr>
          <w:p w14:paraId="25C19D99" w14:textId="77777777" w:rsidR="00607B78" w:rsidRPr="009C2953" w:rsidRDefault="00607B78" w:rsidP="00A068F8">
            <w:pPr>
              <w:pStyle w:val="Normal-pool-Table"/>
              <w:spacing w:after="30"/>
              <w:jc w:val="right"/>
            </w:pPr>
            <w:r w:rsidRPr="009C2953">
              <w:t>892 150</w:t>
            </w:r>
          </w:p>
        </w:tc>
        <w:tc>
          <w:tcPr>
            <w:tcW w:w="1286" w:type="dxa"/>
            <w:tcBorders>
              <w:top w:val="nil"/>
              <w:left w:val="nil"/>
              <w:bottom w:val="nil"/>
              <w:right w:val="nil"/>
            </w:tcBorders>
            <w:vAlign w:val="bottom"/>
            <w:hideMark/>
          </w:tcPr>
          <w:p w14:paraId="0FC7BFF1" w14:textId="70031F2B" w:rsidR="00607B78" w:rsidRPr="009C2953" w:rsidRDefault="00607B78" w:rsidP="00A068F8">
            <w:pPr>
              <w:pStyle w:val="Normal-pool-Table"/>
              <w:spacing w:after="30"/>
              <w:jc w:val="right"/>
            </w:pPr>
            <w:r w:rsidRPr="009C2953">
              <w:t>(93</w:t>
            </w:r>
            <w:r w:rsidR="008B5CBF" w:rsidRPr="009C2953">
              <w:t> </w:t>
            </w:r>
            <w:r w:rsidRPr="009C2953">
              <w:t>900)</w:t>
            </w:r>
          </w:p>
        </w:tc>
      </w:tr>
      <w:tr w:rsidR="00607B78" w:rsidRPr="009C2953" w14:paraId="71F37F0C" w14:textId="77777777" w:rsidTr="00A068F8">
        <w:trPr>
          <w:trHeight w:val="57"/>
          <w:jc w:val="right"/>
        </w:trPr>
        <w:tc>
          <w:tcPr>
            <w:tcW w:w="5245" w:type="dxa"/>
            <w:tcBorders>
              <w:top w:val="nil"/>
              <w:left w:val="nil"/>
              <w:bottom w:val="nil"/>
              <w:right w:val="nil"/>
            </w:tcBorders>
            <w:vAlign w:val="bottom"/>
            <w:hideMark/>
          </w:tcPr>
          <w:p w14:paraId="18CFD4E6" w14:textId="7FDB234A" w:rsidR="00607B78" w:rsidRPr="009C2953" w:rsidRDefault="00607B78" w:rsidP="00A068F8">
            <w:pPr>
              <w:pStyle w:val="Normal-pool-Table"/>
              <w:spacing w:after="30"/>
            </w:pPr>
            <w:r w:rsidRPr="009C2953">
              <w:t>Produit 1 c) : évaluation thématique</w:t>
            </w:r>
            <w:r w:rsidR="00D24DC1" w:rsidRPr="009C2953">
              <w:t xml:space="preserve"> des </w:t>
            </w:r>
            <w:r w:rsidRPr="009C2953">
              <w:t>causes sous-jacentes de</w:t>
            </w:r>
            <w:r w:rsidR="006C5A4F" w:rsidRPr="009C2953">
              <w:t> </w:t>
            </w:r>
            <w:r w:rsidR="00F34644" w:rsidRPr="009C2953">
              <w:t>la </w:t>
            </w:r>
            <w:r w:rsidRPr="009C2953">
              <w:t>perte de biodiversité et</w:t>
            </w:r>
            <w:r w:rsidR="00D24DC1" w:rsidRPr="009C2953">
              <w:t xml:space="preserve"> des </w:t>
            </w:r>
            <w:r w:rsidRPr="009C2953">
              <w:t>déterminants du changement transformateur, ainsi que</w:t>
            </w:r>
            <w:r w:rsidR="00D24DC1" w:rsidRPr="009C2953">
              <w:t xml:space="preserve"> des </w:t>
            </w:r>
            <w:r w:rsidRPr="009C2953">
              <w:t>solutions possibles afin de réaliser</w:t>
            </w:r>
            <w:r w:rsidR="00F34644" w:rsidRPr="009C2953">
              <w:t xml:space="preserve"> la </w:t>
            </w:r>
            <w:r w:rsidRPr="009C2953">
              <w:t>Vision 2050 pour</w:t>
            </w:r>
            <w:r w:rsidR="00F34644" w:rsidRPr="009C2953">
              <w:t xml:space="preserve"> la </w:t>
            </w:r>
            <w:r w:rsidRPr="009C2953">
              <w:t>biodiversité (évaluation du changement transformateur)</w:t>
            </w:r>
          </w:p>
        </w:tc>
        <w:tc>
          <w:tcPr>
            <w:tcW w:w="1550" w:type="dxa"/>
            <w:tcBorders>
              <w:top w:val="nil"/>
              <w:left w:val="nil"/>
              <w:bottom w:val="nil"/>
              <w:right w:val="nil"/>
            </w:tcBorders>
            <w:vAlign w:val="bottom"/>
            <w:hideMark/>
          </w:tcPr>
          <w:p w14:paraId="78272C2E" w14:textId="77777777" w:rsidR="00607B78" w:rsidRPr="009C2953" w:rsidRDefault="00607B78" w:rsidP="00A068F8">
            <w:pPr>
              <w:pStyle w:val="Normal-pool-Table"/>
              <w:spacing w:after="30"/>
              <w:jc w:val="right"/>
            </w:pPr>
            <w:r w:rsidRPr="009C2953">
              <w:t>662 750</w:t>
            </w:r>
          </w:p>
        </w:tc>
        <w:tc>
          <w:tcPr>
            <w:tcW w:w="1416" w:type="dxa"/>
            <w:tcBorders>
              <w:top w:val="nil"/>
              <w:left w:val="nil"/>
              <w:bottom w:val="nil"/>
              <w:right w:val="nil"/>
            </w:tcBorders>
            <w:vAlign w:val="bottom"/>
            <w:hideMark/>
          </w:tcPr>
          <w:p w14:paraId="11D6DC7F" w14:textId="77777777" w:rsidR="00607B78" w:rsidRPr="009C2953" w:rsidRDefault="00607B78" w:rsidP="00A068F8">
            <w:pPr>
              <w:pStyle w:val="Normal-pool-Table"/>
              <w:spacing w:after="30"/>
              <w:jc w:val="right"/>
            </w:pPr>
            <w:r w:rsidRPr="009C2953">
              <w:t>537 750</w:t>
            </w:r>
          </w:p>
        </w:tc>
        <w:tc>
          <w:tcPr>
            <w:tcW w:w="1286" w:type="dxa"/>
            <w:tcBorders>
              <w:top w:val="nil"/>
              <w:left w:val="nil"/>
              <w:bottom w:val="nil"/>
              <w:right w:val="nil"/>
            </w:tcBorders>
            <w:vAlign w:val="bottom"/>
            <w:hideMark/>
          </w:tcPr>
          <w:p w14:paraId="7AD5AA4E" w14:textId="70D58468" w:rsidR="00607B78" w:rsidRPr="009C2953" w:rsidRDefault="00607B78" w:rsidP="00A068F8">
            <w:pPr>
              <w:pStyle w:val="Normal-pool-Table"/>
              <w:spacing w:after="30"/>
              <w:jc w:val="right"/>
            </w:pPr>
            <w:r w:rsidRPr="009C2953">
              <w:t>(125</w:t>
            </w:r>
            <w:r w:rsidR="008B5CBF" w:rsidRPr="009C2953">
              <w:t> </w:t>
            </w:r>
            <w:r w:rsidRPr="009C2953">
              <w:t>000)</w:t>
            </w:r>
          </w:p>
        </w:tc>
      </w:tr>
      <w:tr w:rsidR="00607B78" w:rsidRPr="009C2953" w14:paraId="52E9FB14" w14:textId="77777777" w:rsidTr="00A068F8">
        <w:trPr>
          <w:trHeight w:val="57"/>
          <w:jc w:val="right"/>
        </w:trPr>
        <w:tc>
          <w:tcPr>
            <w:tcW w:w="5245" w:type="dxa"/>
            <w:tcBorders>
              <w:top w:val="nil"/>
              <w:left w:val="nil"/>
              <w:bottom w:val="nil"/>
              <w:right w:val="nil"/>
            </w:tcBorders>
            <w:vAlign w:val="bottom"/>
            <w:hideMark/>
          </w:tcPr>
          <w:p w14:paraId="255DF45C" w14:textId="69BB6002" w:rsidR="00607B78" w:rsidRPr="009C2953" w:rsidRDefault="00607B78" w:rsidP="00A068F8">
            <w:pPr>
              <w:pStyle w:val="Normal-pool-Table"/>
              <w:spacing w:after="30"/>
            </w:pPr>
            <w:r w:rsidRPr="009C2953">
              <w:t>Produit 1 d) : évaluation méthodologique</w:t>
            </w:r>
            <w:r w:rsidR="00D24DC1" w:rsidRPr="009C2953">
              <w:t xml:space="preserve"> des </w:t>
            </w:r>
            <w:r w:rsidRPr="009C2953">
              <w:t>conséquences de l</w:t>
            </w:r>
            <w:r w:rsidR="00EA2966" w:rsidRPr="009C2953">
              <w:t>’</w:t>
            </w:r>
            <w:r w:rsidRPr="009C2953">
              <w:t>activité</w:t>
            </w:r>
            <w:r w:rsidR="00D24DC1" w:rsidRPr="009C2953">
              <w:t xml:space="preserve"> des </w:t>
            </w:r>
            <w:r w:rsidRPr="009C2953">
              <w:t>entreprises sur</w:t>
            </w:r>
            <w:r w:rsidR="00F34644" w:rsidRPr="009C2953">
              <w:t xml:space="preserve"> la </w:t>
            </w:r>
            <w:r w:rsidRPr="009C2953">
              <w:t>biodiversité et sur</w:t>
            </w:r>
            <w:r w:rsidR="00F34644" w:rsidRPr="009C2953">
              <w:t xml:space="preserve"> les </w:t>
            </w:r>
            <w:r w:rsidRPr="009C2953">
              <w:t>contributions de</w:t>
            </w:r>
            <w:r w:rsidR="006C5A4F" w:rsidRPr="009C2953">
              <w:t> </w:t>
            </w:r>
            <w:r w:rsidR="00F34644" w:rsidRPr="009C2953">
              <w:t>la </w:t>
            </w:r>
            <w:r w:rsidRPr="009C2953">
              <w:t>nature</w:t>
            </w:r>
            <w:r w:rsidR="00F34644" w:rsidRPr="009C2953">
              <w:t xml:space="preserve"> aux </w:t>
            </w:r>
            <w:r w:rsidRPr="009C2953">
              <w:t>populations et de</w:t>
            </w:r>
            <w:r w:rsidR="00F34644" w:rsidRPr="009C2953">
              <w:t xml:space="preserve"> la </w:t>
            </w:r>
            <w:r w:rsidRPr="009C2953">
              <w:t>dépendance</w:t>
            </w:r>
            <w:r w:rsidR="00D24DC1" w:rsidRPr="009C2953">
              <w:t xml:space="preserve"> des </w:t>
            </w:r>
            <w:r w:rsidRPr="009C2953">
              <w:t>entreprises à</w:t>
            </w:r>
            <w:r w:rsidR="006C5A4F" w:rsidRPr="009C2953">
              <w:t> </w:t>
            </w:r>
            <w:r w:rsidR="00F34644" w:rsidRPr="009C2953">
              <w:t>leur </w:t>
            </w:r>
            <w:r w:rsidRPr="009C2953">
              <w:t>égard (évaluation</w:t>
            </w:r>
            <w:r w:rsidR="00D24DC1" w:rsidRPr="009C2953">
              <w:t xml:space="preserve"> des </w:t>
            </w:r>
            <w:r w:rsidRPr="009C2953">
              <w:t>entreprises et de</w:t>
            </w:r>
            <w:r w:rsidR="00F34644" w:rsidRPr="009C2953">
              <w:t xml:space="preserve"> la </w:t>
            </w:r>
            <w:r w:rsidRPr="009C2953">
              <w:t>biodiversité)</w:t>
            </w:r>
          </w:p>
        </w:tc>
        <w:tc>
          <w:tcPr>
            <w:tcW w:w="1550" w:type="dxa"/>
            <w:tcBorders>
              <w:top w:val="nil"/>
              <w:left w:val="nil"/>
              <w:bottom w:val="nil"/>
              <w:right w:val="nil"/>
            </w:tcBorders>
            <w:vAlign w:val="bottom"/>
            <w:hideMark/>
          </w:tcPr>
          <w:p w14:paraId="207430C9" w14:textId="77777777" w:rsidR="00607B78" w:rsidRPr="009C2953" w:rsidRDefault="00607B78" w:rsidP="00A068F8">
            <w:pPr>
              <w:pStyle w:val="Normal-pool-Table"/>
              <w:spacing w:after="30"/>
              <w:jc w:val="right"/>
            </w:pPr>
            <w:r w:rsidRPr="009C2953">
              <w:t>496 250</w:t>
            </w:r>
          </w:p>
        </w:tc>
        <w:tc>
          <w:tcPr>
            <w:tcW w:w="1416" w:type="dxa"/>
            <w:tcBorders>
              <w:top w:val="nil"/>
              <w:left w:val="nil"/>
              <w:bottom w:val="nil"/>
              <w:right w:val="nil"/>
            </w:tcBorders>
            <w:vAlign w:val="bottom"/>
            <w:hideMark/>
          </w:tcPr>
          <w:p w14:paraId="24804DD0" w14:textId="77777777" w:rsidR="00607B78" w:rsidRPr="009C2953" w:rsidRDefault="00607B78" w:rsidP="00A068F8">
            <w:pPr>
              <w:pStyle w:val="Normal-pool-Table"/>
              <w:spacing w:after="30"/>
              <w:jc w:val="right"/>
            </w:pPr>
            <w:r w:rsidRPr="009C2953">
              <w:t>458 750</w:t>
            </w:r>
          </w:p>
        </w:tc>
        <w:tc>
          <w:tcPr>
            <w:tcW w:w="1286" w:type="dxa"/>
            <w:tcBorders>
              <w:top w:val="nil"/>
              <w:left w:val="nil"/>
              <w:bottom w:val="nil"/>
              <w:right w:val="nil"/>
            </w:tcBorders>
            <w:vAlign w:val="bottom"/>
            <w:hideMark/>
          </w:tcPr>
          <w:p w14:paraId="6935E047" w14:textId="1DEC2128" w:rsidR="00607B78" w:rsidRPr="009C2953" w:rsidRDefault="00607B78" w:rsidP="00A068F8">
            <w:pPr>
              <w:pStyle w:val="Normal-pool-Table"/>
              <w:spacing w:after="30"/>
              <w:jc w:val="right"/>
            </w:pPr>
            <w:r w:rsidRPr="009C2953">
              <w:t>(37</w:t>
            </w:r>
            <w:r w:rsidR="008B5CBF" w:rsidRPr="009C2953">
              <w:t> </w:t>
            </w:r>
            <w:r w:rsidRPr="009C2953">
              <w:t>500)</w:t>
            </w:r>
          </w:p>
        </w:tc>
      </w:tr>
      <w:tr w:rsidR="00607B78" w:rsidRPr="009C2953" w14:paraId="2646A625" w14:textId="77777777" w:rsidTr="00A068F8">
        <w:trPr>
          <w:trHeight w:val="57"/>
          <w:jc w:val="right"/>
        </w:trPr>
        <w:tc>
          <w:tcPr>
            <w:tcW w:w="5245" w:type="dxa"/>
            <w:tcBorders>
              <w:top w:val="nil"/>
              <w:left w:val="nil"/>
              <w:bottom w:val="nil"/>
              <w:right w:val="nil"/>
            </w:tcBorders>
            <w:vAlign w:val="bottom"/>
            <w:hideMark/>
          </w:tcPr>
          <w:p w14:paraId="75520EB2" w14:textId="6A2EDC85" w:rsidR="00607B78" w:rsidRPr="009C2953" w:rsidRDefault="00607B78" w:rsidP="00A068F8">
            <w:pPr>
              <w:pStyle w:val="Normal-pool-Table"/>
              <w:spacing w:after="30"/>
            </w:pPr>
            <w:r w:rsidRPr="009C2953">
              <w:t>Produit 1 e) : deuxième évaluation mondiale de</w:t>
            </w:r>
            <w:r w:rsidR="00F34644" w:rsidRPr="009C2953">
              <w:t xml:space="preserve"> la </w:t>
            </w:r>
            <w:r w:rsidRPr="009C2953">
              <w:t>biodiversité et</w:t>
            </w:r>
            <w:r w:rsidR="006C5A4F" w:rsidRPr="009C2953">
              <w:t> </w:t>
            </w:r>
            <w:r w:rsidR="00D24DC1" w:rsidRPr="009C2953">
              <w:t>des </w:t>
            </w:r>
            <w:r w:rsidRPr="009C2953">
              <w:t xml:space="preserve">services écosystémiques </w:t>
            </w:r>
          </w:p>
        </w:tc>
        <w:tc>
          <w:tcPr>
            <w:tcW w:w="1550" w:type="dxa"/>
            <w:tcBorders>
              <w:top w:val="nil"/>
              <w:left w:val="nil"/>
              <w:bottom w:val="nil"/>
              <w:right w:val="nil"/>
            </w:tcBorders>
            <w:vAlign w:val="bottom"/>
            <w:hideMark/>
          </w:tcPr>
          <w:p w14:paraId="680ABA19" w14:textId="77777777" w:rsidR="00607B78" w:rsidRPr="009C2953" w:rsidRDefault="00607B78" w:rsidP="00A068F8">
            <w:pPr>
              <w:pStyle w:val="Normal-pool-Table"/>
              <w:spacing w:after="30"/>
              <w:jc w:val="right"/>
            </w:pPr>
            <w:r w:rsidRPr="009C2953">
              <w:t>0</w:t>
            </w:r>
          </w:p>
        </w:tc>
        <w:tc>
          <w:tcPr>
            <w:tcW w:w="1416" w:type="dxa"/>
            <w:tcBorders>
              <w:top w:val="nil"/>
              <w:left w:val="nil"/>
              <w:bottom w:val="nil"/>
              <w:right w:val="nil"/>
            </w:tcBorders>
            <w:vAlign w:val="bottom"/>
            <w:hideMark/>
          </w:tcPr>
          <w:p w14:paraId="7E923F99" w14:textId="77777777" w:rsidR="00607B78" w:rsidRPr="009C2953" w:rsidRDefault="00607B78" w:rsidP="00A068F8">
            <w:pPr>
              <w:pStyle w:val="Normal-pool-Table"/>
              <w:spacing w:after="30"/>
              <w:jc w:val="right"/>
            </w:pPr>
            <w:r w:rsidRPr="009C2953">
              <w:t>145 000</w:t>
            </w:r>
          </w:p>
        </w:tc>
        <w:tc>
          <w:tcPr>
            <w:tcW w:w="1286" w:type="dxa"/>
            <w:tcBorders>
              <w:top w:val="nil"/>
              <w:left w:val="nil"/>
              <w:bottom w:val="nil"/>
              <w:right w:val="nil"/>
            </w:tcBorders>
            <w:vAlign w:val="bottom"/>
            <w:hideMark/>
          </w:tcPr>
          <w:p w14:paraId="4B9ECDB6" w14:textId="77777777" w:rsidR="00607B78" w:rsidRPr="009C2953" w:rsidRDefault="00607B78" w:rsidP="00A068F8">
            <w:pPr>
              <w:pStyle w:val="Normal-pool-Table"/>
              <w:spacing w:after="30"/>
              <w:jc w:val="right"/>
            </w:pPr>
            <w:r w:rsidRPr="009C2953">
              <w:t>145 000</w:t>
            </w:r>
          </w:p>
        </w:tc>
      </w:tr>
      <w:tr w:rsidR="00607B78" w:rsidRPr="009C2953" w14:paraId="0525E540" w14:textId="77777777" w:rsidTr="00A068F8">
        <w:trPr>
          <w:trHeight w:val="57"/>
          <w:jc w:val="right"/>
        </w:trPr>
        <w:tc>
          <w:tcPr>
            <w:tcW w:w="5245" w:type="dxa"/>
            <w:tcBorders>
              <w:top w:val="nil"/>
              <w:left w:val="nil"/>
              <w:bottom w:val="single" w:sz="4" w:space="0" w:color="auto"/>
              <w:right w:val="nil"/>
            </w:tcBorders>
            <w:vAlign w:val="bottom"/>
            <w:hideMark/>
          </w:tcPr>
          <w:p w14:paraId="7F60A9E9" w14:textId="77777777" w:rsidR="00607B78" w:rsidRPr="009C2953" w:rsidRDefault="00607B78" w:rsidP="00C07E37">
            <w:pPr>
              <w:pStyle w:val="Normal-pool-Table"/>
              <w:spacing w:after="30"/>
              <w:rPr>
                <w:szCs w:val="18"/>
              </w:rPr>
            </w:pPr>
            <w:r w:rsidRPr="009C2953">
              <w:rPr>
                <w:szCs w:val="18"/>
              </w:rPr>
              <w:t>Produit 1 f) : première évaluation accélérée (évaluation accélérée 1)</w:t>
            </w:r>
          </w:p>
        </w:tc>
        <w:tc>
          <w:tcPr>
            <w:tcW w:w="1550" w:type="dxa"/>
            <w:tcBorders>
              <w:top w:val="nil"/>
              <w:left w:val="nil"/>
              <w:bottom w:val="single" w:sz="4" w:space="0" w:color="auto"/>
              <w:right w:val="nil"/>
            </w:tcBorders>
            <w:vAlign w:val="bottom"/>
            <w:hideMark/>
          </w:tcPr>
          <w:p w14:paraId="3A6352FF" w14:textId="77777777" w:rsidR="00607B78" w:rsidRPr="009C2953" w:rsidRDefault="00607B78" w:rsidP="00A068F8">
            <w:pPr>
              <w:pStyle w:val="Normal-pool-Table"/>
              <w:spacing w:after="30"/>
              <w:jc w:val="right"/>
            </w:pPr>
            <w:r w:rsidRPr="009C2953">
              <w:t>0</w:t>
            </w:r>
          </w:p>
        </w:tc>
        <w:tc>
          <w:tcPr>
            <w:tcW w:w="1416" w:type="dxa"/>
            <w:tcBorders>
              <w:top w:val="nil"/>
              <w:left w:val="nil"/>
              <w:bottom w:val="single" w:sz="4" w:space="0" w:color="auto"/>
              <w:right w:val="nil"/>
            </w:tcBorders>
            <w:vAlign w:val="bottom"/>
            <w:hideMark/>
          </w:tcPr>
          <w:p w14:paraId="0F73C427" w14:textId="77777777" w:rsidR="00607B78" w:rsidRPr="009C2953" w:rsidRDefault="00607B78" w:rsidP="00A068F8">
            <w:pPr>
              <w:pStyle w:val="Normal-pool-Table"/>
              <w:spacing w:after="30"/>
              <w:jc w:val="right"/>
            </w:pPr>
            <w:r w:rsidRPr="009C2953">
              <w:t>352 500</w:t>
            </w:r>
          </w:p>
        </w:tc>
        <w:tc>
          <w:tcPr>
            <w:tcW w:w="1286" w:type="dxa"/>
            <w:tcBorders>
              <w:top w:val="nil"/>
              <w:left w:val="nil"/>
              <w:bottom w:val="single" w:sz="4" w:space="0" w:color="auto"/>
              <w:right w:val="nil"/>
            </w:tcBorders>
            <w:vAlign w:val="bottom"/>
            <w:hideMark/>
          </w:tcPr>
          <w:p w14:paraId="6738B287" w14:textId="77777777" w:rsidR="00607B78" w:rsidRPr="009C2953" w:rsidRDefault="00607B78" w:rsidP="00A068F8">
            <w:pPr>
              <w:pStyle w:val="Normal-pool-Table"/>
              <w:spacing w:after="30"/>
              <w:jc w:val="right"/>
            </w:pPr>
            <w:r w:rsidRPr="009C2953">
              <w:t>352 500</w:t>
            </w:r>
          </w:p>
        </w:tc>
      </w:tr>
      <w:tr w:rsidR="00607B78" w:rsidRPr="009C2953" w14:paraId="459D7467" w14:textId="77777777" w:rsidTr="00A068F8">
        <w:trPr>
          <w:trHeight w:val="57"/>
          <w:jc w:val="right"/>
        </w:trPr>
        <w:tc>
          <w:tcPr>
            <w:tcW w:w="5245" w:type="dxa"/>
            <w:tcBorders>
              <w:top w:val="single" w:sz="4" w:space="0" w:color="auto"/>
              <w:left w:val="nil"/>
              <w:bottom w:val="single" w:sz="4" w:space="0" w:color="auto"/>
              <w:right w:val="nil"/>
            </w:tcBorders>
            <w:vAlign w:val="bottom"/>
            <w:hideMark/>
          </w:tcPr>
          <w:p w14:paraId="19D87390" w14:textId="0E72772F" w:rsidR="00607B78" w:rsidRPr="009C2953" w:rsidRDefault="00607B78" w:rsidP="00A068F8">
            <w:pPr>
              <w:pStyle w:val="Normal-pool-Table"/>
              <w:spacing w:after="30"/>
              <w:rPr>
                <w:b/>
              </w:rPr>
            </w:pPr>
            <w:r w:rsidRPr="009C2953">
              <w:rPr>
                <w:b/>
              </w:rPr>
              <w:t>Objectif 2 : renforcement</w:t>
            </w:r>
            <w:r w:rsidR="00D24DC1" w:rsidRPr="009C2953">
              <w:rPr>
                <w:b/>
              </w:rPr>
              <w:t xml:space="preserve"> des </w:t>
            </w:r>
            <w:r w:rsidRPr="009C2953">
              <w:rPr>
                <w:b/>
              </w:rPr>
              <w:t>capacités</w:t>
            </w:r>
          </w:p>
        </w:tc>
        <w:tc>
          <w:tcPr>
            <w:tcW w:w="1550" w:type="dxa"/>
            <w:tcBorders>
              <w:top w:val="single" w:sz="4" w:space="0" w:color="auto"/>
              <w:left w:val="nil"/>
              <w:bottom w:val="single" w:sz="4" w:space="0" w:color="auto"/>
              <w:right w:val="nil"/>
            </w:tcBorders>
            <w:vAlign w:val="bottom"/>
            <w:hideMark/>
          </w:tcPr>
          <w:p w14:paraId="1FD60E57" w14:textId="77777777" w:rsidR="00607B78" w:rsidRPr="009C2953" w:rsidRDefault="00607B78" w:rsidP="00A068F8">
            <w:pPr>
              <w:pStyle w:val="Normal-pool-Table"/>
              <w:spacing w:after="30"/>
              <w:jc w:val="right"/>
              <w:rPr>
                <w:b/>
              </w:rPr>
            </w:pPr>
            <w:r w:rsidRPr="009C2953">
              <w:rPr>
                <w:b/>
              </w:rPr>
              <w:t>503 000</w:t>
            </w:r>
          </w:p>
        </w:tc>
        <w:tc>
          <w:tcPr>
            <w:tcW w:w="1416" w:type="dxa"/>
            <w:tcBorders>
              <w:top w:val="single" w:sz="4" w:space="0" w:color="auto"/>
              <w:left w:val="nil"/>
              <w:bottom w:val="single" w:sz="4" w:space="0" w:color="auto"/>
              <w:right w:val="nil"/>
            </w:tcBorders>
            <w:vAlign w:val="bottom"/>
            <w:hideMark/>
          </w:tcPr>
          <w:p w14:paraId="71F0EDD4" w14:textId="77777777" w:rsidR="00607B78" w:rsidRPr="009C2953" w:rsidRDefault="00607B78" w:rsidP="00A068F8">
            <w:pPr>
              <w:pStyle w:val="Normal-pool-Table"/>
              <w:spacing w:after="30"/>
              <w:jc w:val="right"/>
              <w:rPr>
                <w:b/>
              </w:rPr>
            </w:pPr>
            <w:r w:rsidRPr="009C2953">
              <w:rPr>
                <w:b/>
              </w:rPr>
              <w:t>554 250</w:t>
            </w:r>
          </w:p>
        </w:tc>
        <w:tc>
          <w:tcPr>
            <w:tcW w:w="1286" w:type="dxa"/>
            <w:tcBorders>
              <w:top w:val="single" w:sz="4" w:space="0" w:color="auto"/>
              <w:left w:val="nil"/>
              <w:bottom w:val="single" w:sz="4" w:space="0" w:color="auto"/>
              <w:right w:val="nil"/>
            </w:tcBorders>
            <w:vAlign w:val="bottom"/>
            <w:hideMark/>
          </w:tcPr>
          <w:p w14:paraId="42E0D022" w14:textId="77777777" w:rsidR="00607B78" w:rsidRPr="009C2953" w:rsidRDefault="00607B78" w:rsidP="00A068F8">
            <w:pPr>
              <w:pStyle w:val="Normal-pool-Table"/>
              <w:spacing w:after="30"/>
              <w:jc w:val="right"/>
              <w:rPr>
                <w:b/>
              </w:rPr>
            </w:pPr>
            <w:r w:rsidRPr="009C2953">
              <w:rPr>
                <w:b/>
              </w:rPr>
              <w:t>51 250</w:t>
            </w:r>
          </w:p>
        </w:tc>
      </w:tr>
      <w:tr w:rsidR="00607B78" w:rsidRPr="009C2953" w14:paraId="609761A8" w14:textId="77777777" w:rsidTr="00A068F8">
        <w:trPr>
          <w:trHeight w:val="57"/>
          <w:jc w:val="right"/>
        </w:trPr>
        <w:tc>
          <w:tcPr>
            <w:tcW w:w="5245" w:type="dxa"/>
            <w:tcBorders>
              <w:top w:val="single" w:sz="4" w:space="0" w:color="auto"/>
              <w:left w:val="nil"/>
              <w:bottom w:val="single" w:sz="4" w:space="0" w:color="auto"/>
              <w:right w:val="nil"/>
            </w:tcBorders>
            <w:vAlign w:val="bottom"/>
            <w:hideMark/>
          </w:tcPr>
          <w:p w14:paraId="44877B45" w14:textId="7D93544D" w:rsidR="00607B78" w:rsidRPr="009C2953" w:rsidRDefault="00607B78" w:rsidP="00A068F8">
            <w:pPr>
              <w:pStyle w:val="Normal-pool-Table"/>
              <w:spacing w:after="30"/>
            </w:pPr>
            <w:r w:rsidRPr="009C2953">
              <w:t>Objectif 2 a) : apprentissage et engagement améliorés ; objectif 2 b) : accès facilité</w:t>
            </w:r>
            <w:r w:rsidR="00F34644" w:rsidRPr="009C2953">
              <w:t xml:space="preserve"> aux </w:t>
            </w:r>
            <w:r w:rsidRPr="009C2953">
              <w:t>compétences d</w:t>
            </w:r>
            <w:r w:rsidR="00EA2966" w:rsidRPr="009C2953">
              <w:t>’</w:t>
            </w:r>
            <w:r w:rsidRPr="009C2953">
              <w:t>experts et à l</w:t>
            </w:r>
            <w:r w:rsidR="00EA2966" w:rsidRPr="009C2953">
              <w:t>’</w:t>
            </w:r>
            <w:r w:rsidRPr="009C2953">
              <w:t xml:space="preserve">information ; objectif 2 c) : capacités nationales et régionales renforcées </w:t>
            </w:r>
          </w:p>
        </w:tc>
        <w:tc>
          <w:tcPr>
            <w:tcW w:w="1550" w:type="dxa"/>
            <w:tcBorders>
              <w:top w:val="single" w:sz="4" w:space="0" w:color="auto"/>
              <w:left w:val="nil"/>
              <w:bottom w:val="single" w:sz="4" w:space="0" w:color="auto"/>
              <w:right w:val="nil"/>
            </w:tcBorders>
            <w:vAlign w:val="bottom"/>
            <w:hideMark/>
          </w:tcPr>
          <w:p w14:paraId="1C90D678" w14:textId="77777777" w:rsidR="00607B78" w:rsidRPr="009C2953" w:rsidRDefault="00607B78" w:rsidP="00A068F8">
            <w:pPr>
              <w:pStyle w:val="Normal-pool-Table"/>
              <w:spacing w:after="30"/>
              <w:jc w:val="right"/>
            </w:pPr>
            <w:r w:rsidRPr="009C2953">
              <w:t>503 000</w:t>
            </w:r>
          </w:p>
        </w:tc>
        <w:tc>
          <w:tcPr>
            <w:tcW w:w="1416" w:type="dxa"/>
            <w:tcBorders>
              <w:top w:val="single" w:sz="4" w:space="0" w:color="auto"/>
              <w:left w:val="nil"/>
              <w:bottom w:val="single" w:sz="4" w:space="0" w:color="auto"/>
              <w:right w:val="nil"/>
            </w:tcBorders>
            <w:vAlign w:val="bottom"/>
            <w:hideMark/>
          </w:tcPr>
          <w:p w14:paraId="7B80693F" w14:textId="77777777" w:rsidR="00607B78" w:rsidRPr="009C2953" w:rsidRDefault="00607B78" w:rsidP="00A068F8">
            <w:pPr>
              <w:pStyle w:val="Normal-pool-Table"/>
              <w:spacing w:after="30"/>
              <w:jc w:val="right"/>
            </w:pPr>
            <w:r w:rsidRPr="009C2953">
              <w:t>554 250</w:t>
            </w:r>
          </w:p>
        </w:tc>
        <w:tc>
          <w:tcPr>
            <w:tcW w:w="1286" w:type="dxa"/>
            <w:tcBorders>
              <w:top w:val="single" w:sz="4" w:space="0" w:color="auto"/>
              <w:left w:val="nil"/>
              <w:bottom w:val="single" w:sz="4" w:space="0" w:color="auto"/>
              <w:right w:val="nil"/>
            </w:tcBorders>
            <w:vAlign w:val="bottom"/>
            <w:hideMark/>
          </w:tcPr>
          <w:p w14:paraId="085283CF" w14:textId="77777777" w:rsidR="00607B78" w:rsidRPr="009C2953" w:rsidRDefault="00607B78" w:rsidP="00A068F8">
            <w:pPr>
              <w:pStyle w:val="Normal-pool-Table"/>
              <w:spacing w:after="30"/>
              <w:jc w:val="right"/>
            </w:pPr>
            <w:r w:rsidRPr="009C2953">
              <w:t>51 250</w:t>
            </w:r>
          </w:p>
        </w:tc>
      </w:tr>
      <w:tr w:rsidR="00607B78" w:rsidRPr="009C2953" w14:paraId="5C687DB6" w14:textId="77777777" w:rsidTr="00A068F8">
        <w:trPr>
          <w:trHeight w:val="57"/>
          <w:jc w:val="right"/>
        </w:trPr>
        <w:tc>
          <w:tcPr>
            <w:tcW w:w="5245" w:type="dxa"/>
            <w:tcBorders>
              <w:top w:val="single" w:sz="4" w:space="0" w:color="auto"/>
              <w:left w:val="nil"/>
              <w:bottom w:val="single" w:sz="4" w:space="0" w:color="auto"/>
              <w:right w:val="nil"/>
            </w:tcBorders>
            <w:vAlign w:val="bottom"/>
            <w:hideMark/>
          </w:tcPr>
          <w:p w14:paraId="2A8A527C" w14:textId="1BECEA44" w:rsidR="00607B78" w:rsidRPr="009C2953" w:rsidRDefault="00607B78" w:rsidP="00A068F8">
            <w:pPr>
              <w:pStyle w:val="Normal-pool-Table"/>
              <w:spacing w:after="30"/>
              <w:rPr>
                <w:b/>
              </w:rPr>
            </w:pPr>
            <w:r w:rsidRPr="009C2953">
              <w:rPr>
                <w:b/>
              </w:rPr>
              <w:t>Objectif 3 : consolidation de</w:t>
            </w:r>
            <w:r w:rsidR="00F34644" w:rsidRPr="009C2953">
              <w:rPr>
                <w:b/>
              </w:rPr>
              <w:t xml:space="preserve"> la </w:t>
            </w:r>
            <w:r w:rsidRPr="009C2953">
              <w:rPr>
                <w:b/>
              </w:rPr>
              <w:t>base de connaissances</w:t>
            </w:r>
          </w:p>
        </w:tc>
        <w:tc>
          <w:tcPr>
            <w:tcW w:w="1550" w:type="dxa"/>
            <w:tcBorders>
              <w:top w:val="single" w:sz="4" w:space="0" w:color="auto"/>
              <w:left w:val="nil"/>
              <w:bottom w:val="single" w:sz="4" w:space="0" w:color="auto"/>
              <w:right w:val="nil"/>
            </w:tcBorders>
            <w:vAlign w:val="bottom"/>
            <w:hideMark/>
          </w:tcPr>
          <w:p w14:paraId="178B1A78" w14:textId="77777777" w:rsidR="00607B78" w:rsidRPr="009C2953" w:rsidRDefault="00607B78" w:rsidP="00A068F8">
            <w:pPr>
              <w:pStyle w:val="Normal-pool-Table"/>
              <w:spacing w:after="30"/>
              <w:jc w:val="right"/>
              <w:rPr>
                <w:b/>
              </w:rPr>
            </w:pPr>
            <w:r w:rsidRPr="009C2953">
              <w:rPr>
                <w:b/>
              </w:rPr>
              <w:t>558 000</w:t>
            </w:r>
          </w:p>
        </w:tc>
        <w:tc>
          <w:tcPr>
            <w:tcW w:w="1416" w:type="dxa"/>
            <w:tcBorders>
              <w:top w:val="single" w:sz="4" w:space="0" w:color="auto"/>
              <w:left w:val="nil"/>
              <w:bottom w:val="single" w:sz="4" w:space="0" w:color="auto"/>
              <w:right w:val="nil"/>
            </w:tcBorders>
            <w:vAlign w:val="bottom"/>
            <w:hideMark/>
          </w:tcPr>
          <w:p w14:paraId="4E8322A4" w14:textId="77777777" w:rsidR="00607B78" w:rsidRPr="009C2953" w:rsidRDefault="00607B78" w:rsidP="00A068F8">
            <w:pPr>
              <w:pStyle w:val="Normal-pool-Table"/>
              <w:spacing w:after="30"/>
              <w:jc w:val="right"/>
              <w:rPr>
                <w:b/>
              </w:rPr>
            </w:pPr>
            <w:r w:rsidRPr="009C2953">
              <w:rPr>
                <w:b/>
              </w:rPr>
              <w:t>748 000</w:t>
            </w:r>
          </w:p>
        </w:tc>
        <w:tc>
          <w:tcPr>
            <w:tcW w:w="1286" w:type="dxa"/>
            <w:tcBorders>
              <w:top w:val="single" w:sz="4" w:space="0" w:color="auto"/>
              <w:left w:val="nil"/>
              <w:bottom w:val="single" w:sz="4" w:space="0" w:color="auto"/>
              <w:right w:val="nil"/>
            </w:tcBorders>
            <w:vAlign w:val="bottom"/>
            <w:hideMark/>
          </w:tcPr>
          <w:p w14:paraId="17D4DE7F" w14:textId="77777777" w:rsidR="00607B78" w:rsidRPr="009C2953" w:rsidRDefault="00607B78" w:rsidP="00A068F8">
            <w:pPr>
              <w:pStyle w:val="Normal-pool-Table"/>
              <w:spacing w:after="30"/>
              <w:jc w:val="right"/>
              <w:rPr>
                <w:b/>
              </w:rPr>
            </w:pPr>
            <w:r w:rsidRPr="009C2953">
              <w:rPr>
                <w:b/>
              </w:rPr>
              <w:t>190 000</w:t>
            </w:r>
          </w:p>
        </w:tc>
      </w:tr>
      <w:tr w:rsidR="00607B78" w:rsidRPr="009C2953" w14:paraId="552FA144" w14:textId="77777777" w:rsidTr="00A068F8">
        <w:trPr>
          <w:trHeight w:val="57"/>
          <w:jc w:val="right"/>
        </w:trPr>
        <w:tc>
          <w:tcPr>
            <w:tcW w:w="5245" w:type="dxa"/>
            <w:tcBorders>
              <w:top w:val="single" w:sz="4" w:space="0" w:color="auto"/>
              <w:left w:val="nil"/>
              <w:bottom w:val="nil"/>
              <w:right w:val="nil"/>
            </w:tcBorders>
            <w:vAlign w:val="bottom"/>
            <w:hideMark/>
          </w:tcPr>
          <w:p w14:paraId="2FAB8536" w14:textId="3EF1F517" w:rsidR="00607B78" w:rsidRPr="009C2953" w:rsidRDefault="00607B78" w:rsidP="00A068F8">
            <w:pPr>
              <w:pStyle w:val="Normal-pool-Table"/>
              <w:spacing w:after="30"/>
            </w:pPr>
            <w:r w:rsidRPr="009C2953">
              <w:t>Objectif 3 a) : travaux avancés sur</w:t>
            </w:r>
            <w:r w:rsidR="00F34644" w:rsidRPr="009C2953">
              <w:t xml:space="preserve"> les </w:t>
            </w:r>
            <w:r w:rsidRPr="009C2953">
              <w:t>connaissances et</w:t>
            </w:r>
            <w:r w:rsidR="00F34644" w:rsidRPr="009C2953">
              <w:t xml:space="preserve"> les </w:t>
            </w:r>
            <w:r w:rsidRPr="009C2953">
              <w:t>données</w:t>
            </w:r>
          </w:p>
        </w:tc>
        <w:tc>
          <w:tcPr>
            <w:tcW w:w="1550" w:type="dxa"/>
            <w:tcBorders>
              <w:top w:val="single" w:sz="4" w:space="0" w:color="auto"/>
              <w:left w:val="nil"/>
              <w:bottom w:val="nil"/>
              <w:right w:val="nil"/>
            </w:tcBorders>
            <w:vAlign w:val="bottom"/>
            <w:hideMark/>
          </w:tcPr>
          <w:p w14:paraId="62223724" w14:textId="77777777" w:rsidR="00607B78" w:rsidRPr="009C2953" w:rsidRDefault="00607B78" w:rsidP="00A068F8">
            <w:pPr>
              <w:pStyle w:val="Normal-pool-Table"/>
              <w:spacing w:after="30"/>
              <w:jc w:val="right"/>
            </w:pPr>
            <w:r w:rsidRPr="009C2953">
              <w:t>303 000</w:t>
            </w:r>
          </w:p>
        </w:tc>
        <w:tc>
          <w:tcPr>
            <w:tcW w:w="1416" w:type="dxa"/>
            <w:tcBorders>
              <w:top w:val="single" w:sz="4" w:space="0" w:color="auto"/>
              <w:left w:val="nil"/>
              <w:bottom w:val="nil"/>
              <w:right w:val="nil"/>
            </w:tcBorders>
            <w:vAlign w:val="bottom"/>
            <w:hideMark/>
          </w:tcPr>
          <w:p w14:paraId="55AA47B4" w14:textId="77777777" w:rsidR="00607B78" w:rsidRPr="009C2953" w:rsidRDefault="00607B78" w:rsidP="00A068F8">
            <w:pPr>
              <w:pStyle w:val="Normal-pool-Table"/>
              <w:spacing w:after="30"/>
              <w:jc w:val="right"/>
            </w:pPr>
            <w:r w:rsidRPr="009C2953">
              <w:t>356 000</w:t>
            </w:r>
          </w:p>
        </w:tc>
        <w:tc>
          <w:tcPr>
            <w:tcW w:w="1286" w:type="dxa"/>
            <w:tcBorders>
              <w:top w:val="single" w:sz="4" w:space="0" w:color="auto"/>
              <w:left w:val="nil"/>
              <w:bottom w:val="nil"/>
              <w:right w:val="nil"/>
            </w:tcBorders>
            <w:vAlign w:val="bottom"/>
            <w:hideMark/>
          </w:tcPr>
          <w:p w14:paraId="008DA640" w14:textId="77777777" w:rsidR="00607B78" w:rsidRPr="009C2953" w:rsidRDefault="00607B78" w:rsidP="00A068F8">
            <w:pPr>
              <w:pStyle w:val="Normal-pool-Table"/>
              <w:spacing w:after="30"/>
              <w:jc w:val="right"/>
            </w:pPr>
            <w:r w:rsidRPr="009C2953">
              <w:t>53 000</w:t>
            </w:r>
          </w:p>
        </w:tc>
      </w:tr>
      <w:tr w:rsidR="00607B78" w:rsidRPr="009C2953" w14:paraId="6D26AB8E" w14:textId="77777777" w:rsidTr="00A068F8">
        <w:trPr>
          <w:trHeight w:val="57"/>
          <w:jc w:val="right"/>
        </w:trPr>
        <w:tc>
          <w:tcPr>
            <w:tcW w:w="5245" w:type="dxa"/>
            <w:tcBorders>
              <w:top w:val="nil"/>
              <w:left w:val="nil"/>
              <w:bottom w:val="single" w:sz="4" w:space="0" w:color="auto"/>
              <w:right w:val="nil"/>
            </w:tcBorders>
            <w:vAlign w:val="bottom"/>
            <w:hideMark/>
          </w:tcPr>
          <w:p w14:paraId="1F4A9A81" w14:textId="0133F3CC" w:rsidR="00607B78" w:rsidRPr="009C2953" w:rsidRDefault="00607B78" w:rsidP="00A068F8">
            <w:pPr>
              <w:pStyle w:val="Normal-pool-Table"/>
              <w:spacing w:after="30"/>
            </w:pPr>
            <w:r w:rsidRPr="009C2953">
              <w:t>Objectif 3 b) : reconnaissance et utilisation améliorées</w:t>
            </w:r>
            <w:r w:rsidR="00D24DC1" w:rsidRPr="009C2953">
              <w:t xml:space="preserve"> des </w:t>
            </w:r>
            <w:r w:rsidRPr="009C2953">
              <w:t>systèmes de savoirs autochtones et locaux</w:t>
            </w:r>
          </w:p>
        </w:tc>
        <w:tc>
          <w:tcPr>
            <w:tcW w:w="1550" w:type="dxa"/>
            <w:tcBorders>
              <w:top w:val="nil"/>
              <w:left w:val="nil"/>
              <w:bottom w:val="single" w:sz="4" w:space="0" w:color="auto"/>
              <w:right w:val="nil"/>
            </w:tcBorders>
            <w:vAlign w:val="bottom"/>
            <w:hideMark/>
          </w:tcPr>
          <w:p w14:paraId="0C15FBEA" w14:textId="77777777" w:rsidR="00607B78" w:rsidRPr="009C2953" w:rsidRDefault="00607B78" w:rsidP="00A068F8">
            <w:pPr>
              <w:pStyle w:val="Normal-pool-Table"/>
              <w:spacing w:after="30"/>
              <w:jc w:val="right"/>
            </w:pPr>
            <w:r w:rsidRPr="009C2953">
              <w:t>255 000</w:t>
            </w:r>
          </w:p>
        </w:tc>
        <w:tc>
          <w:tcPr>
            <w:tcW w:w="1416" w:type="dxa"/>
            <w:tcBorders>
              <w:top w:val="nil"/>
              <w:left w:val="nil"/>
              <w:bottom w:val="single" w:sz="4" w:space="0" w:color="auto"/>
              <w:right w:val="nil"/>
            </w:tcBorders>
            <w:vAlign w:val="bottom"/>
            <w:hideMark/>
          </w:tcPr>
          <w:p w14:paraId="426E0A90" w14:textId="77777777" w:rsidR="00607B78" w:rsidRPr="009C2953" w:rsidRDefault="00607B78" w:rsidP="00A068F8">
            <w:pPr>
              <w:pStyle w:val="Normal-pool-Table"/>
              <w:spacing w:after="30"/>
              <w:jc w:val="right"/>
            </w:pPr>
            <w:r w:rsidRPr="009C2953">
              <w:t>392 000</w:t>
            </w:r>
          </w:p>
        </w:tc>
        <w:tc>
          <w:tcPr>
            <w:tcW w:w="1286" w:type="dxa"/>
            <w:tcBorders>
              <w:top w:val="nil"/>
              <w:left w:val="nil"/>
              <w:bottom w:val="single" w:sz="4" w:space="0" w:color="auto"/>
              <w:right w:val="nil"/>
            </w:tcBorders>
            <w:vAlign w:val="bottom"/>
            <w:hideMark/>
          </w:tcPr>
          <w:p w14:paraId="129805E4" w14:textId="77777777" w:rsidR="00607B78" w:rsidRPr="009C2953" w:rsidRDefault="00607B78" w:rsidP="00A068F8">
            <w:pPr>
              <w:pStyle w:val="Normal-pool-Table"/>
              <w:spacing w:after="30"/>
              <w:jc w:val="right"/>
            </w:pPr>
            <w:r w:rsidRPr="009C2953">
              <w:t>137 000</w:t>
            </w:r>
          </w:p>
        </w:tc>
      </w:tr>
      <w:tr w:rsidR="00607B78" w:rsidRPr="009C2953" w14:paraId="123AE0CA" w14:textId="77777777" w:rsidTr="00A068F8">
        <w:trPr>
          <w:trHeight w:val="57"/>
          <w:jc w:val="right"/>
        </w:trPr>
        <w:tc>
          <w:tcPr>
            <w:tcW w:w="5245" w:type="dxa"/>
            <w:tcBorders>
              <w:top w:val="single" w:sz="4" w:space="0" w:color="auto"/>
              <w:left w:val="nil"/>
              <w:bottom w:val="single" w:sz="4" w:space="0" w:color="auto"/>
              <w:right w:val="nil"/>
            </w:tcBorders>
            <w:vAlign w:val="bottom"/>
          </w:tcPr>
          <w:p w14:paraId="7F905B78" w14:textId="1F89D8ED" w:rsidR="00607B78" w:rsidRPr="009C2953" w:rsidRDefault="00607B78" w:rsidP="007205CA">
            <w:pPr>
              <w:pStyle w:val="Normal-pool-Table"/>
              <w:keepNext/>
              <w:keepLines/>
              <w:spacing w:after="30"/>
              <w:rPr>
                <w:b/>
              </w:rPr>
            </w:pPr>
            <w:r w:rsidRPr="009C2953">
              <w:rPr>
                <w:b/>
              </w:rPr>
              <w:lastRenderedPageBreak/>
              <w:t>Objectif 4 : appui à l</w:t>
            </w:r>
            <w:r w:rsidR="00EA2966" w:rsidRPr="009C2953">
              <w:rPr>
                <w:b/>
              </w:rPr>
              <w:t>’</w:t>
            </w:r>
            <w:r w:rsidRPr="009C2953">
              <w:rPr>
                <w:b/>
              </w:rPr>
              <w:t>élaboration</w:t>
            </w:r>
            <w:r w:rsidR="00D24DC1" w:rsidRPr="009C2953">
              <w:rPr>
                <w:b/>
              </w:rPr>
              <w:t xml:space="preserve"> des </w:t>
            </w:r>
            <w:r w:rsidRPr="009C2953">
              <w:rPr>
                <w:b/>
              </w:rPr>
              <w:t>politiques</w:t>
            </w:r>
          </w:p>
        </w:tc>
        <w:tc>
          <w:tcPr>
            <w:tcW w:w="1550" w:type="dxa"/>
            <w:tcBorders>
              <w:top w:val="single" w:sz="4" w:space="0" w:color="auto"/>
              <w:left w:val="nil"/>
              <w:bottom w:val="single" w:sz="4" w:space="0" w:color="auto"/>
              <w:right w:val="nil"/>
            </w:tcBorders>
            <w:vAlign w:val="bottom"/>
          </w:tcPr>
          <w:p w14:paraId="60121895" w14:textId="77777777" w:rsidR="00607B78" w:rsidRPr="009C2953" w:rsidRDefault="00607B78" w:rsidP="007205CA">
            <w:pPr>
              <w:pStyle w:val="Normal-pool-Table"/>
              <w:keepNext/>
              <w:keepLines/>
              <w:spacing w:after="30"/>
              <w:jc w:val="right"/>
              <w:rPr>
                <w:b/>
              </w:rPr>
            </w:pPr>
            <w:r w:rsidRPr="009C2953">
              <w:rPr>
                <w:b/>
              </w:rPr>
              <w:t>750 000</w:t>
            </w:r>
          </w:p>
        </w:tc>
        <w:tc>
          <w:tcPr>
            <w:tcW w:w="1416" w:type="dxa"/>
            <w:tcBorders>
              <w:top w:val="single" w:sz="4" w:space="0" w:color="auto"/>
              <w:left w:val="nil"/>
              <w:bottom w:val="single" w:sz="4" w:space="0" w:color="auto"/>
              <w:right w:val="nil"/>
            </w:tcBorders>
            <w:vAlign w:val="bottom"/>
          </w:tcPr>
          <w:p w14:paraId="3145EE10" w14:textId="77777777" w:rsidR="00607B78" w:rsidRPr="009C2953" w:rsidRDefault="00607B78" w:rsidP="007205CA">
            <w:pPr>
              <w:pStyle w:val="Normal-pool-Table"/>
              <w:keepNext/>
              <w:keepLines/>
              <w:spacing w:after="30"/>
              <w:jc w:val="right"/>
              <w:rPr>
                <w:b/>
              </w:rPr>
            </w:pPr>
            <w:r w:rsidRPr="009C2953">
              <w:rPr>
                <w:b/>
              </w:rPr>
              <w:t>437 000</w:t>
            </w:r>
          </w:p>
        </w:tc>
        <w:tc>
          <w:tcPr>
            <w:tcW w:w="1286" w:type="dxa"/>
            <w:tcBorders>
              <w:top w:val="single" w:sz="4" w:space="0" w:color="auto"/>
              <w:left w:val="nil"/>
              <w:bottom w:val="single" w:sz="4" w:space="0" w:color="auto"/>
              <w:right w:val="nil"/>
            </w:tcBorders>
            <w:vAlign w:val="bottom"/>
          </w:tcPr>
          <w:p w14:paraId="62CA9ECC" w14:textId="3A2FD822" w:rsidR="00607B78" w:rsidRPr="009C2953" w:rsidRDefault="00607B78" w:rsidP="007205CA">
            <w:pPr>
              <w:pStyle w:val="Normal-pool-Table"/>
              <w:keepNext/>
              <w:keepLines/>
              <w:spacing w:after="30"/>
              <w:jc w:val="right"/>
              <w:rPr>
                <w:b/>
              </w:rPr>
            </w:pPr>
            <w:r w:rsidRPr="009C2953">
              <w:rPr>
                <w:b/>
              </w:rPr>
              <w:t>(313</w:t>
            </w:r>
            <w:r w:rsidR="00CD7E1B" w:rsidRPr="009C2953">
              <w:rPr>
                <w:b/>
              </w:rPr>
              <w:t> </w:t>
            </w:r>
            <w:r w:rsidRPr="009C2953">
              <w:rPr>
                <w:b/>
              </w:rPr>
              <w:t>000)</w:t>
            </w:r>
          </w:p>
        </w:tc>
      </w:tr>
      <w:tr w:rsidR="00607B78" w:rsidRPr="009C2953" w14:paraId="4386F056" w14:textId="77777777" w:rsidTr="00A068F8">
        <w:trPr>
          <w:trHeight w:val="57"/>
          <w:jc w:val="right"/>
        </w:trPr>
        <w:tc>
          <w:tcPr>
            <w:tcW w:w="5245" w:type="dxa"/>
            <w:tcBorders>
              <w:top w:val="single" w:sz="4" w:space="0" w:color="auto"/>
              <w:left w:val="nil"/>
              <w:bottom w:val="nil"/>
              <w:right w:val="nil"/>
            </w:tcBorders>
            <w:vAlign w:val="bottom"/>
            <w:hideMark/>
          </w:tcPr>
          <w:p w14:paraId="77CE4F57" w14:textId="5FE7C8B4" w:rsidR="00607B78" w:rsidRPr="009C2953" w:rsidRDefault="00607B78" w:rsidP="007205CA">
            <w:pPr>
              <w:pStyle w:val="Normal-pool-Table"/>
              <w:keepNext/>
              <w:keepLines/>
              <w:spacing w:after="30"/>
              <w:rPr>
                <w:bCs/>
              </w:rPr>
            </w:pPr>
            <w:r w:rsidRPr="009C2953">
              <w:t>Objectif 4 a) : travaux avancés sur</w:t>
            </w:r>
            <w:r w:rsidR="00F34644" w:rsidRPr="009C2953">
              <w:t xml:space="preserve"> les </w:t>
            </w:r>
            <w:r w:rsidRPr="009C2953">
              <w:t>moyens d</w:t>
            </w:r>
            <w:r w:rsidR="00EA2966" w:rsidRPr="009C2953">
              <w:t>’</w:t>
            </w:r>
            <w:r w:rsidRPr="009C2953">
              <w:t>action,</w:t>
            </w:r>
            <w:r w:rsidR="00F34644" w:rsidRPr="009C2953">
              <w:t xml:space="preserve"> les </w:t>
            </w:r>
            <w:r w:rsidRPr="009C2953">
              <w:t>outils d</w:t>
            </w:r>
            <w:r w:rsidR="00EA2966" w:rsidRPr="009C2953">
              <w:t>’</w:t>
            </w:r>
            <w:r w:rsidRPr="009C2953">
              <w:t>appui à l</w:t>
            </w:r>
            <w:r w:rsidR="00EA2966" w:rsidRPr="009C2953">
              <w:t>’</w:t>
            </w:r>
            <w:r w:rsidRPr="009C2953">
              <w:t>élaboration</w:t>
            </w:r>
            <w:r w:rsidR="00D24DC1" w:rsidRPr="009C2953">
              <w:t xml:space="preserve"> des </w:t>
            </w:r>
            <w:r w:rsidRPr="009C2953">
              <w:t>politiques et</w:t>
            </w:r>
            <w:r w:rsidR="00F34644" w:rsidRPr="009C2953">
              <w:t xml:space="preserve"> les </w:t>
            </w:r>
            <w:r w:rsidRPr="009C2953">
              <w:t>méthodes</w:t>
            </w:r>
          </w:p>
        </w:tc>
        <w:tc>
          <w:tcPr>
            <w:tcW w:w="1550" w:type="dxa"/>
            <w:tcBorders>
              <w:top w:val="single" w:sz="4" w:space="0" w:color="auto"/>
              <w:left w:val="nil"/>
              <w:bottom w:val="nil"/>
              <w:right w:val="nil"/>
            </w:tcBorders>
            <w:vAlign w:val="bottom"/>
            <w:hideMark/>
          </w:tcPr>
          <w:p w14:paraId="40C6B205" w14:textId="77777777" w:rsidR="00607B78" w:rsidRPr="009C2953" w:rsidRDefault="00607B78" w:rsidP="007205CA">
            <w:pPr>
              <w:pStyle w:val="Normal-pool-Table"/>
              <w:keepNext/>
              <w:keepLines/>
              <w:spacing w:after="30"/>
              <w:jc w:val="right"/>
              <w:rPr>
                <w:bCs/>
              </w:rPr>
            </w:pPr>
            <w:r w:rsidRPr="009C2953">
              <w:t>244 000</w:t>
            </w:r>
          </w:p>
        </w:tc>
        <w:tc>
          <w:tcPr>
            <w:tcW w:w="1416" w:type="dxa"/>
            <w:tcBorders>
              <w:top w:val="single" w:sz="4" w:space="0" w:color="auto"/>
              <w:left w:val="nil"/>
              <w:bottom w:val="nil"/>
              <w:right w:val="nil"/>
            </w:tcBorders>
            <w:vAlign w:val="bottom"/>
            <w:hideMark/>
          </w:tcPr>
          <w:p w14:paraId="21A83592" w14:textId="77777777" w:rsidR="00607B78" w:rsidRPr="009C2953" w:rsidRDefault="00607B78" w:rsidP="007205CA">
            <w:pPr>
              <w:pStyle w:val="Normal-pool-Table"/>
              <w:keepNext/>
              <w:keepLines/>
              <w:spacing w:after="30"/>
              <w:jc w:val="right"/>
              <w:rPr>
                <w:bCs/>
              </w:rPr>
            </w:pPr>
            <w:r w:rsidRPr="009C2953">
              <w:t>170 000</w:t>
            </w:r>
          </w:p>
        </w:tc>
        <w:tc>
          <w:tcPr>
            <w:tcW w:w="1286" w:type="dxa"/>
            <w:tcBorders>
              <w:top w:val="single" w:sz="4" w:space="0" w:color="auto"/>
              <w:left w:val="nil"/>
              <w:bottom w:val="nil"/>
              <w:right w:val="nil"/>
            </w:tcBorders>
            <w:vAlign w:val="bottom"/>
            <w:hideMark/>
          </w:tcPr>
          <w:p w14:paraId="4D1BEE04" w14:textId="5A9D0219" w:rsidR="00607B78" w:rsidRPr="009C2953" w:rsidRDefault="00607B78" w:rsidP="007205CA">
            <w:pPr>
              <w:pStyle w:val="Normal-pool-Table"/>
              <w:keepNext/>
              <w:keepLines/>
              <w:spacing w:after="30"/>
              <w:jc w:val="right"/>
              <w:rPr>
                <w:b/>
              </w:rPr>
            </w:pPr>
            <w:r w:rsidRPr="009C2953">
              <w:rPr>
                <w:b/>
              </w:rPr>
              <w:t>(74</w:t>
            </w:r>
            <w:r w:rsidR="00CD7E1B" w:rsidRPr="009C2953">
              <w:rPr>
                <w:b/>
              </w:rPr>
              <w:t> </w:t>
            </w:r>
            <w:r w:rsidRPr="009C2953">
              <w:rPr>
                <w:b/>
              </w:rPr>
              <w:t>000)</w:t>
            </w:r>
          </w:p>
        </w:tc>
      </w:tr>
      <w:tr w:rsidR="00607B78" w:rsidRPr="009C2953" w14:paraId="26215463" w14:textId="77777777" w:rsidTr="00A068F8">
        <w:trPr>
          <w:trHeight w:val="57"/>
          <w:jc w:val="right"/>
        </w:trPr>
        <w:tc>
          <w:tcPr>
            <w:tcW w:w="5245" w:type="dxa"/>
            <w:tcBorders>
              <w:top w:val="nil"/>
              <w:left w:val="nil"/>
              <w:bottom w:val="nil"/>
              <w:right w:val="nil"/>
            </w:tcBorders>
            <w:vAlign w:val="bottom"/>
            <w:hideMark/>
          </w:tcPr>
          <w:p w14:paraId="2ABEE7C3" w14:textId="18DC0993" w:rsidR="00607B78" w:rsidRPr="009C2953" w:rsidRDefault="00607B78" w:rsidP="00A068F8">
            <w:pPr>
              <w:pStyle w:val="Normal-pool-Table"/>
              <w:spacing w:after="30"/>
            </w:pPr>
            <w:r w:rsidRPr="009C2953">
              <w:t>Objectif 4 b) : travaux avancés sur</w:t>
            </w:r>
            <w:r w:rsidR="00F34644" w:rsidRPr="009C2953">
              <w:t xml:space="preserve"> les </w:t>
            </w:r>
            <w:r w:rsidRPr="009C2953">
              <w:t>scénarios et</w:t>
            </w:r>
            <w:r w:rsidR="00F34644" w:rsidRPr="009C2953">
              <w:t xml:space="preserve"> les </w:t>
            </w:r>
            <w:r w:rsidRPr="009C2953">
              <w:t>modèles de</w:t>
            </w:r>
            <w:r w:rsidR="006C5A4F" w:rsidRPr="009C2953">
              <w:t> </w:t>
            </w:r>
            <w:r w:rsidR="00F34644" w:rsidRPr="009C2953">
              <w:t>la </w:t>
            </w:r>
            <w:r w:rsidRPr="009C2953">
              <w:t>biodiversité et</w:t>
            </w:r>
            <w:r w:rsidR="00D24DC1" w:rsidRPr="009C2953">
              <w:t xml:space="preserve"> des </w:t>
            </w:r>
            <w:r w:rsidRPr="009C2953">
              <w:t xml:space="preserve">fonctions et services écosystémiques </w:t>
            </w:r>
          </w:p>
        </w:tc>
        <w:tc>
          <w:tcPr>
            <w:tcW w:w="1550" w:type="dxa"/>
            <w:tcBorders>
              <w:top w:val="nil"/>
              <w:left w:val="nil"/>
              <w:bottom w:val="nil"/>
              <w:right w:val="nil"/>
            </w:tcBorders>
            <w:vAlign w:val="bottom"/>
            <w:hideMark/>
          </w:tcPr>
          <w:p w14:paraId="78CDF97B" w14:textId="77777777" w:rsidR="00607B78" w:rsidRPr="009C2953" w:rsidRDefault="00607B78" w:rsidP="00A068F8">
            <w:pPr>
              <w:pStyle w:val="Normal-pool-Table"/>
              <w:spacing w:after="30"/>
              <w:jc w:val="right"/>
            </w:pPr>
            <w:r w:rsidRPr="009C2953">
              <w:t>271 000</w:t>
            </w:r>
          </w:p>
        </w:tc>
        <w:tc>
          <w:tcPr>
            <w:tcW w:w="1416" w:type="dxa"/>
            <w:tcBorders>
              <w:top w:val="nil"/>
              <w:left w:val="nil"/>
              <w:bottom w:val="nil"/>
              <w:right w:val="nil"/>
            </w:tcBorders>
            <w:vAlign w:val="bottom"/>
            <w:hideMark/>
          </w:tcPr>
          <w:p w14:paraId="10E8D521" w14:textId="77777777" w:rsidR="00607B78" w:rsidRPr="009C2953" w:rsidRDefault="00607B78" w:rsidP="00A068F8">
            <w:pPr>
              <w:pStyle w:val="Normal-pool-Table"/>
              <w:spacing w:after="30"/>
              <w:jc w:val="right"/>
            </w:pPr>
            <w:r w:rsidRPr="009C2953">
              <w:t>267 000</w:t>
            </w:r>
          </w:p>
        </w:tc>
        <w:tc>
          <w:tcPr>
            <w:tcW w:w="1286" w:type="dxa"/>
            <w:tcBorders>
              <w:top w:val="nil"/>
              <w:left w:val="nil"/>
              <w:bottom w:val="nil"/>
              <w:right w:val="nil"/>
            </w:tcBorders>
            <w:vAlign w:val="bottom"/>
            <w:hideMark/>
          </w:tcPr>
          <w:p w14:paraId="4F4506C3" w14:textId="5CB844D2" w:rsidR="00607B78" w:rsidRPr="009C2953" w:rsidRDefault="00607B78" w:rsidP="00A068F8">
            <w:pPr>
              <w:pStyle w:val="Normal-pool-Table"/>
              <w:spacing w:after="30"/>
              <w:jc w:val="right"/>
            </w:pPr>
            <w:r w:rsidRPr="009C2953">
              <w:t>(4</w:t>
            </w:r>
            <w:r w:rsidR="00CD7E1B" w:rsidRPr="009C2953">
              <w:t> </w:t>
            </w:r>
            <w:r w:rsidRPr="009C2953">
              <w:t>000)</w:t>
            </w:r>
          </w:p>
        </w:tc>
      </w:tr>
      <w:tr w:rsidR="00607B78" w:rsidRPr="009C2953" w14:paraId="1AF75A7D" w14:textId="77777777" w:rsidTr="00A068F8">
        <w:trPr>
          <w:trHeight w:val="57"/>
          <w:jc w:val="right"/>
        </w:trPr>
        <w:tc>
          <w:tcPr>
            <w:tcW w:w="5245" w:type="dxa"/>
            <w:tcBorders>
              <w:top w:val="nil"/>
              <w:left w:val="nil"/>
              <w:bottom w:val="single" w:sz="4" w:space="0" w:color="auto"/>
              <w:right w:val="nil"/>
            </w:tcBorders>
            <w:vAlign w:val="bottom"/>
            <w:hideMark/>
          </w:tcPr>
          <w:p w14:paraId="67AF22DE" w14:textId="59510415" w:rsidR="00607B78" w:rsidRPr="009C2953" w:rsidRDefault="00607B78" w:rsidP="00A068F8">
            <w:pPr>
              <w:pStyle w:val="Normal-pool-Table"/>
              <w:spacing w:after="30"/>
            </w:pPr>
            <w:r w:rsidRPr="009C2953">
              <w:t>Objectif 4 c) : travaux avancés sur</w:t>
            </w:r>
            <w:r w:rsidR="00F34644" w:rsidRPr="009C2953">
              <w:t xml:space="preserve"> les </w:t>
            </w:r>
            <w:r w:rsidRPr="009C2953">
              <w:t>valeurs multiples</w:t>
            </w:r>
          </w:p>
        </w:tc>
        <w:tc>
          <w:tcPr>
            <w:tcW w:w="1550" w:type="dxa"/>
            <w:tcBorders>
              <w:top w:val="nil"/>
              <w:left w:val="nil"/>
              <w:bottom w:val="single" w:sz="4" w:space="0" w:color="auto"/>
              <w:right w:val="nil"/>
            </w:tcBorders>
            <w:vAlign w:val="bottom"/>
            <w:hideMark/>
          </w:tcPr>
          <w:p w14:paraId="44D994BC" w14:textId="77777777" w:rsidR="00607B78" w:rsidRPr="009C2953" w:rsidRDefault="00607B78" w:rsidP="00A068F8">
            <w:pPr>
              <w:pStyle w:val="Normal-pool-Table"/>
              <w:spacing w:after="30"/>
              <w:jc w:val="right"/>
            </w:pPr>
            <w:r w:rsidRPr="009C2953">
              <w:t>235 000</w:t>
            </w:r>
          </w:p>
        </w:tc>
        <w:tc>
          <w:tcPr>
            <w:tcW w:w="1416" w:type="dxa"/>
            <w:tcBorders>
              <w:top w:val="nil"/>
              <w:left w:val="nil"/>
              <w:bottom w:val="single" w:sz="4" w:space="0" w:color="auto"/>
              <w:right w:val="nil"/>
            </w:tcBorders>
            <w:vAlign w:val="bottom"/>
            <w:hideMark/>
          </w:tcPr>
          <w:p w14:paraId="6A2BD453" w14:textId="77777777" w:rsidR="00607B78" w:rsidRPr="009C2953" w:rsidRDefault="00607B78" w:rsidP="00A068F8">
            <w:pPr>
              <w:pStyle w:val="Normal-pool-Table"/>
              <w:spacing w:after="30"/>
              <w:jc w:val="right"/>
            </w:pPr>
            <w:r w:rsidRPr="009C2953">
              <w:t>0</w:t>
            </w:r>
          </w:p>
        </w:tc>
        <w:tc>
          <w:tcPr>
            <w:tcW w:w="1286" w:type="dxa"/>
            <w:tcBorders>
              <w:top w:val="nil"/>
              <w:left w:val="nil"/>
              <w:bottom w:val="single" w:sz="4" w:space="0" w:color="auto"/>
              <w:right w:val="nil"/>
            </w:tcBorders>
            <w:vAlign w:val="bottom"/>
            <w:hideMark/>
          </w:tcPr>
          <w:p w14:paraId="2E7D60CD" w14:textId="5CA5CDE3" w:rsidR="00607B78" w:rsidRPr="009C2953" w:rsidRDefault="00607B78" w:rsidP="00A068F8">
            <w:pPr>
              <w:pStyle w:val="Normal-pool-Table"/>
              <w:spacing w:after="30"/>
              <w:jc w:val="right"/>
            </w:pPr>
            <w:r w:rsidRPr="009C2953">
              <w:t>(235</w:t>
            </w:r>
            <w:r w:rsidR="00CD7E1B" w:rsidRPr="009C2953">
              <w:t> </w:t>
            </w:r>
            <w:r w:rsidRPr="009C2953">
              <w:t>000)</w:t>
            </w:r>
          </w:p>
        </w:tc>
      </w:tr>
      <w:tr w:rsidR="00607B78" w:rsidRPr="009C2953" w14:paraId="1FBC6CD2" w14:textId="77777777" w:rsidTr="00A068F8">
        <w:trPr>
          <w:trHeight w:val="57"/>
          <w:jc w:val="right"/>
        </w:trPr>
        <w:tc>
          <w:tcPr>
            <w:tcW w:w="5245" w:type="dxa"/>
            <w:tcBorders>
              <w:top w:val="single" w:sz="4" w:space="0" w:color="auto"/>
              <w:left w:val="nil"/>
              <w:bottom w:val="single" w:sz="4" w:space="0" w:color="auto"/>
              <w:right w:val="nil"/>
            </w:tcBorders>
            <w:vAlign w:val="bottom"/>
            <w:hideMark/>
          </w:tcPr>
          <w:p w14:paraId="1E5721DD" w14:textId="77777777" w:rsidR="00607B78" w:rsidRPr="009C2953" w:rsidRDefault="00607B78" w:rsidP="00A068F8">
            <w:pPr>
              <w:pStyle w:val="Normal-pool-Table"/>
              <w:spacing w:after="30"/>
              <w:rPr>
                <w:b/>
              </w:rPr>
            </w:pPr>
            <w:r w:rsidRPr="009C2953">
              <w:rPr>
                <w:b/>
              </w:rPr>
              <w:t>Objectif 5 : communication et participation</w:t>
            </w:r>
          </w:p>
        </w:tc>
        <w:tc>
          <w:tcPr>
            <w:tcW w:w="1550" w:type="dxa"/>
            <w:tcBorders>
              <w:top w:val="single" w:sz="4" w:space="0" w:color="auto"/>
              <w:left w:val="nil"/>
              <w:bottom w:val="single" w:sz="4" w:space="0" w:color="auto"/>
              <w:right w:val="nil"/>
            </w:tcBorders>
            <w:vAlign w:val="bottom"/>
            <w:hideMark/>
          </w:tcPr>
          <w:p w14:paraId="0FBAD475" w14:textId="77777777" w:rsidR="00607B78" w:rsidRPr="009C2953" w:rsidRDefault="00607B78" w:rsidP="00A068F8">
            <w:pPr>
              <w:pStyle w:val="Normal-pool-Table"/>
              <w:spacing w:after="30"/>
              <w:jc w:val="right"/>
              <w:rPr>
                <w:b/>
              </w:rPr>
            </w:pPr>
            <w:r w:rsidRPr="009C2953">
              <w:rPr>
                <w:b/>
              </w:rPr>
              <w:t>280 000</w:t>
            </w:r>
          </w:p>
        </w:tc>
        <w:tc>
          <w:tcPr>
            <w:tcW w:w="1416" w:type="dxa"/>
            <w:tcBorders>
              <w:top w:val="single" w:sz="4" w:space="0" w:color="auto"/>
              <w:left w:val="nil"/>
              <w:bottom w:val="single" w:sz="4" w:space="0" w:color="auto"/>
              <w:right w:val="nil"/>
            </w:tcBorders>
            <w:vAlign w:val="bottom"/>
            <w:hideMark/>
          </w:tcPr>
          <w:p w14:paraId="0D7556B0" w14:textId="77777777" w:rsidR="00607B78" w:rsidRPr="009C2953" w:rsidRDefault="00607B78" w:rsidP="00A068F8">
            <w:pPr>
              <w:pStyle w:val="Normal-pool-Table"/>
              <w:spacing w:after="30"/>
              <w:jc w:val="right"/>
              <w:rPr>
                <w:b/>
              </w:rPr>
            </w:pPr>
            <w:r w:rsidRPr="009C2953">
              <w:rPr>
                <w:b/>
              </w:rPr>
              <w:t>280 000</w:t>
            </w:r>
          </w:p>
        </w:tc>
        <w:tc>
          <w:tcPr>
            <w:tcW w:w="1286" w:type="dxa"/>
            <w:tcBorders>
              <w:top w:val="single" w:sz="4" w:space="0" w:color="auto"/>
              <w:left w:val="nil"/>
              <w:bottom w:val="single" w:sz="4" w:space="0" w:color="auto"/>
              <w:right w:val="nil"/>
            </w:tcBorders>
            <w:vAlign w:val="bottom"/>
            <w:hideMark/>
          </w:tcPr>
          <w:p w14:paraId="698B4AAB" w14:textId="77777777" w:rsidR="00607B78" w:rsidRPr="009C2953" w:rsidRDefault="00607B78" w:rsidP="00A068F8">
            <w:pPr>
              <w:pStyle w:val="Normal-pool-Table"/>
              <w:spacing w:after="30"/>
              <w:jc w:val="right"/>
              <w:rPr>
                <w:b/>
              </w:rPr>
            </w:pPr>
            <w:r w:rsidRPr="009C2953">
              <w:rPr>
                <w:b/>
              </w:rPr>
              <w:t>0</w:t>
            </w:r>
          </w:p>
        </w:tc>
      </w:tr>
      <w:tr w:rsidR="00607B78" w:rsidRPr="009C2953" w14:paraId="2B5A8DB3" w14:textId="77777777" w:rsidTr="00A068F8">
        <w:trPr>
          <w:trHeight w:val="57"/>
          <w:jc w:val="right"/>
        </w:trPr>
        <w:tc>
          <w:tcPr>
            <w:tcW w:w="5245" w:type="dxa"/>
            <w:tcBorders>
              <w:top w:val="single" w:sz="4" w:space="0" w:color="auto"/>
              <w:left w:val="nil"/>
              <w:bottom w:val="nil"/>
              <w:right w:val="nil"/>
            </w:tcBorders>
            <w:vAlign w:val="bottom"/>
            <w:hideMark/>
          </w:tcPr>
          <w:p w14:paraId="1AA780F1" w14:textId="77777777" w:rsidR="00607B78" w:rsidRPr="009C2953" w:rsidRDefault="00607B78" w:rsidP="00A068F8">
            <w:pPr>
              <w:pStyle w:val="Normal-pool-Table"/>
              <w:spacing w:after="30"/>
            </w:pPr>
            <w:r w:rsidRPr="009C2953">
              <w:t>Objectif 5 a) : communication renforcée</w:t>
            </w:r>
          </w:p>
        </w:tc>
        <w:tc>
          <w:tcPr>
            <w:tcW w:w="1550" w:type="dxa"/>
            <w:tcBorders>
              <w:top w:val="single" w:sz="4" w:space="0" w:color="auto"/>
              <w:left w:val="nil"/>
              <w:bottom w:val="nil"/>
              <w:right w:val="nil"/>
            </w:tcBorders>
            <w:vAlign w:val="bottom"/>
            <w:hideMark/>
          </w:tcPr>
          <w:p w14:paraId="270A706C" w14:textId="77777777" w:rsidR="00607B78" w:rsidRPr="009C2953" w:rsidRDefault="00607B78" w:rsidP="00A068F8">
            <w:pPr>
              <w:pStyle w:val="Normal-pool-Table"/>
              <w:spacing w:after="30"/>
              <w:jc w:val="right"/>
            </w:pPr>
            <w:r w:rsidRPr="009C2953">
              <w:t>250 000</w:t>
            </w:r>
          </w:p>
        </w:tc>
        <w:tc>
          <w:tcPr>
            <w:tcW w:w="1416" w:type="dxa"/>
            <w:tcBorders>
              <w:top w:val="single" w:sz="4" w:space="0" w:color="auto"/>
              <w:left w:val="nil"/>
              <w:bottom w:val="nil"/>
              <w:right w:val="nil"/>
            </w:tcBorders>
            <w:vAlign w:val="bottom"/>
            <w:hideMark/>
          </w:tcPr>
          <w:p w14:paraId="5687B507" w14:textId="77777777" w:rsidR="00607B78" w:rsidRPr="009C2953" w:rsidRDefault="00607B78" w:rsidP="00A068F8">
            <w:pPr>
              <w:pStyle w:val="Normal-pool-Table"/>
              <w:spacing w:after="30"/>
              <w:jc w:val="right"/>
            </w:pPr>
            <w:r w:rsidRPr="009C2953">
              <w:t>250 000</w:t>
            </w:r>
          </w:p>
        </w:tc>
        <w:tc>
          <w:tcPr>
            <w:tcW w:w="1286" w:type="dxa"/>
            <w:tcBorders>
              <w:top w:val="single" w:sz="4" w:space="0" w:color="auto"/>
              <w:left w:val="nil"/>
              <w:bottom w:val="nil"/>
              <w:right w:val="nil"/>
            </w:tcBorders>
            <w:vAlign w:val="bottom"/>
            <w:hideMark/>
          </w:tcPr>
          <w:p w14:paraId="2F38A68F" w14:textId="77777777" w:rsidR="00607B78" w:rsidRPr="009C2953" w:rsidRDefault="00607B78" w:rsidP="00A068F8">
            <w:pPr>
              <w:pStyle w:val="Normal-pool-Table"/>
              <w:spacing w:after="30"/>
              <w:jc w:val="right"/>
            </w:pPr>
            <w:r w:rsidRPr="009C2953">
              <w:t>0</w:t>
            </w:r>
          </w:p>
        </w:tc>
      </w:tr>
      <w:tr w:rsidR="00607B78" w:rsidRPr="009C2953" w14:paraId="1460BF32" w14:textId="77777777" w:rsidTr="00A068F8">
        <w:trPr>
          <w:trHeight w:val="57"/>
          <w:jc w:val="right"/>
        </w:trPr>
        <w:tc>
          <w:tcPr>
            <w:tcW w:w="5245" w:type="dxa"/>
            <w:tcBorders>
              <w:top w:val="nil"/>
              <w:left w:val="nil"/>
              <w:bottom w:val="single" w:sz="4" w:space="0" w:color="auto"/>
              <w:right w:val="nil"/>
            </w:tcBorders>
            <w:vAlign w:val="bottom"/>
            <w:hideMark/>
          </w:tcPr>
          <w:p w14:paraId="4BFAC605" w14:textId="2E502191" w:rsidR="00607B78" w:rsidRPr="009C2953" w:rsidRDefault="00607B78" w:rsidP="00A068F8">
            <w:pPr>
              <w:pStyle w:val="Normal-pool-Table"/>
              <w:spacing w:after="30"/>
            </w:pPr>
            <w:r w:rsidRPr="009C2953">
              <w:t>Objectif 5 c) : participation renforcée</w:t>
            </w:r>
            <w:r w:rsidR="00D24DC1" w:rsidRPr="009C2953">
              <w:t xml:space="preserve"> des </w:t>
            </w:r>
            <w:r w:rsidRPr="009C2953">
              <w:t>parties prenantes</w:t>
            </w:r>
          </w:p>
        </w:tc>
        <w:tc>
          <w:tcPr>
            <w:tcW w:w="1550" w:type="dxa"/>
            <w:tcBorders>
              <w:top w:val="nil"/>
              <w:left w:val="nil"/>
              <w:bottom w:val="single" w:sz="4" w:space="0" w:color="auto"/>
              <w:right w:val="nil"/>
            </w:tcBorders>
            <w:vAlign w:val="bottom"/>
            <w:hideMark/>
          </w:tcPr>
          <w:p w14:paraId="6E8B9E48" w14:textId="77777777" w:rsidR="00607B78" w:rsidRPr="009C2953" w:rsidRDefault="00607B78" w:rsidP="00A068F8">
            <w:pPr>
              <w:pStyle w:val="Normal-pool-Table"/>
              <w:spacing w:after="30"/>
              <w:jc w:val="right"/>
            </w:pPr>
            <w:r w:rsidRPr="009C2953">
              <w:t>30 000</w:t>
            </w:r>
          </w:p>
        </w:tc>
        <w:tc>
          <w:tcPr>
            <w:tcW w:w="1416" w:type="dxa"/>
            <w:tcBorders>
              <w:top w:val="nil"/>
              <w:left w:val="nil"/>
              <w:bottom w:val="single" w:sz="4" w:space="0" w:color="auto"/>
              <w:right w:val="nil"/>
            </w:tcBorders>
            <w:vAlign w:val="bottom"/>
            <w:hideMark/>
          </w:tcPr>
          <w:p w14:paraId="7D4422A5" w14:textId="77777777" w:rsidR="00607B78" w:rsidRPr="009C2953" w:rsidRDefault="00607B78" w:rsidP="00A068F8">
            <w:pPr>
              <w:pStyle w:val="Normal-pool-Table"/>
              <w:spacing w:after="30"/>
              <w:jc w:val="right"/>
            </w:pPr>
            <w:r w:rsidRPr="009C2953">
              <w:t>30 000</w:t>
            </w:r>
          </w:p>
        </w:tc>
        <w:tc>
          <w:tcPr>
            <w:tcW w:w="1286" w:type="dxa"/>
            <w:tcBorders>
              <w:top w:val="nil"/>
              <w:left w:val="nil"/>
              <w:bottom w:val="single" w:sz="4" w:space="0" w:color="auto"/>
              <w:right w:val="nil"/>
            </w:tcBorders>
            <w:vAlign w:val="bottom"/>
            <w:hideMark/>
          </w:tcPr>
          <w:p w14:paraId="39F202C3" w14:textId="77777777" w:rsidR="00607B78" w:rsidRPr="009C2953" w:rsidRDefault="00607B78" w:rsidP="00A068F8">
            <w:pPr>
              <w:pStyle w:val="Normal-pool-Table"/>
              <w:spacing w:after="30"/>
              <w:jc w:val="right"/>
            </w:pPr>
            <w:r w:rsidRPr="009C2953">
              <w:t>0</w:t>
            </w:r>
          </w:p>
        </w:tc>
      </w:tr>
      <w:tr w:rsidR="00607B78" w:rsidRPr="009C2953" w14:paraId="35A62EEF" w14:textId="77777777" w:rsidTr="00A068F8">
        <w:trPr>
          <w:trHeight w:val="57"/>
          <w:jc w:val="right"/>
        </w:trPr>
        <w:tc>
          <w:tcPr>
            <w:tcW w:w="5245" w:type="dxa"/>
            <w:tcBorders>
              <w:top w:val="single" w:sz="4" w:space="0" w:color="auto"/>
              <w:left w:val="nil"/>
              <w:bottom w:val="single" w:sz="4" w:space="0" w:color="auto"/>
              <w:right w:val="nil"/>
            </w:tcBorders>
            <w:vAlign w:val="bottom"/>
            <w:hideMark/>
          </w:tcPr>
          <w:p w14:paraId="5E939829" w14:textId="09C4C718" w:rsidR="00607B78" w:rsidRPr="009C2953" w:rsidRDefault="00607B78" w:rsidP="00A068F8">
            <w:pPr>
              <w:pStyle w:val="Normal-pool-Table"/>
              <w:spacing w:after="30"/>
            </w:pPr>
            <w:r w:rsidRPr="009C2953">
              <w:rPr>
                <w:b/>
              </w:rPr>
              <w:t>Objectif 6 : renforcement de l</w:t>
            </w:r>
            <w:r w:rsidR="00EA2966" w:rsidRPr="009C2953">
              <w:rPr>
                <w:b/>
              </w:rPr>
              <w:t>’</w:t>
            </w:r>
            <w:r w:rsidRPr="009C2953">
              <w:rPr>
                <w:b/>
              </w:rPr>
              <w:t>efficacité de</w:t>
            </w:r>
            <w:r w:rsidR="00F34644" w:rsidRPr="009C2953">
              <w:rPr>
                <w:b/>
              </w:rPr>
              <w:t xml:space="preserve"> la </w:t>
            </w:r>
            <w:r w:rsidRPr="009C2953">
              <w:rPr>
                <w:b/>
              </w:rPr>
              <w:t xml:space="preserve">Plateforme </w:t>
            </w:r>
          </w:p>
        </w:tc>
        <w:tc>
          <w:tcPr>
            <w:tcW w:w="1550" w:type="dxa"/>
            <w:tcBorders>
              <w:top w:val="single" w:sz="4" w:space="0" w:color="auto"/>
              <w:left w:val="nil"/>
              <w:bottom w:val="single" w:sz="4" w:space="0" w:color="auto"/>
              <w:right w:val="nil"/>
            </w:tcBorders>
            <w:vAlign w:val="bottom"/>
            <w:hideMark/>
          </w:tcPr>
          <w:p w14:paraId="5F41432C" w14:textId="77777777" w:rsidR="00607B78" w:rsidRPr="009C2953" w:rsidRDefault="00607B78" w:rsidP="00A068F8">
            <w:pPr>
              <w:pStyle w:val="Normal-pool-Table"/>
              <w:spacing w:after="30"/>
              <w:jc w:val="right"/>
            </w:pPr>
            <w:r w:rsidRPr="009C2953">
              <w:t>0</w:t>
            </w:r>
          </w:p>
        </w:tc>
        <w:tc>
          <w:tcPr>
            <w:tcW w:w="1416" w:type="dxa"/>
            <w:tcBorders>
              <w:top w:val="single" w:sz="4" w:space="0" w:color="auto"/>
              <w:left w:val="nil"/>
              <w:bottom w:val="single" w:sz="4" w:space="0" w:color="auto"/>
              <w:right w:val="nil"/>
            </w:tcBorders>
            <w:vAlign w:val="bottom"/>
            <w:hideMark/>
          </w:tcPr>
          <w:p w14:paraId="65BAC680" w14:textId="77C198D5" w:rsidR="00607B78" w:rsidRPr="009C2953" w:rsidRDefault="00607B78" w:rsidP="00A068F8">
            <w:pPr>
              <w:pStyle w:val="Normal-pool-Table"/>
              <w:spacing w:after="30"/>
              <w:jc w:val="right"/>
              <w:rPr>
                <w:b/>
              </w:rPr>
            </w:pPr>
            <w:r w:rsidRPr="009C2953">
              <w:rPr>
                <w:b/>
              </w:rPr>
              <w:t>7</w:t>
            </w:r>
            <w:r w:rsidR="00CD7E1B" w:rsidRPr="009C2953">
              <w:rPr>
                <w:b/>
              </w:rPr>
              <w:t> </w:t>
            </w:r>
            <w:r w:rsidRPr="009C2953">
              <w:rPr>
                <w:b/>
              </w:rPr>
              <w:t>700</w:t>
            </w:r>
          </w:p>
        </w:tc>
        <w:tc>
          <w:tcPr>
            <w:tcW w:w="1286" w:type="dxa"/>
            <w:tcBorders>
              <w:top w:val="single" w:sz="4" w:space="0" w:color="auto"/>
              <w:left w:val="nil"/>
              <w:bottom w:val="single" w:sz="4" w:space="0" w:color="auto"/>
              <w:right w:val="nil"/>
            </w:tcBorders>
            <w:vAlign w:val="bottom"/>
            <w:hideMark/>
          </w:tcPr>
          <w:p w14:paraId="495DFC55" w14:textId="7921CCFE" w:rsidR="00607B78" w:rsidRPr="009C2953" w:rsidRDefault="00607B78" w:rsidP="00A068F8">
            <w:pPr>
              <w:pStyle w:val="Normal-pool-Table"/>
              <w:spacing w:after="30"/>
              <w:jc w:val="right"/>
              <w:rPr>
                <w:b/>
              </w:rPr>
            </w:pPr>
            <w:r w:rsidRPr="009C2953">
              <w:rPr>
                <w:b/>
              </w:rPr>
              <w:t>7</w:t>
            </w:r>
            <w:r w:rsidR="00CD7E1B" w:rsidRPr="009C2953">
              <w:rPr>
                <w:b/>
              </w:rPr>
              <w:t> </w:t>
            </w:r>
            <w:r w:rsidRPr="009C2953">
              <w:rPr>
                <w:b/>
              </w:rPr>
              <w:t>700</w:t>
            </w:r>
          </w:p>
        </w:tc>
      </w:tr>
      <w:tr w:rsidR="00607B78" w:rsidRPr="009C2953" w14:paraId="73D5D318" w14:textId="77777777" w:rsidTr="00A068F8">
        <w:trPr>
          <w:trHeight w:val="57"/>
          <w:jc w:val="right"/>
        </w:trPr>
        <w:tc>
          <w:tcPr>
            <w:tcW w:w="5245" w:type="dxa"/>
            <w:tcBorders>
              <w:top w:val="single" w:sz="4" w:space="0" w:color="auto"/>
              <w:left w:val="nil"/>
              <w:bottom w:val="single" w:sz="4" w:space="0" w:color="000000"/>
              <w:right w:val="nil"/>
            </w:tcBorders>
            <w:vAlign w:val="bottom"/>
            <w:hideMark/>
          </w:tcPr>
          <w:p w14:paraId="43634970" w14:textId="4848789A" w:rsidR="00607B78" w:rsidRPr="009C2953" w:rsidRDefault="00607B78" w:rsidP="00A068F8">
            <w:pPr>
              <w:pStyle w:val="Normal-pool-Table"/>
              <w:spacing w:after="30"/>
            </w:pPr>
            <w:r w:rsidRPr="009C2953">
              <w:t>Objectif 6 a) : évaluation périodique de l</w:t>
            </w:r>
            <w:r w:rsidR="00EA2966" w:rsidRPr="009C2953">
              <w:t>’</w:t>
            </w:r>
            <w:r w:rsidRPr="009C2953">
              <w:t>efficacité de</w:t>
            </w:r>
            <w:r w:rsidR="00F34644" w:rsidRPr="009C2953">
              <w:t xml:space="preserve"> la </w:t>
            </w:r>
            <w:r w:rsidRPr="009C2953">
              <w:t>Plateforme</w:t>
            </w:r>
          </w:p>
        </w:tc>
        <w:tc>
          <w:tcPr>
            <w:tcW w:w="1550" w:type="dxa"/>
            <w:tcBorders>
              <w:top w:val="single" w:sz="4" w:space="0" w:color="auto"/>
              <w:left w:val="nil"/>
              <w:bottom w:val="single" w:sz="4" w:space="0" w:color="000000"/>
              <w:right w:val="nil"/>
            </w:tcBorders>
            <w:vAlign w:val="bottom"/>
            <w:hideMark/>
          </w:tcPr>
          <w:p w14:paraId="53051385" w14:textId="77777777" w:rsidR="00607B78" w:rsidRPr="009C2953" w:rsidRDefault="00607B78" w:rsidP="00A068F8">
            <w:pPr>
              <w:pStyle w:val="Normal-pool-Table"/>
              <w:spacing w:after="30"/>
              <w:jc w:val="right"/>
            </w:pPr>
            <w:r w:rsidRPr="009C2953">
              <w:t>0</w:t>
            </w:r>
          </w:p>
        </w:tc>
        <w:tc>
          <w:tcPr>
            <w:tcW w:w="1416" w:type="dxa"/>
            <w:tcBorders>
              <w:top w:val="single" w:sz="4" w:space="0" w:color="auto"/>
              <w:left w:val="nil"/>
              <w:bottom w:val="single" w:sz="4" w:space="0" w:color="000000"/>
              <w:right w:val="nil"/>
            </w:tcBorders>
            <w:vAlign w:val="bottom"/>
            <w:hideMark/>
          </w:tcPr>
          <w:p w14:paraId="04CABA40" w14:textId="7A051684" w:rsidR="00607B78" w:rsidRPr="009C2953" w:rsidRDefault="00607B78" w:rsidP="00A068F8">
            <w:pPr>
              <w:pStyle w:val="Normal-pool-Table"/>
              <w:spacing w:after="30"/>
              <w:jc w:val="right"/>
            </w:pPr>
            <w:r w:rsidRPr="009C2953">
              <w:t>7</w:t>
            </w:r>
            <w:r w:rsidR="00CD7E1B" w:rsidRPr="009C2953">
              <w:t> </w:t>
            </w:r>
            <w:r w:rsidRPr="009C2953">
              <w:t>700</w:t>
            </w:r>
          </w:p>
        </w:tc>
        <w:tc>
          <w:tcPr>
            <w:tcW w:w="1286" w:type="dxa"/>
            <w:tcBorders>
              <w:top w:val="single" w:sz="4" w:space="0" w:color="auto"/>
              <w:left w:val="nil"/>
              <w:bottom w:val="single" w:sz="4" w:space="0" w:color="000000"/>
              <w:right w:val="nil"/>
            </w:tcBorders>
            <w:vAlign w:val="bottom"/>
            <w:hideMark/>
          </w:tcPr>
          <w:p w14:paraId="7057D00F" w14:textId="4708D63C" w:rsidR="00607B78" w:rsidRPr="009C2953" w:rsidRDefault="00607B78" w:rsidP="00A068F8">
            <w:pPr>
              <w:pStyle w:val="Normal-pool-Table"/>
              <w:spacing w:after="30"/>
              <w:jc w:val="right"/>
            </w:pPr>
            <w:r w:rsidRPr="009C2953">
              <w:t>7</w:t>
            </w:r>
            <w:r w:rsidR="00CD7E1B" w:rsidRPr="009C2953">
              <w:t> </w:t>
            </w:r>
            <w:r w:rsidRPr="009C2953">
              <w:t>700</w:t>
            </w:r>
          </w:p>
        </w:tc>
      </w:tr>
      <w:tr w:rsidR="00607B78" w:rsidRPr="009C2953" w14:paraId="23E16DC5"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6D104577" w14:textId="77777777" w:rsidR="00607B78" w:rsidRPr="009C2953" w:rsidRDefault="00607B78" w:rsidP="00A068F8">
            <w:pPr>
              <w:pStyle w:val="Normal-pool-Table"/>
              <w:spacing w:after="30"/>
              <w:rPr>
                <w:b/>
              </w:rPr>
            </w:pPr>
            <w:r w:rsidRPr="009C2953">
              <w:rPr>
                <w:b/>
              </w:rPr>
              <w:t>Total partiel, partie B</w:t>
            </w:r>
          </w:p>
        </w:tc>
        <w:tc>
          <w:tcPr>
            <w:tcW w:w="1550" w:type="dxa"/>
            <w:tcBorders>
              <w:top w:val="single" w:sz="4" w:space="0" w:color="000000"/>
              <w:left w:val="nil"/>
              <w:bottom w:val="single" w:sz="4" w:space="0" w:color="000000"/>
              <w:right w:val="nil"/>
            </w:tcBorders>
            <w:vAlign w:val="bottom"/>
            <w:hideMark/>
          </w:tcPr>
          <w:p w14:paraId="2445C8EA" w14:textId="77777777" w:rsidR="00607B78" w:rsidRPr="009C2953" w:rsidRDefault="00607B78" w:rsidP="00A068F8">
            <w:pPr>
              <w:pStyle w:val="Normal-pool-Table"/>
              <w:spacing w:after="30"/>
              <w:jc w:val="right"/>
              <w:rPr>
                <w:b/>
              </w:rPr>
            </w:pPr>
            <w:r w:rsidRPr="009C2953">
              <w:rPr>
                <w:b/>
              </w:rPr>
              <w:t>4 236 050</w:t>
            </w:r>
          </w:p>
        </w:tc>
        <w:tc>
          <w:tcPr>
            <w:tcW w:w="1416" w:type="dxa"/>
            <w:tcBorders>
              <w:top w:val="single" w:sz="4" w:space="0" w:color="000000"/>
              <w:left w:val="nil"/>
              <w:bottom w:val="single" w:sz="4" w:space="0" w:color="000000"/>
              <w:right w:val="nil"/>
            </w:tcBorders>
            <w:vAlign w:val="bottom"/>
            <w:hideMark/>
          </w:tcPr>
          <w:p w14:paraId="24397507" w14:textId="77777777" w:rsidR="00607B78" w:rsidRPr="009C2953" w:rsidRDefault="00607B78" w:rsidP="00A068F8">
            <w:pPr>
              <w:pStyle w:val="Normal-pool-Table"/>
              <w:spacing w:after="30"/>
              <w:jc w:val="right"/>
              <w:rPr>
                <w:b/>
              </w:rPr>
            </w:pPr>
            <w:r w:rsidRPr="009C2953">
              <w:rPr>
                <w:b/>
              </w:rPr>
              <w:t>4 413 100</w:t>
            </w:r>
          </w:p>
        </w:tc>
        <w:tc>
          <w:tcPr>
            <w:tcW w:w="1286" w:type="dxa"/>
            <w:tcBorders>
              <w:top w:val="single" w:sz="4" w:space="0" w:color="000000"/>
              <w:left w:val="nil"/>
              <w:bottom w:val="single" w:sz="4" w:space="0" w:color="000000"/>
              <w:right w:val="nil"/>
            </w:tcBorders>
            <w:vAlign w:val="bottom"/>
            <w:hideMark/>
          </w:tcPr>
          <w:p w14:paraId="4B4B53FA" w14:textId="77777777" w:rsidR="00607B78" w:rsidRPr="009C2953" w:rsidRDefault="00607B78" w:rsidP="00A068F8">
            <w:pPr>
              <w:pStyle w:val="Normal-pool-Table"/>
              <w:spacing w:after="30"/>
              <w:jc w:val="right"/>
              <w:rPr>
                <w:b/>
              </w:rPr>
            </w:pPr>
            <w:r w:rsidRPr="009C2953">
              <w:rPr>
                <w:b/>
              </w:rPr>
              <w:t>177 050</w:t>
            </w:r>
          </w:p>
        </w:tc>
      </w:tr>
      <w:tr w:rsidR="00607B78" w:rsidRPr="009C2953" w14:paraId="121B58D1"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1A3CF124" w14:textId="77777777" w:rsidR="00607B78" w:rsidRPr="009C2953" w:rsidRDefault="00607B78" w:rsidP="00A068F8">
            <w:pPr>
              <w:pStyle w:val="Normal-pool-Table"/>
              <w:spacing w:after="30"/>
              <w:rPr>
                <w:b/>
              </w:rPr>
            </w:pPr>
            <w:r w:rsidRPr="009C2953">
              <w:rPr>
                <w:b/>
              </w:rPr>
              <w:t>Total partiel 2, mise en œuvre du programme de travail</w:t>
            </w:r>
          </w:p>
        </w:tc>
        <w:tc>
          <w:tcPr>
            <w:tcW w:w="1550" w:type="dxa"/>
            <w:tcBorders>
              <w:top w:val="single" w:sz="4" w:space="0" w:color="000000"/>
              <w:left w:val="nil"/>
              <w:bottom w:val="single" w:sz="4" w:space="0" w:color="000000"/>
              <w:right w:val="nil"/>
            </w:tcBorders>
            <w:vAlign w:val="bottom"/>
            <w:hideMark/>
          </w:tcPr>
          <w:p w14:paraId="2EFBAC00" w14:textId="77777777" w:rsidR="00607B78" w:rsidRPr="009C2953" w:rsidRDefault="00607B78" w:rsidP="00A068F8">
            <w:pPr>
              <w:pStyle w:val="Normal-pool-Table"/>
              <w:spacing w:after="30"/>
              <w:jc w:val="right"/>
              <w:rPr>
                <w:b/>
              </w:rPr>
            </w:pPr>
            <w:r w:rsidRPr="009C2953">
              <w:rPr>
                <w:b/>
              </w:rPr>
              <w:t>4 236 050</w:t>
            </w:r>
          </w:p>
        </w:tc>
        <w:tc>
          <w:tcPr>
            <w:tcW w:w="1416" w:type="dxa"/>
            <w:tcBorders>
              <w:top w:val="single" w:sz="4" w:space="0" w:color="000000"/>
              <w:left w:val="nil"/>
              <w:bottom w:val="single" w:sz="4" w:space="0" w:color="000000"/>
              <w:right w:val="nil"/>
            </w:tcBorders>
            <w:vAlign w:val="bottom"/>
            <w:hideMark/>
          </w:tcPr>
          <w:p w14:paraId="08023F24" w14:textId="77777777" w:rsidR="00607B78" w:rsidRPr="009C2953" w:rsidRDefault="00607B78" w:rsidP="00A068F8">
            <w:pPr>
              <w:pStyle w:val="Normal-pool-Table"/>
              <w:spacing w:after="30"/>
              <w:jc w:val="right"/>
              <w:rPr>
                <w:b/>
              </w:rPr>
            </w:pPr>
            <w:r w:rsidRPr="009C2953">
              <w:rPr>
                <w:b/>
              </w:rPr>
              <w:t>4 433 100</w:t>
            </w:r>
          </w:p>
        </w:tc>
        <w:tc>
          <w:tcPr>
            <w:tcW w:w="1286" w:type="dxa"/>
            <w:tcBorders>
              <w:top w:val="single" w:sz="4" w:space="0" w:color="000000"/>
              <w:left w:val="nil"/>
              <w:bottom w:val="single" w:sz="4" w:space="0" w:color="000000"/>
              <w:right w:val="nil"/>
            </w:tcBorders>
            <w:vAlign w:val="bottom"/>
            <w:hideMark/>
          </w:tcPr>
          <w:p w14:paraId="593CF1F6" w14:textId="77777777" w:rsidR="00607B78" w:rsidRPr="009C2953" w:rsidRDefault="00607B78" w:rsidP="00A068F8">
            <w:pPr>
              <w:pStyle w:val="Normal-pool-Table"/>
              <w:spacing w:after="30"/>
              <w:jc w:val="right"/>
              <w:rPr>
                <w:b/>
              </w:rPr>
            </w:pPr>
            <w:r w:rsidRPr="009C2953">
              <w:rPr>
                <w:b/>
              </w:rPr>
              <w:t>197 050</w:t>
            </w:r>
          </w:p>
        </w:tc>
      </w:tr>
      <w:tr w:rsidR="00607B78" w:rsidRPr="009C2953" w14:paraId="3D90E558" w14:textId="77777777" w:rsidTr="00A068F8">
        <w:trPr>
          <w:trHeight w:val="57"/>
          <w:jc w:val="right"/>
        </w:trPr>
        <w:tc>
          <w:tcPr>
            <w:tcW w:w="5245" w:type="dxa"/>
            <w:tcBorders>
              <w:top w:val="single" w:sz="4" w:space="0" w:color="000000"/>
              <w:left w:val="nil"/>
              <w:bottom w:val="nil"/>
              <w:right w:val="nil"/>
            </w:tcBorders>
            <w:vAlign w:val="bottom"/>
            <w:hideMark/>
          </w:tcPr>
          <w:p w14:paraId="3E2AF35D" w14:textId="77777777" w:rsidR="00607B78" w:rsidRPr="009C2953" w:rsidRDefault="00607B78" w:rsidP="00E50130">
            <w:pPr>
              <w:pStyle w:val="Normal-pool-Table"/>
              <w:tabs>
                <w:tab w:val="clear" w:pos="624"/>
                <w:tab w:val="left" w:pos="322"/>
              </w:tabs>
              <w:spacing w:after="30"/>
              <w:rPr>
                <w:b/>
                <w:bCs/>
              </w:rPr>
            </w:pPr>
            <w:r w:rsidRPr="009C2953">
              <w:rPr>
                <w:b/>
                <w:bCs/>
              </w:rPr>
              <w:t>3.</w:t>
            </w:r>
            <w:r w:rsidRPr="009C2953">
              <w:rPr>
                <w:b/>
                <w:bCs/>
              </w:rPr>
              <w:tab/>
              <w:t>Secrétariat</w:t>
            </w:r>
          </w:p>
        </w:tc>
        <w:tc>
          <w:tcPr>
            <w:tcW w:w="1550" w:type="dxa"/>
            <w:tcBorders>
              <w:top w:val="single" w:sz="4" w:space="0" w:color="000000"/>
              <w:left w:val="nil"/>
              <w:bottom w:val="nil"/>
              <w:right w:val="nil"/>
            </w:tcBorders>
            <w:vAlign w:val="bottom"/>
          </w:tcPr>
          <w:p w14:paraId="10C6FB6C" w14:textId="77777777" w:rsidR="00607B78" w:rsidRPr="009C2953" w:rsidRDefault="00607B78" w:rsidP="00A068F8">
            <w:pPr>
              <w:pStyle w:val="Normal-pool-Table"/>
              <w:spacing w:after="30"/>
              <w:jc w:val="right"/>
            </w:pPr>
          </w:p>
        </w:tc>
        <w:tc>
          <w:tcPr>
            <w:tcW w:w="1416" w:type="dxa"/>
            <w:tcBorders>
              <w:top w:val="single" w:sz="4" w:space="0" w:color="000000"/>
              <w:left w:val="nil"/>
              <w:bottom w:val="nil"/>
              <w:right w:val="nil"/>
            </w:tcBorders>
            <w:vAlign w:val="bottom"/>
          </w:tcPr>
          <w:p w14:paraId="3CA82066" w14:textId="77777777" w:rsidR="00607B78" w:rsidRPr="009C2953" w:rsidRDefault="00607B78" w:rsidP="00A068F8">
            <w:pPr>
              <w:pStyle w:val="Normal-pool-Table"/>
              <w:spacing w:after="30"/>
              <w:jc w:val="right"/>
            </w:pPr>
          </w:p>
        </w:tc>
        <w:tc>
          <w:tcPr>
            <w:tcW w:w="1286" w:type="dxa"/>
            <w:tcBorders>
              <w:top w:val="single" w:sz="4" w:space="0" w:color="000000"/>
              <w:left w:val="nil"/>
              <w:bottom w:val="nil"/>
              <w:right w:val="nil"/>
            </w:tcBorders>
            <w:vAlign w:val="bottom"/>
          </w:tcPr>
          <w:p w14:paraId="18EFAB72" w14:textId="77777777" w:rsidR="00607B78" w:rsidRPr="009C2953" w:rsidRDefault="00607B78" w:rsidP="00A068F8">
            <w:pPr>
              <w:pStyle w:val="Normal-pool-Table"/>
              <w:spacing w:after="30"/>
              <w:jc w:val="right"/>
            </w:pPr>
          </w:p>
        </w:tc>
      </w:tr>
      <w:tr w:rsidR="00607B78" w:rsidRPr="009C2953" w14:paraId="187A7A07" w14:textId="77777777" w:rsidTr="00A068F8">
        <w:trPr>
          <w:trHeight w:val="57"/>
          <w:jc w:val="right"/>
        </w:trPr>
        <w:tc>
          <w:tcPr>
            <w:tcW w:w="5245" w:type="dxa"/>
            <w:tcBorders>
              <w:top w:val="nil"/>
              <w:left w:val="nil"/>
              <w:bottom w:val="nil"/>
              <w:right w:val="nil"/>
            </w:tcBorders>
            <w:vAlign w:val="bottom"/>
            <w:hideMark/>
          </w:tcPr>
          <w:p w14:paraId="7ABB2BE5" w14:textId="3823BB73" w:rsidR="00607B78" w:rsidRPr="009C2953" w:rsidRDefault="00607B78" w:rsidP="00A068F8">
            <w:pPr>
              <w:pStyle w:val="Normal-pool-Table"/>
              <w:tabs>
                <w:tab w:val="clear" w:pos="624"/>
                <w:tab w:val="left" w:pos="463"/>
              </w:tabs>
              <w:spacing w:after="30"/>
            </w:pPr>
            <w:r w:rsidRPr="009C2953">
              <w:t>3</w:t>
            </w:r>
            <w:r w:rsidR="000366BD" w:rsidRPr="009C2953">
              <w:t>.</w:t>
            </w:r>
            <w:r w:rsidRPr="009C2953">
              <w:t>1</w:t>
            </w:r>
            <w:r w:rsidRPr="009C2953">
              <w:tab/>
              <w:t>Personnel du secrétariat</w:t>
            </w:r>
          </w:p>
        </w:tc>
        <w:tc>
          <w:tcPr>
            <w:tcW w:w="1550" w:type="dxa"/>
            <w:tcBorders>
              <w:top w:val="nil"/>
              <w:left w:val="nil"/>
              <w:bottom w:val="nil"/>
              <w:right w:val="nil"/>
            </w:tcBorders>
            <w:vAlign w:val="bottom"/>
            <w:hideMark/>
          </w:tcPr>
          <w:p w14:paraId="798FE29B" w14:textId="77777777" w:rsidR="00607B78" w:rsidRPr="009C2953" w:rsidRDefault="00607B78" w:rsidP="00A068F8">
            <w:pPr>
              <w:pStyle w:val="Normal-pool-Table"/>
              <w:spacing w:after="30"/>
              <w:jc w:val="right"/>
            </w:pPr>
            <w:r w:rsidRPr="009C2953">
              <w:t>3 174 563</w:t>
            </w:r>
          </w:p>
        </w:tc>
        <w:tc>
          <w:tcPr>
            <w:tcW w:w="1416" w:type="dxa"/>
            <w:tcBorders>
              <w:top w:val="nil"/>
              <w:left w:val="nil"/>
              <w:bottom w:val="nil"/>
              <w:right w:val="nil"/>
            </w:tcBorders>
            <w:vAlign w:val="bottom"/>
            <w:hideMark/>
          </w:tcPr>
          <w:p w14:paraId="1FF53C3D" w14:textId="77777777" w:rsidR="00607B78" w:rsidRPr="009C2953" w:rsidRDefault="00607B78" w:rsidP="00A068F8">
            <w:pPr>
              <w:pStyle w:val="Normal-pool-Table"/>
              <w:spacing w:after="30"/>
              <w:jc w:val="right"/>
            </w:pPr>
            <w:r w:rsidRPr="009C2953">
              <w:t>3 255 300</w:t>
            </w:r>
          </w:p>
        </w:tc>
        <w:tc>
          <w:tcPr>
            <w:tcW w:w="1286" w:type="dxa"/>
            <w:tcBorders>
              <w:top w:val="nil"/>
              <w:left w:val="nil"/>
              <w:bottom w:val="nil"/>
              <w:right w:val="nil"/>
            </w:tcBorders>
            <w:vAlign w:val="bottom"/>
            <w:hideMark/>
          </w:tcPr>
          <w:p w14:paraId="1E14A13E" w14:textId="77777777" w:rsidR="00607B78" w:rsidRPr="009C2953" w:rsidRDefault="00607B78" w:rsidP="00A068F8">
            <w:pPr>
              <w:pStyle w:val="Normal-pool-Table"/>
              <w:spacing w:after="30"/>
              <w:jc w:val="right"/>
            </w:pPr>
            <w:r w:rsidRPr="009C2953">
              <w:t>80 737</w:t>
            </w:r>
          </w:p>
        </w:tc>
      </w:tr>
      <w:tr w:rsidR="00607B78" w:rsidRPr="009C2953" w14:paraId="65E26E38" w14:textId="77777777" w:rsidTr="00A068F8">
        <w:trPr>
          <w:trHeight w:val="57"/>
          <w:jc w:val="right"/>
        </w:trPr>
        <w:tc>
          <w:tcPr>
            <w:tcW w:w="5245" w:type="dxa"/>
            <w:tcBorders>
              <w:top w:val="nil"/>
              <w:left w:val="nil"/>
              <w:bottom w:val="single" w:sz="4" w:space="0" w:color="000000"/>
              <w:right w:val="nil"/>
            </w:tcBorders>
            <w:vAlign w:val="bottom"/>
            <w:hideMark/>
          </w:tcPr>
          <w:p w14:paraId="2DA8225B" w14:textId="5605A233" w:rsidR="00607B78" w:rsidRPr="009C2953" w:rsidRDefault="00607B78" w:rsidP="00A068F8">
            <w:pPr>
              <w:pStyle w:val="Normal-pool-Table"/>
              <w:tabs>
                <w:tab w:val="clear" w:pos="624"/>
                <w:tab w:val="left" w:pos="463"/>
              </w:tabs>
              <w:spacing w:after="30"/>
            </w:pPr>
            <w:r w:rsidRPr="009C2953">
              <w:t>3</w:t>
            </w:r>
            <w:r w:rsidR="000366BD" w:rsidRPr="009C2953">
              <w:t>.</w:t>
            </w:r>
            <w:r w:rsidRPr="009C2953">
              <w:t>2</w:t>
            </w:r>
            <w:r w:rsidRPr="009C2953">
              <w:tab/>
              <w:t>Dépenses de fonctionnement (autres que</w:t>
            </w:r>
            <w:r w:rsidR="00F34644" w:rsidRPr="009C2953">
              <w:t xml:space="preserve"> les </w:t>
            </w:r>
            <w:r w:rsidRPr="009C2953">
              <w:t>dépenses de</w:t>
            </w:r>
            <w:r w:rsidR="0025203C" w:rsidRPr="009C2953">
              <w:t> </w:t>
            </w:r>
            <w:r w:rsidRPr="009C2953">
              <w:t>personnel)</w:t>
            </w:r>
          </w:p>
        </w:tc>
        <w:tc>
          <w:tcPr>
            <w:tcW w:w="1550" w:type="dxa"/>
            <w:tcBorders>
              <w:top w:val="nil"/>
              <w:left w:val="nil"/>
              <w:bottom w:val="single" w:sz="4" w:space="0" w:color="000000"/>
              <w:right w:val="nil"/>
            </w:tcBorders>
            <w:vAlign w:val="bottom"/>
            <w:hideMark/>
          </w:tcPr>
          <w:p w14:paraId="263ABF4C" w14:textId="77777777" w:rsidR="00607B78" w:rsidRPr="009C2953" w:rsidRDefault="00607B78" w:rsidP="00A068F8">
            <w:pPr>
              <w:pStyle w:val="Normal-pool-Table"/>
              <w:spacing w:after="30"/>
              <w:jc w:val="right"/>
            </w:pPr>
            <w:r w:rsidRPr="009C2953">
              <w:t>346 000</w:t>
            </w:r>
          </w:p>
        </w:tc>
        <w:tc>
          <w:tcPr>
            <w:tcW w:w="1416" w:type="dxa"/>
            <w:tcBorders>
              <w:top w:val="nil"/>
              <w:left w:val="nil"/>
              <w:bottom w:val="single" w:sz="4" w:space="0" w:color="000000"/>
              <w:right w:val="nil"/>
            </w:tcBorders>
            <w:vAlign w:val="bottom"/>
            <w:hideMark/>
          </w:tcPr>
          <w:p w14:paraId="36C98FF7" w14:textId="77777777" w:rsidR="00607B78" w:rsidRPr="009C2953" w:rsidRDefault="00607B78" w:rsidP="00A068F8">
            <w:pPr>
              <w:pStyle w:val="Normal-pool-Table"/>
              <w:spacing w:after="30"/>
              <w:jc w:val="right"/>
            </w:pPr>
            <w:r w:rsidRPr="009C2953">
              <w:t>352 500</w:t>
            </w:r>
          </w:p>
        </w:tc>
        <w:tc>
          <w:tcPr>
            <w:tcW w:w="1286" w:type="dxa"/>
            <w:tcBorders>
              <w:top w:val="nil"/>
              <w:left w:val="nil"/>
              <w:bottom w:val="single" w:sz="4" w:space="0" w:color="000000"/>
              <w:right w:val="nil"/>
            </w:tcBorders>
            <w:vAlign w:val="bottom"/>
            <w:hideMark/>
          </w:tcPr>
          <w:p w14:paraId="6DA4C9E6" w14:textId="6EFE2C64" w:rsidR="00607B78" w:rsidRPr="009C2953" w:rsidRDefault="00607B78" w:rsidP="00A068F8">
            <w:pPr>
              <w:pStyle w:val="Normal-pool-Table"/>
              <w:spacing w:after="30"/>
              <w:jc w:val="right"/>
            </w:pPr>
            <w:r w:rsidRPr="009C2953">
              <w:t>6</w:t>
            </w:r>
            <w:r w:rsidR="00832A0B" w:rsidRPr="009C2953">
              <w:t> </w:t>
            </w:r>
            <w:r w:rsidRPr="009C2953">
              <w:t>500</w:t>
            </w:r>
          </w:p>
        </w:tc>
      </w:tr>
      <w:tr w:rsidR="00607B78" w:rsidRPr="009C2953" w14:paraId="3AA61020"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3AAB4950" w14:textId="792F9F4E" w:rsidR="00607B78" w:rsidRPr="009C2953" w:rsidRDefault="00607B78" w:rsidP="00A068F8">
            <w:pPr>
              <w:pStyle w:val="Normal-pool-Table"/>
              <w:spacing w:after="30"/>
              <w:rPr>
                <w:b/>
              </w:rPr>
            </w:pPr>
            <w:r w:rsidRPr="009C2953">
              <w:rPr>
                <w:b/>
              </w:rPr>
              <w:t>Total partiel 3, secrétariat (dépenses de personnel et</w:t>
            </w:r>
            <w:r w:rsidR="00955776" w:rsidRPr="009C2953">
              <w:rPr>
                <w:b/>
              </w:rPr>
              <w:t> </w:t>
            </w:r>
            <w:r w:rsidRPr="009C2953">
              <w:rPr>
                <w:b/>
              </w:rPr>
              <w:t>de</w:t>
            </w:r>
            <w:r w:rsidR="0025203C" w:rsidRPr="009C2953">
              <w:rPr>
                <w:b/>
              </w:rPr>
              <w:t> </w:t>
            </w:r>
            <w:r w:rsidRPr="009C2953">
              <w:rPr>
                <w:b/>
              </w:rPr>
              <w:t>fonctionnement)</w:t>
            </w:r>
          </w:p>
        </w:tc>
        <w:tc>
          <w:tcPr>
            <w:tcW w:w="1550" w:type="dxa"/>
            <w:tcBorders>
              <w:top w:val="single" w:sz="4" w:space="0" w:color="000000"/>
              <w:left w:val="nil"/>
              <w:bottom w:val="single" w:sz="4" w:space="0" w:color="000000"/>
              <w:right w:val="nil"/>
            </w:tcBorders>
            <w:vAlign w:val="bottom"/>
            <w:hideMark/>
          </w:tcPr>
          <w:p w14:paraId="58285C46" w14:textId="77777777" w:rsidR="00607B78" w:rsidRPr="009C2953" w:rsidRDefault="00607B78" w:rsidP="00A068F8">
            <w:pPr>
              <w:pStyle w:val="Normal-pool-Table"/>
              <w:spacing w:after="30"/>
              <w:jc w:val="right"/>
              <w:rPr>
                <w:b/>
              </w:rPr>
            </w:pPr>
            <w:r w:rsidRPr="009C2953">
              <w:rPr>
                <w:b/>
              </w:rPr>
              <w:t>3 520 563</w:t>
            </w:r>
          </w:p>
        </w:tc>
        <w:tc>
          <w:tcPr>
            <w:tcW w:w="1416" w:type="dxa"/>
            <w:tcBorders>
              <w:top w:val="single" w:sz="4" w:space="0" w:color="000000"/>
              <w:left w:val="nil"/>
              <w:bottom w:val="single" w:sz="4" w:space="0" w:color="000000"/>
              <w:right w:val="nil"/>
            </w:tcBorders>
            <w:vAlign w:val="bottom"/>
            <w:hideMark/>
          </w:tcPr>
          <w:p w14:paraId="1F68DDF2" w14:textId="77777777" w:rsidR="00607B78" w:rsidRPr="009C2953" w:rsidRDefault="00607B78" w:rsidP="00A068F8">
            <w:pPr>
              <w:pStyle w:val="Normal-pool-Table"/>
              <w:spacing w:after="30"/>
              <w:jc w:val="right"/>
              <w:rPr>
                <w:b/>
              </w:rPr>
            </w:pPr>
            <w:r w:rsidRPr="009C2953">
              <w:rPr>
                <w:b/>
              </w:rPr>
              <w:t>3 607 800</w:t>
            </w:r>
          </w:p>
        </w:tc>
        <w:tc>
          <w:tcPr>
            <w:tcW w:w="1286" w:type="dxa"/>
            <w:tcBorders>
              <w:top w:val="single" w:sz="4" w:space="0" w:color="000000"/>
              <w:left w:val="nil"/>
              <w:bottom w:val="single" w:sz="4" w:space="0" w:color="000000"/>
              <w:right w:val="nil"/>
            </w:tcBorders>
            <w:vAlign w:val="bottom"/>
            <w:hideMark/>
          </w:tcPr>
          <w:p w14:paraId="151751B4" w14:textId="77777777" w:rsidR="00607B78" w:rsidRPr="009C2953" w:rsidRDefault="00607B78" w:rsidP="00A068F8">
            <w:pPr>
              <w:pStyle w:val="Normal-pool-Table"/>
              <w:spacing w:after="30"/>
              <w:jc w:val="right"/>
              <w:rPr>
                <w:b/>
              </w:rPr>
            </w:pPr>
            <w:r w:rsidRPr="009C2953">
              <w:rPr>
                <w:b/>
              </w:rPr>
              <w:t>87 237</w:t>
            </w:r>
          </w:p>
        </w:tc>
      </w:tr>
      <w:tr w:rsidR="00607B78" w:rsidRPr="009C2953" w14:paraId="5316F5B1"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0FC57C23" w14:textId="77777777" w:rsidR="00607B78" w:rsidRPr="009C2953" w:rsidRDefault="00607B78" w:rsidP="00A068F8">
            <w:pPr>
              <w:pStyle w:val="Normal-pool-Table"/>
              <w:spacing w:after="30"/>
              <w:rPr>
                <w:b/>
              </w:rPr>
            </w:pPr>
            <w:r w:rsidRPr="009C2953">
              <w:rPr>
                <w:b/>
              </w:rPr>
              <w:t>Total partiel (1+2+3)</w:t>
            </w:r>
          </w:p>
        </w:tc>
        <w:tc>
          <w:tcPr>
            <w:tcW w:w="1550" w:type="dxa"/>
            <w:tcBorders>
              <w:top w:val="single" w:sz="4" w:space="0" w:color="000000"/>
              <w:left w:val="nil"/>
              <w:bottom w:val="single" w:sz="4" w:space="0" w:color="000000"/>
              <w:right w:val="nil"/>
            </w:tcBorders>
            <w:vAlign w:val="bottom"/>
            <w:hideMark/>
          </w:tcPr>
          <w:p w14:paraId="2637FC65" w14:textId="77777777" w:rsidR="00607B78" w:rsidRPr="009C2953" w:rsidRDefault="00607B78" w:rsidP="00A068F8">
            <w:pPr>
              <w:pStyle w:val="Normal-pool-Table"/>
              <w:spacing w:after="30"/>
              <w:jc w:val="right"/>
              <w:rPr>
                <w:b/>
              </w:rPr>
            </w:pPr>
            <w:r w:rsidRPr="009C2953">
              <w:rPr>
                <w:b/>
              </w:rPr>
              <w:t>9 397 063</w:t>
            </w:r>
          </w:p>
        </w:tc>
        <w:tc>
          <w:tcPr>
            <w:tcW w:w="1416" w:type="dxa"/>
            <w:tcBorders>
              <w:top w:val="single" w:sz="4" w:space="0" w:color="000000"/>
              <w:left w:val="nil"/>
              <w:bottom w:val="single" w:sz="4" w:space="0" w:color="000000"/>
              <w:right w:val="nil"/>
            </w:tcBorders>
            <w:vAlign w:val="bottom"/>
            <w:hideMark/>
          </w:tcPr>
          <w:p w14:paraId="4CDA7293" w14:textId="77777777" w:rsidR="00607B78" w:rsidRPr="009C2953" w:rsidRDefault="00607B78" w:rsidP="00A068F8">
            <w:pPr>
              <w:pStyle w:val="Normal-pool-Table"/>
              <w:spacing w:after="30"/>
              <w:jc w:val="right"/>
              <w:rPr>
                <w:b/>
              </w:rPr>
            </w:pPr>
            <w:r w:rsidRPr="009C2953">
              <w:rPr>
                <w:b/>
              </w:rPr>
              <w:t>9 681 350</w:t>
            </w:r>
          </w:p>
        </w:tc>
        <w:tc>
          <w:tcPr>
            <w:tcW w:w="1286" w:type="dxa"/>
            <w:tcBorders>
              <w:top w:val="single" w:sz="4" w:space="0" w:color="000000"/>
              <w:left w:val="nil"/>
              <w:bottom w:val="single" w:sz="4" w:space="0" w:color="000000"/>
              <w:right w:val="nil"/>
            </w:tcBorders>
            <w:vAlign w:val="bottom"/>
            <w:hideMark/>
          </w:tcPr>
          <w:p w14:paraId="736A60F8" w14:textId="77777777" w:rsidR="00607B78" w:rsidRPr="009C2953" w:rsidRDefault="00607B78" w:rsidP="00A068F8">
            <w:pPr>
              <w:pStyle w:val="Normal-pool-Table"/>
              <w:spacing w:after="30"/>
              <w:jc w:val="right"/>
              <w:rPr>
                <w:b/>
              </w:rPr>
            </w:pPr>
            <w:r w:rsidRPr="009C2953">
              <w:rPr>
                <w:b/>
              </w:rPr>
              <w:t>284 287</w:t>
            </w:r>
          </w:p>
        </w:tc>
      </w:tr>
      <w:tr w:rsidR="00607B78" w:rsidRPr="009C2953" w14:paraId="3B0E6E18" w14:textId="77777777" w:rsidTr="00A068F8">
        <w:trPr>
          <w:trHeight w:val="57"/>
          <w:jc w:val="right"/>
        </w:trPr>
        <w:tc>
          <w:tcPr>
            <w:tcW w:w="5245" w:type="dxa"/>
            <w:tcBorders>
              <w:top w:val="single" w:sz="4" w:space="0" w:color="000000"/>
              <w:left w:val="nil"/>
              <w:bottom w:val="single" w:sz="4" w:space="0" w:color="000000"/>
              <w:right w:val="nil"/>
            </w:tcBorders>
            <w:vAlign w:val="bottom"/>
            <w:hideMark/>
          </w:tcPr>
          <w:p w14:paraId="32DC5AD9" w14:textId="14FB6C2B" w:rsidR="00607B78" w:rsidRPr="009C2953" w:rsidRDefault="00607B78" w:rsidP="00A068F8">
            <w:pPr>
              <w:pStyle w:val="Normal-pool-Table"/>
              <w:spacing w:after="30"/>
            </w:pPr>
            <w:r w:rsidRPr="009C2953">
              <w:t>Dépenses d</w:t>
            </w:r>
            <w:r w:rsidR="00EA2966" w:rsidRPr="009C2953">
              <w:t>’</w:t>
            </w:r>
            <w:r w:rsidRPr="009C2953">
              <w:t>appui</w:t>
            </w:r>
            <w:r w:rsidR="00F34644" w:rsidRPr="009C2953">
              <w:t xml:space="preserve"> aux </w:t>
            </w:r>
            <w:r w:rsidRPr="009C2953">
              <w:t>programmes</w:t>
            </w:r>
          </w:p>
        </w:tc>
        <w:tc>
          <w:tcPr>
            <w:tcW w:w="1550" w:type="dxa"/>
            <w:tcBorders>
              <w:top w:val="single" w:sz="4" w:space="0" w:color="000000"/>
              <w:left w:val="nil"/>
              <w:bottom w:val="single" w:sz="4" w:space="0" w:color="000000"/>
              <w:right w:val="nil"/>
            </w:tcBorders>
            <w:vAlign w:val="bottom"/>
            <w:hideMark/>
          </w:tcPr>
          <w:p w14:paraId="4A95FE9D" w14:textId="77777777" w:rsidR="00607B78" w:rsidRPr="009C2953" w:rsidRDefault="00607B78" w:rsidP="00A068F8">
            <w:pPr>
              <w:pStyle w:val="Normal-pool-Table"/>
              <w:spacing w:after="30"/>
              <w:jc w:val="right"/>
            </w:pPr>
            <w:r w:rsidRPr="009C2953">
              <w:t>751 765</w:t>
            </w:r>
          </w:p>
        </w:tc>
        <w:tc>
          <w:tcPr>
            <w:tcW w:w="1416" w:type="dxa"/>
            <w:tcBorders>
              <w:top w:val="single" w:sz="4" w:space="0" w:color="000000"/>
              <w:left w:val="nil"/>
              <w:bottom w:val="single" w:sz="4" w:space="0" w:color="000000"/>
              <w:right w:val="nil"/>
            </w:tcBorders>
            <w:vAlign w:val="bottom"/>
            <w:hideMark/>
          </w:tcPr>
          <w:p w14:paraId="7755A752" w14:textId="77777777" w:rsidR="00607B78" w:rsidRPr="009C2953" w:rsidRDefault="00607B78" w:rsidP="00A068F8">
            <w:pPr>
              <w:pStyle w:val="Normal-pool-Table"/>
              <w:spacing w:after="30"/>
              <w:jc w:val="right"/>
            </w:pPr>
            <w:r w:rsidRPr="009C2953">
              <w:t>774 508</w:t>
            </w:r>
          </w:p>
        </w:tc>
        <w:tc>
          <w:tcPr>
            <w:tcW w:w="1286" w:type="dxa"/>
            <w:tcBorders>
              <w:top w:val="single" w:sz="4" w:space="0" w:color="000000"/>
              <w:left w:val="nil"/>
              <w:bottom w:val="single" w:sz="4" w:space="0" w:color="000000"/>
              <w:right w:val="nil"/>
            </w:tcBorders>
            <w:vAlign w:val="bottom"/>
            <w:hideMark/>
          </w:tcPr>
          <w:p w14:paraId="2C00F046" w14:textId="77777777" w:rsidR="00607B78" w:rsidRPr="009C2953" w:rsidRDefault="00607B78" w:rsidP="00A068F8">
            <w:pPr>
              <w:pStyle w:val="Normal-pool-Table"/>
              <w:spacing w:after="30"/>
              <w:jc w:val="right"/>
            </w:pPr>
            <w:r w:rsidRPr="009C2953">
              <w:t>22 743</w:t>
            </w:r>
          </w:p>
        </w:tc>
      </w:tr>
      <w:tr w:rsidR="00607B78" w:rsidRPr="009C2953" w14:paraId="24D40B52" w14:textId="77777777" w:rsidTr="00A068F8">
        <w:trPr>
          <w:trHeight w:val="57"/>
          <w:jc w:val="right"/>
        </w:trPr>
        <w:tc>
          <w:tcPr>
            <w:tcW w:w="5245" w:type="dxa"/>
            <w:tcBorders>
              <w:top w:val="single" w:sz="4" w:space="0" w:color="000000"/>
              <w:left w:val="nil"/>
              <w:bottom w:val="single" w:sz="12" w:space="0" w:color="000000"/>
              <w:right w:val="nil"/>
            </w:tcBorders>
            <w:vAlign w:val="bottom"/>
            <w:hideMark/>
          </w:tcPr>
          <w:p w14:paraId="33A25F31" w14:textId="77777777" w:rsidR="00607B78" w:rsidRPr="009C2953" w:rsidRDefault="00607B78" w:rsidP="00A068F8">
            <w:pPr>
              <w:pStyle w:val="Normal-pool-Table"/>
              <w:spacing w:after="30"/>
              <w:rPr>
                <w:b/>
              </w:rPr>
            </w:pPr>
            <w:r w:rsidRPr="009C2953">
              <w:rPr>
                <w:b/>
              </w:rPr>
              <w:t>Total</w:t>
            </w:r>
          </w:p>
        </w:tc>
        <w:tc>
          <w:tcPr>
            <w:tcW w:w="1550" w:type="dxa"/>
            <w:tcBorders>
              <w:top w:val="single" w:sz="4" w:space="0" w:color="000000"/>
              <w:left w:val="nil"/>
              <w:bottom w:val="single" w:sz="12" w:space="0" w:color="000000"/>
              <w:right w:val="nil"/>
            </w:tcBorders>
            <w:vAlign w:val="bottom"/>
            <w:hideMark/>
          </w:tcPr>
          <w:p w14:paraId="772AB7C9" w14:textId="77777777" w:rsidR="00607B78" w:rsidRPr="009C2953" w:rsidRDefault="00607B78" w:rsidP="00A068F8">
            <w:pPr>
              <w:pStyle w:val="Normal-pool-Table"/>
              <w:spacing w:after="30"/>
              <w:jc w:val="right"/>
              <w:rPr>
                <w:b/>
              </w:rPr>
            </w:pPr>
            <w:r w:rsidRPr="009C2953">
              <w:rPr>
                <w:b/>
              </w:rPr>
              <w:t>10 148 828</w:t>
            </w:r>
          </w:p>
        </w:tc>
        <w:tc>
          <w:tcPr>
            <w:tcW w:w="1416" w:type="dxa"/>
            <w:tcBorders>
              <w:top w:val="single" w:sz="4" w:space="0" w:color="000000"/>
              <w:left w:val="nil"/>
              <w:bottom w:val="single" w:sz="12" w:space="0" w:color="000000"/>
              <w:right w:val="nil"/>
            </w:tcBorders>
            <w:vAlign w:val="bottom"/>
            <w:hideMark/>
          </w:tcPr>
          <w:p w14:paraId="3CD983D2" w14:textId="77777777" w:rsidR="00607B78" w:rsidRPr="009C2953" w:rsidRDefault="00607B78" w:rsidP="00A068F8">
            <w:pPr>
              <w:pStyle w:val="Normal-pool-Table"/>
              <w:spacing w:after="30"/>
              <w:jc w:val="right"/>
              <w:rPr>
                <w:b/>
              </w:rPr>
            </w:pPr>
            <w:r w:rsidRPr="009C2953">
              <w:rPr>
                <w:b/>
              </w:rPr>
              <w:t>10 455 858</w:t>
            </w:r>
          </w:p>
        </w:tc>
        <w:tc>
          <w:tcPr>
            <w:tcW w:w="1286" w:type="dxa"/>
            <w:tcBorders>
              <w:top w:val="single" w:sz="4" w:space="0" w:color="000000"/>
              <w:left w:val="nil"/>
              <w:bottom w:val="single" w:sz="12" w:space="0" w:color="000000"/>
              <w:right w:val="nil"/>
            </w:tcBorders>
            <w:vAlign w:val="bottom"/>
            <w:hideMark/>
          </w:tcPr>
          <w:p w14:paraId="7FA2D50B" w14:textId="77777777" w:rsidR="00607B78" w:rsidRPr="009C2953" w:rsidRDefault="00607B78" w:rsidP="00A068F8">
            <w:pPr>
              <w:pStyle w:val="Normal-pool-Table"/>
              <w:spacing w:after="30"/>
              <w:jc w:val="right"/>
              <w:rPr>
                <w:b/>
              </w:rPr>
            </w:pPr>
            <w:r w:rsidRPr="009C2953">
              <w:rPr>
                <w:b/>
              </w:rPr>
              <w:t>307 030</w:t>
            </w:r>
          </w:p>
        </w:tc>
      </w:tr>
    </w:tbl>
    <w:p w14:paraId="75C31A3C" w14:textId="77777777" w:rsidR="00607B78" w:rsidRPr="009C2953" w:rsidRDefault="00607B78" w:rsidP="00607B78">
      <w:pPr>
        <w:pStyle w:val="CH1"/>
        <w:tabs>
          <w:tab w:val="right" w:pos="9213"/>
        </w:tabs>
        <w:rPr>
          <w:rFonts w:eastAsia="Yu Mincho"/>
        </w:rPr>
      </w:pPr>
      <w:r w:rsidRPr="009C2953">
        <w:tab/>
        <w:t>V.</w:t>
      </w:r>
      <w:r w:rsidRPr="009C2953">
        <w:tab/>
        <w:t>Budget provisoire pour 2025</w:t>
      </w:r>
    </w:p>
    <w:p w14:paraId="58D25AA5" w14:textId="77777777" w:rsidR="00607B78" w:rsidRPr="009C2953" w:rsidRDefault="00607B78" w:rsidP="00607B78">
      <w:pPr>
        <w:pStyle w:val="Titletable"/>
      </w:pPr>
      <w:r w:rsidRPr="009C2953">
        <w:rPr>
          <w:b w:val="0"/>
        </w:rPr>
        <w:t xml:space="preserve">Tableau 8 </w:t>
      </w:r>
      <w:r w:rsidRPr="009C2953">
        <w:br/>
        <w:t>Budget provisoire pour 2025</w:t>
      </w:r>
    </w:p>
    <w:p w14:paraId="18EC46AF" w14:textId="3A37A5EC" w:rsidR="00607B78" w:rsidRPr="009C2953" w:rsidRDefault="00607B78" w:rsidP="00607B78">
      <w:pPr>
        <w:pStyle w:val="Titletable"/>
        <w:rPr>
          <w:b w:val="0"/>
          <w:bCs w:val="0"/>
          <w:sz w:val="18"/>
          <w:szCs w:val="18"/>
        </w:rPr>
      </w:pPr>
      <w:r w:rsidRPr="009C2953">
        <w:rPr>
          <w:b w:val="0"/>
          <w:sz w:val="18"/>
        </w:rPr>
        <w:t>(En dollars</w:t>
      </w:r>
      <w:r w:rsidR="00D24DC1" w:rsidRPr="009C2953">
        <w:rPr>
          <w:b w:val="0"/>
          <w:sz w:val="18"/>
        </w:rPr>
        <w:t xml:space="preserve"> des </w:t>
      </w:r>
      <w:r w:rsidRPr="009C2953">
        <w:rPr>
          <w:b w:val="0"/>
          <w:sz w:val="18"/>
        </w:rPr>
        <w:t>États-Unis)</w:t>
      </w:r>
    </w:p>
    <w:tbl>
      <w:tblPr>
        <w:tblW w:w="5000" w:type="pct"/>
        <w:jc w:val="right"/>
        <w:tblBorders>
          <w:insideH w:val="nil"/>
          <w:insideV w:val="nil"/>
        </w:tblBorders>
        <w:tblLayout w:type="fixed"/>
        <w:tblLook w:val="04A0" w:firstRow="1" w:lastRow="0" w:firstColumn="1" w:lastColumn="0" w:noHBand="0" w:noVBand="1"/>
      </w:tblPr>
      <w:tblGrid>
        <w:gridCol w:w="7513"/>
        <w:gridCol w:w="1984"/>
      </w:tblGrid>
      <w:tr w:rsidR="00607B78" w:rsidRPr="009C2953" w14:paraId="74BA9AF0" w14:textId="77777777" w:rsidTr="00A068F8">
        <w:trPr>
          <w:trHeight w:val="57"/>
          <w:tblHeader/>
          <w:jc w:val="right"/>
        </w:trPr>
        <w:tc>
          <w:tcPr>
            <w:tcW w:w="7513" w:type="dxa"/>
            <w:tcBorders>
              <w:top w:val="single" w:sz="4" w:space="0" w:color="000000"/>
              <w:left w:val="nil"/>
              <w:bottom w:val="single" w:sz="12" w:space="0" w:color="000000"/>
              <w:right w:val="nil"/>
            </w:tcBorders>
            <w:vAlign w:val="bottom"/>
            <w:hideMark/>
          </w:tcPr>
          <w:p w14:paraId="3B6059C7" w14:textId="77777777" w:rsidR="00607B78" w:rsidRPr="009C2953" w:rsidRDefault="00607B78" w:rsidP="00A068F8">
            <w:pPr>
              <w:pStyle w:val="Normal-pool"/>
              <w:spacing w:before="40" w:after="40"/>
              <w:rPr>
                <w:i/>
                <w:iCs/>
                <w:sz w:val="18"/>
                <w:szCs w:val="18"/>
              </w:rPr>
            </w:pPr>
            <w:r w:rsidRPr="009C2953">
              <w:rPr>
                <w:i/>
                <w:sz w:val="18"/>
              </w:rPr>
              <w:t>Postes de dépenses</w:t>
            </w:r>
          </w:p>
        </w:tc>
        <w:tc>
          <w:tcPr>
            <w:tcW w:w="1984" w:type="dxa"/>
            <w:tcBorders>
              <w:top w:val="single" w:sz="4" w:space="0" w:color="000000"/>
              <w:left w:val="nil"/>
              <w:bottom w:val="single" w:sz="12" w:space="0" w:color="000000"/>
              <w:right w:val="nil"/>
            </w:tcBorders>
            <w:vAlign w:val="bottom"/>
            <w:hideMark/>
          </w:tcPr>
          <w:p w14:paraId="7A60F597" w14:textId="353A076C" w:rsidR="00607B78" w:rsidRPr="009C2953" w:rsidRDefault="00607B78" w:rsidP="00A068F8">
            <w:pPr>
              <w:pStyle w:val="Normal-pool"/>
              <w:spacing w:before="40" w:after="40"/>
              <w:jc w:val="right"/>
              <w:rPr>
                <w:i/>
                <w:iCs/>
                <w:sz w:val="18"/>
                <w:szCs w:val="18"/>
              </w:rPr>
            </w:pPr>
            <w:r w:rsidRPr="009C2953">
              <w:rPr>
                <w:i/>
                <w:sz w:val="18"/>
              </w:rPr>
              <w:t>Budget provisoire pour</w:t>
            </w:r>
            <w:r w:rsidR="0096438D" w:rsidRPr="009C2953">
              <w:rPr>
                <w:i/>
                <w:sz w:val="18"/>
              </w:rPr>
              <w:t> </w:t>
            </w:r>
            <w:r w:rsidRPr="009C2953">
              <w:rPr>
                <w:i/>
                <w:sz w:val="18"/>
              </w:rPr>
              <w:t>2025</w:t>
            </w:r>
          </w:p>
        </w:tc>
      </w:tr>
      <w:tr w:rsidR="00607B78" w:rsidRPr="009C2953" w14:paraId="797C3A7F" w14:textId="77777777" w:rsidTr="00A068F8">
        <w:trPr>
          <w:trHeight w:val="57"/>
          <w:jc w:val="right"/>
        </w:trPr>
        <w:tc>
          <w:tcPr>
            <w:tcW w:w="7513" w:type="dxa"/>
            <w:tcBorders>
              <w:top w:val="single" w:sz="12" w:space="0" w:color="000000"/>
              <w:left w:val="nil"/>
              <w:bottom w:val="nil"/>
              <w:right w:val="nil"/>
            </w:tcBorders>
            <w:hideMark/>
          </w:tcPr>
          <w:p w14:paraId="35D6D768" w14:textId="093B621D" w:rsidR="00607B78" w:rsidRPr="009C2953" w:rsidRDefault="00607B78" w:rsidP="00A068F8">
            <w:pPr>
              <w:pStyle w:val="Normal-pool"/>
              <w:tabs>
                <w:tab w:val="left" w:pos="322"/>
              </w:tabs>
              <w:spacing w:before="40" w:after="40"/>
              <w:rPr>
                <w:b/>
                <w:sz w:val="18"/>
                <w:szCs w:val="18"/>
              </w:rPr>
            </w:pPr>
            <w:r w:rsidRPr="009C2953">
              <w:rPr>
                <w:b/>
                <w:sz w:val="18"/>
              </w:rPr>
              <w:t>1.</w:t>
            </w:r>
            <w:r w:rsidRPr="009C2953">
              <w:rPr>
                <w:b/>
                <w:sz w:val="18"/>
              </w:rPr>
              <w:tab/>
              <w:t>Réunions</w:t>
            </w:r>
            <w:r w:rsidR="00D24DC1" w:rsidRPr="009C2953">
              <w:rPr>
                <w:b/>
                <w:sz w:val="18"/>
              </w:rPr>
              <w:t xml:space="preserve"> des </w:t>
            </w:r>
            <w:r w:rsidRPr="009C2953">
              <w:rPr>
                <w:b/>
                <w:sz w:val="18"/>
              </w:rPr>
              <w:t>organes de</w:t>
            </w:r>
            <w:r w:rsidR="00F34644" w:rsidRPr="009C2953">
              <w:rPr>
                <w:b/>
                <w:sz w:val="18"/>
              </w:rPr>
              <w:t xml:space="preserve"> la </w:t>
            </w:r>
            <w:r w:rsidRPr="009C2953">
              <w:rPr>
                <w:b/>
                <w:sz w:val="18"/>
              </w:rPr>
              <w:t>IPBES</w:t>
            </w:r>
          </w:p>
        </w:tc>
        <w:tc>
          <w:tcPr>
            <w:tcW w:w="1984" w:type="dxa"/>
            <w:tcBorders>
              <w:top w:val="single" w:sz="12" w:space="0" w:color="000000"/>
              <w:left w:val="nil"/>
              <w:bottom w:val="nil"/>
              <w:right w:val="nil"/>
            </w:tcBorders>
          </w:tcPr>
          <w:p w14:paraId="0E12921E" w14:textId="77777777" w:rsidR="00607B78" w:rsidRPr="009C2953" w:rsidRDefault="00607B78" w:rsidP="00A068F8">
            <w:pPr>
              <w:pStyle w:val="Normal-pool"/>
              <w:spacing w:before="40" w:after="40"/>
              <w:jc w:val="right"/>
              <w:rPr>
                <w:b/>
                <w:sz w:val="18"/>
                <w:szCs w:val="18"/>
              </w:rPr>
            </w:pPr>
          </w:p>
        </w:tc>
      </w:tr>
      <w:tr w:rsidR="00607B78" w:rsidRPr="009C2953" w14:paraId="35747447" w14:textId="77777777" w:rsidTr="00A068F8">
        <w:trPr>
          <w:trHeight w:val="57"/>
          <w:jc w:val="right"/>
        </w:trPr>
        <w:tc>
          <w:tcPr>
            <w:tcW w:w="7513" w:type="dxa"/>
            <w:tcBorders>
              <w:top w:val="nil"/>
              <w:left w:val="nil"/>
              <w:bottom w:val="nil"/>
              <w:right w:val="nil"/>
            </w:tcBorders>
            <w:hideMark/>
          </w:tcPr>
          <w:p w14:paraId="2DDD23C8" w14:textId="79FF69B1" w:rsidR="00607B78" w:rsidRPr="009C2953" w:rsidRDefault="00607B78" w:rsidP="00A068F8">
            <w:pPr>
              <w:pStyle w:val="Normal-pool"/>
              <w:tabs>
                <w:tab w:val="left" w:pos="322"/>
              </w:tabs>
              <w:spacing w:before="40" w:after="40"/>
              <w:rPr>
                <w:b/>
                <w:sz w:val="18"/>
                <w:szCs w:val="18"/>
              </w:rPr>
            </w:pPr>
            <w:r w:rsidRPr="009C2953">
              <w:rPr>
                <w:b/>
                <w:sz w:val="18"/>
              </w:rPr>
              <w:t>1.</w:t>
            </w:r>
            <w:r w:rsidRPr="009C2953">
              <w:rPr>
                <w:b/>
                <w:sz w:val="18"/>
              </w:rPr>
              <w:tab/>
              <w:t>Sessions de</w:t>
            </w:r>
            <w:r w:rsidR="00F34644" w:rsidRPr="009C2953">
              <w:rPr>
                <w:b/>
                <w:sz w:val="18"/>
              </w:rPr>
              <w:t xml:space="preserve"> la </w:t>
            </w:r>
            <w:r w:rsidRPr="009C2953">
              <w:rPr>
                <w:b/>
                <w:sz w:val="18"/>
              </w:rPr>
              <w:t>Plénière</w:t>
            </w:r>
          </w:p>
        </w:tc>
        <w:tc>
          <w:tcPr>
            <w:tcW w:w="1984" w:type="dxa"/>
            <w:tcBorders>
              <w:top w:val="nil"/>
              <w:left w:val="nil"/>
              <w:bottom w:val="nil"/>
              <w:right w:val="nil"/>
            </w:tcBorders>
          </w:tcPr>
          <w:p w14:paraId="17B27D0F" w14:textId="77777777" w:rsidR="00607B78" w:rsidRPr="009C2953" w:rsidRDefault="00607B78" w:rsidP="00A068F8">
            <w:pPr>
              <w:pStyle w:val="Normal-pool"/>
              <w:spacing w:before="40" w:after="40"/>
              <w:jc w:val="right"/>
              <w:rPr>
                <w:b/>
                <w:sz w:val="18"/>
                <w:szCs w:val="18"/>
              </w:rPr>
            </w:pPr>
          </w:p>
        </w:tc>
      </w:tr>
      <w:tr w:rsidR="00607B78" w:rsidRPr="009C2953" w14:paraId="597D0120" w14:textId="77777777" w:rsidTr="00A068F8">
        <w:trPr>
          <w:trHeight w:val="57"/>
          <w:jc w:val="right"/>
        </w:trPr>
        <w:tc>
          <w:tcPr>
            <w:tcW w:w="7513" w:type="dxa"/>
            <w:tcBorders>
              <w:top w:val="nil"/>
              <w:left w:val="nil"/>
              <w:bottom w:val="nil"/>
              <w:right w:val="nil"/>
            </w:tcBorders>
            <w:hideMark/>
          </w:tcPr>
          <w:p w14:paraId="4F9D9ABD" w14:textId="163FA500" w:rsidR="00607B78" w:rsidRPr="009C2953" w:rsidRDefault="00607B78" w:rsidP="00A068F8">
            <w:pPr>
              <w:pStyle w:val="Normal-pool"/>
              <w:spacing w:before="40" w:after="40"/>
              <w:ind w:left="319"/>
              <w:rPr>
                <w:sz w:val="18"/>
                <w:szCs w:val="18"/>
              </w:rPr>
            </w:pPr>
            <w:r w:rsidRPr="009C2953">
              <w:rPr>
                <w:sz w:val="18"/>
              </w:rPr>
              <w:t>Frais de voyage</w:t>
            </w:r>
            <w:r w:rsidR="00D24DC1" w:rsidRPr="009C2953">
              <w:rPr>
                <w:sz w:val="18"/>
              </w:rPr>
              <w:t xml:space="preserve"> des </w:t>
            </w:r>
            <w:r w:rsidRPr="009C2953">
              <w:rPr>
                <w:sz w:val="18"/>
              </w:rPr>
              <w:t>participant(e)s à</w:t>
            </w:r>
            <w:r w:rsidR="00F34644" w:rsidRPr="009C2953">
              <w:rPr>
                <w:sz w:val="18"/>
              </w:rPr>
              <w:t xml:space="preserve"> la </w:t>
            </w:r>
            <w:r w:rsidRPr="009C2953">
              <w:rPr>
                <w:sz w:val="18"/>
              </w:rPr>
              <w:t>douzième session de</w:t>
            </w:r>
            <w:r w:rsidR="00F34644" w:rsidRPr="009C2953">
              <w:rPr>
                <w:sz w:val="18"/>
              </w:rPr>
              <w:t xml:space="preserve"> la </w:t>
            </w:r>
            <w:r w:rsidRPr="009C2953">
              <w:rPr>
                <w:sz w:val="18"/>
              </w:rPr>
              <w:t>Plénière (frais</w:t>
            </w:r>
            <w:r w:rsidR="0096438D" w:rsidRPr="009C2953">
              <w:rPr>
                <w:sz w:val="18"/>
              </w:rPr>
              <w:t> </w:t>
            </w:r>
            <w:r w:rsidRPr="009C2953">
              <w:rPr>
                <w:sz w:val="18"/>
              </w:rPr>
              <w:t>de</w:t>
            </w:r>
            <w:r w:rsidR="0096438D" w:rsidRPr="009C2953">
              <w:rPr>
                <w:sz w:val="18"/>
              </w:rPr>
              <w:t> </w:t>
            </w:r>
            <w:r w:rsidRPr="009C2953">
              <w:rPr>
                <w:sz w:val="18"/>
              </w:rPr>
              <w:t>voyage</w:t>
            </w:r>
            <w:r w:rsidR="0096438D" w:rsidRPr="009C2953">
              <w:rPr>
                <w:sz w:val="18"/>
              </w:rPr>
              <w:t> </w:t>
            </w:r>
            <w:r w:rsidRPr="009C2953">
              <w:rPr>
                <w:sz w:val="18"/>
              </w:rPr>
              <w:t>et</w:t>
            </w:r>
            <w:r w:rsidR="0025203C" w:rsidRPr="009C2953">
              <w:rPr>
                <w:sz w:val="18"/>
              </w:rPr>
              <w:t> </w:t>
            </w:r>
            <w:r w:rsidRPr="009C2953">
              <w:rPr>
                <w:sz w:val="18"/>
              </w:rPr>
              <w:t xml:space="preserve">indemnité journalière de subsistance) </w:t>
            </w:r>
          </w:p>
        </w:tc>
        <w:tc>
          <w:tcPr>
            <w:tcW w:w="1984" w:type="dxa"/>
            <w:tcBorders>
              <w:top w:val="nil"/>
              <w:left w:val="nil"/>
              <w:bottom w:val="nil"/>
              <w:right w:val="nil"/>
            </w:tcBorders>
            <w:vAlign w:val="bottom"/>
            <w:hideMark/>
          </w:tcPr>
          <w:p w14:paraId="6C46216B" w14:textId="77777777" w:rsidR="00607B78" w:rsidRPr="009C2953" w:rsidRDefault="00607B78" w:rsidP="00A068F8">
            <w:pPr>
              <w:pStyle w:val="Normal-pool"/>
              <w:spacing w:before="40" w:after="40"/>
              <w:jc w:val="right"/>
              <w:rPr>
                <w:sz w:val="18"/>
                <w:szCs w:val="18"/>
              </w:rPr>
            </w:pPr>
            <w:r w:rsidRPr="009C2953">
              <w:rPr>
                <w:sz w:val="18"/>
              </w:rPr>
              <w:t>500 000</w:t>
            </w:r>
          </w:p>
        </w:tc>
      </w:tr>
      <w:tr w:rsidR="00607B78" w:rsidRPr="009C2953" w14:paraId="3C9FEE7B" w14:textId="77777777" w:rsidTr="00A068F8">
        <w:trPr>
          <w:trHeight w:val="57"/>
          <w:jc w:val="right"/>
        </w:trPr>
        <w:tc>
          <w:tcPr>
            <w:tcW w:w="7513" w:type="dxa"/>
            <w:tcBorders>
              <w:top w:val="nil"/>
              <w:left w:val="nil"/>
              <w:bottom w:val="nil"/>
              <w:right w:val="nil"/>
            </w:tcBorders>
            <w:hideMark/>
          </w:tcPr>
          <w:p w14:paraId="2BA12130" w14:textId="77777777" w:rsidR="00607B78" w:rsidRPr="009C2953" w:rsidRDefault="00607B78" w:rsidP="00A068F8">
            <w:pPr>
              <w:pStyle w:val="Normal-pool"/>
              <w:spacing w:before="40" w:after="40"/>
              <w:ind w:left="319"/>
              <w:rPr>
                <w:sz w:val="18"/>
                <w:szCs w:val="18"/>
              </w:rPr>
            </w:pPr>
            <w:r w:rsidRPr="009C2953">
              <w:rPr>
                <w:sz w:val="18"/>
              </w:rPr>
              <w:t>Services de conférence (traduction, édition et interprétation)</w:t>
            </w:r>
          </w:p>
        </w:tc>
        <w:tc>
          <w:tcPr>
            <w:tcW w:w="1984" w:type="dxa"/>
            <w:tcBorders>
              <w:top w:val="nil"/>
              <w:left w:val="nil"/>
              <w:bottom w:val="nil"/>
              <w:right w:val="nil"/>
            </w:tcBorders>
            <w:vAlign w:val="bottom"/>
            <w:hideMark/>
          </w:tcPr>
          <w:p w14:paraId="5F82EBE1" w14:textId="77777777" w:rsidR="00607B78" w:rsidRPr="009C2953" w:rsidRDefault="00607B78" w:rsidP="00A068F8">
            <w:pPr>
              <w:pStyle w:val="Normal-pool"/>
              <w:spacing w:before="40" w:after="40"/>
              <w:jc w:val="right"/>
              <w:rPr>
                <w:sz w:val="18"/>
                <w:szCs w:val="18"/>
              </w:rPr>
            </w:pPr>
            <w:r w:rsidRPr="009C2953">
              <w:rPr>
                <w:sz w:val="18"/>
              </w:rPr>
              <w:t>830 000</w:t>
            </w:r>
          </w:p>
        </w:tc>
      </w:tr>
      <w:tr w:rsidR="00607B78" w:rsidRPr="009C2953" w14:paraId="56E3C8D0" w14:textId="77777777" w:rsidTr="00A068F8">
        <w:trPr>
          <w:trHeight w:val="57"/>
          <w:jc w:val="right"/>
        </w:trPr>
        <w:tc>
          <w:tcPr>
            <w:tcW w:w="7513" w:type="dxa"/>
            <w:tcBorders>
              <w:top w:val="nil"/>
              <w:left w:val="nil"/>
              <w:bottom w:val="nil"/>
              <w:right w:val="nil"/>
            </w:tcBorders>
            <w:hideMark/>
          </w:tcPr>
          <w:p w14:paraId="5E8CB30F" w14:textId="789D8019" w:rsidR="00607B78" w:rsidRPr="009C2953" w:rsidRDefault="00607B78" w:rsidP="00A068F8">
            <w:pPr>
              <w:pStyle w:val="Normal-pool"/>
              <w:spacing w:before="40" w:after="40"/>
              <w:ind w:left="319"/>
              <w:rPr>
                <w:sz w:val="18"/>
                <w:szCs w:val="18"/>
              </w:rPr>
            </w:pPr>
            <w:r w:rsidRPr="009C2953">
              <w:rPr>
                <w:sz w:val="18"/>
              </w:rPr>
              <w:t>Services d</w:t>
            </w:r>
            <w:r w:rsidR="00EA2966" w:rsidRPr="009C2953">
              <w:rPr>
                <w:sz w:val="18"/>
              </w:rPr>
              <w:t>’</w:t>
            </w:r>
            <w:r w:rsidRPr="009C2953">
              <w:rPr>
                <w:sz w:val="18"/>
              </w:rPr>
              <w:t>établissement</w:t>
            </w:r>
            <w:r w:rsidR="00D24DC1" w:rsidRPr="009C2953">
              <w:rPr>
                <w:sz w:val="18"/>
              </w:rPr>
              <w:t xml:space="preserve"> des </w:t>
            </w:r>
            <w:r w:rsidRPr="009C2953">
              <w:rPr>
                <w:sz w:val="18"/>
              </w:rPr>
              <w:t>rapports</w:t>
            </w:r>
          </w:p>
        </w:tc>
        <w:tc>
          <w:tcPr>
            <w:tcW w:w="1984" w:type="dxa"/>
            <w:tcBorders>
              <w:top w:val="nil"/>
              <w:left w:val="nil"/>
              <w:bottom w:val="nil"/>
              <w:right w:val="nil"/>
            </w:tcBorders>
            <w:vAlign w:val="bottom"/>
            <w:hideMark/>
          </w:tcPr>
          <w:p w14:paraId="56BE2023" w14:textId="77777777" w:rsidR="00607B78" w:rsidRPr="009C2953" w:rsidRDefault="00607B78" w:rsidP="00A068F8">
            <w:pPr>
              <w:pStyle w:val="Normal-pool"/>
              <w:spacing w:before="40" w:after="40"/>
              <w:jc w:val="right"/>
              <w:rPr>
                <w:sz w:val="18"/>
                <w:szCs w:val="18"/>
              </w:rPr>
            </w:pPr>
            <w:r w:rsidRPr="009C2953">
              <w:rPr>
                <w:sz w:val="18"/>
              </w:rPr>
              <w:t>65 000</w:t>
            </w:r>
          </w:p>
        </w:tc>
      </w:tr>
      <w:tr w:rsidR="00607B78" w:rsidRPr="009C2953" w14:paraId="0188C287" w14:textId="77777777" w:rsidTr="00A068F8">
        <w:trPr>
          <w:trHeight w:val="57"/>
          <w:jc w:val="right"/>
        </w:trPr>
        <w:tc>
          <w:tcPr>
            <w:tcW w:w="7513" w:type="dxa"/>
            <w:tcBorders>
              <w:top w:val="nil"/>
              <w:left w:val="nil"/>
              <w:bottom w:val="single" w:sz="4" w:space="0" w:color="000000"/>
              <w:right w:val="nil"/>
            </w:tcBorders>
            <w:hideMark/>
          </w:tcPr>
          <w:p w14:paraId="7B9BB531" w14:textId="77777777" w:rsidR="00607B78" w:rsidRPr="009C2953" w:rsidRDefault="00607B78" w:rsidP="00A068F8">
            <w:pPr>
              <w:pStyle w:val="Normal-pool"/>
              <w:spacing w:before="40" w:after="40"/>
              <w:ind w:left="319"/>
              <w:rPr>
                <w:sz w:val="18"/>
                <w:szCs w:val="18"/>
              </w:rPr>
            </w:pPr>
            <w:r w:rsidRPr="009C2953">
              <w:rPr>
                <w:sz w:val="18"/>
              </w:rPr>
              <w:t xml:space="preserve">Services de sécurité et autres dépenses </w:t>
            </w:r>
          </w:p>
        </w:tc>
        <w:tc>
          <w:tcPr>
            <w:tcW w:w="1984" w:type="dxa"/>
            <w:tcBorders>
              <w:top w:val="nil"/>
              <w:left w:val="nil"/>
              <w:bottom w:val="single" w:sz="4" w:space="0" w:color="000000"/>
              <w:right w:val="nil"/>
            </w:tcBorders>
            <w:vAlign w:val="bottom"/>
            <w:hideMark/>
          </w:tcPr>
          <w:p w14:paraId="1F830CA4" w14:textId="77777777" w:rsidR="00607B78" w:rsidRPr="009C2953" w:rsidRDefault="00607B78" w:rsidP="00A068F8">
            <w:pPr>
              <w:pStyle w:val="Normal-pool"/>
              <w:spacing w:before="40" w:after="40"/>
              <w:jc w:val="right"/>
              <w:rPr>
                <w:sz w:val="18"/>
                <w:szCs w:val="18"/>
              </w:rPr>
            </w:pPr>
            <w:r w:rsidRPr="009C2953">
              <w:rPr>
                <w:sz w:val="18"/>
              </w:rPr>
              <w:t>200 000</w:t>
            </w:r>
          </w:p>
        </w:tc>
      </w:tr>
      <w:tr w:rsidR="00607B78" w:rsidRPr="009C2953" w14:paraId="12F8FBA7" w14:textId="77777777" w:rsidTr="00A068F8">
        <w:trPr>
          <w:trHeight w:val="57"/>
          <w:jc w:val="right"/>
        </w:trPr>
        <w:tc>
          <w:tcPr>
            <w:tcW w:w="7513" w:type="dxa"/>
            <w:tcBorders>
              <w:top w:val="single" w:sz="4" w:space="0" w:color="000000"/>
              <w:left w:val="nil"/>
              <w:bottom w:val="single" w:sz="4" w:space="0" w:color="000000"/>
              <w:right w:val="nil"/>
            </w:tcBorders>
            <w:hideMark/>
          </w:tcPr>
          <w:p w14:paraId="769B6B70" w14:textId="18FC6945" w:rsidR="00607B78" w:rsidRPr="009C2953" w:rsidRDefault="00607B78" w:rsidP="00A068F8">
            <w:pPr>
              <w:pStyle w:val="Normal-pool"/>
              <w:spacing w:before="40" w:after="40"/>
              <w:rPr>
                <w:b/>
                <w:sz w:val="18"/>
                <w:szCs w:val="18"/>
              </w:rPr>
            </w:pPr>
            <w:r w:rsidRPr="009C2953">
              <w:rPr>
                <w:b/>
                <w:sz w:val="18"/>
              </w:rPr>
              <w:t>Total partiel 1.1, sessions de</w:t>
            </w:r>
            <w:r w:rsidR="00F34644" w:rsidRPr="009C2953">
              <w:rPr>
                <w:b/>
                <w:sz w:val="18"/>
              </w:rPr>
              <w:t xml:space="preserve"> la </w:t>
            </w:r>
            <w:r w:rsidRPr="009C2953">
              <w:rPr>
                <w:b/>
                <w:sz w:val="18"/>
              </w:rPr>
              <w:t>Plénière</w:t>
            </w:r>
          </w:p>
        </w:tc>
        <w:tc>
          <w:tcPr>
            <w:tcW w:w="1984" w:type="dxa"/>
            <w:tcBorders>
              <w:top w:val="single" w:sz="4" w:space="0" w:color="000000"/>
              <w:left w:val="nil"/>
              <w:bottom w:val="single" w:sz="4" w:space="0" w:color="000000"/>
              <w:right w:val="nil"/>
            </w:tcBorders>
            <w:vAlign w:val="bottom"/>
            <w:hideMark/>
          </w:tcPr>
          <w:p w14:paraId="4375A2F2" w14:textId="77777777" w:rsidR="00607B78" w:rsidRPr="009C2953" w:rsidRDefault="00607B78" w:rsidP="00A068F8">
            <w:pPr>
              <w:pStyle w:val="Normal-pool"/>
              <w:spacing w:before="40" w:after="40"/>
              <w:jc w:val="right"/>
              <w:rPr>
                <w:b/>
                <w:sz w:val="18"/>
                <w:szCs w:val="18"/>
              </w:rPr>
            </w:pPr>
            <w:r w:rsidRPr="009C2953">
              <w:rPr>
                <w:b/>
                <w:sz w:val="18"/>
              </w:rPr>
              <w:t>1 595 000</w:t>
            </w:r>
          </w:p>
        </w:tc>
      </w:tr>
      <w:tr w:rsidR="00607B78" w:rsidRPr="009C2953" w14:paraId="222C24FE" w14:textId="77777777" w:rsidTr="00A068F8">
        <w:trPr>
          <w:trHeight w:val="57"/>
          <w:jc w:val="right"/>
        </w:trPr>
        <w:tc>
          <w:tcPr>
            <w:tcW w:w="7513" w:type="dxa"/>
            <w:tcBorders>
              <w:top w:val="single" w:sz="4" w:space="0" w:color="000000"/>
              <w:left w:val="nil"/>
              <w:bottom w:val="nil"/>
              <w:right w:val="nil"/>
            </w:tcBorders>
            <w:hideMark/>
          </w:tcPr>
          <w:p w14:paraId="74DAF20F" w14:textId="681540D0" w:rsidR="00607B78" w:rsidRPr="009C2953" w:rsidRDefault="00607B78" w:rsidP="00A068F8">
            <w:pPr>
              <w:pStyle w:val="Normal-pool"/>
              <w:tabs>
                <w:tab w:val="left" w:pos="322"/>
              </w:tabs>
              <w:spacing w:before="40" w:after="40"/>
              <w:rPr>
                <w:b/>
                <w:sz w:val="18"/>
                <w:szCs w:val="18"/>
              </w:rPr>
            </w:pPr>
            <w:r w:rsidRPr="009C2953">
              <w:rPr>
                <w:b/>
                <w:sz w:val="18"/>
              </w:rPr>
              <w:t>1.2</w:t>
            </w:r>
            <w:r w:rsidRPr="009C2953">
              <w:rPr>
                <w:b/>
                <w:sz w:val="18"/>
              </w:rPr>
              <w:tab/>
              <w:t>Sessions du Bureau et du Groupe d</w:t>
            </w:r>
            <w:r w:rsidR="00EA2966" w:rsidRPr="009C2953">
              <w:rPr>
                <w:b/>
                <w:sz w:val="18"/>
              </w:rPr>
              <w:t>’</w:t>
            </w:r>
            <w:r w:rsidRPr="009C2953">
              <w:rPr>
                <w:b/>
                <w:sz w:val="18"/>
              </w:rPr>
              <w:t>experts multidisciplinaires</w:t>
            </w:r>
          </w:p>
        </w:tc>
        <w:tc>
          <w:tcPr>
            <w:tcW w:w="1984" w:type="dxa"/>
            <w:tcBorders>
              <w:top w:val="single" w:sz="4" w:space="0" w:color="000000"/>
              <w:left w:val="nil"/>
              <w:bottom w:val="nil"/>
              <w:right w:val="nil"/>
            </w:tcBorders>
            <w:vAlign w:val="bottom"/>
          </w:tcPr>
          <w:p w14:paraId="0E8512BA" w14:textId="77777777" w:rsidR="00607B78" w:rsidRPr="009C2953" w:rsidRDefault="00607B78" w:rsidP="00A068F8">
            <w:pPr>
              <w:pStyle w:val="Normal-pool"/>
              <w:spacing w:before="40" w:after="40"/>
              <w:jc w:val="right"/>
              <w:rPr>
                <w:sz w:val="18"/>
                <w:szCs w:val="18"/>
              </w:rPr>
            </w:pPr>
          </w:p>
        </w:tc>
      </w:tr>
      <w:tr w:rsidR="00607B78" w:rsidRPr="009C2953" w14:paraId="56386254" w14:textId="77777777" w:rsidTr="00A068F8">
        <w:trPr>
          <w:trHeight w:val="57"/>
          <w:jc w:val="right"/>
        </w:trPr>
        <w:tc>
          <w:tcPr>
            <w:tcW w:w="7513" w:type="dxa"/>
            <w:tcBorders>
              <w:top w:val="nil"/>
              <w:left w:val="nil"/>
              <w:bottom w:val="nil"/>
              <w:right w:val="nil"/>
            </w:tcBorders>
            <w:hideMark/>
          </w:tcPr>
          <w:p w14:paraId="1293D953" w14:textId="5F4A36D2" w:rsidR="00607B78" w:rsidRPr="009C2953" w:rsidRDefault="00607B78" w:rsidP="00A068F8">
            <w:pPr>
              <w:pStyle w:val="Normal-pool"/>
              <w:spacing w:before="40" w:after="40"/>
              <w:ind w:left="319"/>
              <w:rPr>
                <w:sz w:val="18"/>
                <w:szCs w:val="18"/>
              </w:rPr>
            </w:pPr>
            <w:r w:rsidRPr="009C2953">
              <w:rPr>
                <w:sz w:val="18"/>
              </w:rPr>
              <w:t>Frais de voyage et coût</w:t>
            </w:r>
            <w:r w:rsidR="00D24DC1" w:rsidRPr="009C2953">
              <w:rPr>
                <w:sz w:val="18"/>
              </w:rPr>
              <w:t xml:space="preserve"> des </w:t>
            </w:r>
            <w:r w:rsidRPr="009C2953">
              <w:rPr>
                <w:sz w:val="18"/>
              </w:rPr>
              <w:t>réunions pour</w:t>
            </w:r>
            <w:r w:rsidR="00F34644" w:rsidRPr="009C2953">
              <w:rPr>
                <w:sz w:val="18"/>
              </w:rPr>
              <w:t xml:space="preserve"> </w:t>
            </w:r>
            <w:proofErr w:type="gramStart"/>
            <w:r w:rsidR="00F34644" w:rsidRPr="009C2953">
              <w:rPr>
                <w:sz w:val="18"/>
              </w:rPr>
              <w:t>les </w:t>
            </w:r>
            <w:r w:rsidRPr="009C2953">
              <w:rPr>
                <w:sz w:val="18"/>
              </w:rPr>
              <w:t>participant</w:t>
            </w:r>
            <w:proofErr w:type="gramEnd"/>
            <w:r w:rsidRPr="009C2953">
              <w:rPr>
                <w:sz w:val="18"/>
              </w:rPr>
              <w:t>(e)s à</w:t>
            </w:r>
            <w:r w:rsidR="00F34644" w:rsidRPr="009C2953">
              <w:rPr>
                <w:sz w:val="18"/>
              </w:rPr>
              <w:t xml:space="preserve"> une </w:t>
            </w:r>
            <w:r w:rsidRPr="009C2953">
              <w:rPr>
                <w:sz w:val="18"/>
              </w:rPr>
              <w:t>session du Bureau</w:t>
            </w:r>
          </w:p>
        </w:tc>
        <w:tc>
          <w:tcPr>
            <w:tcW w:w="1984" w:type="dxa"/>
            <w:tcBorders>
              <w:top w:val="nil"/>
              <w:left w:val="nil"/>
              <w:bottom w:val="nil"/>
              <w:right w:val="nil"/>
            </w:tcBorders>
            <w:vAlign w:val="bottom"/>
            <w:hideMark/>
          </w:tcPr>
          <w:p w14:paraId="4D050FB5" w14:textId="77777777" w:rsidR="00607B78" w:rsidRPr="009C2953" w:rsidRDefault="00607B78" w:rsidP="00A068F8">
            <w:pPr>
              <w:pStyle w:val="Normal-pool"/>
              <w:spacing w:before="40" w:after="40"/>
              <w:jc w:val="right"/>
              <w:rPr>
                <w:sz w:val="18"/>
                <w:szCs w:val="18"/>
              </w:rPr>
            </w:pPr>
            <w:r w:rsidRPr="009C2953">
              <w:rPr>
                <w:sz w:val="18"/>
              </w:rPr>
              <w:t>35 450</w:t>
            </w:r>
          </w:p>
        </w:tc>
      </w:tr>
      <w:tr w:rsidR="00607B78" w:rsidRPr="009C2953" w14:paraId="778F2EC9" w14:textId="77777777" w:rsidTr="00A068F8">
        <w:trPr>
          <w:trHeight w:val="57"/>
          <w:jc w:val="right"/>
        </w:trPr>
        <w:tc>
          <w:tcPr>
            <w:tcW w:w="7513" w:type="dxa"/>
            <w:tcBorders>
              <w:top w:val="nil"/>
              <w:left w:val="nil"/>
              <w:bottom w:val="single" w:sz="4" w:space="0" w:color="000000"/>
              <w:right w:val="nil"/>
            </w:tcBorders>
            <w:hideMark/>
          </w:tcPr>
          <w:p w14:paraId="4C21069C" w14:textId="2F2E4AE8" w:rsidR="00607B78" w:rsidRPr="009C2953" w:rsidRDefault="00607B78" w:rsidP="00A068F8">
            <w:pPr>
              <w:pStyle w:val="Normal-pool"/>
              <w:spacing w:before="40" w:after="40"/>
              <w:ind w:left="319"/>
              <w:rPr>
                <w:sz w:val="18"/>
                <w:szCs w:val="18"/>
              </w:rPr>
            </w:pPr>
            <w:r w:rsidRPr="009C2953">
              <w:rPr>
                <w:sz w:val="18"/>
              </w:rPr>
              <w:t>Frais de voyage et coût</w:t>
            </w:r>
            <w:r w:rsidR="00D24DC1" w:rsidRPr="009C2953">
              <w:rPr>
                <w:sz w:val="18"/>
              </w:rPr>
              <w:t xml:space="preserve"> des </w:t>
            </w:r>
            <w:r w:rsidRPr="009C2953">
              <w:rPr>
                <w:sz w:val="18"/>
              </w:rPr>
              <w:t>réunions pour</w:t>
            </w:r>
            <w:r w:rsidR="00F34644" w:rsidRPr="009C2953">
              <w:rPr>
                <w:sz w:val="18"/>
              </w:rPr>
              <w:t xml:space="preserve"> </w:t>
            </w:r>
            <w:proofErr w:type="gramStart"/>
            <w:r w:rsidR="00F34644" w:rsidRPr="009C2953">
              <w:rPr>
                <w:sz w:val="18"/>
              </w:rPr>
              <w:t>les </w:t>
            </w:r>
            <w:r w:rsidRPr="009C2953">
              <w:rPr>
                <w:sz w:val="18"/>
              </w:rPr>
              <w:t>participant</w:t>
            </w:r>
            <w:proofErr w:type="gramEnd"/>
            <w:r w:rsidRPr="009C2953">
              <w:rPr>
                <w:sz w:val="18"/>
              </w:rPr>
              <w:t>(e)s à</w:t>
            </w:r>
            <w:r w:rsidR="00F34644" w:rsidRPr="009C2953">
              <w:rPr>
                <w:sz w:val="18"/>
              </w:rPr>
              <w:t xml:space="preserve"> une </w:t>
            </w:r>
            <w:r w:rsidRPr="009C2953">
              <w:rPr>
                <w:sz w:val="18"/>
              </w:rPr>
              <w:t>session du Groupe d</w:t>
            </w:r>
            <w:r w:rsidR="00EA2966" w:rsidRPr="009C2953">
              <w:rPr>
                <w:sz w:val="18"/>
              </w:rPr>
              <w:t>’</w:t>
            </w:r>
            <w:r w:rsidRPr="009C2953">
              <w:rPr>
                <w:sz w:val="18"/>
              </w:rPr>
              <w:t>experts</w:t>
            </w:r>
          </w:p>
        </w:tc>
        <w:tc>
          <w:tcPr>
            <w:tcW w:w="1984" w:type="dxa"/>
            <w:tcBorders>
              <w:top w:val="nil"/>
              <w:left w:val="nil"/>
              <w:bottom w:val="single" w:sz="4" w:space="0" w:color="000000"/>
              <w:right w:val="nil"/>
            </w:tcBorders>
            <w:vAlign w:val="bottom"/>
            <w:hideMark/>
          </w:tcPr>
          <w:p w14:paraId="2A075D33" w14:textId="77777777" w:rsidR="00607B78" w:rsidRPr="009C2953" w:rsidRDefault="00607B78" w:rsidP="00A068F8">
            <w:pPr>
              <w:pStyle w:val="Normal-pool"/>
              <w:spacing w:before="40" w:after="40"/>
              <w:jc w:val="right"/>
              <w:rPr>
                <w:sz w:val="18"/>
                <w:szCs w:val="18"/>
              </w:rPr>
            </w:pPr>
            <w:r w:rsidRPr="009C2953">
              <w:rPr>
                <w:sz w:val="18"/>
              </w:rPr>
              <w:t>85 000</w:t>
            </w:r>
          </w:p>
        </w:tc>
      </w:tr>
      <w:tr w:rsidR="00607B78" w:rsidRPr="009C2953" w14:paraId="1C740DAC" w14:textId="77777777" w:rsidTr="00A068F8">
        <w:trPr>
          <w:trHeight w:val="57"/>
          <w:jc w:val="right"/>
        </w:trPr>
        <w:tc>
          <w:tcPr>
            <w:tcW w:w="7513" w:type="dxa"/>
            <w:tcBorders>
              <w:top w:val="single" w:sz="4" w:space="0" w:color="000000"/>
              <w:left w:val="nil"/>
              <w:bottom w:val="single" w:sz="4" w:space="0" w:color="000000"/>
              <w:right w:val="nil"/>
            </w:tcBorders>
            <w:hideMark/>
          </w:tcPr>
          <w:p w14:paraId="4B02DD3D" w14:textId="7792FC0C" w:rsidR="00607B78" w:rsidRPr="009C2953" w:rsidRDefault="00607B78" w:rsidP="00A068F8">
            <w:pPr>
              <w:pStyle w:val="Normal-pool"/>
              <w:spacing w:before="40" w:after="40"/>
              <w:rPr>
                <w:b/>
                <w:sz w:val="18"/>
                <w:szCs w:val="18"/>
              </w:rPr>
            </w:pPr>
            <w:r w:rsidRPr="009C2953">
              <w:rPr>
                <w:b/>
                <w:sz w:val="18"/>
              </w:rPr>
              <w:t>Total partiel 1.2, sessions du Bureau et du Groupe d</w:t>
            </w:r>
            <w:r w:rsidR="00EA2966" w:rsidRPr="009C2953">
              <w:rPr>
                <w:b/>
                <w:sz w:val="18"/>
              </w:rPr>
              <w:t>’</w:t>
            </w:r>
            <w:r w:rsidRPr="009C2953">
              <w:rPr>
                <w:b/>
                <w:sz w:val="18"/>
              </w:rPr>
              <w:t>experts multidisciplinaire</w:t>
            </w:r>
          </w:p>
        </w:tc>
        <w:tc>
          <w:tcPr>
            <w:tcW w:w="1984" w:type="dxa"/>
            <w:tcBorders>
              <w:top w:val="single" w:sz="4" w:space="0" w:color="000000"/>
              <w:left w:val="nil"/>
              <w:bottom w:val="single" w:sz="4" w:space="0" w:color="000000"/>
              <w:right w:val="nil"/>
            </w:tcBorders>
            <w:vAlign w:val="bottom"/>
            <w:hideMark/>
          </w:tcPr>
          <w:p w14:paraId="47EE4FB1" w14:textId="77777777" w:rsidR="00607B78" w:rsidRPr="009C2953" w:rsidRDefault="00607B78" w:rsidP="00A068F8">
            <w:pPr>
              <w:pStyle w:val="Normal-pool"/>
              <w:spacing w:before="40" w:after="40"/>
              <w:jc w:val="right"/>
              <w:rPr>
                <w:b/>
                <w:sz w:val="18"/>
                <w:szCs w:val="18"/>
              </w:rPr>
            </w:pPr>
            <w:r w:rsidRPr="009C2953">
              <w:rPr>
                <w:b/>
                <w:sz w:val="18"/>
              </w:rPr>
              <w:t>120 450</w:t>
            </w:r>
          </w:p>
        </w:tc>
      </w:tr>
      <w:tr w:rsidR="00607B78" w:rsidRPr="009C2953" w14:paraId="194EDC81" w14:textId="77777777" w:rsidTr="00A068F8">
        <w:trPr>
          <w:trHeight w:val="57"/>
          <w:jc w:val="right"/>
        </w:trPr>
        <w:tc>
          <w:tcPr>
            <w:tcW w:w="7513" w:type="dxa"/>
            <w:tcBorders>
              <w:top w:val="single" w:sz="4" w:space="0" w:color="000000"/>
              <w:left w:val="nil"/>
              <w:bottom w:val="single" w:sz="4" w:space="0" w:color="000000"/>
              <w:right w:val="nil"/>
            </w:tcBorders>
            <w:hideMark/>
          </w:tcPr>
          <w:p w14:paraId="2B3D4731" w14:textId="0B330A2A" w:rsidR="00607B78" w:rsidRPr="009C2953" w:rsidRDefault="00607B78" w:rsidP="00A068F8">
            <w:pPr>
              <w:pStyle w:val="Normal-pool"/>
              <w:tabs>
                <w:tab w:val="left" w:pos="322"/>
              </w:tabs>
              <w:spacing w:before="40" w:after="40"/>
              <w:rPr>
                <w:b/>
                <w:sz w:val="18"/>
                <w:szCs w:val="18"/>
              </w:rPr>
            </w:pPr>
            <w:r w:rsidRPr="009C2953">
              <w:rPr>
                <w:b/>
                <w:sz w:val="18"/>
              </w:rPr>
              <w:t>1.3</w:t>
            </w:r>
            <w:r w:rsidRPr="009C2953">
              <w:rPr>
                <w:b/>
                <w:sz w:val="18"/>
              </w:rPr>
              <w:tab/>
              <w:t>Frais de voyage de</w:t>
            </w:r>
            <w:r w:rsidR="00F34644" w:rsidRPr="009C2953">
              <w:rPr>
                <w:b/>
                <w:sz w:val="18"/>
              </w:rPr>
              <w:t xml:space="preserve"> la </w:t>
            </w:r>
            <w:r w:rsidRPr="009C2953">
              <w:rPr>
                <w:b/>
                <w:sz w:val="18"/>
              </w:rPr>
              <w:t>Présidente pour représenter l</w:t>
            </w:r>
            <w:r w:rsidR="00EA2966" w:rsidRPr="009C2953">
              <w:rPr>
                <w:b/>
                <w:sz w:val="18"/>
              </w:rPr>
              <w:t>’</w:t>
            </w:r>
            <w:r w:rsidRPr="009C2953">
              <w:rPr>
                <w:b/>
                <w:sz w:val="18"/>
              </w:rPr>
              <w:t>IPBES</w:t>
            </w:r>
          </w:p>
        </w:tc>
        <w:tc>
          <w:tcPr>
            <w:tcW w:w="1984" w:type="dxa"/>
            <w:tcBorders>
              <w:top w:val="single" w:sz="4" w:space="0" w:color="000000"/>
              <w:left w:val="nil"/>
              <w:bottom w:val="single" w:sz="4" w:space="0" w:color="000000"/>
              <w:right w:val="nil"/>
            </w:tcBorders>
            <w:vAlign w:val="bottom"/>
            <w:hideMark/>
          </w:tcPr>
          <w:p w14:paraId="68E0F61E" w14:textId="77777777" w:rsidR="00607B78" w:rsidRPr="009C2953" w:rsidRDefault="00607B78" w:rsidP="00A068F8">
            <w:pPr>
              <w:pStyle w:val="Normal-pool"/>
              <w:spacing w:before="40" w:after="40"/>
              <w:jc w:val="right"/>
              <w:rPr>
                <w:b/>
                <w:sz w:val="18"/>
                <w:szCs w:val="18"/>
              </w:rPr>
            </w:pPr>
            <w:r w:rsidRPr="009C2953">
              <w:rPr>
                <w:b/>
                <w:sz w:val="18"/>
              </w:rPr>
              <w:t>25 000</w:t>
            </w:r>
          </w:p>
        </w:tc>
      </w:tr>
      <w:tr w:rsidR="00607B78" w:rsidRPr="009C2953" w14:paraId="4B7F5B7D" w14:textId="77777777" w:rsidTr="00A068F8">
        <w:trPr>
          <w:trHeight w:val="57"/>
          <w:jc w:val="right"/>
        </w:trPr>
        <w:tc>
          <w:tcPr>
            <w:tcW w:w="7513" w:type="dxa"/>
            <w:tcBorders>
              <w:top w:val="single" w:sz="4" w:space="0" w:color="000000"/>
              <w:left w:val="nil"/>
              <w:bottom w:val="single" w:sz="4" w:space="0" w:color="000000"/>
              <w:right w:val="nil"/>
            </w:tcBorders>
            <w:hideMark/>
          </w:tcPr>
          <w:p w14:paraId="016E0128" w14:textId="342F2756" w:rsidR="00607B78" w:rsidRPr="009C2953" w:rsidRDefault="00607B78" w:rsidP="00A068F8">
            <w:pPr>
              <w:pStyle w:val="Normal-pool"/>
              <w:spacing w:before="40" w:after="40"/>
              <w:rPr>
                <w:b/>
                <w:sz w:val="18"/>
                <w:szCs w:val="18"/>
              </w:rPr>
            </w:pPr>
            <w:r w:rsidRPr="009C2953">
              <w:rPr>
                <w:b/>
                <w:sz w:val="18"/>
              </w:rPr>
              <w:t>Total partiel 1, réunions</w:t>
            </w:r>
            <w:r w:rsidR="00D24DC1" w:rsidRPr="009C2953">
              <w:rPr>
                <w:b/>
                <w:sz w:val="18"/>
              </w:rPr>
              <w:t xml:space="preserve"> des </w:t>
            </w:r>
            <w:r w:rsidRPr="009C2953">
              <w:rPr>
                <w:b/>
                <w:sz w:val="18"/>
              </w:rPr>
              <w:t>organes de l</w:t>
            </w:r>
            <w:r w:rsidR="00EA2966" w:rsidRPr="009C2953">
              <w:rPr>
                <w:b/>
                <w:sz w:val="18"/>
              </w:rPr>
              <w:t>’</w:t>
            </w:r>
            <w:r w:rsidRPr="009C2953">
              <w:rPr>
                <w:b/>
                <w:sz w:val="18"/>
              </w:rPr>
              <w:t>IPBES</w:t>
            </w:r>
          </w:p>
        </w:tc>
        <w:tc>
          <w:tcPr>
            <w:tcW w:w="1984" w:type="dxa"/>
            <w:tcBorders>
              <w:top w:val="single" w:sz="4" w:space="0" w:color="000000"/>
              <w:left w:val="nil"/>
              <w:bottom w:val="single" w:sz="4" w:space="0" w:color="000000"/>
              <w:right w:val="nil"/>
            </w:tcBorders>
            <w:vAlign w:val="bottom"/>
            <w:hideMark/>
          </w:tcPr>
          <w:p w14:paraId="742F0929" w14:textId="77777777" w:rsidR="00607B78" w:rsidRPr="009C2953" w:rsidRDefault="00607B78" w:rsidP="00A068F8">
            <w:pPr>
              <w:pStyle w:val="Normal-pool"/>
              <w:spacing w:before="40" w:after="40"/>
              <w:jc w:val="right"/>
              <w:rPr>
                <w:b/>
                <w:sz w:val="18"/>
                <w:szCs w:val="18"/>
              </w:rPr>
            </w:pPr>
            <w:r w:rsidRPr="009C2953">
              <w:rPr>
                <w:b/>
                <w:sz w:val="18"/>
              </w:rPr>
              <w:t>1 740 450</w:t>
            </w:r>
          </w:p>
        </w:tc>
      </w:tr>
      <w:tr w:rsidR="00607B78" w:rsidRPr="009C2953" w14:paraId="4C6371B6" w14:textId="77777777" w:rsidTr="00A068F8">
        <w:trPr>
          <w:trHeight w:val="57"/>
          <w:jc w:val="right"/>
        </w:trPr>
        <w:tc>
          <w:tcPr>
            <w:tcW w:w="7513" w:type="dxa"/>
            <w:tcBorders>
              <w:top w:val="single" w:sz="4" w:space="0" w:color="000000"/>
              <w:left w:val="nil"/>
              <w:bottom w:val="nil"/>
              <w:right w:val="nil"/>
            </w:tcBorders>
            <w:hideMark/>
          </w:tcPr>
          <w:p w14:paraId="6FE59782" w14:textId="77777777" w:rsidR="00607B78" w:rsidRPr="009C2953" w:rsidRDefault="00607B78" w:rsidP="007205CA">
            <w:pPr>
              <w:pStyle w:val="Normal-pool"/>
              <w:keepNext/>
              <w:keepLines/>
              <w:tabs>
                <w:tab w:val="left" w:pos="322"/>
              </w:tabs>
              <w:spacing w:before="40" w:after="40"/>
              <w:rPr>
                <w:b/>
                <w:sz w:val="18"/>
                <w:szCs w:val="18"/>
              </w:rPr>
            </w:pPr>
            <w:r w:rsidRPr="009C2953">
              <w:rPr>
                <w:b/>
                <w:sz w:val="18"/>
              </w:rPr>
              <w:lastRenderedPageBreak/>
              <w:t>2.</w:t>
            </w:r>
            <w:r w:rsidRPr="009C2953">
              <w:rPr>
                <w:b/>
                <w:sz w:val="18"/>
              </w:rPr>
              <w:tab/>
              <w:t>Mise en œuvre du programme de travail</w:t>
            </w:r>
          </w:p>
        </w:tc>
        <w:tc>
          <w:tcPr>
            <w:tcW w:w="1984" w:type="dxa"/>
            <w:tcBorders>
              <w:top w:val="single" w:sz="4" w:space="0" w:color="000000"/>
              <w:left w:val="nil"/>
              <w:bottom w:val="nil"/>
              <w:right w:val="nil"/>
            </w:tcBorders>
            <w:vAlign w:val="bottom"/>
          </w:tcPr>
          <w:p w14:paraId="55F252E8" w14:textId="77777777" w:rsidR="00607B78" w:rsidRPr="009C2953" w:rsidRDefault="00607B78" w:rsidP="007205CA">
            <w:pPr>
              <w:pStyle w:val="Normal-pool"/>
              <w:keepNext/>
              <w:keepLines/>
              <w:spacing w:before="40" w:after="40"/>
              <w:jc w:val="right"/>
              <w:rPr>
                <w:b/>
                <w:sz w:val="18"/>
                <w:szCs w:val="18"/>
              </w:rPr>
            </w:pPr>
          </w:p>
        </w:tc>
      </w:tr>
      <w:tr w:rsidR="00607B78" w:rsidRPr="009C2953" w14:paraId="692B9628" w14:textId="77777777" w:rsidTr="00A068F8">
        <w:trPr>
          <w:trHeight w:val="57"/>
          <w:jc w:val="right"/>
        </w:trPr>
        <w:tc>
          <w:tcPr>
            <w:tcW w:w="7513" w:type="dxa"/>
            <w:tcBorders>
              <w:top w:val="nil"/>
              <w:left w:val="nil"/>
              <w:bottom w:val="single" w:sz="4" w:space="0" w:color="auto"/>
              <w:right w:val="nil"/>
            </w:tcBorders>
            <w:hideMark/>
          </w:tcPr>
          <w:p w14:paraId="1E0E2E62" w14:textId="285F12C2" w:rsidR="00607B78" w:rsidRPr="009C2953" w:rsidRDefault="00607B78" w:rsidP="007205CA">
            <w:pPr>
              <w:pStyle w:val="Normal-pool"/>
              <w:keepNext/>
              <w:keepLines/>
              <w:spacing w:before="40" w:after="40"/>
              <w:rPr>
                <w:b/>
                <w:sz w:val="18"/>
                <w:szCs w:val="18"/>
              </w:rPr>
            </w:pPr>
            <w:r w:rsidRPr="009C2953">
              <w:rPr>
                <w:b/>
                <w:sz w:val="18"/>
              </w:rPr>
              <w:t>Programme de travail glissant pour</w:t>
            </w:r>
            <w:r w:rsidR="00F34644" w:rsidRPr="009C2953">
              <w:rPr>
                <w:b/>
                <w:sz w:val="18"/>
              </w:rPr>
              <w:t xml:space="preserve"> la </w:t>
            </w:r>
            <w:r w:rsidRPr="009C2953">
              <w:rPr>
                <w:b/>
                <w:sz w:val="18"/>
              </w:rPr>
              <w:t>période allant jusqu</w:t>
            </w:r>
            <w:r w:rsidR="00EA2966" w:rsidRPr="009C2953">
              <w:rPr>
                <w:b/>
                <w:sz w:val="18"/>
              </w:rPr>
              <w:t>’</w:t>
            </w:r>
            <w:r w:rsidRPr="009C2953">
              <w:rPr>
                <w:b/>
                <w:sz w:val="18"/>
              </w:rPr>
              <w:t>en 2030</w:t>
            </w:r>
          </w:p>
        </w:tc>
        <w:tc>
          <w:tcPr>
            <w:tcW w:w="1984" w:type="dxa"/>
            <w:tcBorders>
              <w:top w:val="nil"/>
              <w:left w:val="nil"/>
              <w:bottom w:val="single" w:sz="4" w:space="0" w:color="auto"/>
              <w:right w:val="nil"/>
            </w:tcBorders>
            <w:vAlign w:val="bottom"/>
          </w:tcPr>
          <w:p w14:paraId="21162239" w14:textId="77777777" w:rsidR="00607B78" w:rsidRPr="009C2953" w:rsidRDefault="00607B78" w:rsidP="007205CA">
            <w:pPr>
              <w:pStyle w:val="Normal-pool"/>
              <w:keepNext/>
              <w:keepLines/>
              <w:spacing w:before="40" w:after="40"/>
              <w:jc w:val="right"/>
              <w:rPr>
                <w:sz w:val="18"/>
                <w:szCs w:val="18"/>
              </w:rPr>
            </w:pPr>
          </w:p>
        </w:tc>
      </w:tr>
      <w:tr w:rsidR="00607B78" w:rsidRPr="009C2953" w14:paraId="3C9C770B" w14:textId="77777777" w:rsidTr="00A068F8">
        <w:trPr>
          <w:trHeight w:val="57"/>
          <w:jc w:val="right"/>
        </w:trPr>
        <w:tc>
          <w:tcPr>
            <w:tcW w:w="7513" w:type="dxa"/>
            <w:tcBorders>
              <w:top w:val="single" w:sz="4" w:space="0" w:color="auto"/>
              <w:left w:val="nil"/>
              <w:bottom w:val="single" w:sz="4" w:space="0" w:color="auto"/>
              <w:right w:val="nil"/>
            </w:tcBorders>
            <w:hideMark/>
          </w:tcPr>
          <w:p w14:paraId="482C783D" w14:textId="0C4C37A6" w:rsidR="00607B78" w:rsidRPr="009C2953" w:rsidRDefault="00607B78" w:rsidP="007205CA">
            <w:pPr>
              <w:pStyle w:val="Normal-pool"/>
              <w:keepNext/>
              <w:keepLines/>
              <w:spacing w:before="40" w:after="40"/>
              <w:rPr>
                <w:b/>
                <w:sz w:val="18"/>
                <w:szCs w:val="18"/>
              </w:rPr>
            </w:pPr>
            <w:r w:rsidRPr="009C2953">
              <w:rPr>
                <w:b/>
                <w:sz w:val="18"/>
              </w:rPr>
              <w:t>Objectif 1 : évaluation</w:t>
            </w:r>
            <w:r w:rsidR="00D24DC1" w:rsidRPr="009C2953">
              <w:rPr>
                <w:b/>
                <w:sz w:val="18"/>
              </w:rPr>
              <w:t xml:space="preserve"> des </w:t>
            </w:r>
            <w:r w:rsidRPr="009C2953">
              <w:rPr>
                <w:b/>
                <w:sz w:val="18"/>
              </w:rPr>
              <w:t>connaissances</w:t>
            </w:r>
          </w:p>
        </w:tc>
        <w:tc>
          <w:tcPr>
            <w:tcW w:w="1984" w:type="dxa"/>
            <w:tcBorders>
              <w:top w:val="single" w:sz="4" w:space="0" w:color="auto"/>
              <w:left w:val="nil"/>
              <w:bottom w:val="single" w:sz="4" w:space="0" w:color="auto"/>
              <w:right w:val="nil"/>
            </w:tcBorders>
            <w:vAlign w:val="bottom"/>
            <w:hideMark/>
          </w:tcPr>
          <w:p w14:paraId="6D0D91BA" w14:textId="77777777" w:rsidR="00607B78" w:rsidRPr="009C2953" w:rsidRDefault="00607B78" w:rsidP="007205CA">
            <w:pPr>
              <w:pStyle w:val="Normal-pool"/>
              <w:keepNext/>
              <w:keepLines/>
              <w:spacing w:before="40" w:after="40"/>
              <w:jc w:val="right"/>
              <w:rPr>
                <w:b/>
                <w:sz w:val="18"/>
                <w:szCs w:val="18"/>
              </w:rPr>
            </w:pPr>
            <w:r w:rsidRPr="009C2953">
              <w:rPr>
                <w:b/>
                <w:sz w:val="18"/>
              </w:rPr>
              <w:t>1 860 650</w:t>
            </w:r>
          </w:p>
        </w:tc>
      </w:tr>
      <w:tr w:rsidR="00607B78" w:rsidRPr="009C2953" w14:paraId="543C3A8E" w14:textId="77777777" w:rsidTr="00A068F8">
        <w:trPr>
          <w:trHeight w:val="57"/>
          <w:jc w:val="right"/>
        </w:trPr>
        <w:tc>
          <w:tcPr>
            <w:tcW w:w="7513" w:type="dxa"/>
            <w:tcBorders>
              <w:top w:val="single" w:sz="4" w:space="0" w:color="auto"/>
              <w:left w:val="nil"/>
              <w:bottom w:val="nil"/>
              <w:right w:val="nil"/>
            </w:tcBorders>
            <w:hideMark/>
          </w:tcPr>
          <w:p w14:paraId="598FBF2E" w14:textId="081E03E3" w:rsidR="00607B78" w:rsidRPr="009C2953" w:rsidRDefault="00607B78" w:rsidP="007205CA">
            <w:pPr>
              <w:pStyle w:val="Normal-pool"/>
              <w:keepNext/>
              <w:keepLines/>
              <w:spacing w:before="40" w:after="40"/>
              <w:rPr>
                <w:sz w:val="18"/>
                <w:szCs w:val="18"/>
              </w:rPr>
            </w:pPr>
            <w:r w:rsidRPr="009C2953">
              <w:rPr>
                <w:sz w:val="18"/>
              </w:rPr>
              <w:t>Produit 1 a) : évaluation thématique</w:t>
            </w:r>
            <w:r w:rsidR="00D24DC1" w:rsidRPr="009C2953">
              <w:rPr>
                <w:sz w:val="18"/>
              </w:rPr>
              <w:t xml:space="preserve"> des </w:t>
            </w:r>
            <w:r w:rsidRPr="009C2953">
              <w:rPr>
                <w:sz w:val="18"/>
              </w:rPr>
              <w:t>liens d</w:t>
            </w:r>
            <w:r w:rsidR="00EA2966" w:rsidRPr="009C2953">
              <w:rPr>
                <w:sz w:val="18"/>
              </w:rPr>
              <w:t>’</w:t>
            </w:r>
            <w:r w:rsidRPr="009C2953">
              <w:rPr>
                <w:sz w:val="18"/>
              </w:rPr>
              <w:t>interdépendance entre</w:t>
            </w:r>
            <w:r w:rsidR="00F34644" w:rsidRPr="009C2953">
              <w:rPr>
                <w:sz w:val="18"/>
              </w:rPr>
              <w:t xml:space="preserve"> la </w:t>
            </w:r>
            <w:r w:rsidRPr="009C2953">
              <w:rPr>
                <w:sz w:val="18"/>
              </w:rPr>
              <w:t>biodiversité, l</w:t>
            </w:r>
            <w:r w:rsidR="00EA2966" w:rsidRPr="009C2953">
              <w:rPr>
                <w:sz w:val="18"/>
              </w:rPr>
              <w:t>’</w:t>
            </w:r>
            <w:r w:rsidRPr="009C2953">
              <w:rPr>
                <w:sz w:val="18"/>
              </w:rPr>
              <w:t>eau,</w:t>
            </w:r>
            <w:r w:rsidR="0025203C" w:rsidRPr="009C2953">
              <w:rPr>
                <w:sz w:val="18"/>
              </w:rPr>
              <w:t> </w:t>
            </w:r>
            <w:r w:rsidRPr="009C2953">
              <w:rPr>
                <w:sz w:val="18"/>
              </w:rPr>
              <w:t>l</w:t>
            </w:r>
            <w:r w:rsidR="00EA2966" w:rsidRPr="009C2953">
              <w:rPr>
                <w:sz w:val="18"/>
              </w:rPr>
              <w:t>’</w:t>
            </w:r>
            <w:r w:rsidRPr="009C2953">
              <w:rPr>
                <w:sz w:val="18"/>
              </w:rPr>
              <w:t>alimentation et</w:t>
            </w:r>
            <w:r w:rsidR="00F34644" w:rsidRPr="009C2953">
              <w:rPr>
                <w:sz w:val="18"/>
              </w:rPr>
              <w:t xml:space="preserve"> la </w:t>
            </w:r>
            <w:r w:rsidRPr="009C2953">
              <w:rPr>
                <w:sz w:val="18"/>
              </w:rPr>
              <w:t>santé (évaluation</w:t>
            </w:r>
            <w:r w:rsidR="00D24DC1" w:rsidRPr="009C2953">
              <w:rPr>
                <w:sz w:val="18"/>
              </w:rPr>
              <w:t xml:space="preserve"> des </w:t>
            </w:r>
            <w:r w:rsidRPr="009C2953">
              <w:rPr>
                <w:sz w:val="18"/>
              </w:rPr>
              <w:t xml:space="preserve">interdépendances) </w:t>
            </w:r>
          </w:p>
        </w:tc>
        <w:tc>
          <w:tcPr>
            <w:tcW w:w="1984" w:type="dxa"/>
            <w:tcBorders>
              <w:top w:val="single" w:sz="4" w:space="0" w:color="auto"/>
              <w:left w:val="nil"/>
              <w:bottom w:val="nil"/>
              <w:right w:val="nil"/>
            </w:tcBorders>
            <w:vAlign w:val="bottom"/>
            <w:hideMark/>
          </w:tcPr>
          <w:p w14:paraId="7AA62DE9" w14:textId="77777777" w:rsidR="00607B78" w:rsidRPr="009C2953" w:rsidRDefault="00607B78" w:rsidP="007205CA">
            <w:pPr>
              <w:pStyle w:val="Normal-pool"/>
              <w:keepNext/>
              <w:keepLines/>
              <w:spacing w:before="40" w:after="40"/>
              <w:jc w:val="right"/>
              <w:rPr>
                <w:sz w:val="18"/>
                <w:szCs w:val="18"/>
              </w:rPr>
            </w:pPr>
            <w:r w:rsidRPr="009C2953">
              <w:rPr>
                <w:sz w:val="18"/>
              </w:rPr>
              <w:t>185 950</w:t>
            </w:r>
          </w:p>
        </w:tc>
      </w:tr>
      <w:tr w:rsidR="00607B78" w:rsidRPr="009C2953" w14:paraId="7D86A795" w14:textId="77777777" w:rsidTr="00A068F8">
        <w:trPr>
          <w:trHeight w:val="57"/>
          <w:jc w:val="right"/>
        </w:trPr>
        <w:tc>
          <w:tcPr>
            <w:tcW w:w="7513" w:type="dxa"/>
            <w:tcBorders>
              <w:top w:val="nil"/>
              <w:left w:val="nil"/>
              <w:bottom w:val="nil"/>
              <w:right w:val="nil"/>
            </w:tcBorders>
            <w:hideMark/>
          </w:tcPr>
          <w:p w14:paraId="259F3D9E" w14:textId="47952540" w:rsidR="00607B78" w:rsidRPr="009C2953" w:rsidRDefault="00607B78" w:rsidP="007205CA">
            <w:pPr>
              <w:pStyle w:val="Normal-pool"/>
              <w:keepNext/>
              <w:keepLines/>
              <w:spacing w:before="40" w:after="40"/>
              <w:rPr>
                <w:sz w:val="18"/>
                <w:szCs w:val="18"/>
              </w:rPr>
            </w:pPr>
            <w:r w:rsidRPr="009C2953">
              <w:rPr>
                <w:sz w:val="18"/>
              </w:rPr>
              <w:t>Produit 1 c) : évaluation thématique</w:t>
            </w:r>
            <w:r w:rsidR="00D24DC1" w:rsidRPr="009C2953">
              <w:rPr>
                <w:sz w:val="18"/>
              </w:rPr>
              <w:t xml:space="preserve"> des </w:t>
            </w:r>
            <w:r w:rsidRPr="009C2953">
              <w:rPr>
                <w:sz w:val="18"/>
              </w:rPr>
              <w:t>causes sous-jacentes de</w:t>
            </w:r>
            <w:r w:rsidR="00F34644" w:rsidRPr="009C2953">
              <w:rPr>
                <w:sz w:val="18"/>
              </w:rPr>
              <w:t xml:space="preserve"> la </w:t>
            </w:r>
            <w:r w:rsidRPr="009C2953">
              <w:rPr>
                <w:sz w:val="18"/>
              </w:rPr>
              <w:t>perte de biodiversité et</w:t>
            </w:r>
            <w:r w:rsidR="00C07E37" w:rsidRPr="009C2953">
              <w:rPr>
                <w:sz w:val="18"/>
              </w:rPr>
              <w:t> </w:t>
            </w:r>
            <w:r w:rsidR="00D24DC1" w:rsidRPr="009C2953">
              <w:rPr>
                <w:sz w:val="18"/>
              </w:rPr>
              <w:t>des </w:t>
            </w:r>
            <w:r w:rsidRPr="009C2953">
              <w:rPr>
                <w:sz w:val="18"/>
              </w:rPr>
              <w:t>déterminants du changement transformateur, ainsi que</w:t>
            </w:r>
            <w:r w:rsidR="00D24DC1" w:rsidRPr="009C2953">
              <w:rPr>
                <w:sz w:val="18"/>
              </w:rPr>
              <w:t xml:space="preserve"> des </w:t>
            </w:r>
            <w:r w:rsidRPr="009C2953">
              <w:rPr>
                <w:sz w:val="18"/>
              </w:rPr>
              <w:t>solutions possibles afin de</w:t>
            </w:r>
            <w:r w:rsidR="00C07E37" w:rsidRPr="009C2953">
              <w:rPr>
                <w:sz w:val="18"/>
              </w:rPr>
              <w:t> </w:t>
            </w:r>
            <w:r w:rsidRPr="009C2953">
              <w:rPr>
                <w:sz w:val="18"/>
              </w:rPr>
              <w:t>réaliser</w:t>
            </w:r>
            <w:r w:rsidR="00C07E37" w:rsidRPr="009C2953">
              <w:rPr>
                <w:sz w:val="18"/>
              </w:rPr>
              <w:t> </w:t>
            </w:r>
            <w:r w:rsidR="00F34644" w:rsidRPr="009C2953">
              <w:rPr>
                <w:sz w:val="18"/>
              </w:rPr>
              <w:t>la </w:t>
            </w:r>
            <w:r w:rsidRPr="009C2953">
              <w:rPr>
                <w:sz w:val="18"/>
              </w:rPr>
              <w:t>Vision 2050 pour</w:t>
            </w:r>
            <w:r w:rsidR="00F34644" w:rsidRPr="009C2953">
              <w:rPr>
                <w:sz w:val="18"/>
              </w:rPr>
              <w:t xml:space="preserve"> la </w:t>
            </w:r>
            <w:r w:rsidRPr="009C2953">
              <w:rPr>
                <w:sz w:val="18"/>
              </w:rPr>
              <w:t xml:space="preserve">biodiversité (évaluation du changement transformateur) </w:t>
            </w:r>
          </w:p>
        </w:tc>
        <w:tc>
          <w:tcPr>
            <w:tcW w:w="1984" w:type="dxa"/>
            <w:tcBorders>
              <w:top w:val="nil"/>
              <w:left w:val="nil"/>
              <w:bottom w:val="nil"/>
              <w:right w:val="nil"/>
            </w:tcBorders>
            <w:vAlign w:val="bottom"/>
            <w:hideMark/>
          </w:tcPr>
          <w:p w14:paraId="690B9CAE" w14:textId="77777777" w:rsidR="00607B78" w:rsidRPr="009C2953" w:rsidRDefault="00607B78" w:rsidP="007205CA">
            <w:pPr>
              <w:pStyle w:val="Normal-pool"/>
              <w:keepNext/>
              <w:keepLines/>
              <w:spacing w:before="40" w:after="40"/>
              <w:jc w:val="right"/>
              <w:rPr>
                <w:sz w:val="18"/>
                <w:szCs w:val="18"/>
              </w:rPr>
            </w:pPr>
            <w:r w:rsidRPr="009C2953">
              <w:rPr>
                <w:sz w:val="18"/>
              </w:rPr>
              <w:t>80 000</w:t>
            </w:r>
          </w:p>
        </w:tc>
      </w:tr>
      <w:tr w:rsidR="00607B78" w:rsidRPr="009C2953" w14:paraId="32EC2831" w14:textId="77777777" w:rsidTr="00A068F8">
        <w:trPr>
          <w:trHeight w:val="57"/>
          <w:jc w:val="right"/>
        </w:trPr>
        <w:tc>
          <w:tcPr>
            <w:tcW w:w="7513" w:type="dxa"/>
            <w:tcBorders>
              <w:top w:val="nil"/>
              <w:left w:val="nil"/>
              <w:bottom w:val="nil"/>
              <w:right w:val="nil"/>
            </w:tcBorders>
            <w:hideMark/>
          </w:tcPr>
          <w:p w14:paraId="31D8004E" w14:textId="2EDB8812" w:rsidR="00607B78" w:rsidRPr="009C2953" w:rsidRDefault="00607B78" w:rsidP="00A068F8">
            <w:pPr>
              <w:pStyle w:val="Normal-pool"/>
              <w:spacing w:before="40" w:after="40"/>
              <w:rPr>
                <w:sz w:val="18"/>
                <w:szCs w:val="18"/>
              </w:rPr>
            </w:pPr>
            <w:r w:rsidRPr="009C2953">
              <w:rPr>
                <w:sz w:val="18"/>
              </w:rPr>
              <w:t>Produit 1 d) : évaluation méthodologique</w:t>
            </w:r>
            <w:r w:rsidR="00D24DC1" w:rsidRPr="009C2953">
              <w:rPr>
                <w:sz w:val="18"/>
              </w:rPr>
              <w:t xml:space="preserve"> des </w:t>
            </w:r>
            <w:r w:rsidRPr="009C2953">
              <w:rPr>
                <w:sz w:val="18"/>
              </w:rPr>
              <w:t>conséquences de l</w:t>
            </w:r>
            <w:r w:rsidR="00EA2966" w:rsidRPr="009C2953">
              <w:rPr>
                <w:sz w:val="18"/>
              </w:rPr>
              <w:t>’</w:t>
            </w:r>
            <w:r w:rsidRPr="009C2953">
              <w:rPr>
                <w:sz w:val="18"/>
              </w:rPr>
              <w:t>activité</w:t>
            </w:r>
            <w:r w:rsidR="00D24DC1" w:rsidRPr="009C2953">
              <w:rPr>
                <w:sz w:val="18"/>
              </w:rPr>
              <w:t xml:space="preserve"> des </w:t>
            </w:r>
            <w:r w:rsidRPr="009C2953">
              <w:rPr>
                <w:sz w:val="18"/>
              </w:rPr>
              <w:t>entreprises sur</w:t>
            </w:r>
            <w:r w:rsidR="00C07E37" w:rsidRPr="009C2953">
              <w:rPr>
                <w:sz w:val="18"/>
              </w:rPr>
              <w:t> </w:t>
            </w:r>
            <w:r w:rsidR="00F34644" w:rsidRPr="009C2953">
              <w:rPr>
                <w:sz w:val="18"/>
              </w:rPr>
              <w:t>la </w:t>
            </w:r>
            <w:r w:rsidRPr="009C2953">
              <w:rPr>
                <w:sz w:val="18"/>
              </w:rPr>
              <w:t>biodiversité et sur</w:t>
            </w:r>
            <w:r w:rsidR="00F34644" w:rsidRPr="009C2953">
              <w:rPr>
                <w:sz w:val="18"/>
              </w:rPr>
              <w:t xml:space="preserve"> les </w:t>
            </w:r>
            <w:r w:rsidRPr="009C2953">
              <w:rPr>
                <w:sz w:val="18"/>
              </w:rPr>
              <w:t>contributions de</w:t>
            </w:r>
            <w:r w:rsidR="00F34644" w:rsidRPr="009C2953">
              <w:rPr>
                <w:sz w:val="18"/>
              </w:rPr>
              <w:t xml:space="preserve"> la </w:t>
            </w:r>
            <w:r w:rsidRPr="009C2953">
              <w:rPr>
                <w:sz w:val="18"/>
              </w:rPr>
              <w:t>nature</w:t>
            </w:r>
            <w:r w:rsidR="00F34644" w:rsidRPr="009C2953">
              <w:rPr>
                <w:sz w:val="18"/>
              </w:rPr>
              <w:t xml:space="preserve"> aux </w:t>
            </w:r>
            <w:r w:rsidRPr="009C2953">
              <w:rPr>
                <w:sz w:val="18"/>
              </w:rPr>
              <w:t>populations et de</w:t>
            </w:r>
            <w:r w:rsidR="00F34644" w:rsidRPr="009C2953">
              <w:rPr>
                <w:sz w:val="18"/>
              </w:rPr>
              <w:t xml:space="preserve"> la </w:t>
            </w:r>
            <w:r w:rsidRPr="009C2953">
              <w:rPr>
                <w:sz w:val="18"/>
              </w:rPr>
              <w:t>dépendance</w:t>
            </w:r>
            <w:r w:rsidR="00D24DC1" w:rsidRPr="009C2953">
              <w:rPr>
                <w:sz w:val="18"/>
              </w:rPr>
              <w:t xml:space="preserve"> des </w:t>
            </w:r>
            <w:r w:rsidRPr="009C2953">
              <w:rPr>
                <w:sz w:val="18"/>
              </w:rPr>
              <w:t>entreprises à</w:t>
            </w:r>
            <w:r w:rsidR="00F34644" w:rsidRPr="009C2953">
              <w:rPr>
                <w:sz w:val="18"/>
              </w:rPr>
              <w:t xml:space="preserve"> leur </w:t>
            </w:r>
            <w:r w:rsidRPr="009C2953">
              <w:rPr>
                <w:sz w:val="18"/>
              </w:rPr>
              <w:t>égard (évaluation</w:t>
            </w:r>
            <w:r w:rsidR="00D24DC1" w:rsidRPr="009C2953">
              <w:rPr>
                <w:sz w:val="18"/>
              </w:rPr>
              <w:t xml:space="preserve"> des </w:t>
            </w:r>
            <w:r w:rsidRPr="009C2953">
              <w:rPr>
                <w:sz w:val="18"/>
              </w:rPr>
              <w:t>entreprises et de</w:t>
            </w:r>
            <w:r w:rsidR="00F34644" w:rsidRPr="009C2953">
              <w:rPr>
                <w:sz w:val="18"/>
              </w:rPr>
              <w:t xml:space="preserve"> la </w:t>
            </w:r>
            <w:r w:rsidRPr="009C2953">
              <w:rPr>
                <w:sz w:val="18"/>
              </w:rPr>
              <w:t>biodiversité)</w:t>
            </w:r>
          </w:p>
        </w:tc>
        <w:tc>
          <w:tcPr>
            <w:tcW w:w="1984" w:type="dxa"/>
            <w:tcBorders>
              <w:top w:val="nil"/>
              <w:left w:val="nil"/>
              <w:bottom w:val="nil"/>
              <w:right w:val="nil"/>
            </w:tcBorders>
            <w:vAlign w:val="bottom"/>
            <w:hideMark/>
          </w:tcPr>
          <w:p w14:paraId="46908FDF" w14:textId="77777777" w:rsidR="00607B78" w:rsidRPr="009C2953" w:rsidRDefault="00607B78" w:rsidP="00A068F8">
            <w:pPr>
              <w:pStyle w:val="Normal-pool"/>
              <w:spacing w:before="40" w:after="40"/>
              <w:jc w:val="right"/>
              <w:rPr>
                <w:sz w:val="18"/>
                <w:szCs w:val="18"/>
              </w:rPr>
            </w:pPr>
            <w:r w:rsidRPr="009C2953">
              <w:rPr>
                <w:sz w:val="18"/>
              </w:rPr>
              <w:t>262 500</w:t>
            </w:r>
          </w:p>
        </w:tc>
      </w:tr>
      <w:tr w:rsidR="00607B78" w:rsidRPr="009C2953" w14:paraId="6FCD287A" w14:textId="77777777" w:rsidTr="00A068F8">
        <w:trPr>
          <w:trHeight w:val="57"/>
          <w:jc w:val="right"/>
        </w:trPr>
        <w:tc>
          <w:tcPr>
            <w:tcW w:w="7513" w:type="dxa"/>
            <w:tcBorders>
              <w:top w:val="nil"/>
              <w:left w:val="nil"/>
              <w:bottom w:val="nil"/>
              <w:right w:val="nil"/>
            </w:tcBorders>
            <w:hideMark/>
          </w:tcPr>
          <w:p w14:paraId="28CEB2E6" w14:textId="5559465B" w:rsidR="00607B78" w:rsidRPr="009C2953" w:rsidRDefault="00607B78" w:rsidP="00A068F8">
            <w:pPr>
              <w:pStyle w:val="Normal-pool"/>
              <w:spacing w:before="40" w:after="40"/>
              <w:rPr>
                <w:sz w:val="18"/>
                <w:szCs w:val="18"/>
              </w:rPr>
            </w:pPr>
            <w:r w:rsidRPr="009C2953">
              <w:rPr>
                <w:sz w:val="18"/>
              </w:rPr>
              <w:t>Produit 1 e) : deuxième évaluation mondiale de</w:t>
            </w:r>
            <w:r w:rsidR="00F34644" w:rsidRPr="009C2953">
              <w:rPr>
                <w:sz w:val="18"/>
              </w:rPr>
              <w:t xml:space="preserve"> la </w:t>
            </w:r>
            <w:r w:rsidRPr="009C2953">
              <w:rPr>
                <w:sz w:val="18"/>
              </w:rPr>
              <w:t>biodiversité et</w:t>
            </w:r>
            <w:r w:rsidR="00D24DC1" w:rsidRPr="009C2953">
              <w:rPr>
                <w:sz w:val="18"/>
              </w:rPr>
              <w:t xml:space="preserve"> des </w:t>
            </w:r>
            <w:r w:rsidRPr="009C2953">
              <w:rPr>
                <w:sz w:val="18"/>
              </w:rPr>
              <w:t>services écosystémiques</w:t>
            </w:r>
          </w:p>
        </w:tc>
        <w:tc>
          <w:tcPr>
            <w:tcW w:w="1984" w:type="dxa"/>
            <w:tcBorders>
              <w:top w:val="nil"/>
              <w:left w:val="nil"/>
              <w:bottom w:val="nil"/>
              <w:right w:val="nil"/>
            </w:tcBorders>
            <w:vAlign w:val="bottom"/>
            <w:hideMark/>
          </w:tcPr>
          <w:p w14:paraId="1CB1E5E4" w14:textId="77777777" w:rsidR="00607B78" w:rsidRPr="009C2953" w:rsidRDefault="00607B78" w:rsidP="00A068F8">
            <w:pPr>
              <w:pStyle w:val="Normal-pool"/>
              <w:spacing w:before="40" w:after="40"/>
              <w:jc w:val="right"/>
              <w:rPr>
                <w:sz w:val="18"/>
                <w:szCs w:val="18"/>
              </w:rPr>
            </w:pPr>
            <w:r w:rsidRPr="009C2953">
              <w:rPr>
                <w:sz w:val="18"/>
              </w:rPr>
              <w:t>515 950</w:t>
            </w:r>
          </w:p>
        </w:tc>
      </w:tr>
      <w:tr w:rsidR="00607B78" w:rsidRPr="009C2953" w14:paraId="529C7BFE" w14:textId="77777777" w:rsidTr="00A068F8">
        <w:trPr>
          <w:trHeight w:val="57"/>
          <w:jc w:val="right"/>
        </w:trPr>
        <w:tc>
          <w:tcPr>
            <w:tcW w:w="7513" w:type="dxa"/>
            <w:tcBorders>
              <w:top w:val="nil"/>
              <w:left w:val="nil"/>
              <w:bottom w:val="nil"/>
              <w:right w:val="nil"/>
            </w:tcBorders>
            <w:hideMark/>
          </w:tcPr>
          <w:p w14:paraId="2C96C98E" w14:textId="77777777" w:rsidR="00607B78" w:rsidRPr="009C2953" w:rsidRDefault="00607B78" w:rsidP="00A068F8">
            <w:pPr>
              <w:pStyle w:val="Normal-pool"/>
              <w:spacing w:before="40" w:after="40"/>
              <w:rPr>
                <w:sz w:val="18"/>
                <w:szCs w:val="18"/>
              </w:rPr>
            </w:pPr>
            <w:r w:rsidRPr="009C2953">
              <w:rPr>
                <w:sz w:val="18"/>
              </w:rPr>
              <w:t>Produit 1 f) : première évaluation accélérée (évaluation accélérée 1)</w:t>
            </w:r>
          </w:p>
        </w:tc>
        <w:tc>
          <w:tcPr>
            <w:tcW w:w="1984" w:type="dxa"/>
            <w:tcBorders>
              <w:top w:val="nil"/>
              <w:left w:val="nil"/>
              <w:bottom w:val="nil"/>
              <w:right w:val="nil"/>
            </w:tcBorders>
            <w:vAlign w:val="bottom"/>
            <w:hideMark/>
          </w:tcPr>
          <w:p w14:paraId="2FBF2288" w14:textId="77777777" w:rsidR="00607B78" w:rsidRPr="009C2953" w:rsidRDefault="00607B78" w:rsidP="00A068F8">
            <w:pPr>
              <w:pStyle w:val="Normal-pool"/>
              <w:spacing w:before="40" w:after="40"/>
              <w:jc w:val="right"/>
              <w:rPr>
                <w:sz w:val="18"/>
                <w:szCs w:val="18"/>
              </w:rPr>
            </w:pPr>
            <w:r w:rsidRPr="009C2953">
              <w:rPr>
                <w:sz w:val="18"/>
              </w:rPr>
              <w:t>488 750</w:t>
            </w:r>
          </w:p>
        </w:tc>
      </w:tr>
      <w:tr w:rsidR="00607B78" w:rsidRPr="009C2953" w14:paraId="674CC97F" w14:textId="77777777" w:rsidTr="00A068F8">
        <w:trPr>
          <w:trHeight w:val="57"/>
          <w:jc w:val="right"/>
        </w:trPr>
        <w:tc>
          <w:tcPr>
            <w:tcW w:w="7513" w:type="dxa"/>
            <w:tcBorders>
              <w:top w:val="nil"/>
              <w:left w:val="nil"/>
              <w:bottom w:val="single" w:sz="4" w:space="0" w:color="auto"/>
              <w:right w:val="nil"/>
            </w:tcBorders>
            <w:hideMark/>
          </w:tcPr>
          <w:p w14:paraId="584DAF24" w14:textId="77777777" w:rsidR="00607B78" w:rsidRPr="009C2953" w:rsidRDefault="00607B78" w:rsidP="00A068F8">
            <w:pPr>
              <w:pStyle w:val="Normal-pool"/>
              <w:spacing w:before="40" w:after="40"/>
              <w:rPr>
                <w:sz w:val="18"/>
                <w:szCs w:val="18"/>
              </w:rPr>
            </w:pPr>
            <w:r w:rsidRPr="009C2953">
              <w:rPr>
                <w:sz w:val="18"/>
              </w:rPr>
              <w:t xml:space="preserve">Produit 1 g) : deuxième évaluation accélérée (évaluation accélérée 2) </w:t>
            </w:r>
          </w:p>
        </w:tc>
        <w:tc>
          <w:tcPr>
            <w:tcW w:w="1984" w:type="dxa"/>
            <w:tcBorders>
              <w:top w:val="nil"/>
              <w:left w:val="nil"/>
              <w:bottom w:val="single" w:sz="4" w:space="0" w:color="auto"/>
              <w:right w:val="nil"/>
            </w:tcBorders>
            <w:vAlign w:val="bottom"/>
            <w:hideMark/>
          </w:tcPr>
          <w:p w14:paraId="3744D930" w14:textId="77777777" w:rsidR="00607B78" w:rsidRPr="009C2953" w:rsidRDefault="00607B78" w:rsidP="00A068F8">
            <w:pPr>
              <w:pStyle w:val="Normal-pool"/>
              <w:spacing w:before="40" w:after="40"/>
              <w:jc w:val="right"/>
              <w:rPr>
                <w:sz w:val="18"/>
                <w:szCs w:val="18"/>
              </w:rPr>
            </w:pPr>
            <w:r w:rsidRPr="009C2953">
              <w:rPr>
                <w:sz w:val="18"/>
              </w:rPr>
              <w:t>327 500</w:t>
            </w:r>
          </w:p>
        </w:tc>
      </w:tr>
      <w:tr w:rsidR="00607B78" w:rsidRPr="009C2953" w14:paraId="2DCAD759" w14:textId="77777777" w:rsidTr="00A068F8">
        <w:trPr>
          <w:trHeight w:val="57"/>
          <w:jc w:val="right"/>
        </w:trPr>
        <w:tc>
          <w:tcPr>
            <w:tcW w:w="7513" w:type="dxa"/>
            <w:tcBorders>
              <w:top w:val="single" w:sz="4" w:space="0" w:color="auto"/>
              <w:left w:val="nil"/>
              <w:bottom w:val="single" w:sz="4" w:space="0" w:color="auto"/>
              <w:right w:val="nil"/>
            </w:tcBorders>
            <w:hideMark/>
          </w:tcPr>
          <w:p w14:paraId="07DAFCC9" w14:textId="0BE1BE5B" w:rsidR="00607B78" w:rsidRPr="009C2953" w:rsidRDefault="00607B78" w:rsidP="00A068F8">
            <w:pPr>
              <w:pStyle w:val="Normal-pool"/>
              <w:spacing w:before="40" w:after="40"/>
              <w:rPr>
                <w:b/>
                <w:sz w:val="18"/>
                <w:szCs w:val="18"/>
              </w:rPr>
            </w:pPr>
            <w:r w:rsidRPr="009C2953">
              <w:rPr>
                <w:b/>
                <w:sz w:val="18"/>
              </w:rPr>
              <w:t>Objectif 2 : renforcement</w:t>
            </w:r>
            <w:r w:rsidR="00D24DC1" w:rsidRPr="009C2953">
              <w:rPr>
                <w:b/>
                <w:sz w:val="18"/>
              </w:rPr>
              <w:t xml:space="preserve"> des </w:t>
            </w:r>
            <w:r w:rsidRPr="009C2953">
              <w:rPr>
                <w:b/>
                <w:sz w:val="18"/>
              </w:rPr>
              <w:t>capacités</w:t>
            </w:r>
          </w:p>
        </w:tc>
        <w:tc>
          <w:tcPr>
            <w:tcW w:w="1984" w:type="dxa"/>
            <w:tcBorders>
              <w:top w:val="single" w:sz="4" w:space="0" w:color="auto"/>
              <w:left w:val="nil"/>
              <w:bottom w:val="single" w:sz="4" w:space="0" w:color="auto"/>
              <w:right w:val="nil"/>
            </w:tcBorders>
            <w:vAlign w:val="bottom"/>
            <w:hideMark/>
          </w:tcPr>
          <w:p w14:paraId="772050DB" w14:textId="77777777" w:rsidR="00607B78" w:rsidRPr="009C2953" w:rsidRDefault="00607B78" w:rsidP="00A068F8">
            <w:pPr>
              <w:pStyle w:val="Normal-pool"/>
              <w:spacing w:before="40" w:after="40"/>
              <w:jc w:val="right"/>
              <w:rPr>
                <w:b/>
                <w:sz w:val="18"/>
                <w:szCs w:val="18"/>
              </w:rPr>
            </w:pPr>
            <w:r w:rsidRPr="009C2953">
              <w:rPr>
                <w:b/>
                <w:sz w:val="18"/>
              </w:rPr>
              <w:t>652 000</w:t>
            </w:r>
          </w:p>
        </w:tc>
      </w:tr>
      <w:tr w:rsidR="00607B78" w:rsidRPr="009C2953" w14:paraId="28CD703A" w14:textId="77777777" w:rsidTr="00A068F8">
        <w:trPr>
          <w:trHeight w:val="57"/>
          <w:jc w:val="right"/>
        </w:trPr>
        <w:tc>
          <w:tcPr>
            <w:tcW w:w="7513" w:type="dxa"/>
            <w:tcBorders>
              <w:top w:val="single" w:sz="4" w:space="0" w:color="auto"/>
              <w:left w:val="nil"/>
              <w:bottom w:val="single" w:sz="4" w:space="0" w:color="auto"/>
              <w:right w:val="nil"/>
            </w:tcBorders>
            <w:hideMark/>
          </w:tcPr>
          <w:p w14:paraId="59B4397D" w14:textId="4F84C29C" w:rsidR="00607B78" w:rsidRPr="009C2953" w:rsidRDefault="00607B78" w:rsidP="00A068F8">
            <w:pPr>
              <w:pStyle w:val="Normal-pool"/>
              <w:spacing w:before="40" w:after="40"/>
              <w:rPr>
                <w:sz w:val="18"/>
                <w:szCs w:val="18"/>
              </w:rPr>
            </w:pPr>
            <w:r w:rsidRPr="009C2953">
              <w:rPr>
                <w:sz w:val="18"/>
              </w:rPr>
              <w:t>Objectif 2 a) : apprentissage et engagement améliorés ; objectif 2 b) : accès facilité</w:t>
            </w:r>
            <w:r w:rsidR="00F34644" w:rsidRPr="009C2953">
              <w:rPr>
                <w:sz w:val="18"/>
              </w:rPr>
              <w:t xml:space="preserve"> aux </w:t>
            </w:r>
            <w:r w:rsidRPr="009C2953">
              <w:rPr>
                <w:sz w:val="18"/>
              </w:rPr>
              <w:t>compétences d</w:t>
            </w:r>
            <w:r w:rsidR="00EA2966" w:rsidRPr="009C2953">
              <w:rPr>
                <w:sz w:val="18"/>
              </w:rPr>
              <w:t>’</w:t>
            </w:r>
            <w:r w:rsidRPr="009C2953">
              <w:rPr>
                <w:sz w:val="18"/>
              </w:rPr>
              <w:t>experts et à l</w:t>
            </w:r>
            <w:r w:rsidR="00EA2966" w:rsidRPr="009C2953">
              <w:rPr>
                <w:sz w:val="18"/>
              </w:rPr>
              <w:t>’</w:t>
            </w:r>
            <w:r w:rsidRPr="009C2953">
              <w:rPr>
                <w:sz w:val="18"/>
              </w:rPr>
              <w:t>information ; objectif 2 c) : capacités nationales et régionales renforcées</w:t>
            </w:r>
          </w:p>
        </w:tc>
        <w:tc>
          <w:tcPr>
            <w:tcW w:w="1984" w:type="dxa"/>
            <w:tcBorders>
              <w:top w:val="single" w:sz="4" w:space="0" w:color="auto"/>
              <w:left w:val="nil"/>
              <w:bottom w:val="single" w:sz="4" w:space="0" w:color="auto"/>
              <w:right w:val="nil"/>
            </w:tcBorders>
            <w:vAlign w:val="bottom"/>
            <w:hideMark/>
          </w:tcPr>
          <w:p w14:paraId="720E472D" w14:textId="77777777" w:rsidR="00607B78" w:rsidRPr="009C2953" w:rsidRDefault="00607B78" w:rsidP="00A068F8">
            <w:pPr>
              <w:pStyle w:val="Normal-pool"/>
              <w:spacing w:before="40" w:after="40"/>
              <w:jc w:val="right"/>
              <w:rPr>
                <w:sz w:val="18"/>
                <w:szCs w:val="18"/>
              </w:rPr>
            </w:pPr>
            <w:r w:rsidRPr="009C2953">
              <w:rPr>
                <w:sz w:val="18"/>
              </w:rPr>
              <w:t>652 000</w:t>
            </w:r>
          </w:p>
        </w:tc>
      </w:tr>
      <w:tr w:rsidR="00607B78" w:rsidRPr="009C2953" w14:paraId="446298B6" w14:textId="77777777" w:rsidTr="00A068F8">
        <w:trPr>
          <w:trHeight w:val="57"/>
          <w:jc w:val="right"/>
        </w:trPr>
        <w:tc>
          <w:tcPr>
            <w:tcW w:w="7513" w:type="dxa"/>
            <w:tcBorders>
              <w:top w:val="single" w:sz="4" w:space="0" w:color="auto"/>
              <w:left w:val="nil"/>
              <w:bottom w:val="single" w:sz="4" w:space="0" w:color="auto"/>
              <w:right w:val="nil"/>
            </w:tcBorders>
            <w:hideMark/>
          </w:tcPr>
          <w:p w14:paraId="6C5723AE" w14:textId="01C53546" w:rsidR="00607B78" w:rsidRPr="009C2953" w:rsidRDefault="00607B78" w:rsidP="00A068F8">
            <w:pPr>
              <w:pStyle w:val="Normal-pool"/>
              <w:spacing w:before="40" w:after="40"/>
              <w:rPr>
                <w:b/>
                <w:sz w:val="18"/>
                <w:szCs w:val="18"/>
              </w:rPr>
            </w:pPr>
            <w:r w:rsidRPr="009C2953">
              <w:rPr>
                <w:b/>
                <w:sz w:val="18"/>
              </w:rPr>
              <w:t>Objectif 3 : consolidation de</w:t>
            </w:r>
            <w:r w:rsidR="00F34644" w:rsidRPr="009C2953">
              <w:rPr>
                <w:b/>
                <w:sz w:val="18"/>
              </w:rPr>
              <w:t xml:space="preserve"> la </w:t>
            </w:r>
            <w:r w:rsidRPr="009C2953">
              <w:rPr>
                <w:b/>
                <w:sz w:val="18"/>
              </w:rPr>
              <w:t>base de connaissances</w:t>
            </w:r>
          </w:p>
        </w:tc>
        <w:tc>
          <w:tcPr>
            <w:tcW w:w="1984" w:type="dxa"/>
            <w:tcBorders>
              <w:top w:val="single" w:sz="4" w:space="0" w:color="auto"/>
              <w:left w:val="nil"/>
              <w:bottom w:val="single" w:sz="4" w:space="0" w:color="auto"/>
              <w:right w:val="nil"/>
            </w:tcBorders>
            <w:vAlign w:val="bottom"/>
            <w:hideMark/>
          </w:tcPr>
          <w:p w14:paraId="6600B668" w14:textId="77777777" w:rsidR="00607B78" w:rsidRPr="009C2953" w:rsidRDefault="00607B78" w:rsidP="00A068F8">
            <w:pPr>
              <w:pStyle w:val="Normal-pool"/>
              <w:spacing w:before="40" w:after="40"/>
              <w:jc w:val="right"/>
              <w:rPr>
                <w:b/>
                <w:sz w:val="18"/>
                <w:szCs w:val="18"/>
              </w:rPr>
            </w:pPr>
            <w:r w:rsidRPr="009C2953">
              <w:rPr>
                <w:b/>
                <w:sz w:val="18"/>
              </w:rPr>
              <w:t>615 000</w:t>
            </w:r>
          </w:p>
        </w:tc>
      </w:tr>
      <w:tr w:rsidR="00607B78" w:rsidRPr="009C2953" w14:paraId="40E995B7" w14:textId="77777777" w:rsidTr="00A068F8">
        <w:trPr>
          <w:trHeight w:val="57"/>
          <w:jc w:val="right"/>
        </w:trPr>
        <w:tc>
          <w:tcPr>
            <w:tcW w:w="7513" w:type="dxa"/>
            <w:tcBorders>
              <w:top w:val="single" w:sz="4" w:space="0" w:color="auto"/>
              <w:left w:val="nil"/>
              <w:bottom w:val="nil"/>
              <w:right w:val="nil"/>
            </w:tcBorders>
            <w:hideMark/>
          </w:tcPr>
          <w:p w14:paraId="15894B4C" w14:textId="0A211D4C" w:rsidR="00607B78" w:rsidRPr="009C2953" w:rsidRDefault="00607B78" w:rsidP="00A068F8">
            <w:pPr>
              <w:pStyle w:val="Normal-pool"/>
              <w:spacing w:before="40" w:after="40"/>
              <w:rPr>
                <w:sz w:val="18"/>
                <w:szCs w:val="18"/>
              </w:rPr>
            </w:pPr>
            <w:r w:rsidRPr="009C2953">
              <w:rPr>
                <w:sz w:val="18"/>
              </w:rPr>
              <w:t>Objectif 3 a) : travaux avancés sur</w:t>
            </w:r>
            <w:r w:rsidR="00F34644" w:rsidRPr="009C2953">
              <w:rPr>
                <w:sz w:val="18"/>
              </w:rPr>
              <w:t xml:space="preserve"> les </w:t>
            </w:r>
            <w:r w:rsidRPr="009C2953">
              <w:rPr>
                <w:sz w:val="18"/>
              </w:rPr>
              <w:t>connaissances et</w:t>
            </w:r>
            <w:r w:rsidR="00F34644" w:rsidRPr="009C2953">
              <w:rPr>
                <w:sz w:val="18"/>
              </w:rPr>
              <w:t xml:space="preserve"> les </w:t>
            </w:r>
            <w:r w:rsidRPr="009C2953">
              <w:rPr>
                <w:sz w:val="18"/>
              </w:rPr>
              <w:t>données</w:t>
            </w:r>
          </w:p>
        </w:tc>
        <w:tc>
          <w:tcPr>
            <w:tcW w:w="1984" w:type="dxa"/>
            <w:tcBorders>
              <w:top w:val="single" w:sz="4" w:space="0" w:color="auto"/>
              <w:left w:val="nil"/>
              <w:bottom w:val="nil"/>
              <w:right w:val="nil"/>
            </w:tcBorders>
            <w:vAlign w:val="bottom"/>
            <w:hideMark/>
          </w:tcPr>
          <w:p w14:paraId="4F1A5988" w14:textId="77777777" w:rsidR="00607B78" w:rsidRPr="009C2953" w:rsidRDefault="00607B78" w:rsidP="00A068F8">
            <w:pPr>
              <w:pStyle w:val="Normal-pool"/>
              <w:spacing w:before="40" w:after="40"/>
              <w:jc w:val="right"/>
              <w:rPr>
                <w:sz w:val="18"/>
                <w:szCs w:val="18"/>
              </w:rPr>
            </w:pPr>
            <w:r w:rsidRPr="009C2953">
              <w:rPr>
                <w:sz w:val="18"/>
              </w:rPr>
              <w:t>321 000</w:t>
            </w:r>
          </w:p>
        </w:tc>
      </w:tr>
      <w:tr w:rsidR="00607B78" w:rsidRPr="009C2953" w14:paraId="5C1E23A2" w14:textId="77777777" w:rsidTr="00A068F8">
        <w:trPr>
          <w:trHeight w:val="57"/>
          <w:jc w:val="right"/>
        </w:trPr>
        <w:tc>
          <w:tcPr>
            <w:tcW w:w="7513" w:type="dxa"/>
            <w:tcBorders>
              <w:top w:val="nil"/>
              <w:left w:val="nil"/>
              <w:bottom w:val="single" w:sz="4" w:space="0" w:color="auto"/>
              <w:right w:val="nil"/>
            </w:tcBorders>
            <w:hideMark/>
          </w:tcPr>
          <w:p w14:paraId="5C21691E" w14:textId="1A543874" w:rsidR="00607B78" w:rsidRPr="009C2953" w:rsidRDefault="00607B78" w:rsidP="00A068F8">
            <w:pPr>
              <w:pStyle w:val="Normal-pool"/>
              <w:spacing w:before="40" w:after="40"/>
              <w:rPr>
                <w:sz w:val="18"/>
                <w:szCs w:val="18"/>
              </w:rPr>
            </w:pPr>
            <w:r w:rsidRPr="009C2953">
              <w:rPr>
                <w:sz w:val="18"/>
              </w:rPr>
              <w:t>Objectif 3 b) : reconnaissance et utilisation améliorées</w:t>
            </w:r>
            <w:r w:rsidR="00D24DC1" w:rsidRPr="009C2953">
              <w:rPr>
                <w:sz w:val="18"/>
              </w:rPr>
              <w:t xml:space="preserve"> des </w:t>
            </w:r>
            <w:r w:rsidRPr="009C2953">
              <w:rPr>
                <w:sz w:val="18"/>
              </w:rPr>
              <w:t>systèmes de savoirs autochtones et locaux</w:t>
            </w:r>
          </w:p>
        </w:tc>
        <w:tc>
          <w:tcPr>
            <w:tcW w:w="1984" w:type="dxa"/>
            <w:tcBorders>
              <w:top w:val="nil"/>
              <w:left w:val="nil"/>
              <w:bottom w:val="single" w:sz="4" w:space="0" w:color="auto"/>
              <w:right w:val="nil"/>
            </w:tcBorders>
            <w:vAlign w:val="bottom"/>
            <w:hideMark/>
          </w:tcPr>
          <w:p w14:paraId="08CA835C" w14:textId="77777777" w:rsidR="00607B78" w:rsidRPr="009C2953" w:rsidRDefault="00607B78" w:rsidP="00A068F8">
            <w:pPr>
              <w:pStyle w:val="Normal-pool"/>
              <w:spacing w:before="40" w:after="40"/>
              <w:jc w:val="right"/>
              <w:rPr>
                <w:sz w:val="18"/>
                <w:szCs w:val="18"/>
              </w:rPr>
            </w:pPr>
            <w:r w:rsidRPr="009C2953">
              <w:rPr>
                <w:sz w:val="18"/>
              </w:rPr>
              <w:t>294 000</w:t>
            </w:r>
          </w:p>
        </w:tc>
      </w:tr>
      <w:tr w:rsidR="00607B78" w:rsidRPr="009C2953" w14:paraId="057B19AD" w14:textId="77777777" w:rsidTr="00A068F8">
        <w:trPr>
          <w:trHeight w:val="57"/>
          <w:jc w:val="right"/>
        </w:trPr>
        <w:tc>
          <w:tcPr>
            <w:tcW w:w="7513" w:type="dxa"/>
            <w:tcBorders>
              <w:top w:val="single" w:sz="4" w:space="0" w:color="auto"/>
              <w:left w:val="nil"/>
              <w:bottom w:val="single" w:sz="4" w:space="0" w:color="auto"/>
              <w:right w:val="nil"/>
            </w:tcBorders>
            <w:hideMark/>
          </w:tcPr>
          <w:p w14:paraId="0B49D512" w14:textId="08F9F027" w:rsidR="00607B78" w:rsidRPr="009C2953" w:rsidRDefault="00607B78" w:rsidP="00A068F8">
            <w:pPr>
              <w:pStyle w:val="Normal-pool"/>
              <w:spacing w:before="40" w:after="40"/>
              <w:rPr>
                <w:b/>
                <w:sz w:val="18"/>
                <w:szCs w:val="18"/>
              </w:rPr>
            </w:pPr>
            <w:r w:rsidRPr="009C2953">
              <w:rPr>
                <w:b/>
                <w:sz w:val="18"/>
              </w:rPr>
              <w:t>Objectif 4 : appui à l</w:t>
            </w:r>
            <w:r w:rsidR="00EA2966" w:rsidRPr="009C2953">
              <w:rPr>
                <w:b/>
                <w:sz w:val="18"/>
              </w:rPr>
              <w:t>’</w:t>
            </w:r>
            <w:r w:rsidRPr="009C2953">
              <w:rPr>
                <w:b/>
                <w:sz w:val="18"/>
              </w:rPr>
              <w:t>élaboration</w:t>
            </w:r>
            <w:r w:rsidR="00D24DC1" w:rsidRPr="009C2953">
              <w:rPr>
                <w:b/>
                <w:sz w:val="18"/>
              </w:rPr>
              <w:t xml:space="preserve"> des </w:t>
            </w:r>
            <w:r w:rsidRPr="009C2953">
              <w:rPr>
                <w:b/>
                <w:sz w:val="18"/>
              </w:rPr>
              <w:t>politiques</w:t>
            </w:r>
          </w:p>
        </w:tc>
        <w:tc>
          <w:tcPr>
            <w:tcW w:w="1984" w:type="dxa"/>
            <w:tcBorders>
              <w:top w:val="single" w:sz="4" w:space="0" w:color="auto"/>
              <w:left w:val="nil"/>
              <w:bottom w:val="single" w:sz="4" w:space="0" w:color="auto"/>
              <w:right w:val="nil"/>
            </w:tcBorders>
            <w:vAlign w:val="bottom"/>
            <w:hideMark/>
          </w:tcPr>
          <w:p w14:paraId="2A7FD780" w14:textId="77777777" w:rsidR="00607B78" w:rsidRPr="009C2953" w:rsidRDefault="00607B78" w:rsidP="00A068F8">
            <w:pPr>
              <w:pStyle w:val="Normal-pool"/>
              <w:spacing w:before="40" w:after="40"/>
              <w:jc w:val="right"/>
              <w:rPr>
                <w:b/>
                <w:sz w:val="18"/>
                <w:szCs w:val="18"/>
              </w:rPr>
            </w:pPr>
            <w:r w:rsidRPr="009C2953">
              <w:rPr>
                <w:b/>
                <w:sz w:val="18"/>
              </w:rPr>
              <w:t>437 000</w:t>
            </w:r>
          </w:p>
        </w:tc>
      </w:tr>
      <w:tr w:rsidR="00607B78" w:rsidRPr="009C2953" w14:paraId="30717A25" w14:textId="77777777" w:rsidTr="00A068F8">
        <w:trPr>
          <w:trHeight w:val="57"/>
          <w:jc w:val="right"/>
        </w:trPr>
        <w:tc>
          <w:tcPr>
            <w:tcW w:w="7513" w:type="dxa"/>
            <w:tcBorders>
              <w:top w:val="single" w:sz="4" w:space="0" w:color="auto"/>
              <w:left w:val="nil"/>
              <w:bottom w:val="single" w:sz="4" w:space="0" w:color="auto"/>
              <w:right w:val="nil"/>
            </w:tcBorders>
          </w:tcPr>
          <w:p w14:paraId="5E94C2F5" w14:textId="1A4FE021" w:rsidR="00607B78" w:rsidRPr="009C2953" w:rsidRDefault="00607B78" w:rsidP="00A068F8">
            <w:pPr>
              <w:pStyle w:val="Normal-pool"/>
              <w:spacing w:before="40" w:after="40"/>
              <w:rPr>
                <w:bCs/>
                <w:sz w:val="18"/>
                <w:szCs w:val="18"/>
              </w:rPr>
            </w:pPr>
            <w:r w:rsidRPr="009C2953">
              <w:rPr>
                <w:sz w:val="18"/>
              </w:rPr>
              <w:t>Objectif 4 a) : travaux avancés sur</w:t>
            </w:r>
            <w:r w:rsidR="00F34644" w:rsidRPr="009C2953">
              <w:rPr>
                <w:sz w:val="18"/>
              </w:rPr>
              <w:t xml:space="preserve"> les </w:t>
            </w:r>
            <w:r w:rsidRPr="009C2953">
              <w:rPr>
                <w:sz w:val="18"/>
              </w:rPr>
              <w:t>moyens d</w:t>
            </w:r>
            <w:r w:rsidR="00EA2966" w:rsidRPr="009C2953">
              <w:rPr>
                <w:sz w:val="18"/>
              </w:rPr>
              <w:t>’</w:t>
            </w:r>
            <w:r w:rsidRPr="009C2953">
              <w:rPr>
                <w:sz w:val="18"/>
              </w:rPr>
              <w:t>action,</w:t>
            </w:r>
            <w:r w:rsidR="00F34644" w:rsidRPr="009C2953">
              <w:rPr>
                <w:sz w:val="18"/>
              </w:rPr>
              <w:t xml:space="preserve"> les </w:t>
            </w:r>
            <w:r w:rsidRPr="009C2953">
              <w:rPr>
                <w:sz w:val="18"/>
              </w:rPr>
              <w:t>outils d</w:t>
            </w:r>
            <w:r w:rsidR="00EA2966" w:rsidRPr="009C2953">
              <w:rPr>
                <w:sz w:val="18"/>
              </w:rPr>
              <w:t>’</w:t>
            </w:r>
            <w:r w:rsidRPr="009C2953">
              <w:rPr>
                <w:sz w:val="18"/>
              </w:rPr>
              <w:t>appui à l</w:t>
            </w:r>
            <w:r w:rsidR="00EA2966" w:rsidRPr="009C2953">
              <w:rPr>
                <w:sz w:val="18"/>
              </w:rPr>
              <w:t>’</w:t>
            </w:r>
            <w:r w:rsidRPr="009C2953">
              <w:rPr>
                <w:sz w:val="18"/>
              </w:rPr>
              <w:t>élaboration</w:t>
            </w:r>
            <w:r w:rsidR="00D24DC1" w:rsidRPr="009C2953">
              <w:rPr>
                <w:sz w:val="18"/>
              </w:rPr>
              <w:t xml:space="preserve"> des </w:t>
            </w:r>
            <w:r w:rsidRPr="009C2953">
              <w:rPr>
                <w:sz w:val="18"/>
              </w:rPr>
              <w:t>politiques et</w:t>
            </w:r>
            <w:r w:rsidR="00F34644" w:rsidRPr="009C2953">
              <w:rPr>
                <w:sz w:val="18"/>
              </w:rPr>
              <w:t xml:space="preserve"> les </w:t>
            </w:r>
            <w:r w:rsidRPr="009C2953">
              <w:rPr>
                <w:sz w:val="18"/>
              </w:rPr>
              <w:t>méthodes</w:t>
            </w:r>
          </w:p>
        </w:tc>
        <w:tc>
          <w:tcPr>
            <w:tcW w:w="1984" w:type="dxa"/>
            <w:tcBorders>
              <w:top w:val="single" w:sz="4" w:space="0" w:color="auto"/>
              <w:left w:val="nil"/>
              <w:bottom w:val="single" w:sz="4" w:space="0" w:color="auto"/>
              <w:right w:val="nil"/>
            </w:tcBorders>
            <w:vAlign w:val="bottom"/>
          </w:tcPr>
          <w:p w14:paraId="0C082B4A" w14:textId="77777777" w:rsidR="00607B78" w:rsidRPr="009C2953" w:rsidRDefault="00607B78" w:rsidP="00A068F8">
            <w:pPr>
              <w:pStyle w:val="Normal-pool"/>
              <w:spacing w:before="40" w:after="40"/>
              <w:jc w:val="right"/>
              <w:rPr>
                <w:sz w:val="18"/>
                <w:szCs w:val="18"/>
              </w:rPr>
            </w:pPr>
            <w:r w:rsidRPr="009C2953">
              <w:rPr>
                <w:sz w:val="18"/>
              </w:rPr>
              <w:t>217 000</w:t>
            </w:r>
          </w:p>
        </w:tc>
      </w:tr>
      <w:tr w:rsidR="00607B78" w:rsidRPr="009C2953" w14:paraId="6C4E57D0" w14:textId="77777777" w:rsidTr="00A068F8">
        <w:trPr>
          <w:trHeight w:val="57"/>
          <w:jc w:val="right"/>
        </w:trPr>
        <w:tc>
          <w:tcPr>
            <w:tcW w:w="7513" w:type="dxa"/>
            <w:tcBorders>
              <w:top w:val="single" w:sz="4" w:space="0" w:color="auto"/>
              <w:left w:val="nil"/>
              <w:bottom w:val="single" w:sz="4" w:space="0" w:color="auto"/>
              <w:right w:val="nil"/>
            </w:tcBorders>
            <w:hideMark/>
          </w:tcPr>
          <w:p w14:paraId="0C67A321" w14:textId="16FC02DB" w:rsidR="00607B78" w:rsidRPr="009C2953" w:rsidRDefault="00607B78" w:rsidP="00A068F8">
            <w:pPr>
              <w:pStyle w:val="Normal-pool"/>
              <w:spacing w:before="40" w:after="40"/>
              <w:rPr>
                <w:sz w:val="18"/>
                <w:szCs w:val="18"/>
              </w:rPr>
            </w:pPr>
            <w:r w:rsidRPr="009C2953">
              <w:rPr>
                <w:sz w:val="18"/>
              </w:rPr>
              <w:t>Objectif 4 b) : travaux avancés sur</w:t>
            </w:r>
            <w:r w:rsidR="00F34644" w:rsidRPr="009C2953">
              <w:rPr>
                <w:sz w:val="18"/>
              </w:rPr>
              <w:t xml:space="preserve"> les </w:t>
            </w:r>
            <w:r w:rsidRPr="009C2953">
              <w:rPr>
                <w:sz w:val="18"/>
              </w:rPr>
              <w:t>scénarios et</w:t>
            </w:r>
            <w:r w:rsidR="00F34644" w:rsidRPr="009C2953">
              <w:rPr>
                <w:sz w:val="18"/>
              </w:rPr>
              <w:t xml:space="preserve"> les </w:t>
            </w:r>
            <w:r w:rsidRPr="009C2953">
              <w:rPr>
                <w:sz w:val="18"/>
              </w:rPr>
              <w:t>modèles de</w:t>
            </w:r>
            <w:r w:rsidR="00F34644" w:rsidRPr="009C2953">
              <w:rPr>
                <w:sz w:val="18"/>
              </w:rPr>
              <w:t xml:space="preserve"> la </w:t>
            </w:r>
            <w:r w:rsidRPr="009C2953">
              <w:rPr>
                <w:sz w:val="18"/>
              </w:rPr>
              <w:t>biodiversité et</w:t>
            </w:r>
            <w:r w:rsidR="00D24DC1" w:rsidRPr="009C2953">
              <w:rPr>
                <w:sz w:val="18"/>
              </w:rPr>
              <w:t xml:space="preserve"> des </w:t>
            </w:r>
            <w:r w:rsidRPr="009C2953">
              <w:rPr>
                <w:sz w:val="18"/>
              </w:rPr>
              <w:t>fonctions et</w:t>
            </w:r>
            <w:r w:rsidR="0025203C" w:rsidRPr="009C2953">
              <w:rPr>
                <w:sz w:val="18"/>
              </w:rPr>
              <w:t> </w:t>
            </w:r>
            <w:r w:rsidRPr="009C2953">
              <w:rPr>
                <w:sz w:val="18"/>
              </w:rPr>
              <w:t xml:space="preserve">services écosystémiques </w:t>
            </w:r>
          </w:p>
        </w:tc>
        <w:tc>
          <w:tcPr>
            <w:tcW w:w="1984" w:type="dxa"/>
            <w:tcBorders>
              <w:top w:val="single" w:sz="4" w:space="0" w:color="auto"/>
              <w:left w:val="nil"/>
              <w:bottom w:val="single" w:sz="4" w:space="0" w:color="auto"/>
              <w:right w:val="nil"/>
            </w:tcBorders>
            <w:vAlign w:val="bottom"/>
            <w:hideMark/>
          </w:tcPr>
          <w:p w14:paraId="7EE9D99D" w14:textId="77777777" w:rsidR="00607B78" w:rsidRPr="009C2953" w:rsidRDefault="00607B78" w:rsidP="00A068F8">
            <w:pPr>
              <w:pStyle w:val="Normal-pool"/>
              <w:spacing w:before="40" w:after="40"/>
              <w:jc w:val="right"/>
              <w:rPr>
                <w:sz w:val="18"/>
                <w:szCs w:val="18"/>
              </w:rPr>
            </w:pPr>
            <w:r w:rsidRPr="009C2953">
              <w:rPr>
                <w:sz w:val="18"/>
              </w:rPr>
              <w:t>220 000</w:t>
            </w:r>
          </w:p>
        </w:tc>
      </w:tr>
      <w:tr w:rsidR="00607B78" w:rsidRPr="009C2953" w14:paraId="4B7814B3" w14:textId="77777777" w:rsidTr="00A068F8">
        <w:trPr>
          <w:trHeight w:val="57"/>
          <w:jc w:val="right"/>
        </w:trPr>
        <w:tc>
          <w:tcPr>
            <w:tcW w:w="7513" w:type="dxa"/>
            <w:tcBorders>
              <w:top w:val="single" w:sz="4" w:space="0" w:color="auto"/>
              <w:left w:val="nil"/>
              <w:bottom w:val="single" w:sz="4" w:space="0" w:color="auto"/>
              <w:right w:val="nil"/>
            </w:tcBorders>
            <w:hideMark/>
          </w:tcPr>
          <w:p w14:paraId="148BC977" w14:textId="77777777" w:rsidR="00607B78" w:rsidRPr="009C2953" w:rsidRDefault="00607B78" w:rsidP="00A068F8">
            <w:pPr>
              <w:pStyle w:val="Normal-pool"/>
              <w:spacing w:before="40" w:after="40"/>
              <w:rPr>
                <w:b/>
                <w:sz w:val="18"/>
                <w:szCs w:val="18"/>
              </w:rPr>
            </w:pPr>
            <w:r w:rsidRPr="009C2953">
              <w:rPr>
                <w:b/>
                <w:sz w:val="18"/>
              </w:rPr>
              <w:t>Objectif 5 : communication et participation</w:t>
            </w:r>
          </w:p>
        </w:tc>
        <w:tc>
          <w:tcPr>
            <w:tcW w:w="1984" w:type="dxa"/>
            <w:tcBorders>
              <w:top w:val="single" w:sz="4" w:space="0" w:color="auto"/>
              <w:left w:val="nil"/>
              <w:bottom w:val="single" w:sz="4" w:space="0" w:color="auto"/>
              <w:right w:val="nil"/>
            </w:tcBorders>
            <w:vAlign w:val="bottom"/>
            <w:hideMark/>
          </w:tcPr>
          <w:p w14:paraId="51BC9A4B" w14:textId="77777777" w:rsidR="00607B78" w:rsidRPr="009C2953" w:rsidRDefault="00607B78" w:rsidP="00A068F8">
            <w:pPr>
              <w:pStyle w:val="Normal-pool"/>
              <w:spacing w:before="40" w:after="40"/>
              <w:jc w:val="right"/>
              <w:rPr>
                <w:b/>
                <w:sz w:val="18"/>
                <w:szCs w:val="18"/>
              </w:rPr>
            </w:pPr>
            <w:r w:rsidRPr="009C2953">
              <w:rPr>
                <w:b/>
                <w:sz w:val="18"/>
              </w:rPr>
              <w:t>280 000</w:t>
            </w:r>
          </w:p>
        </w:tc>
      </w:tr>
      <w:tr w:rsidR="00607B78" w:rsidRPr="009C2953" w14:paraId="1AF52876" w14:textId="77777777" w:rsidTr="00A068F8">
        <w:trPr>
          <w:trHeight w:val="57"/>
          <w:jc w:val="right"/>
        </w:trPr>
        <w:tc>
          <w:tcPr>
            <w:tcW w:w="7513" w:type="dxa"/>
            <w:tcBorders>
              <w:top w:val="single" w:sz="4" w:space="0" w:color="auto"/>
              <w:left w:val="nil"/>
              <w:bottom w:val="nil"/>
              <w:right w:val="nil"/>
            </w:tcBorders>
            <w:hideMark/>
          </w:tcPr>
          <w:p w14:paraId="58BEEE9E" w14:textId="77777777" w:rsidR="00607B78" w:rsidRPr="009C2953" w:rsidRDefault="00607B78" w:rsidP="00A068F8">
            <w:pPr>
              <w:pStyle w:val="Normal-pool"/>
              <w:spacing w:before="40" w:after="40"/>
              <w:rPr>
                <w:sz w:val="18"/>
                <w:szCs w:val="18"/>
              </w:rPr>
            </w:pPr>
            <w:r w:rsidRPr="009C2953">
              <w:rPr>
                <w:sz w:val="18"/>
              </w:rPr>
              <w:t>Objectif 5 a) : communication renforcée</w:t>
            </w:r>
          </w:p>
        </w:tc>
        <w:tc>
          <w:tcPr>
            <w:tcW w:w="1984" w:type="dxa"/>
            <w:tcBorders>
              <w:top w:val="single" w:sz="4" w:space="0" w:color="auto"/>
              <w:left w:val="nil"/>
              <w:bottom w:val="nil"/>
              <w:right w:val="nil"/>
            </w:tcBorders>
            <w:vAlign w:val="bottom"/>
            <w:hideMark/>
          </w:tcPr>
          <w:p w14:paraId="2FD50A34" w14:textId="77777777" w:rsidR="00607B78" w:rsidRPr="009C2953" w:rsidRDefault="00607B78" w:rsidP="00A068F8">
            <w:pPr>
              <w:pStyle w:val="Normal-pool"/>
              <w:spacing w:before="40" w:after="40"/>
              <w:jc w:val="right"/>
              <w:rPr>
                <w:sz w:val="18"/>
                <w:szCs w:val="18"/>
              </w:rPr>
            </w:pPr>
            <w:r w:rsidRPr="009C2953">
              <w:rPr>
                <w:sz w:val="18"/>
              </w:rPr>
              <w:t>250 000</w:t>
            </w:r>
          </w:p>
        </w:tc>
      </w:tr>
      <w:tr w:rsidR="00607B78" w:rsidRPr="009C2953" w14:paraId="57EC2355" w14:textId="77777777" w:rsidTr="00A068F8">
        <w:trPr>
          <w:trHeight w:val="57"/>
          <w:jc w:val="right"/>
        </w:trPr>
        <w:tc>
          <w:tcPr>
            <w:tcW w:w="7513" w:type="dxa"/>
            <w:tcBorders>
              <w:top w:val="nil"/>
              <w:left w:val="nil"/>
              <w:bottom w:val="single" w:sz="4" w:space="0" w:color="auto"/>
              <w:right w:val="nil"/>
            </w:tcBorders>
            <w:hideMark/>
          </w:tcPr>
          <w:p w14:paraId="4A1DF9DA" w14:textId="57C91E9B" w:rsidR="00607B78" w:rsidRPr="009C2953" w:rsidRDefault="00607B78" w:rsidP="00A068F8">
            <w:pPr>
              <w:pStyle w:val="Normal-pool"/>
              <w:spacing w:before="40" w:after="40"/>
              <w:rPr>
                <w:sz w:val="18"/>
                <w:szCs w:val="18"/>
              </w:rPr>
            </w:pPr>
            <w:r w:rsidRPr="009C2953">
              <w:rPr>
                <w:sz w:val="18"/>
              </w:rPr>
              <w:t>Objectif 5 c) : participation renforcée</w:t>
            </w:r>
            <w:r w:rsidR="00D24DC1" w:rsidRPr="009C2953">
              <w:rPr>
                <w:sz w:val="18"/>
              </w:rPr>
              <w:t xml:space="preserve"> des </w:t>
            </w:r>
            <w:r w:rsidRPr="009C2953">
              <w:rPr>
                <w:sz w:val="18"/>
              </w:rPr>
              <w:t>parties prenantes</w:t>
            </w:r>
          </w:p>
        </w:tc>
        <w:tc>
          <w:tcPr>
            <w:tcW w:w="1984" w:type="dxa"/>
            <w:tcBorders>
              <w:top w:val="nil"/>
              <w:left w:val="nil"/>
              <w:bottom w:val="single" w:sz="4" w:space="0" w:color="auto"/>
              <w:right w:val="nil"/>
            </w:tcBorders>
            <w:vAlign w:val="bottom"/>
            <w:hideMark/>
          </w:tcPr>
          <w:p w14:paraId="7B0708DE" w14:textId="77777777" w:rsidR="00607B78" w:rsidRPr="009C2953" w:rsidRDefault="00607B78" w:rsidP="00A068F8">
            <w:pPr>
              <w:pStyle w:val="Normal-pool"/>
              <w:spacing w:before="40" w:after="40"/>
              <w:jc w:val="right"/>
              <w:rPr>
                <w:sz w:val="18"/>
                <w:szCs w:val="18"/>
              </w:rPr>
            </w:pPr>
            <w:r w:rsidRPr="009C2953">
              <w:rPr>
                <w:sz w:val="18"/>
              </w:rPr>
              <w:t>30 000</w:t>
            </w:r>
          </w:p>
        </w:tc>
      </w:tr>
      <w:tr w:rsidR="00607B78" w:rsidRPr="009C2953" w14:paraId="1DA6A21C" w14:textId="77777777" w:rsidTr="00A068F8">
        <w:trPr>
          <w:trHeight w:val="57"/>
          <w:jc w:val="right"/>
        </w:trPr>
        <w:tc>
          <w:tcPr>
            <w:tcW w:w="7513" w:type="dxa"/>
            <w:tcBorders>
              <w:top w:val="single" w:sz="4" w:space="0" w:color="auto"/>
              <w:left w:val="nil"/>
              <w:bottom w:val="single" w:sz="4" w:space="0" w:color="auto"/>
              <w:right w:val="nil"/>
            </w:tcBorders>
            <w:hideMark/>
          </w:tcPr>
          <w:p w14:paraId="1914694B" w14:textId="50A671B2" w:rsidR="00607B78" w:rsidRPr="009C2953" w:rsidRDefault="00607B78" w:rsidP="00A068F8">
            <w:pPr>
              <w:pStyle w:val="Normal-pool"/>
              <w:spacing w:before="40" w:after="40"/>
              <w:rPr>
                <w:sz w:val="18"/>
                <w:szCs w:val="18"/>
              </w:rPr>
            </w:pPr>
            <w:r w:rsidRPr="009C2953">
              <w:rPr>
                <w:b/>
                <w:sz w:val="18"/>
              </w:rPr>
              <w:t>Objectif 6 : renforcement de l</w:t>
            </w:r>
            <w:r w:rsidR="00EA2966" w:rsidRPr="009C2953">
              <w:rPr>
                <w:b/>
                <w:sz w:val="18"/>
              </w:rPr>
              <w:t>’</w:t>
            </w:r>
            <w:r w:rsidRPr="009C2953">
              <w:rPr>
                <w:b/>
                <w:sz w:val="18"/>
              </w:rPr>
              <w:t>efficacité de</w:t>
            </w:r>
            <w:r w:rsidR="00F34644" w:rsidRPr="009C2953">
              <w:rPr>
                <w:b/>
                <w:sz w:val="18"/>
              </w:rPr>
              <w:t xml:space="preserve"> la </w:t>
            </w:r>
            <w:r w:rsidRPr="009C2953">
              <w:rPr>
                <w:b/>
                <w:sz w:val="18"/>
              </w:rPr>
              <w:t>Plateforme</w:t>
            </w:r>
          </w:p>
        </w:tc>
        <w:tc>
          <w:tcPr>
            <w:tcW w:w="1984" w:type="dxa"/>
            <w:tcBorders>
              <w:top w:val="single" w:sz="4" w:space="0" w:color="auto"/>
              <w:left w:val="nil"/>
              <w:bottom w:val="single" w:sz="4" w:space="0" w:color="auto"/>
              <w:right w:val="nil"/>
            </w:tcBorders>
            <w:vAlign w:val="bottom"/>
            <w:hideMark/>
          </w:tcPr>
          <w:p w14:paraId="3F182DED" w14:textId="77777777" w:rsidR="00607B78" w:rsidRPr="009C2953" w:rsidRDefault="00607B78" w:rsidP="00A068F8">
            <w:pPr>
              <w:pStyle w:val="Normal-pool"/>
              <w:spacing w:before="40" w:after="40"/>
              <w:jc w:val="right"/>
              <w:rPr>
                <w:b/>
                <w:sz w:val="18"/>
                <w:szCs w:val="18"/>
              </w:rPr>
            </w:pPr>
            <w:r w:rsidRPr="009C2953">
              <w:rPr>
                <w:b/>
                <w:sz w:val="18"/>
              </w:rPr>
              <w:t>91 550</w:t>
            </w:r>
          </w:p>
        </w:tc>
      </w:tr>
      <w:tr w:rsidR="00607B78" w:rsidRPr="009C2953" w14:paraId="1C4B35EC" w14:textId="77777777" w:rsidTr="00A068F8">
        <w:trPr>
          <w:trHeight w:val="57"/>
          <w:jc w:val="right"/>
        </w:trPr>
        <w:tc>
          <w:tcPr>
            <w:tcW w:w="7513" w:type="dxa"/>
            <w:tcBorders>
              <w:top w:val="single" w:sz="4" w:space="0" w:color="auto"/>
              <w:left w:val="nil"/>
              <w:bottom w:val="single" w:sz="4" w:space="0" w:color="000000"/>
              <w:right w:val="nil"/>
            </w:tcBorders>
            <w:hideMark/>
          </w:tcPr>
          <w:p w14:paraId="1CA5CAD0" w14:textId="588458A8" w:rsidR="00607B78" w:rsidRPr="009C2953" w:rsidRDefault="00607B78" w:rsidP="00A068F8">
            <w:pPr>
              <w:pStyle w:val="Normal-pool"/>
              <w:spacing w:before="40" w:after="40"/>
              <w:rPr>
                <w:sz w:val="18"/>
                <w:szCs w:val="18"/>
              </w:rPr>
            </w:pPr>
            <w:r w:rsidRPr="009C2953">
              <w:rPr>
                <w:sz w:val="18"/>
              </w:rPr>
              <w:t>Objectif 6 a) : évaluation périodique de l</w:t>
            </w:r>
            <w:r w:rsidR="00EA2966" w:rsidRPr="009C2953">
              <w:rPr>
                <w:sz w:val="18"/>
              </w:rPr>
              <w:t>’</w:t>
            </w:r>
            <w:r w:rsidRPr="009C2953">
              <w:rPr>
                <w:sz w:val="18"/>
              </w:rPr>
              <w:t>efficacité de</w:t>
            </w:r>
            <w:r w:rsidR="00F34644" w:rsidRPr="009C2953">
              <w:rPr>
                <w:sz w:val="18"/>
              </w:rPr>
              <w:t xml:space="preserve"> la </w:t>
            </w:r>
            <w:r w:rsidRPr="009C2953">
              <w:rPr>
                <w:sz w:val="18"/>
              </w:rPr>
              <w:t>Plateforme</w:t>
            </w:r>
          </w:p>
        </w:tc>
        <w:tc>
          <w:tcPr>
            <w:tcW w:w="1984" w:type="dxa"/>
            <w:tcBorders>
              <w:top w:val="single" w:sz="4" w:space="0" w:color="auto"/>
              <w:left w:val="nil"/>
              <w:bottom w:val="single" w:sz="4" w:space="0" w:color="000000"/>
              <w:right w:val="nil"/>
            </w:tcBorders>
            <w:vAlign w:val="bottom"/>
            <w:hideMark/>
          </w:tcPr>
          <w:p w14:paraId="1F6261B6" w14:textId="77777777" w:rsidR="00607B78" w:rsidRPr="009C2953" w:rsidRDefault="00607B78" w:rsidP="00A068F8">
            <w:pPr>
              <w:pStyle w:val="Normal-pool"/>
              <w:spacing w:before="40" w:after="40"/>
              <w:jc w:val="right"/>
              <w:rPr>
                <w:sz w:val="18"/>
                <w:szCs w:val="18"/>
              </w:rPr>
            </w:pPr>
            <w:r w:rsidRPr="009C2953">
              <w:rPr>
                <w:sz w:val="18"/>
              </w:rPr>
              <w:t>91 550</w:t>
            </w:r>
          </w:p>
        </w:tc>
      </w:tr>
      <w:tr w:rsidR="00607B78" w:rsidRPr="009C2953" w14:paraId="27E53ABF" w14:textId="77777777" w:rsidTr="00A068F8">
        <w:trPr>
          <w:trHeight w:val="57"/>
          <w:jc w:val="right"/>
        </w:trPr>
        <w:tc>
          <w:tcPr>
            <w:tcW w:w="7513" w:type="dxa"/>
            <w:tcBorders>
              <w:top w:val="single" w:sz="4" w:space="0" w:color="000000"/>
              <w:left w:val="nil"/>
              <w:bottom w:val="single" w:sz="4" w:space="0" w:color="000000"/>
              <w:right w:val="nil"/>
            </w:tcBorders>
            <w:hideMark/>
          </w:tcPr>
          <w:p w14:paraId="0C60580F" w14:textId="77777777" w:rsidR="00607B78" w:rsidRPr="009C2953" w:rsidRDefault="00607B78" w:rsidP="00A068F8">
            <w:pPr>
              <w:pStyle w:val="Normal-pool"/>
              <w:spacing w:before="40" w:after="40"/>
              <w:rPr>
                <w:b/>
                <w:sz w:val="18"/>
                <w:szCs w:val="18"/>
              </w:rPr>
            </w:pPr>
            <w:r w:rsidRPr="009C2953">
              <w:rPr>
                <w:b/>
                <w:sz w:val="18"/>
              </w:rPr>
              <w:t>Total partiel 2, mise en œuvre du programme de travail</w:t>
            </w:r>
          </w:p>
        </w:tc>
        <w:tc>
          <w:tcPr>
            <w:tcW w:w="1984" w:type="dxa"/>
            <w:tcBorders>
              <w:top w:val="single" w:sz="4" w:space="0" w:color="000000"/>
              <w:left w:val="nil"/>
              <w:bottom w:val="single" w:sz="4" w:space="0" w:color="000000"/>
              <w:right w:val="nil"/>
            </w:tcBorders>
            <w:vAlign w:val="bottom"/>
            <w:hideMark/>
          </w:tcPr>
          <w:p w14:paraId="671EE933" w14:textId="77777777" w:rsidR="00607B78" w:rsidRPr="009C2953" w:rsidRDefault="00607B78" w:rsidP="00A068F8">
            <w:pPr>
              <w:pStyle w:val="Normal-pool"/>
              <w:spacing w:before="40" w:after="40"/>
              <w:jc w:val="right"/>
              <w:rPr>
                <w:b/>
                <w:sz w:val="18"/>
                <w:szCs w:val="18"/>
              </w:rPr>
            </w:pPr>
            <w:r w:rsidRPr="009C2953">
              <w:rPr>
                <w:b/>
                <w:color w:val="FFFFFF"/>
                <w:sz w:val="18"/>
              </w:rPr>
              <w:t xml:space="preserve"> </w:t>
            </w:r>
            <w:r w:rsidRPr="009C2953">
              <w:rPr>
                <w:b/>
                <w:sz w:val="18"/>
              </w:rPr>
              <w:t>3 936 200</w:t>
            </w:r>
          </w:p>
        </w:tc>
      </w:tr>
      <w:tr w:rsidR="00607B78" w:rsidRPr="009C2953" w14:paraId="34C41BB3" w14:textId="77777777" w:rsidTr="00A068F8">
        <w:trPr>
          <w:trHeight w:val="57"/>
          <w:jc w:val="right"/>
        </w:trPr>
        <w:tc>
          <w:tcPr>
            <w:tcW w:w="7513" w:type="dxa"/>
            <w:tcBorders>
              <w:top w:val="single" w:sz="4" w:space="0" w:color="000000"/>
              <w:left w:val="nil"/>
              <w:bottom w:val="nil"/>
              <w:right w:val="nil"/>
            </w:tcBorders>
            <w:hideMark/>
          </w:tcPr>
          <w:p w14:paraId="200B7679" w14:textId="77777777" w:rsidR="00607B78" w:rsidRPr="009C2953" w:rsidRDefault="00607B78" w:rsidP="00A068F8">
            <w:pPr>
              <w:pStyle w:val="Normal-pool"/>
              <w:tabs>
                <w:tab w:val="left" w:pos="322"/>
              </w:tabs>
              <w:spacing w:before="40" w:after="40"/>
              <w:rPr>
                <w:b/>
                <w:sz w:val="18"/>
                <w:szCs w:val="18"/>
              </w:rPr>
            </w:pPr>
            <w:r w:rsidRPr="009C2953">
              <w:rPr>
                <w:b/>
                <w:sz w:val="18"/>
              </w:rPr>
              <w:t>3.</w:t>
            </w:r>
            <w:r w:rsidRPr="009C2953">
              <w:rPr>
                <w:b/>
                <w:sz w:val="18"/>
              </w:rPr>
              <w:tab/>
              <w:t>Secrétariat</w:t>
            </w:r>
          </w:p>
        </w:tc>
        <w:tc>
          <w:tcPr>
            <w:tcW w:w="1984" w:type="dxa"/>
            <w:tcBorders>
              <w:top w:val="single" w:sz="4" w:space="0" w:color="000000"/>
              <w:left w:val="nil"/>
              <w:bottom w:val="nil"/>
              <w:right w:val="nil"/>
            </w:tcBorders>
            <w:vAlign w:val="bottom"/>
            <w:hideMark/>
          </w:tcPr>
          <w:p w14:paraId="72CCC590" w14:textId="77777777" w:rsidR="00607B78" w:rsidRPr="009C2953" w:rsidRDefault="00607B78" w:rsidP="00A068F8">
            <w:pPr>
              <w:pStyle w:val="Normal-pool"/>
              <w:spacing w:before="40" w:after="40"/>
              <w:jc w:val="right"/>
              <w:rPr>
                <w:sz w:val="18"/>
                <w:szCs w:val="18"/>
              </w:rPr>
            </w:pPr>
            <w:r w:rsidRPr="009C2953">
              <w:rPr>
                <w:sz w:val="18"/>
              </w:rPr>
              <w:t xml:space="preserve"> </w:t>
            </w:r>
          </w:p>
        </w:tc>
      </w:tr>
      <w:tr w:rsidR="00607B78" w:rsidRPr="009C2953" w14:paraId="07100C9F" w14:textId="77777777" w:rsidTr="00A068F8">
        <w:trPr>
          <w:trHeight w:val="57"/>
          <w:jc w:val="right"/>
        </w:trPr>
        <w:tc>
          <w:tcPr>
            <w:tcW w:w="7513" w:type="dxa"/>
            <w:tcBorders>
              <w:top w:val="nil"/>
              <w:left w:val="nil"/>
              <w:bottom w:val="nil"/>
              <w:right w:val="nil"/>
            </w:tcBorders>
            <w:hideMark/>
          </w:tcPr>
          <w:p w14:paraId="62677B91" w14:textId="69B313C8" w:rsidR="00607B78" w:rsidRPr="009C2953" w:rsidRDefault="00607B78" w:rsidP="00A068F8">
            <w:pPr>
              <w:pStyle w:val="Normal-pool"/>
              <w:tabs>
                <w:tab w:val="left" w:pos="322"/>
              </w:tabs>
              <w:spacing w:before="40" w:after="40"/>
              <w:rPr>
                <w:sz w:val="18"/>
                <w:szCs w:val="18"/>
              </w:rPr>
            </w:pPr>
            <w:r w:rsidRPr="009C2953">
              <w:rPr>
                <w:sz w:val="18"/>
              </w:rPr>
              <w:t>3</w:t>
            </w:r>
            <w:r w:rsidR="005278D7" w:rsidRPr="009C2953">
              <w:rPr>
                <w:sz w:val="18"/>
              </w:rPr>
              <w:t>.</w:t>
            </w:r>
            <w:r w:rsidRPr="009C2953">
              <w:rPr>
                <w:sz w:val="18"/>
              </w:rPr>
              <w:t>1</w:t>
            </w:r>
            <w:r w:rsidRPr="009C2953">
              <w:rPr>
                <w:sz w:val="18"/>
              </w:rPr>
              <w:tab/>
              <w:t>Personnel du secrétariat</w:t>
            </w:r>
          </w:p>
        </w:tc>
        <w:tc>
          <w:tcPr>
            <w:tcW w:w="1984" w:type="dxa"/>
            <w:tcBorders>
              <w:top w:val="nil"/>
              <w:left w:val="nil"/>
              <w:bottom w:val="nil"/>
              <w:right w:val="nil"/>
            </w:tcBorders>
            <w:vAlign w:val="bottom"/>
            <w:hideMark/>
          </w:tcPr>
          <w:p w14:paraId="36FC45D7" w14:textId="77777777" w:rsidR="00607B78" w:rsidRPr="009C2953" w:rsidRDefault="00607B78" w:rsidP="00A068F8">
            <w:pPr>
              <w:pStyle w:val="Normal-pool"/>
              <w:spacing w:before="40" w:after="40"/>
              <w:jc w:val="right"/>
              <w:rPr>
                <w:sz w:val="18"/>
                <w:szCs w:val="18"/>
              </w:rPr>
            </w:pPr>
            <w:r w:rsidRPr="009C2953">
              <w:rPr>
                <w:sz w:val="18"/>
              </w:rPr>
              <w:t>3 418 065</w:t>
            </w:r>
          </w:p>
        </w:tc>
      </w:tr>
      <w:tr w:rsidR="00607B78" w:rsidRPr="009C2953" w14:paraId="636B9DE7" w14:textId="77777777" w:rsidTr="00A068F8">
        <w:trPr>
          <w:trHeight w:val="57"/>
          <w:jc w:val="right"/>
        </w:trPr>
        <w:tc>
          <w:tcPr>
            <w:tcW w:w="7513" w:type="dxa"/>
            <w:tcBorders>
              <w:top w:val="nil"/>
              <w:left w:val="nil"/>
              <w:bottom w:val="single" w:sz="4" w:space="0" w:color="000000"/>
              <w:right w:val="nil"/>
            </w:tcBorders>
            <w:hideMark/>
          </w:tcPr>
          <w:p w14:paraId="0DC0D621" w14:textId="42AFE752" w:rsidR="00607B78" w:rsidRPr="009C2953" w:rsidRDefault="00607B78" w:rsidP="00A068F8">
            <w:pPr>
              <w:pStyle w:val="Normal-pool"/>
              <w:tabs>
                <w:tab w:val="left" w:pos="322"/>
              </w:tabs>
              <w:spacing w:before="40" w:after="40"/>
              <w:rPr>
                <w:sz w:val="18"/>
                <w:szCs w:val="18"/>
              </w:rPr>
            </w:pPr>
            <w:r w:rsidRPr="009C2953">
              <w:rPr>
                <w:sz w:val="18"/>
              </w:rPr>
              <w:t>3</w:t>
            </w:r>
            <w:r w:rsidR="007C0FAC" w:rsidRPr="009C2953">
              <w:rPr>
                <w:sz w:val="18"/>
              </w:rPr>
              <w:t>.</w:t>
            </w:r>
            <w:r w:rsidRPr="009C2953">
              <w:rPr>
                <w:sz w:val="18"/>
              </w:rPr>
              <w:t>2</w:t>
            </w:r>
            <w:r w:rsidRPr="009C2953">
              <w:rPr>
                <w:sz w:val="18"/>
              </w:rPr>
              <w:tab/>
              <w:t>Dépenses de fonctionnement (autres que</w:t>
            </w:r>
            <w:r w:rsidR="00F34644" w:rsidRPr="009C2953">
              <w:rPr>
                <w:sz w:val="18"/>
              </w:rPr>
              <w:t xml:space="preserve"> les </w:t>
            </w:r>
            <w:r w:rsidRPr="009C2953">
              <w:rPr>
                <w:sz w:val="18"/>
              </w:rPr>
              <w:t>dépenses de personnel)</w:t>
            </w:r>
          </w:p>
        </w:tc>
        <w:tc>
          <w:tcPr>
            <w:tcW w:w="1984" w:type="dxa"/>
            <w:tcBorders>
              <w:top w:val="nil"/>
              <w:left w:val="nil"/>
              <w:bottom w:val="single" w:sz="4" w:space="0" w:color="000000"/>
              <w:right w:val="nil"/>
            </w:tcBorders>
            <w:vAlign w:val="bottom"/>
            <w:hideMark/>
          </w:tcPr>
          <w:p w14:paraId="39E36377" w14:textId="77777777" w:rsidR="00607B78" w:rsidRPr="009C2953" w:rsidRDefault="00607B78" w:rsidP="00A068F8">
            <w:pPr>
              <w:pStyle w:val="Normal-pool"/>
              <w:spacing w:before="40" w:after="40"/>
              <w:jc w:val="right"/>
              <w:rPr>
                <w:sz w:val="18"/>
                <w:szCs w:val="18"/>
              </w:rPr>
            </w:pPr>
            <w:r w:rsidRPr="009C2953">
              <w:rPr>
                <w:sz w:val="18"/>
              </w:rPr>
              <w:t xml:space="preserve"> 352 500</w:t>
            </w:r>
          </w:p>
        </w:tc>
      </w:tr>
      <w:tr w:rsidR="00607B78" w:rsidRPr="009C2953" w14:paraId="325D63DA" w14:textId="77777777" w:rsidTr="00A068F8">
        <w:trPr>
          <w:trHeight w:val="57"/>
          <w:jc w:val="right"/>
        </w:trPr>
        <w:tc>
          <w:tcPr>
            <w:tcW w:w="7513" w:type="dxa"/>
            <w:tcBorders>
              <w:top w:val="single" w:sz="4" w:space="0" w:color="000000"/>
              <w:left w:val="nil"/>
              <w:bottom w:val="single" w:sz="4" w:space="0" w:color="000000"/>
              <w:right w:val="nil"/>
            </w:tcBorders>
            <w:hideMark/>
          </w:tcPr>
          <w:p w14:paraId="3295804F" w14:textId="77777777" w:rsidR="00607B78" w:rsidRPr="009C2953" w:rsidRDefault="00607B78" w:rsidP="00A068F8">
            <w:pPr>
              <w:pStyle w:val="Normal-pool"/>
              <w:spacing w:before="40" w:after="40"/>
              <w:rPr>
                <w:b/>
                <w:sz w:val="18"/>
                <w:szCs w:val="18"/>
              </w:rPr>
            </w:pPr>
            <w:r w:rsidRPr="009C2953">
              <w:rPr>
                <w:b/>
                <w:sz w:val="18"/>
              </w:rPr>
              <w:t>Total partiel 3, secrétariat (dépenses de personnel et de fonctionnement)</w:t>
            </w:r>
          </w:p>
        </w:tc>
        <w:tc>
          <w:tcPr>
            <w:tcW w:w="1984" w:type="dxa"/>
            <w:tcBorders>
              <w:top w:val="single" w:sz="4" w:space="0" w:color="000000"/>
              <w:left w:val="nil"/>
              <w:bottom w:val="single" w:sz="4" w:space="0" w:color="000000"/>
              <w:right w:val="nil"/>
            </w:tcBorders>
            <w:vAlign w:val="bottom"/>
            <w:hideMark/>
          </w:tcPr>
          <w:p w14:paraId="2C6824ED" w14:textId="77777777" w:rsidR="00607B78" w:rsidRPr="009C2953" w:rsidRDefault="00607B78" w:rsidP="00A068F8">
            <w:pPr>
              <w:pStyle w:val="Normal-pool"/>
              <w:spacing w:before="40" w:after="40"/>
              <w:jc w:val="right"/>
              <w:rPr>
                <w:b/>
                <w:sz w:val="18"/>
                <w:szCs w:val="18"/>
              </w:rPr>
            </w:pPr>
            <w:r w:rsidRPr="009C2953">
              <w:rPr>
                <w:b/>
                <w:sz w:val="18"/>
              </w:rPr>
              <w:t>3 770 565</w:t>
            </w:r>
          </w:p>
        </w:tc>
      </w:tr>
      <w:tr w:rsidR="00607B78" w:rsidRPr="009C2953" w14:paraId="0FC90F2C" w14:textId="77777777" w:rsidTr="00A068F8">
        <w:trPr>
          <w:trHeight w:val="57"/>
          <w:jc w:val="right"/>
        </w:trPr>
        <w:tc>
          <w:tcPr>
            <w:tcW w:w="7513" w:type="dxa"/>
            <w:tcBorders>
              <w:top w:val="single" w:sz="4" w:space="0" w:color="000000"/>
              <w:left w:val="nil"/>
              <w:bottom w:val="single" w:sz="4" w:space="0" w:color="000000"/>
              <w:right w:val="nil"/>
            </w:tcBorders>
            <w:hideMark/>
          </w:tcPr>
          <w:p w14:paraId="43CC6E2C" w14:textId="77777777" w:rsidR="00607B78" w:rsidRPr="009C2953" w:rsidRDefault="00607B78" w:rsidP="00A068F8">
            <w:pPr>
              <w:pStyle w:val="Normal-pool"/>
              <w:spacing w:before="40" w:after="40"/>
              <w:rPr>
                <w:b/>
                <w:sz w:val="18"/>
                <w:szCs w:val="18"/>
              </w:rPr>
            </w:pPr>
            <w:r w:rsidRPr="009C2953">
              <w:rPr>
                <w:b/>
                <w:sz w:val="18"/>
              </w:rPr>
              <w:t>Total partiel (1+2+3)</w:t>
            </w:r>
          </w:p>
        </w:tc>
        <w:tc>
          <w:tcPr>
            <w:tcW w:w="1984" w:type="dxa"/>
            <w:tcBorders>
              <w:top w:val="single" w:sz="4" w:space="0" w:color="000000"/>
              <w:left w:val="nil"/>
              <w:bottom w:val="single" w:sz="4" w:space="0" w:color="000000"/>
              <w:right w:val="nil"/>
            </w:tcBorders>
            <w:vAlign w:val="bottom"/>
            <w:hideMark/>
          </w:tcPr>
          <w:p w14:paraId="14AB6EDF" w14:textId="77777777" w:rsidR="00607B78" w:rsidRPr="009C2953" w:rsidRDefault="00607B78" w:rsidP="00A068F8">
            <w:pPr>
              <w:pStyle w:val="Normal-pool"/>
              <w:spacing w:before="40" w:after="40"/>
              <w:jc w:val="right"/>
              <w:rPr>
                <w:b/>
                <w:sz w:val="18"/>
                <w:szCs w:val="18"/>
              </w:rPr>
            </w:pPr>
            <w:r w:rsidRPr="009C2953">
              <w:rPr>
                <w:b/>
                <w:sz w:val="18"/>
              </w:rPr>
              <w:t>9 447 215</w:t>
            </w:r>
          </w:p>
        </w:tc>
      </w:tr>
      <w:tr w:rsidR="00607B78" w:rsidRPr="009C2953" w14:paraId="11F90BA6" w14:textId="77777777" w:rsidTr="00A068F8">
        <w:trPr>
          <w:trHeight w:val="57"/>
          <w:jc w:val="right"/>
        </w:trPr>
        <w:tc>
          <w:tcPr>
            <w:tcW w:w="7513" w:type="dxa"/>
            <w:tcBorders>
              <w:top w:val="single" w:sz="4" w:space="0" w:color="000000"/>
              <w:left w:val="nil"/>
              <w:bottom w:val="single" w:sz="4" w:space="0" w:color="000000"/>
              <w:right w:val="nil"/>
            </w:tcBorders>
            <w:hideMark/>
          </w:tcPr>
          <w:p w14:paraId="2F57BA44" w14:textId="7B10F3AE" w:rsidR="00607B78" w:rsidRPr="009C2953" w:rsidRDefault="00607B78" w:rsidP="00A068F8">
            <w:pPr>
              <w:pStyle w:val="Normal-pool"/>
              <w:spacing w:before="40" w:after="40"/>
              <w:rPr>
                <w:sz w:val="18"/>
                <w:szCs w:val="18"/>
              </w:rPr>
            </w:pPr>
            <w:r w:rsidRPr="009C2953">
              <w:rPr>
                <w:sz w:val="18"/>
              </w:rPr>
              <w:t>Dépenses d</w:t>
            </w:r>
            <w:r w:rsidR="00EA2966" w:rsidRPr="009C2953">
              <w:rPr>
                <w:sz w:val="18"/>
              </w:rPr>
              <w:t>’</w:t>
            </w:r>
            <w:r w:rsidRPr="009C2953">
              <w:rPr>
                <w:sz w:val="18"/>
              </w:rPr>
              <w:t>appui</w:t>
            </w:r>
            <w:r w:rsidR="00F34644" w:rsidRPr="009C2953">
              <w:rPr>
                <w:sz w:val="18"/>
              </w:rPr>
              <w:t xml:space="preserve"> aux </w:t>
            </w:r>
            <w:r w:rsidRPr="009C2953">
              <w:rPr>
                <w:sz w:val="18"/>
              </w:rPr>
              <w:t>programmes</w:t>
            </w:r>
          </w:p>
        </w:tc>
        <w:tc>
          <w:tcPr>
            <w:tcW w:w="1984" w:type="dxa"/>
            <w:tcBorders>
              <w:top w:val="single" w:sz="4" w:space="0" w:color="000000"/>
              <w:left w:val="nil"/>
              <w:bottom w:val="single" w:sz="4" w:space="0" w:color="000000"/>
              <w:right w:val="nil"/>
            </w:tcBorders>
            <w:vAlign w:val="bottom"/>
            <w:hideMark/>
          </w:tcPr>
          <w:p w14:paraId="53918DC8" w14:textId="77777777" w:rsidR="00607B78" w:rsidRPr="009C2953" w:rsidRDefault="00607B78" w:rsidP="00A068F8">
            <w:pPr>
              <w:pStyle w:val="Normal-pool"/>
              <w:spacing w:before="40" w:after="40"/>
              <w:jc w:val="right"/>
              <w:rPr>
                <w:sz w:val="18"/>
                <w:szCs w:val="18"/>
              </w:rPr>
            </w:pPr>
            <w:r w:rsidRPr="009C2953">
              <w:rPr>
                <w:sz w:val="18"/>
              </w:rPr>
              <w:t>755 777</w:t>
            </w:r>
          </w:p>
        </w:tc>
      </w:tr>
      <w:tr w:rsidR="00607B78" w:rsidRPr="009C2953" w14:paraId="354B4D7D" w14:textId="77777777" w:rsidTr="00A068F8">
        <w:trPr>
          <w:trHeight w:val="57"/>
          <w:jc w:val="right"/>
        </w:trPr>
        <w:tc>
          <w:tcPr>
            <w:tcW w:w="7513" w:type="dxa"/>
            <w:tcBorders>
              <w:top w:val="single" w:sz="4" w:space="0" w:color="000000"/>
              <w:left w:val="nil"/>
              <w:bottom w:val="single" w:sz="12" w:space="0" w:color="000000"/>
              <w:right w:val="nil"/>
            </w:tcBorders>
            <w:hideMark/>
          </w:tcPr>
          <w:p w14:paraId="1A40988D" w14:textId="77777777" w:rsidR="00607B78" w:rsidRPr="009C2953" w:rsidRDefault="00607B78" w:rsidP="00A068F8">
            <w:pPr>
              <w:pStyle w:val="Normal-pool"/>
              <w:spacing w:before="40" w:after="40"/>
              <w:rPr>
                <w:b/>
                <w:sz w:val="18"/>
                <w:szCs w:val="18"/>
              </w:rPr>
            </w:pPr>
            <w:r w:rsidRPr="009C2953">
              <w:rPr>
                <w:b/>
                <w:sz w:val="18"/>
              </w:rPr>
              <w:t>Total</w:t>
            </w:r>
          </w:p>
        </w:tc>
        <w:tc>
          <w:tcPr>
            <w:tcW w:w="1984" w:type="dxa"/>
            <w:tcBorders>
              <w:top w:val="single" w:sz="4" w:space="0" w:color="000000"/>
              <w:left w:val="nil"/>
              <w:bottom w:val="single" w:sz="12" w:space="0" w:color="000000"/>
              <w:right w:val="nil"/>
            </w:tcBorders>
            <w:vAlign w:val="bottom"/>
            <w:hideMark/>
          </w:tcPr>
          <w:p w14:paraId="3B292A5F" w14:textId="77777777" w:rsidR="00607B78" w:rsidRPr="009C2953" w:rsidRDefault="00607B78" w:rsidP="00A068F8">
            <w:pPr>
              <w:pStyle w:val="Normal-pool"/>
              <w:spacing w:before="40" w:after="40"/>
              <w:jc w:val="right"/>
              <w:rPr>
                <w:b/>
                <w:sz w:val="18"/>
                <w:szCs w:val="18"/>
              </w:rPr>
            </w:pPr>
            <w:r w:rsidRPr="009C2953">
              <w:rPr>
                <w:b/>
                <w:sz w:val="18"/>
              </w:rPr>
              <w:t>10 202 992</w:t>
            </w:r>
          </w:p>
        </w:tc>
      </w:tr>
    </w:tbl>
    <w:p w14:paraId="24E8791F" w14:textId="77777777" w:rsidR="00607B78" w:rsidRPr="009C2953" w:rsidRDefault="00607B78" w:rsidP="00607B78">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607B78" w:rsidRPr="009C2953" w14:paraId="0C8140F1" w14:textId="77777777" w:rsidTr="00A068F8">
        <w:tc>
          <w:tcPr>
            <w:tcW w:w="1897" w:type="dxa"/>
          </w:tcPr>
          <w:p w14:paraId="057B6365" w14:textId="77777777" w:rsidR="00607B78" w:rsidRPr="009C2953" w:rsidRDefault="00607B78" w:rsidP="00A068F8">
            <w:pPr>
              <w:pStyle w:val="Normal-pool"/>
              <w:spacing w:before="520"/>
            </w:pPr>
          </w:p>
        </w:tc>
        <w:tc>
          <w:tcPr>
            <w:tcW w:w="1897" w:type="dxa"/>
          </w:tcPr>
          <w:p w14:paraId="69A0D7F4" w14:textId="77777777" w:rsidR="00607B78" w:rsidRPr="009C2953" w:rsidRDefault="00607B78" w:rsidP="00A068F8">
            <w:pPr>
              <w:pStyle w:val="Normal-pool"/>
              <w:spacing w:before="520"/>
            </w:pPr>
          </w:p>
        </w:tc>
        <w:tc>
          <w:tcPr>
            <w:tcW w:w="1897" w:type="dxa"/>
            <w:tcBorders>
              <w:top w:val="nil"/>
              <w:left w:val="nil"/>
              <w:bottom w:val="single" w:sz="4" w:space="0" w:color="auto"/>
              <w:right w:val="nil"/>
            </w:tcBorders>
          </w:tcPr>
          <w:p w14:paraId="5A89A9AB" w14:textId="77777777" w:rsidR="00607B78" w:rsidRPr="009C2953" w:rsidRDefault="00607B78" w:rsidP="00A068F8">
            <w:pPr>
              <w:pStyle w:val="Normal-pool"/>
              <w:spacing w:before="520"/>
            </w:pPr>
          </w:p>
        </w:tc>
        <w:tc>
          <w:tcPr>
            <w:tcW w:w="1898" w:type="dxa"/>
          </w:tcPr>
          <w:p w14:paraId="6E3EF2E3" w14:textId="77777777" w:rsidR="00607B78" w:rsidRPr="009C2953" w:rsidRDefault="00607B78" w:rsidP="00A068F8">
            <w:pPr>
              <w:pStyle w:val="Normal-pool"/>
              <w:spacing w:before="520"/>
            </w:pPr>
          </w:p>
        </w:tc>
        <w:tc>
          <w:tcPr>
            <w:tcW w:w="1898" w:type="dxa"/>
          </w:tcPr>
          <w:p w14:paraId="7FF8F2A3" w14:textId="77777777" w:rsidR="00607B78" w:rsidRPr="009C2953" w:rsidRDefault="00607B78" w:rsidP="00A068F8">
            <w:pPr>
              <w:pStyle w:val="Normal-pool"/>
              <w:spacing w:before="520"/>
            </w:pPr>
          </w:p>
        </w:tc>
      </w:tr>
    </w:tbl>
    <w:p w14:paraId="6F5923D5" w14:textId="77777777" w:rsidR="002C6DB5" w:rsidRPr="009C2953" w:rsidRDefault="002C6DB5" w:rsidP="00603A5E">
      <w:pPr>
        <w:pStyle w:val="Normal-pool"/>
      </w:pPr>
    </w:p>
    <w:sectPr w:rsidR="002C6DB5" w:rsidRPr="009C2953" w:rsidSect="00603A5E">
      <w:footerReference w:type="first" r:id="rId22"/>
      <w:pgSz w:w="11907" w:h="16839"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D11B" w14:textId="77777777" w:rsidR="00252659" w:rsidRPr="00B950E1" w:rsidRDefault="00252659" w:rsidP="008C6E19">
      <w:pPr>
        <w:rPr>
          <w:lang w:val="fr-FR"/>
        </w:rPr>
      </w:pPr>
      <w:r w:rsidRPr="00B950E1">
        <w:rPr>
          <w:lang w:val="fr-FR"/>
        </w:rPr>
        <w:separator/>
      </w:r>
    </w:p>
  </w:endnote>
  <w:endnote w:type="continuationSeparator" w:id="0">
    <w:p w14:paraId="7DE2F5A7" w14:textId="77777777" w:rsidR="00252659" w:rsidRPr="00B950E1" w:rsidRDefault="00252659" w:rsidP="008C6E19">
      <w:pPr>
        <w:rPr>
          <w:lang w:val="fr-FR"/>
        </w:rPr>
      </w:pPr>
      <w:r w:rsidRPr="00B950E1">
        <w:rPr>
          <w:lang w:val="fr-FR"/>
        </w:rPr>
        <w:continuationSeparator/>
      </w:r>
    </w:p>
  </w:endnote>
  <w:endnote w:type="continuationNotice" w:id="1">
    <w:p w14:paraId="4D604E7C" w14:textId="77777777" w:rsidR="00252659" w:rsidRDefault="00252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C84F" w14:textId="1A226CAC" w:rsidR="00FC117D" w:rsidRPr="00603A5E" w:rsidRDefault="00FC117D" w:rsidP="00603A5E">
    <w:pPr>
      <w:pStyle w:val="Footer"/>
    </w:pPr>
    <w:r>
      <w:rPr>
        <w:lang w:val="fr-FR"/>
      </w:rPr>
      <w:fldChar w:fldCharType="begin"/>
    </w:r>
    <w:r>
      <w:rPr>
        <w:lang w:val="fr-FR"/>
      </w:rPr>
      <w:instrText xml:space="preserve"> PAGE </w:instrText>
    </w:r>
    <w:r>
      <w:rPr>
        <w:lang w:val="fr-FR"/>
      </w:rPr>
      <w:fldChar w:fldCharType="separate"/>
    </w:r>
    <w:r>
      <w:rPr>
        <w:noProof/>
        <w:lang w:val="fr-FR"/>
      </w:rPr>
      <w:t>1</w:t>
    </w:r>
    <w:r>
      <w:rPr>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AEC0" w14:textId="32E64547" w:rsidR="00FC117D" w:rsidRPr="00603A5E" w:rsidRDefault="00FC117D" w:rsidP="00603A5E">
    <w:pPr>
      <w:pStyle w:val="Footer-pool"/>
      <w:jc w:val="right"/>
    </w:pPr>
    <w:r>
      <w:rPr>
        <w:lang w:val="fr-FR"/>
      </w:rPr>
      <w:fldChar w:fldCharType="begin"/>
    </w:r>
    <w:r>
      <w:rPr>
        <w:lang w:val="fr-FR"/>
      </w:rPr>
      <w:instrText xml:space="preserve"> PAGE \* MERGEFORMAT </w:instrText>
    </w:r>
    <w:r>
      <w:rPr>
        <w:lang w:val="fr-FR"/>
      </w:rPr>
      <w:fldChar w:fldCharType="separate"/>
    </w:r>
    <w:r>
      <w:rPr>
        <w:noProof/>
        <w:lang w:val="fr-FR"/>
      </w:rPr>
      <w:t>1</w:t>
    </w:r>
    <w:r>
      <w:rPr>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805" w14:textId="7EBCCB7C" w:rsidR="00FC117D" w:rsidRPr="001672B6" w:rsidRDefault="00FC117D" w:rsidP="00603A5E">
    <w:pPr>
      <w:pStyle w:val="Normal-pool"/>
    </w:pPr>
    <w:r w:rsidRPr="001672B6">
      <w:t>K2317083[F]</w:t>
    </w:r>
    <w:r w:rsidRPr="001672B6">
      <w:tab/>
    </w:r>
    <w:r w:rsidR="00D4758B">
      <w:t>20</w:t>
    </w:r>
    <w:r>
      <w:t>12</w:t>
    </w:r>
    <w:r w:rsidRPr="001672B6">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AF61" w14:textId="77777777" w:rsidR="00FC117D" w:rsidRPr="002F7662" w:rsidRDefault="00FC117D" w:rsidP="00A068F8">
    <w:pPr>
      <w:pStyle w:val="Footer"/>
      <w:rPr>
        <w:b w:val="0"/>
        <w:bCs/>
      </w:rPr>
    </w:pPr>
    <w:r w:rsidRPr="002F7662">
      <w:rPr>
        <w:b w:val="0"/>
      </w:rPr>
      <w:fldChar w:fldCharType="begin"/>
    </w:r>
    <w:r w:rsidRPr="002F7662">
      <w:instrText xml:space="preserve"> PAGE   \* MERGEFORMAT </w:instrText>
    </w:r>
    <w:r w:rsidRPr="002F7662">
      <w:rPr>
        <w:b w:val="0"/>
      </w:rPr>
      <w:fldChar w:fldCharType="separate"/>
    </w:r>
    <w:r w:rsidRPr="002F7662">
      <w:rPr>
        <w:noProof/>
      </w:rPr>
      <w:t>1</w:t>
    </w:r>
    <w:r w:rsidRPr="002F7662">
      <w:rP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2FD3" w14:textId="77777777" w:rsidR="00FC117D" w:rsidRPr="002F7662" w:rsidRDefault="00FC117D" w:rsidP="00A068F8">
    <w:pPr>
      <w:pStyle w:val="Footer"/>
      <w:jc w:val="right"/>
      <w:rPr>
        <w:b w:val="0"/>
        <w:bCs/>
      </w:rPr>
    </w:pPr>
    <w:r w:rsidRPr="002F7662">
      <w:rPr>
        <w:b w:val="0"/>
      </w:rPr>
      <w:fldChar w:fldCharType="begin"/>
    </w:r>
    <w:r w:rsidRPr="002F7662">
      <w:instrText xml:space="preserve"> PAGE   \* MERGEFORMAT </w:instrText>
    </w:r>
    <w:r w:rsidRPr="002F7662">
      <w:rPr>
        <w:b w:val="0"/>
      </w:rPr>
      <w:fldChar w:fldCharType="separate"/>
    </w:r>
    <w:r w:rsidRPr="002F7662">
      <w:rPr>
        <w:noProof/>
      </w:rPr>
      <w:t>1</w:t>
    </w:r>
    <w:r w:rsidRPr="002F7662">
      <w:rP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430BF21A" w:rsidR="00FC117D" w:rsidRPr="00774FE9" w:rsidRDefault="00FC117D" w:rsidP="00774FE9">
    <w:pPr>
      <w:pStyle w:val="Normal-pool"/>
    </w:pPr>
    <w:bookmarkStart w:id="25" w:name="FooterJobDate"/>
    <w:r w:rsidRPr="00774FE9">
      <w:t>K</w:t>
    </w:r>
    <w:r>
      <w:t>2317083</w:t>
    </w:r>
    <w:r w:rsidRPr="00774FE9">
      <w:t>[F]</w:t>
    </w:r>
    <w:r w:rsidRPr="00774FE9">
      <w:tab/>
    </w:r>
    <w:r>
      <w:t>2012</w:t>
    </w:r>
    <w:r w:rsidRPr="00774FE9">
      <w:t>23</w: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5694" w14:textId="77777777" w:rsidR="00252659" w:rsidRPr="00B950E1" w:rsidRDefault="00252659" w:rsidP="008C6E19">
      <w:pPr>
        <w:rPr>
          <w:lang w:val="fr-FR"/>
        </w:rPr>
      </w:pPr>
      <w:r w:rsidRPr="00B950E1">
        <w:rPr>
          <w:lang w:val="fr-FR"/>
        </w:rPr>
        <w:separator/>
      </w:r>
    </w:p>
  </w:footnote>
  <w:footnote w:type="continuationSeparator" w:id="0">
    <w:p w14:paraId="6330AD04" w14:textId="77777777" w:rsidR="00252659" w:rsidRPr="00B950E1" w:rsidRDefault="00252659" w:rsidP="008C6E19">
      <w:pPr>
        <w:rPr>
          <w:lang w:val="fr-FR"/>
        </w:rPr>
      </w:pPr>
      <w:r w:rsidRPr="00B950E1">
        <w:rPr>
          <w:lang w:val="fr-FR"/>
        </w:rPr>
        <w:continuationSeparator/>
      </w:r>
    </w:p>
  </w:footnote>
  <w:footnote w:type="continuationNotice" w:id="1">
    <w:p w14:paraId="53C3D67C" w14:textId="77777777" w:rsidR="00252659" w:rsidRDefault="00252659"/>
  </w:footnote>
  <w:footnote w:id="2">
    <w:p w14:paraId="22318890" w14:textId="585F5D95" w:rsidR="00FC117D" w:rsidRPr="00B950E1" w:rsidRDefault="00FC117D" w:rsidP="00607B78">
      <w:pPr>
        <w:pStyle w:val="Footnote-Text"/>
        <w:rPr>
          <w:szCs w:val="18"/>
        </w:rPr>
      </w:pPr>
      <w:r w:rsidRPr="00B950E1">
        <w:rPr>
          <w:rStyle w:val="FootnoteReference"/>
        </w:rPr>
        <w:footnoteRef/>
      </w:r>
      <w:r w:rsidRPr="00B950E1">
        <w:t xml:space="preserve"> IPBES/10/4</w:t>
      </w:r>
      <w:r>
        <w:t>.</w:t>
      </w:r>
    </w:p>
  </w:footnote>
  <w:footnote w:id="3">
    <w:p w14:paraId="6150B927" w14:textId="77777777" w:rsidR="00FC117D" w:rsidRPr="00B950E1" w:rsidRDefault="00FC117D" w:rsidP="00607B78">
      <w:pPr>
        <w:pStyle w:val="Footnote-Text"/>
        <w:rPr>
          <w:szCs w:val="18"/>
        </w:rPr>
      </w:pPr>
      <w:r w:rsidRPr="00B950E1">
        <w:rPr>
          <w:rStyle w:val="FootnoteReference"/>
        </w:rPr>
        <w:footnoteRef/>
      </w:r>
      <w:r w:rsidRPr="00B950E1">
        <w:t xml:space="preserve"> IPBES/10/12/Add.1.</w:t>
      </w:r>
    </w:p>
  </w:footnote>
  <w:footnote w:id="4">
    <w:p w14:paraId="70DBF9E3" w14:textId="59E0FF2C"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 section 3.4.</w:t>
      </w:r>
    </w:p>
  </w:footnote>
  <w:footnote w:id="5">
    <w:p w14:paraId="420E68CF" w14:textId="77777777" w:rsidR="00FC117D" w:rsidRPr="00B950E1" w:rsidRDefault="00FC117D" w:rsidP="00607B78">
      <w:pPr>
        <w:pStyle w:val="Footnote-Text"/>
        <w:rPr>
          <w:szCs w:val="18"/>
        </w:rPr>
      </w:pPr>
      <w:r w:rsidRPr="00B950E1">
        <w:rPr>
          <w:rStyle w:val="FootnoteReference"/>
        </w:rPr>
        <w:footnoteRef/>
      </w:r>
      <w:r w:rsidRPr="00B950E1">
        <w:t xml:space="preserve"> IPBES/10/10, annexe II.</w:t>
      </w:r>
    </w:p>
  </w:footnote>
  <w:footnote w:id="6">
    <w:p w14:paraId="3DD7A40B" w14:textId="45775719"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w:t>
      </w:r>
    </w:p>
  </w:footnote>
  <w:footnote w:id="7">
    <w:p w14:paraId="14BD017B" w14:textId="2A7333A5" w:rsidR="00FC117D" w:rsidRPr="00B950E1" w:rsidRDefault="00FC117D" w:rsidP="00607B78">
      <w:pPr>
        <w:pStyle w:val="Footnote-Text"/>
        <w:rPr>
          <w:szCs w:val="18"/>
        </w:rPr>
      </w:pPr>
      <w:r w:rsidRPr="00B950E1">
        <w:rPr>
          <w:rStyle w:val="FootnoteReference"/>
        </w:rPr>
        <w:footnoteRef/>
      </w:r>
      <w:r w:rsidRPr="00B950E1">
        <w:t xml:space="preserve"> IPBES/10/7</w:t>
      </w:r>
      <w:r>
        <w:t>.</w:t>
      </w:r>
    </w:p>
  </w:footnote>
  <w:footnote w:id="8">
    <w:p w14:paraId="31EE8A1A" w14:textId="77777777" w:rsidR="00FC117D" w:rsidRPr="00B950E1" w:rsidRDefault="00FC117D" w:rsidP="00607B78">
      <w:pPr>
        <w:pStyle w:val="Footnote-Text"/>
        <w:rPr>
          <w:szCs w:val="18"/>
        </w:rPr>
      </w:pPr>
      <w:r w:rsidRPr="00B950E1">
        <w:rPr>
          <w:rStyle w:val="FootnoteReference"/>
        </w:rPr>
        <w:footnoteRef/>
      </w:r>
      <w:r w:rsidRPr="00B950E1">
        <w:t xml:space="preserve"> IPBES/10/INF/20, annexe.</w:t>
      </w:r>
    </w:p>
  </w:footnote>
  <w:footnote w:id="9">
    <w:p w14:paraId="2734C6B0" w14:textId="4180D2C7" w:rsidR="00FC117D" w:rsidRPr="00B950E1" w:rsidRDefault="00FC117D" w:rsidP="00607B78">
      <w:pPr>
        <w:pStyle w:val="Footnote-Text"/>
        <w:rPr>
          <w:szCs w:val="18"/>
        </w:rPr>
      </w:pPr>
      <w:r w:rsidRPr="00B950E1">
        <w:rPr>
          <w:rStyle w:val="FootnoteReference"/>
        </w:rPr>
        <w:footnoteRef/>
      </w:r>
      <w:r w:rsidRPr="00B950E1">
        <w:t xml:space="preserve"> Il peut s</w:t>
      </w:r>
      <w:r>
        <w:t>’</w:t>
      </w:r>
      <w:r w:rsidRPr="00B950E1">
        <w:t>agir d</w:t>
      </w:r>
      <w:r>
        <w:t>’</w:t>
      </w:r>
      <w:r w:rsidRPr="00B950E1">
        <w:t>un échange de vues ou d</w:t>
      </w:r>
      <w:r>
        <w:t>’</w:t>
      </w:r>
      <w:r w:rsidRPr="00B950E1">
        <w:t>une collaboration, s</w:t>
      </w:r>
      <w:r>
        <w:t>’</w:t>
      </w:r>
      <w:r w:rsidRPr="00B950E1">
        <w:t>il</w:t>
      </w:r>
      <w:r>
        <w:t xml:space="preserve"> y </w:t>
      </w:r>
      <w:r w:rsidRPr="00B950E1">
        <w:t>a lieu et selon</w:t>
      </w:r>
      <w:r>
        <w:t xml:space="preserve"> le </w:t>
      </w:r>
      <w:r w:rsidRPr="00B950E1">
        <w:t>cas, concernant l</w:t>
      </w:r>
      <w:r>
        <w:t>’</w:t>
      </w:r>
      <w:r w:rsidRPr="00B950E1">
        <w:t>examen externe de projets de rapports de cadrage, d</w:t>
      </w:r>
      <w:r>
        <w:t>’</w:t>
      </w:r>
      <w:r w:rsidRPr="00B950E1">
        <w:t>évaluations et de résumés à l</w:t>
      </w:r>
      <w:r>
        <w:t>’</w:t>
      </w:r>
      <w:r w:rsidRPr="00B950E1">
        <w:t>intention</w:t>
      </w:r>
      <w:r>
        <w:t xml:space="preserve"> des </w:t>
      </w:r>
      <w:r w:rsidRPr="00B950E1">
        <w:t>décideurs, dans</w:t>
      </w:r>
      <w:r>
        <w:t xml:space="preserve"> le </w:t>
      </w:r>
      <w:r w:rsidRPr="00B950E1">
        <w:t>strict respect</w:t>
      </w:r>
      <w:r>
        <w:t xml:space="preserve"> des </w:t>
      </w:r>
      <w:r w:rsidRPr="00B950E1">
        <w:t>mandats et</w:t>
      </w:r>
      <w:r>
        <w:t xml:space="preserve"> des </w:t>
      </w:r>
      <w:r w:rsidRPr="00B950E1">
        <w:t>règlements intérieurs respectifs de</w:t>
      </w:r>
      <w:r>
        <w:t xml:space="preserve"> la </w:t>
      </w:r>
      <w:r w:rsidRPr="00B950E1">
        <w:t>Plateforme et du GIEC.</w:t>
      </w:r>
    </w:p>
  </w:footnote>
  <w:footnote w:id="10">
    <w:p w14:paraId="2EB70D1A" w14:textId="77777777" w:rsidR="00FC117D" w:rsidRPr="00B950E1" w:rsidRDefault="00FC117D" w:rsidP="00607B78">
      <w:pPr>
        <w:pStyle w:val="Footnote-Text"/>
        <w:rPr>
          <w:szCs w:val="18"/>
        </w:rPr>
      </w:pPr>
      <w:r w:rsidRPr="00B950E1">
        <w:rPr>
          <w:rStyle w:val="FootnoteReference"/>
        </w:rPr>
        <w:footnoteRef/>
      </w:r>
      <w:r w:rsidRPr="00B950E1">
        <w:t xml:space="preserve"> IPBES/9/INF/26 et IPBES/10/INF/20.</w:t>
      </w:r>
    </w:p>
  </w:footnote>
  <w:footnote w:id="11">
    <w:p w14:paraId="3F7E7D01" w14:textId="78BE3F61" w:rsidR="00FC117D" w:rsidRPr="00B950E1" w:rsidRDefault="00FC117D" w:rsidP="00607B78">
      <w:pPr>
        <w:pStyle w:val="Footnote-Text"/>
        <w:rPr>
          <w:szCs w:val="18"/>
        </w:rPr>
      </w:pPr>
      <w:r w:rsidRPr="00B950E1">
        <w:rPr>
          <w:rStyle w:val="FootnoteReference"/>
        </w:rPr>
        <w:footnoteRef/>
      </w:r>
      <w:r w:rsidRPr="00B950E1">
        <w:t xml:space="preserve"> IPBES/8/6</w:t>
      </w:r>
      <w:r>
        <w:t>.</w:t>
      </w:r>
    </w:p>
  </w:footnote>
  <w:footnote w:id="12">
    <w:p w14:paraId="728E720B" w14:textId="77777777" w:rsidR="00FC117D" w:rsidRPr="00B950E1" w:rsidRDefault="00FC117D" w:rsidP="00607B78">
      <w:pPr>
        <w:pStyle w:val="Footnote-Text"/>
        <w:rPr>
          <w:szCs w:val="18"/>
        </w:rPr>
      </w:pPr>
      <w:r w:rsidRPr="00B950E1">
        <w:rPr>
          <w:rStyle w:val="FootnoteReference"/>
        </w:rPr>
        <w:footnoteRef/>
      </w:r>
      <w:r w:rsidRPr="00B950E1">
        <w:t xml:space="preserve"> Décision IPBES-3/3, annexe I. </w:t>
      </w:r>
    </w:p>
  </w:footnote>
  <w:footnote w:id="13">
    <w:p w14:paraId="5DB9F24D" w14:textId="7CF72B13" w:rsidR="00FC117D" w:rsidRPr="00B950E1" w:rsidRDefault="00FC117D" w:rsidP="00607B78">
      <w:pPr>
        <w:pStyle w:val="Footnote-Text"/>
        <w:rPr>
          <w:szCs w:val="18"/>
        </w:rPr>
      </w:pPr>
      <w:r w:rsidRPr="00B950E1">
        <w:rPr>
          <w:rStyle w:val="FootnoteReference"/>
        </w:rPr>
        <w:footnoteRef/>
      </w:r>
      <w:r w:rsidRPr="00B950E1">
        <w:t xml:space="preserve"> IPBES/10/9</w:t>
      </w:r>
      <w:r>
        <w:t>.</w:t>
      </w:r>
    </w:p>
  </w:footnote>
  <w:footnote w:id="14">
    <w:p w14:paraId="419159CD" w14:textId="5AE7E704" w:rsidR="00FC117D" w:rsidRPr="00B950E1" w:rsidRDefault="00FC117D" w:rsidP="00607B78">
      <w:pPr>
        <w:pStyle w:val="Footnote-Text"/>
        <w:rPr>
          <w:szCs w:val="18"/>
        </w:rPr>
      </w:pPr>
      <w:r w:rsidRPr="00B950E1">
        <w:rPr>
          <w:rStyle w:val="FootnoteReference"/>
        </w:rPr>
        <w:footnoteRef/>
      </w:r>
      <w:r w:rsidRPr="00B950E1">
        <w:t xml:space="preserve"> IPBES/7/5</w:t>
      </w:r>
      <w:r>
        <w:t>.</w:t>
      </w:r>
    </w:p>
  </w:footnote>
  <w:footnote w:id="15">
    <w:p w14:paraId="002EE18C" w14:textId="04C8195B" w:rsidR="00FC117D" w:rsidRPr="00B950E1" w:rsidRDefault="00FC117D" w:rsidP="00607B78">
      <w:pPr>
        <w:pStyle w:val="Footnote-Text"/>
        <w:rPr>
          <w:szCs w:val="18"/>
        </w:rPr>
      </w:pPr>
      <w:r w:rsidRPr="00B950E1">
        <w:rPr>
          <w:rStyle w:val="FootnoteReference"/>
        </w:rPr>
        <w:footnoteRef/>
      </w:r>
      <w:r w:rsidRPr="00B950E1">
        <w:t xml:space="preserve"> Décision 15/4 de</w:t>
      </w:r>
      <w:r>
        <w:t xml:space="preserve"> la </w:t>
      </w:r>
      <w:r w:rsidRPr="00B950E1">
        <w:t>Conférence</w:t>
      </w:r>
      <w:r>
        <w:t xml:space="preserve"> des </w:t>
      </w:r>
      <w:r w:rsidRPr="00B950E1">
        <w:t>Parties à</w:t>
      </w:r>
      <w:r>
        <w:t xml:space="preserve"> la </w:t>
      </w:r>
      <w:r w:rsidRPr="00B950E1">
        <w:t>Convention sur</w:t>
      </w:r>
      <w:r>
        <w:t xml:space="preserve"> la </w:t>
      </w:r>
      <w:r w:rsidRPr="00B950E1">
        <w:t>diversité biologique, annexe.</w:t>
      </w:r>
    </w:p>
  </w:footnote>
  <w:footnote w:id="16">
    <w:p w14:paraId="218F63B2" w14:textId="77777777" w:rsidR="00FC117D" w:rsidRPr="00B950E1" w:rsidRDefault="00FC117D" w:rsidP="00607B78">
      <w:pPr>
        <w:pStyle w:val="Footnote-Text"/>
        <w:rPr>
          <w:szCs w:val="18"/>
        </w:rPr>
      </w:pPr>
      <w:r w:rsidRPr="00B950E1">
        <w:rPr>
          <w:rStyle w:val="FootnoteReference"/>
        </w:rPr>
        <w:footnoteRef/>
      </w:r>
      <w:r w:rsidRPr="00B950E1">
        <w:t xml:space="preserve"> Décision IPBES 2/4, annexe, et décision IPBES-5/1, sect. III, par. 8 et 9.</w:t>
      </w:r>
    </w:p>
  </w:footnote>
  <w:footnote w:id="17">
    <w:p w14:paraId="14F0611C" w14:textId="77777777" w:rsidR="00FC117D" w:rsidRPr="00B950E1" w:rsidRDefault="00FC117D" w:rsidP="00607B78">
      <w:pPr>
        <w:pStyle w:val="Footnote-Text"/>
        <w:rPr>
          <w:szCs w:val="18"/>
        </w:rPr>
      </w:pPr>
      <w:r w:rsidRPr="00B950E1">
        <w:rPr>
          <w:rStyle w:val="FootnoteReference"/>
        </w:rPr>
        <w:footnoteRef/>
      </w:r>
      <w:r w:rsidRPr="00B950E1">
        <w:t xml:space="preserve"> Décision IPBES-7/1, annexe I.</w:t>
      </w:r>
    </w:p>
  </w:footnote>
  <w:footnote w:id="18">
    <w:p w14:paraId="64CA2EEF" w14:textId="19402C7D"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w:t>
      </w:r>
    </w:p>
  </w:footnote>
  <w:footnote w:id="19">
    <w:p w14:paraId="3B7776C5" w14:textId="77777777" w:rsidR="00FC117D" w:rsidRPr="001F6D6B" w:rsidRDefault="00FC117D" w:rsidP="00607B78">
      <w:pPr>
        <w:pStyle w:val="Footnote-Text"/>
        <w:rPr>
          <w:szCs w:val="18"/>
          <w:highlight w:val="yellow"/>
          <w:lang w:val="en-US"/>
        </w:rPr>
      </w:pPr>
      <w:r w:rsidRPr="00B950E1">
        <w:rPr>
          <w:rStyle w:val="FootnoteReference"/>
        </w:rPr>
        <w:footnoteRef/>
      </w:r>
      <w:r w:rsidRPr="001F6D6B">
        <w:rPr>
          <w:lang w:val="en-US"/>
        </w:rPr>
        <w:t xml:space="preserve"> G. </w:t>
      </w:r>
      <w:proofErr w:type="spellStart"/>
      <w:r w:rsidRPr="001F6D6B">
        <w:rPr>
          <w:lang w:val="en-US"/>
        </w:rPr>
        <w:t>Metternicht</w:t>
      </w:r>
      <w:proofErr w:type="spellEnd"/>
      <w:r w:rsidRPr="001F6D6B">
        <w:rPr>
          <w:lang w:val="en-US"/>
        </w:rPr>
        <w:t xml:space="preserve"> (2017), Land Use and Spatial Planning: Enabling Sustainable Management of Land Resources, Springer Briefs in Earth Sciences.</w:t>
      </w:r>
    </w:p>
  </w:footnote>
  <w:footnote w:id="20">
    <w:p w14:paraId="71142547" w14:textId="5F4624B6" w:rsidR="00FC117D" w:rsidRPr="00B950E1" w:rsidRDefault="00FC117D" w:rsidP="00607B78">
      <w:pPr>
        <w:pStyle w:val="Footnote-Text"/>
        <w:rPr>
          <w:szCs w:val="18"/>
        </w:rPr>
      </w:pPr>
      <w:r w:rsidRPr="00B950E1">
        <w:rPr>
          <w:rStyle w:val="FootnoteReference"/>
        </w:rPr>
        <w:footnoteRef/>
      </w:r>
      <w:r w:rsidRPr="00B950E1">
        <w:t xml:space="preserve"> L</w:t>
      </w:r>
      <w:r>
        <w:t>’</w:t>
      </w:r>
      <w:r w:rsidRPr="00B950E1">
        <w:t>évaluation sera réalisée conformément à</w:t>
      </w:r>
      <w:r>
        <w:t xml:space="preserve"> la </w:t>
      </w:r>
      <w:r w:rsidRPr="00B950E1">
        <w:t>politique de</w:t>
      </w:r>
      <w:r>
        <w:t xml:space="preserve"> la </w:t>
      </w:r>
      <w:r w:rsidRPr="00B950E1">
        <w:t>Plateforme en matière de gestion</w:t>
      </w:r>
      <w:r>
        <w:t xml:space="preserve"> des </w:t>
      </w:r>
      <w:r w:rsidRPr="00B950E1">
        <w:t>données et</w:t>
      </w:r>
      <w:r>
        <w:t xml:space="preserve"> des </w:t>
      </w:r>
      <w:r w:rsidRPr="00B950E1">
        <w:t>connaissances.</w:t>
      </w:r>
      <w:r>
        <w:t xml:space="preserve"> La </w:t>
      </w:r>
      <w:r w:rsidRPr="00B950E1">
        <w:t>documentation</w:t>
      </w:r>
      <w:r>
        <w:t xml:space="preserve"> des </w:t>
      </w:r>
      <w:r w:rsidRPr="00B950E1">
        <w:t>flux de travail ainsi que</w:t>
      </w:r>
      <w:r>
        <w:t xml:space="preserve"> les </w:t>
      </w:r>
      <w:r w:rsidRPr="00B950E1">
        <w:t>données sur lesquelles repose l</w:t>
      </w:r>
      <w:r>
        <w:t>’</w:t>
      </w:r>
      <w:r w:rsidRPr="00B950E1">
        <w:t>analyse présentée dans</w:t>
      </w:r>
      <w:r>
        <w:t xml:space="preserve"> les </w:t>
      </w:r>
      <w:r w:rsidRPr="00B950E1">
        <w:t>projets de rapport seront diffusées au cours du processus d</w:t>
      </w:r>
      <w:r>
        <w:t>’</w:t>
      </w:r>
      <w:r w:rsidRPr="00B950E1">
        <w:t>examen.</w:t>
      </w:r>
    </w:p>
  </w:footnote>
  <w:footnote w:id="21">
    <w:p w14:paraId="2CE6FA19" w14:textId="5ABD19F5"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w:t>
      </w:r>
    </w:p>
  </w:footnote>
  <w:footnote w:id="22">
    <w:p w14:paraId="34155ABD" w14:textId="0D1A848A"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IPBES-2/4, annexe, et</w:t>
      </w:r>
      <w:r>
        <w:t xml:space="preserve"> la </w:t>
      </w:r>
      <w:r w:rsidRPr="00B950E1">
        <w:t>décision IPBES-5/1, sect. III, par.</w:t>
      </w:r>
      <w:r>
        <w:t> </w:t>
      </w:r>
      <w:r w:rsidRPr="00B950E1">
        <w:t>8 et 9.</w:t>
      </w:r>
    </w:p>
  </w:footnote>
  <w:footnote w:id="23">
    <w:p w14:paraId="3246CD57" w14:textId="2432B870" w:rsidR="00FC117D" w:rsidRPr="00B950E1" w:rsidRDefault="00FC117D" w:rsidP="00607B78">
      <w:pPr>
        <w:pStyle w:val="Footnote-Text"/>
        <w:rPr>
          <w:szCs w:val="18"/>
        </w:rPr>
      </w:pPr>
      <w:r w:rsidRPr="00B950E1">
        <w:rPr>
          <w:rStyle w:val="FootnoteReference"/>
        </w:rPr>
        <w:footnoteRef/>
      </w:r>
      <w:r w:rsidRPr="00B950E1">
        <w:t xml:space="preserve"> À</w:t>
      </w:r>
      <w:r>
        <w:t xml:space="preserve"> la </w:t>
      </w:r>
      <w:r w:rsidRPr="00B950E1">
        <w:t>lumière</w:t>
      </w:r>
      <w:r>
        <w:t xml:space="preserve"> des </w:t>
      </w:r>
      <w:r w:rsidRPr="00B950E1">
        <w:t>états de référence figurant dans</w:t>
      </w:r>
      <w:r>
        <w:t xml:space="preserve"> la </w:t>
      </w:r>
      <w:r w:rsidRPr="00B950E1">
        <w:t>décision 15/5 de</w:t>
      </w:r>
      <w:r>
        <w:t xml:space="preserve"> la </w:t>
      </w:r>
      <w:r w:rsidRPr="00B950E1">
        <w:t>Conférence</w:t>
      </w:r>
      <w:r>
        <w:t xml:space="preserve"> des </w:t>
      </w:r>
      <w:r w:rsidRPr="00B950E1">
        <w:t>Parties à</w:t>
      </w:r>
      <w:r>
        <w:t xml:space="preserve"> la </w:t>
      </w:r>
      <w:r w:rsidRPr="00B950E1">
        <w:t>Convention sur</w:t>
      </w:r>
      <w:r>
        <w:t xml:space="preserve"> la </w:t>
      </w:r>
      <w:r w:rsidRPr="00B950E1">
        <w:t>diversité biologique.</w:t>
      </w:r>
    </w:p>
  </w:footnote>
  <w:footnote w:id="24">
    <w:p w14:paraId="614063C9" w14:textId="059A9CB1" w:rsidR="00FC117D" w:rsidRPr="00B950E1" w:rsidRDefault="00FC117D" w:rsidP="00607B78">
      <w:pPr>
        <w:pStyle w:val="Footnote-Text"/>
        <w:rPr>
          <w:szCs w:val="18"/>
        </w:rPr>
      </w:pPr>
      <w:r w:rsidRPr="00B950E1">
        <w:rPr>
          <w:rStyle w:val="FootnoteReference"/>
        </w:rPr>
        <w:footnoteRef/>
      </w:r>
      <w:r w:rsidRPr="00B950E1">
        <w:t xml:space="preserve"> « Préserver, améliorer ou rétablir l</w:t>
      </w:r>
      <w:r>
        <w:t>’</w:t>
      </w:r>
      <w:r w:rsidRPr="00B950E1">
        <w:t>intégrité,</w:t>
      </w:r>
      <w:r>
        <w:t xml:space="preserve"> la </w:t>
      </w:r>
      <w:r w:rsidRPr="00B950E1">
        <w:t>connectivité et</w:t>
      </w:r>
      <w:r>
        <w:t xml:space="preserve"> la </w:t>
      </w:r>
      <w:r w:rsidRPr="00B950E1">
        <w:t>résilience de tous</w:t>
      </w:r>
      <w:r>
        <w:t xml:space="preserve"> les </w:t>
      </w:r>
      <w:r w:rsidRPr="00B950E1">
        <w:t>écosystèmes ».</w:t>
      </w:r>
    </w:p>
  </w:footnote>
  <w:footnote w:id="25">
    <w:p w14:paraId="7E410669" w14:textId="3AD57070" w:rsidR="00FC117D" w:rsidRPr="00B950E1" w:rsidRDefault="00FC117D" w:rsidP="00607B78">
      <w:pPr>
        <w:pStyle w:val="Footnote-Text"/>
        <w:rPr>
          <w:szCs w:val="18"/>
        </w:rPr>
      </w:pPr>
      <w:r w:rsidRPr="00B950E1">
        <w:rPr>
          <w:rStyle w:val="FootnoteReference"/>
        </w:rPr>
        <w:footnoteRef/>
      </w:r>
      <w:r w:rsidRPr="00B950E1">
        <w:t xml:space="preserve"> « </w:t>
      </w:r>
      <w:proofErr w:type="gramStart"/>
      <w:r w:rsidRPr="00B950E1">
        <w:t>soient</w:t>
      </w:r>
      <w:proofErr w:type="gramEnd"/>
      <w:r w:rsidRPr="00B950E1">
        <w:t xml:space="preserve"> dûment conservées et gérées grâce à</w:t>
      </w:r>
      <w:r>
        <w:t xml:space="preserve"> la </w:t>
      </w:r>
      <w:r w:rsidRPr="00B950E1">
        <w:t>mise en place d</w:t>
      </w:r>
      <w:r>
        <w:t>’</w:t>
      </w:r>
      <w:r w:rsidRPr="00B950E1">
        <w:t>aires protégées écologiquement représentatives, bien reliées […] et à d</w:t>
      </w:r>
      <w:r>
        <w:t>’</w:t>
      </w:r>
      <w:r w:rsidRPr="00B950E1">
        <w:t>autres mesures efficaces de conservation par zone ».</w:t>
      </w:r>
    </w:p>
  </w:footnote>
  <w:footnote w:id="26">
    <w:p w14:paraId="1F9FD5AB" w14:textId="7EB87470" w:rsidR="00FC117D" w:rsidRPr="00B950E1" w:rsidRDefault="00FC117D" w:rsidP="00607B78">
      <w:pPr>
        <w:pStyle w:val="Footnote-Text"/>
        <w:rPr>
          <w:szCs w:val="18"/>
        </w:rPr>
      </w:pPr>
      <w:r w:rsidRPr="00B950E1">
        <w:rPr>
          <w:rStyle w:val="FootnoteReference"/>
        </w:rPr>
        <w:footnoteRef/>
      </w:r>
      <w:r w:rsidRPr="00B950E1">
        <w:t xml:space="preserve"> « Augmenter significativement</w:t>
      </w:r>
      <w:r>
        <w:t xml:space="preserve"> la </w:t>
      </w:r>
      <w:r w:rsidRPr="00B950E1">
        <w:t>superficie,</w:t>
      </w:r>
      <w:r>
        <w:t xml:space="preserve"> la </w:t>
      </w:r>
      <w:r w:rsidRPr="00B950E1">
        <w:t>qualité et</w:t>
      </w:r>
      <w:r>
        <w:t xml:space="preserve"> la </w:t>
      </w:r>
      <w:r w:rsidRPr="00B950E1">
        <w:t>connectivité</w:t>
      </w:r>
      <w:r>
        <w:t xml:space="preserve"> des </w:t>
      </w:r>
      <w:r w:rsidRPr="00B950E1">
        <w:t>espaces verts et bleus dans</w:t>
      </w:r>
      <w:r>
        <w:t xml:space="preserve"> les </w:t>
      </w:r>
      <w:r w:rsidRPr="00B950E1">
        <w:t>zones urbaines et densément peuplées, ainsi que l</w:t>
      </w:r>
      <w:r>
        <w:t>’</w:t>
      </w:r>
      <w:r w:rsidRPr="00B950E1">
        <w:t>accès à ces espaces et</w:t>
      </w:r>
      <w:r>
        <w:t xml:space="preserve"> les </w:t>
      </w:r>
      <w:r w:rsidRPr="00B950E1">
        <w:t>avantages qu</w:t>
      </w:r>
      <w:r>
        <w:t>’</w:t>
      </w:r>
      <w:r w:rsidRPr="00B950E1">
        <w:t>ils procurent ».</w:t>
      </w:r>
    </w:p>
  </w:footnote>
  <w:footnote w:id="27">
    <w:p w14:paraId="51D4CDC6" w14:textId="59722516" w:rsidR="00FC117D" w:rsidRPr="00B950E1" w:rsidRDefault="00FC117D" w:rsidP="00607B78">
      <w:pPr>
        <w:pStyle w:val="Footnote-Text"/>
        <w:rPr>
          <w:szCs w:val="18"/>
        </w:rPr>
      </w:pPr>
      <w:r w:rsidRPr="00B950E1">
        <w:rPr>
          <w:rStyle w:val="FootnoteReference"/>
        </w:rPr>
        <w:footnoteRef/>
      </w:r>
      <w:r w:rsidRPr="00B950E1">
        <w:t xml:space="preserve"> L</w:t>
      </w:r>
      <w:r>
        <w:t>’</w:t>
      </w:r>
      <w:r w:rsidRPr="00B950E1">
        <w:t>atelier s</w:t>
      </w:r>
      <w:r>
        <w:t>’</w:t>
      </w:r>
      <w:r w:rsidRPr="00B950E1">
        <w:t>adressera</w:t>
      </w:r>
      <w:r>
        <w:t xml:space="preserve"> aux </w:t>
      </w:r>
      <w:r w:rsidRPr="00B950E1">
        <w:t>personnes représentant</w:t>
      </w:r>
      <w:r>
        <w:t xml:space="preserve"> des </w:t>
      </w:r>
      <w:r w:rsidRPr="00B950E1">
        <w:t>organisations de jeunes de différentes régions</w:t>
      </w:r>
      <w:r>
        <w:t xml:space="preserve"> des </w:t>
      </w:r>
      <w:r w:rsidRPr="00B950E1">
        <w:t>Nations</w:t>
      </w:r>
      <w:r>
        <w:t> </w:t>
      </w:r>
      <w:r w:rsidRPr="00B950E1">
        <w:t>Unies qui ont</w:t>
      </w:r>
      <w:r>
        <w:t xml:space="preserve"> une </w:t>
      </w:r>
      <w:r w:rsidRPr="00B950E1">
        <w:t>voix active dans</w:t>
      </w:r>
      <w:r>
        <w:t xml:space="preserve"> leur </w:t>
      </w:r>
      <w:r w:rsidRPr="00B950E1">
        <w:t>communauté.</w:t>
      </w:r>
      <w:r>
        <w:t xml:space="preserve"> Un </w:t>
      </w:r>
      <w:r w:rsidRPr="00B950E1">
        <w:t>appel à participation sera lancé, énonçant</w:t>
      </w:r>
      <w:r>
        <w:t> les </w:t>
      </w:r>
      <w:r w:rsidRPr="00B950E1">
        <w:t>critères de</w:t>
      </w:r>
      <w:r>
        <w:t xml:space="preserve"> </w:t>
      </w:r>
      <w:r w:rsidRPr="00B950E1">
        <w:t>sélection.</w:t>
      </w:r>
    </w:p>
  </w:footnote>
  <w:footnote w:id="28">
    <w:p w14:paraId="6BE6F7CC" w14:textId="63F8E3D3" w:rsidR="00FC117D" w:rsidRPr="00B950E1" w:rsidRDefault="00FC117D" w:rsidP="00607B78">
      <w:pPr>
        <w:pStyle w:val="Footnote-Text"/>
        <w:rPr>
          <w:szCs w:val="18"/>
        </w:rPr>
      </w:pPr>
      <w:r w:rsidRPr="00B950E1">
        <w:rPr>
          <w:rStyle w:val="FootnoteReference"/>
        </w:rPr>
        <w:footnoteRef/>
      </w:r>
      <w:r w:rsidRPr="00B950E1">
        <w:t xml:space="preserve"> Comme indiqué à l</w:t>
      </w:r>
      <w:r>
        <w:t>’</w:t>
      </w:r>
      <w:r w:rsidRPr="00B950E1">
        <w:t>annexe II de</w:t>
      </w:r>
      <w:r>
        <w:t xml:space="preserve"> la </w:t>
      </w:r>
      <w:r w:rsidRPr="00B950E1">
        <w:t>décision IPBES-9/1, dans</w:t>
      </w:r>
      <w:r>
        <w:t xml:space="preserve"> le </w:t>
      </w:r>
      <w:r w:rsidRPr="00B950E1">
        <w:t>contexte de l</w:t>
      </w:r>
      <w:r>
        <w:t>’</w:t>
      </w:r>
      <w:r w:rsidRPr="00B950E1">
        <w:t>IPBES,</w:t>
      </w:r>
      <w:r>
        <w:t xml:space="preserve"> les </w:t>
      </w:r>
      <w:r w:rsidRPr="00B950E1">
        <w:t>communautés de pratique sont</w:t>
      </w:r>
      <w:r>
        <w:t xml:space="preserve"> des </w:t>
      </w:r>
      <w:r w:rsidRPr="00B950E1">
        <w:t>groupes d</w:t>
      </w:r>
      <w:r>
        <w:t>’</w:t>
      </w:r>
      <w:r w:rsidRPr="00B950E1">
        <w:t>expert(e)s, de décideur(se)s ou de praticien(ne)s qui s</w:t>
      </w:r>
      <w:r>
        <w:t>’</w:t>
      </w:r>
      <w:r w:rsidRPr="00B950E1">
        <w:t>emploient à améliorer l</w:t>
      </w:r>
      <w:r>
        <w:t>’</w:t>
      </w:r>
      <w:r w:rsidRPr="00B950E1">
        <w:t>accès</w:t>
      </w:r>
      <w:r>
        <w:t xml:space="preserve"> aux </w:t>
      </w:r>
      <w:r w:rsidRPr="00B950E1">
        <w:t>connaissances spécialisées et</w:t>
      </w:r>
      <w:r>
        <w:t xml:space="preserve"> aux </w:t>
      </w:r>
      <w:r w:rsidRPr="00B950E1">
        <w:t>informations sur</w:t>
      </w:r>
      <w:r>
        <w:t xml:space="preserve"> un </w:t>
      </w:r>
      <w:r w:rsidRPr="00B950E1">
        <w:t>sujet ou dans</w:t>
      </w:r>
      <w:r>
        <w:t xml:space="preserve"> un </w:t>
      </w:r>
      <w:r w:rsidRPr="00B950E1">
        <w:t>domaine prioritaire spécifique, tant pour appuyer</w:t>
      </w:r>
      <w:r>
        <w:t xml:space="preserve"> la </w:t>
      </w:r>
      <w:r w:rsidRPr="00B950E1">
        <w:t>mise en œuvre du programme de travail de l</w:t>
      </w:r>
      <w:r>
        <w:t>’</w:t>
      </w:r>
      <w:r w:rsidRPr="00B950E1">
        <w:t>IPBES que pour accroître</w:t>
      </w:r>
      <w:r>
        <w:t xml:space="preserve"> la </w:t>
      </w:r>
      <w:r w:rsidRPr="00B950E1">
        <w:t>portée et l</w:t>
      </w:r>
      <w:r>
        <w:t>’</w:t>
      </w:r>
      <w:r w:rsidRPr="00B950E1">
        <w:t>incidence</w:t>
      </w:r>
      <w:r>
        <w:t xml:space="preserve"> des </w:t>
      </w:r>
      <w:r w:rsidRPr="00B950E1">
        <w:t>produits du programme de travail. Ces communautés de pratique sont</w:t>
      </w:r>
      <w:r>
        <w:t xml:space="preserve"> des </w:t>
      </w:r>
      <w:r w:rsidRPr="00B950E1">
        <w:t>groupes autoorganisés et peuvent avoir</w:t>
      </w:r>
      <w:r>
        <w:t xml:space="preserve"> des </w:t>
      </w:r>
      <w:r w:rsidRPr="00B950E1">
        <w:t>modalités et</w:t>
      </w:r>
      <w:r>
        <w:t xml:space="preserve"> des </w:t>
      </w:r>
      <w:r w:rsidRPr="00B950E1">
        <w:t>dispositions de travail différentes.</w:t>
      </w:r>
    </w:p>
  </w:footnote>
  <w:footnote w:id="29">
    <w:p w14:paraId="16BD4945" w14:textId="0E0F3291" w:rsidR="00FC117D" w:rsidRPr="00B950E1" w:rsidRDefault="00FC117D" w:rsidP="00607B78">
      <w:pPr>
        <w:pStyle w:val="Footnote-Text"/>
        <w:rPr>
          <w:szCs w:val="18"/>
        </w:rPr>
      </w:pPr>
      <w:r w:rsidRPr="00B950E1">
        <w:rPr>
          <w:rStyle w:val="FootnoteReference"/>
        </w:rPr>
        <w:footnoteRef/>
      </w:r>
      <w:r w:rsidRPr="00B950E1">
        <w:t xml:space="preserve"> IPBES/10/INF/10, </w:t>
      </w:r>
      <w:r w:rsidR="00FA7442">
        <w:t>a</w:t>
      </w:r>
      <w:r w:rsidRPr="00B950E1">
        <w:t>nnexe.</w:t>
      </w:r>
    </w:p>
  </w:footnote>
  <w:footnote w:id="30">
    <w:p w14:paraId="76B08ECA" w14:textId="5BFCDB1C" w:rsidR="00FC117D" w:rsidRPr="00B950E1" w:rsidRDefault="00FC117D" w:rsidP="00607B78">
      <w:pPr>
        <w:pStyle w:val="Footnote-Text"/>
        <w:rPr>
          <w:szCs w:val="18"/>
        </w:rPr>
      </w:pPr>
      <w:r w:rsidRPr="00B950E1">
        <w:rPr>
          <w:rStyle w:val="FootnoteReference"/>
        </w:rPr>
        <w:footnoteRef/>
      </w:r>
      <w:r>
        <w:t xml:space="preserve"> Un </w:t>
      </w:r>
      <w:r w:rsidRPr="00B950E1">
        <w:t>groupe de liaison sur</w:t>
      </w:r>
      <w:r>
        <w:t xml:space="preserve"> les </w:t>
      </w:r>
      <w:r w:rsidRPr="00B950E1">
        <w:t>savoirs autochtones et locaux est</w:t>
      </w:r>
      <w:r>
        <w:t xml:space="preserve"> un </w:t>
      </w:r>
      <w:r w:rsidRPr="00B950E1">
        <w:t>groupe d</w:t>
      </w:r>
      <w:r>
        <w:t>’</w:t>
      </w:r>
      <w:r w:rsidRPr="00B950E1">
        <w:t>auteur(</w:t>
      </w:r>
      <w:proofErr w:type="spellStart"/>
      <w:r w:rsidRPr="00B950E1">
        <w:t>rice</w:t>
      </w:r>
      <w:proofErr w:type="spellEnd"/>
      <w:r w:rsidRPr="00B950E1">
        <w:t>)s travaillant sur</w:t>
      </w:r>
      <w:r>
        <w:t xml:space="preserve"> les </w:t>
      </w:r>
      <w:r w:rsidRPr="00B950E1">
        <w:t>savoirs autochtones et locaux dans</w:t>
      </w:r>
      <w:r>
        <w:t xml:space="preserve"> le </w:t>
      </w:r>
      <w:r w:rsidRPr="00B950E1">
        <w:t>cadre d</w:t>
      </w:r>
      <w:r>
        <w:t>’</w:t>
      </w:r>
      <w:r w:rsidRPr="00B950E1">
        <w:t>une évaluation.</w:t>
      </w:r>
    </w:p>
  </w:footnote>
  <w:footnote w:id="31">
    <w:p w14:paraId="6E62DA75" w14:textId="77777777" w:rsidR="00FC117D" w:rsidRPr="00B950E1" w:rsidRDefault="00FC117D" w:rsidP="00607B78">
      <w:pPr>
        <w:pStyle w:val="Footnote-Text"/>
        <w:rPr>
          <w:szCs w:val="18"/>
        </w:rPr>
      </w:pPr>
      <w:r w:rsidRPr="00B950E1">
        <w:rPr>
          <w:rStyle w:val="FootnoteReference"/>
        </w:rPr>
        <w:footnoteRef/>
      </w:r>
      <w:r w:rsidRPr="00B950E1">
        <w:t xml:space="preserve"> IPBES/10/INF/10, Annexe. </w:t>
      </w:r>
    </w:p>
  </w:footnote>
  <w:footnote w:id="32">
    <w:p w14:paraId="6163BD1A" w14:textId="33CD2AFC" w:rsidR="00FC117D" w:rsidRPr="00B950E1" w:rsidRDefault="00FC117D" w:rsidP="00607B78">
      <w:pPr>
        <w:pStyle w:val="Footnote-Text"/>
        <w:rPr>
          <w:szCs w:val="18"/>
          <w:highlight w:val="white"/>
        </w:rPr>
      </w:pPr>
      <w:r w:rsidRPr="00B950E1">
        <w:rPr>
          <w:rStyle w:val="FootnoteReference"/>
        </w:rPr>
        <w:footnoteRef/>
      </w:r>
      <w:r w:rsidRPr="00B950E1">
        <w:rPr>
          <w:highlight w:val="white"/>
        </w:rPr>
        <w:t xml:space="preserve"> Disponible à l</w:t>
      </w:r>
      <w:r>
        <w:rPr>
          <w:highlight w:val="white"/>
        </w:rPr>
        <w:t>’</w:t>
      </w:r>
      <w:r w:rsidRPr="00B950E1">
        <w:rPr>
          <w:highlight w:val="white"/>
        </w:rPr>
        <w:t xml:space="preserve">adresse suivante : </w:t>
      </w:r>
      <w:hyperlink r:id="rId1" w:history="1">
        <w:r w:rsidRPr="000D47E2">
          <w:rPr>
            <w:rStyle w:val="Hyperlink"/>
            <w:sz w:val="18"/>
            <w:szCs w:val="18"/>
            <w:highlight w:val="white"/>
          </w:rPr>
          <w:t>www.ipbes.net/impact-tracking-view</w:t>
        </w:r>
      </w:hyperlink>
      <w:r w:rsidRPr="00B950E1">
        <w:rPr>
          <w:highlight w:val="white"/>
        </w:rPr>
        <w:t>.</w:t>
      </w:r>
    </w:p>
  </w:footnote>
  <w:footnote w:id="33">
    <w:p w14:paraId="4A5A7F5D" w14:textId="6FBF68F8" w:rsidR="00FC117D" w:rsidRPr="00B950E1" w:rsidRDefault="00FC117D" w:rsidP="00607B78">
      <w:pPr>
        <w:pStyle w:val="Footnote-Text"/>
        <w:rPr>
          <w:szCs w:val="18"/>
        </w:rPr>
      </w:pPr>
      <w:r w:rsidRPr="00B950E1">
        <w:rPr>
          <w:rStyle w:val="FootnoteReference"/>
        </w:rPr>
        <w:footnoteRef/>
      </w:r>
      <w:r w:rsidRPr="00B950E1">
        <w:t xml:space="preserve"> Bien qu</w:t>
      </w:r>
      <w:r>
        <w:t>’</w:t>
      </w:r>
      <w:r w:rsidRPr="00B950E1">
        <w:t>il ne soit pas systématiquement répété dans</w:t>
      </w:r>
      <w:r>
        <w:t xml:space="preserve"> le </w:t>
      </w:r>
      <w:r w:rsidRPr="00B950E1">
        <w:t>présent document à</w:t>
      </w:r>
      <w:r>
        <w:t xml:space="preserve"> la </w:t>
      </w:r>
      <w:r w:rsidRPr="00B950E1">
        <w:t>suite de « Cadre sur l</w:t>
      </w:r>
      <w:r>
        <w:t>’</w:t>
      </w:r>
      <w:r w:rsidRPr="00B950E1">
        <w:t>avenir de</w:t>
      </w:r>
      <w:r>
        <w:t> la </w:t>
      </w:r>
      <w:r w:rsidRPr="00B950E1">
        <w:t>nature », il est entendu que toute mention du cadre inclut implicitement ce sous-titre.</w:t>
      </w:r>
    </w:p>
  </w:footnote>
  <w:footnote w:id="34">
    <w:p w14:paraId="0CD4E25D" w14:textId="04DC3B5D" w:rsidR="00FC117D" w:rsidRPr="00B950E1" w:rsidRDefault="00FC117D" w:rsidP="00607B78">
      <w:pPr>
        <w:pStyle w:val="Footnote-Text"/>
        <w:rPr>
          <w:szCs w:val="18"/>
          <w:shd w:val="clear" w:color="auto" w:fill="D9D9D9"/>
        </w:rPr>
      </w:pPr>
      <w:r w:rsidRPr="00B950E1">
        <w:rPr>
          <w:rStyle w:val="FootnoteReference"/>
        </w:rPr>
        <w:footnoteRef/>
      </w:r>
      <w:r>
        <w:t xml:space="preserve"> Les </w:t>
      </w:r>
      <w:r w:rsidRPr="00B950E1">
        <w:t>communautés de pratique sont</w:t>
      </w:r>
      <w:r>
        <w:t xml:space="preserve"> des </w:t>
      </w:r>
      <w:r w:rsidRPr="00B950E1">
        <w:t>groupes d</w:t>
      </w:r>
      <w:r>
        <w:t>’</w:t>
      </w:r>
      <w:r w:rsidRPr="00B950E1">
        <w:t>expert(e)s, de décideur(se)s ou de praticien(ne)s qui s</w:t>
      </w:r>
      <w:r>
        <w:t>’</w:t>
      </w:r>
      <w:r w:rsidRPr="00B950E1">
        <w:t>emploient à améliorer l</w:t>
      </w:r>
      <w:r>
        <w:t>’</w:t>
      </w:r>
      <w:r w:rsidRPr="00B950E1">
        <w:t>accès</w:t>
      </w:r>
      <w:r>
        <w:t xml:space="preserve"> aux </w:t>
      </w:r>
      <w:r w:rsidRPr="00B950E1">
        <w:t>connaissances spécialisées et</w:t>
      </w:r>
      <w:r>
        <w:t xml:space="preserve"> aux </w:t>
      </w:r>
      <w:r w:rsidRPr="00B950E1">
        <w:t>informations sur</w:t>
      </w:r>
      <w:r>
        <w:t xml:space="preserve"> un </w:t>
      </w:r>
      <w:r w:rsidRPr="00B950E1">
        <w:t>sujet ou dans</w:t>
      </w:r>
      <w:r>
        <w:t xml:space="preserve"> un </w:t>
      </w:r>
      <w:r w:rsidRPr="00B950E1">
        <w:t>domaine prioritaire spécifique, tant pour appuyer</w:t>
      </w:r>
      <w:r>
        <w:t xml:space="preserve"> la </w:t>
      </w:r>
      <w:r w:rsidRPr="00B950E1">
        <w:t>mise en œuvre du programme de travail de l</w:t>
      </w:r>
      <w:r>
        <w:t>’</w:t>
      </w:r>
      <w:r w:rsidRPr="00B950E1">
        <w:t>IPBES que</w:t>
      </w:r>
      <w:r>
        <w:t> </w:t>
      </w:r>
      <w:r w:rsidRPr="00B950E1">
        <w:t>pour accroître</w:t>
      </w:r>
      <w:r>
        <w:t xml:space="preserve"> la </w:t>
      </w:r>
      <w:r w:rsidRPr="00B950E1">
        <w:t>portée et l</w:t>
      </w:r>
      <w:r>
        <w:t>’</w:t>
      </w:r>
      <w:r w:rsidRPr="00B950E1">
        <w:t>incidence</w:t>
      </w:r>
      <w:r>
        <w:t xml:space="preserve"> des </w:t>
      </w:r>
      <w:r w:rsidRPr="00B950E1">
        <w:t>produits du programme de travail. Ces communautés de pratique sont</w:t>
      </w:r>
      <w:r>
        <w:t xml:space="preserve"> des </w:t>
      </w:r>
      <w:r w:rsidRPr="00B950E1">
        <w:t>groupes autoorganisés et peuvent avoir</w:t>
      </w:r>
      <w:r>
        <w:t xml:space="preserve"> des </w:t>
      </w:r>
      <w:r w:rsidRPr="00B950E1">
        <w:t>modalités et</w:t>
      </w:r>
      <w:r>
        <w:t xml:space="preserve"> des </w:t>
      </w:r>
      <w:r w:rsidRPr="00B950E1">
        <w:t>dispositions de travail différentes.</w:t>
      </w:r>
    </w:p>
  </w:footnote>
  <w:footnote w:id="35">
    <w:p w14:paraId="5DFCB983" w14:textId="67B23A65" w:rsidR="00FC117D" w:rsidRPr="00B950E1" w:rsidRDefault="00FC117D" w:rsidP="00607B78">
      <w:pPr>
        <w:pStyle w:val="Footnote-Text"/>
        <w:rPr>
          <w:szCs w:val="18"/>
        </w:rPr>
      </w:pPr>
      <w:r w:rsidRPr="00B950E1">
        <w:rPr>
          <w:rStyle w:val="FootnoteReference"/>
        </w:rPr>
        <w:footnoteRef/>
      </w:r>
      <w:r w:rsidRPr="00B950E1">
        <w:t xml:space="preserve"> En effectuant</w:t>
      </w:r>
      <w:r>
        <w:t xml:space="preserve"> des </w:t>
      </w:r>
      <w:r w:rsidRPr="00B950E1">
        <w:t>recherches systématiques dans</w:t>
      </w:r>
      <w:r>
        <w:t xml:space="preserve"> la </w:t>
      </w:r>
      <w:r w:rsidRPr="00B950E1">
        <w:t>littérature existante.</w:t>
      </w:r>
    </w:p>
  </w:footnote>
  <w:footnote w:id="36">
    <w:p w14:paraId="4365CB7A" w14:textId="77777777" w:rsidR="00FC117D" w:rsidRPr="00B950E1" w:rsidRDefault="00FC117D" w:rsidP="00607B78">
      <w:pPr>
        <w:pStyle w:val="Footnote-Text"/>
        <w:rPr>
          <w:szCs w:val="18"/>
        </w:rPr>
      </w:pPr>
      <w:r w:rsidRPr="00B950E1">
        <w:rPr>
          <w:rStyle w:val="FootnoteReference"/>
        </w:rPr>
        <w:footnoteRef/>
      </w:r>
      <w:r w:rsidRPr="00B950E1">
        <w:t xml:space="preserve"> Décision IPBES-7/1, annexe I.</w:t>
      </w:r>
    </w:p>
  </w:footnote>
  <w:footnote w:id="37">
    <w:p w14:paraId="333BEEF2" w14:textId="77777777" w:rsidR="00FC117D" w:rsidRPr="00B950E1" w:rsidRDefault="00FC117D" w:rsidP="00607B78">
      <w:pPr>
        <w:pStyle w:val="Footnote-Text"/>
        <w:rPr>
          <w:szCs w:val="18"/>
        </w:rPr>
      </w:pPr>
      <w:r w:rsidRPr="00B950E1">
        <w:rPr>
          <w:rStyle w:val="FootnoteReference"/>
        </w:rPr>
        <w:footnoteRef/>
      </w:r>
      <w:r w:rsidRPr="00B950E1">
        <w:t xml:space="preserve"> Décision IPBES-2/5, annexe I.</w:t>
      </w:r>
    </w:p>
  </w:footnote>
  <w:footnote w:id="38">
    <w:p w14:paraId="1D4A9BC6" w14:textId="77777777" w:rsidR="00FC117D" w:rsidRPr="00B950E1" w:rsidRDefault="00FC117D" w:rsidP="00607B78">
      <w:pPr>
        <w:pStyle w:val="Footnote-Text"/>
        <w:rPr>
          <w:szCs w:val="18"/>
        </w:rPr>
      </w:pPr>
      <w:r w:rsidRPr="00B950E1">
        <w:rPr>
          <w:rStyle w:val="FootnoteReference"/>
        </w:rPr>
        <w:footnoteRef/>
      </w:r>
      <w:r w:rsidRPr="00B950E1">
        <w:t xml:space="preserve"> Décision IPBES-5/1, annexe I.</w:t>
      </w:r>
    </w:p>
  </w:footnote>
  <w:footnote w:id="39">
    <w:p w14:paraId="5246B6F2" w14:textId="39EC960B" w:rsidR="00FC117D" w:rsidRPr="00B950E1" w:rsidRDefault="00FC117D" w:rsidP="00607B78">
      <w:pPr>
        <w:pStyle w:val="Footnote-Text"/>
        <w:rPr>
          <w:szCs w:val="18"/>
        </w:rPr>
      </w:pPr>
      <w:r w:rsidRPr="00B950E1">
        <w:rPr>
          <w:rStyle w:val="FootnoteReference"/>
        </w:rPr>
        <w:footnoteRef/>
      </w:r>
      <w:r w:rsidRPr="00B950E1">
        <w:rPr>
          <w:vertAlign w:val="superscript"/>
        </w:rPr>
        <w:t xml:space="preserve"> </w:t>
      </w:r>
      <w:r w:rsidRPr="00B950E1">
        <w:t>Dans</w:t>
      </w:r>
      <w:r>
        <w:t xml:space="preserve"> le </w:t>
      </w:r>
      <w:r w:rsidRPr="00B950E1">
        <w:t>cadre de l</w:t>
      </w:r>
      <w:r>
        <w:t>’</w:t>
      </w:r>
      <w:r w:rsidRPr="00B950E1">
        <w:t>approche de l</w:t>
      </w:r>
      <w:r>
        <w:t>’</w:t>
      </w:r>
      <w:r w:rsidRPr="00B950E1">
        <w:t>IPBES visant à reconnaître</w:t>
      </w:r>
      <w:r>
        <w:t xml:space="preserve"> les </w:t>
      </w:r>
      <w:r w:rsidRPr="00B950E1">
        <w:t>savoirs autochtones et locaux et à travailler avec</w:t>
      </w:r>
      <w:r>
        <w:t xml:space="preserve"> les </w:t>
      </w:r>
      <w:r w:rsidRPr="00B950E1">
        <w:t>autochtones et</w:t>
      </w:r>
      <w:r>
        <w:t xml:space="preserve"> les </w:t>
      </w:r>
      <w:r w:rsidRPr="00B950E1">
        <w:t>communautés locales,</w:t>
      </w:r>
      <w:r>
        <w:t xml:space="preserve"> les </w:t>
      </w:r>
      <w:r w:rsidRPr="00B950E1">
        <w:t>« expert(e)s en savoirs autochtones et locaux » sont</w:t>
      </w:r>
      <w:r>
        <w:t xml:space="preserve"> des </w:t>
      </w:r>
      <w:r w:rsidRPr="00B950E1">
        <w:t>personnes qui ont</w:t>
      </w:r>
      <w:r>
        <w:t xml:space="preserve"> des </w:t>
      </w:r>
      <w:r w:rsidRPr="00B950E1">
        <w:t>connaissances sur</w:t>
      </w:r>
      <w:r>
        <w:t xml:space="preserve"> les </w:t>
      </w:r>
      <w:r w:rsidRPr="00B950E1">
        <w:t>savoirs autochtones et locaux et sur</w:t>
      </w:r>
      <w:r>
        <w:t xml:space="preserve"> les </w:t>
      </w:r>
      <w:r w:rsidRPr="00B950E1">
        <w:t>questions connexes, sans</w:t>
      </w:r>
      <w:r>
        <w:t> </w:t>
      </w:r>
      <w:r w:rsidRPr="00B950E1">
        <w:t>être nécessairement issues</w:t>
      </w:r>
      <w:r>
        <w:t xml:space="preserve"> des </w:t>
      </w:r>
      <w:r w:rsidRPr="00B950E1">
        <w:t>peuples autochtones et</w:t>
      </w:r>
      <w:r>
        <w:t xml:space="preserve"> des </w:t>
      </w:r>
      <w:r w:rsidRPr="00B950E1">
        <w:t xml:space="preserve">communautés locales. </w:t>
      </w:r>
    </w:p>
  </w:footnote>
  <w:footnote w:id="40">
    <w:p w14:paraId="7DE54EB5" w14:textId="209E1C21"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 xml:space="preserve">décision IPBES-3/3, annexe I, section 7. </w:t>
      </w:r>
    </w:p>
  </w:footnote>
  <w:footnote w:id="41">
    <w:p w14:paraId="61096C10" w14:textId="77777777" w:rsidR="00FC117D" w:rsidRPr="00B950E1" w:rsidRDefault="00FC117D" w:rsidP="00607B78">
      <w:pPr>
        <w:pStyle w:val="Footnote-Text"/>
        <w:rPr>
          <w:szCs w:val="18"/>
        </w:rPr>
      </w:pPr>
      <w:r w:rsidRPr="00B950E1">
        <w:rPr>
          <w:rStyle w:val="FootnoteReference"/>
        </w:rPr>
        <w:footnoteRef/>
      </w:r>
      <w:r w:rsidRPr="00B950E1">
        <w:t xml:space="preserve"> Décision IPBES-7/1, annexe I.</w:t>
      </w:r>
    </w:p>
  </w:footnote>
  <w:footnote w:id="42">
    <w:p w14:paraId="41839AD2" w14:textId="77777777" w:rsidR="00FC117D" w:rsidRPr="00B950E1" w:rsidRDefault="00FC117D" w:rsidP="00607B78">
      <w:pPr>
        <w:pStyle w:val="Footnote-Text"/>
        <w:rPr>
          <w:szCs w:val="18"/>
        </w:rPr>
      </w:pPr>
      <w:r w:rsidRPr="00B950E1">
        <w:rPr>
          <w:rStyle w:val="FootnoteReference"/>
        </w:rPr>
        <w:footnoteRef/>
      </w:r>
      <w:r w:rsidRPr="00B950E1">
        <w:t xml:space="preserve"> Décision IPBES-2/5, annexe I.</w:t>
      </w:r>
    </w:p>
  </w:footnote>
  <w:footnote w:id="43">
    <w:p w14:paraId="70D7518A" w14:textId="78507C19" w:rsidR="00FC117D" w:rsidRPr="00B950E1" w:rsidRDefault="00FC117D" w:rsidP="00607B78">
      <w:pPr>
        <w:pStyle w:val="Footnote-Text"/>
        <w:rPr>
          <w:szCs w:val="18"/>
        </w:rPr>
      </w:pPr>
      <w:r w:rsidRPr="00B950E1">
        <w:rPr>
          <w:rStyle w:val="FootnoteReference"/>
        </w:rPr>
        <w:footnoteRef/>
      </w:r>
      <w:r>
        <w:t xml:space="preserve"> </w:t>
      </w:r>
      <w:r w:rsidRPr="00B950E1">
        <w:t>Dans</w:t>
      </w:r>
      <w:r>
        <w:t xml:space="preserve"> le </w:t>
      </w:r>
      <w:r w:rsidRPr="00B950E1">
        <w:t>cadre de l</w:t>
      </w:r>
      <w:r>
        <w:t>’</w:t>
      </w:r>
      <w:r w:rsidRPr="00B950E1">
        <w:t>approche de l</w:t>
      </w:r>
      <w:r>
        <w:t>’</w:t>
      </w:r>
      <w:r w:rsidRPr="00B950E1">
        <w:t>IPBES visant à reconnaître</w:t>
      </w:r>
      <w:r>
        <w:t xml:space="preserve"> les </w:t>
      </w:r>
      <w:r w:rsidRPr="00B950E1">
        <w:t>savoirs autochtones et locaux et à travailler avec</w:t>
      </w:r>
      <w:r>
        <w:t xml:space="preserve"> les </w:t>
      </w:r>
      <w:r w:rsidRPr="00B950E1">
        <w:t>autochtones et</w:t>
      </w:r>
      <w:r>
        <w:t xml:space="preserve"> les </w:t>
      </w:r>
      <w:r w:rsidRPr="00B950E1">
        <w:t>communautés locales,</w:t>
      </w:r>
      <w:r>
        <w:t xml:space="preserve"> les </w:t>
      </w:r>
      <w:r w:rsidRPr="00B950E1">
        <w:t>« expert(e)s en savoirs autochtones et locaux » sont</w:t>
      </w:r>
      <w:r>
        <w:t xml:space="preserve"> des </w:t>
      </w:r>
      <w:r w:rsidRPr="00B950E1">
        <w:t>personnes qui ont</w:t>
      </w:r>
      <w:r>
        <w:t xml:space="preserve"> des </w:t>
      </w:r>
      <w:r w:rsidRPr="00B950E1">
        <w:t>connaissances sur</w:t>
      </w:r>
      <w:r>
        <w:t xml:space="preserve"> les </w:t>
      </w:r>
      <w:r w:rsidRPr="00B950E1">
        <w:t>savoirs autochtones et locaux et sur</w:t>
      </w:r>
      <w:r>
        <w:t xml:space="preserve"> les </w:t>
      </w:r>
      <w:r w:rsidRPr="00B950E1">
        <w:t>questions connexes, sans être nécessairement issues</w:t>
      </w:r>
      <w:r>
        <w:t xml:space="preserve"> des </w:t>
      </w:r>
      <w:r w:rsidRPr="00B950E1">
        <w:t>peuples autochtones et</w:t>
      </w:r>
      <w:r>
        <w:t xml:space="preserve"> des </w:t>
      </w:r>
      <w:r w:rsidRPr="00B950E1">
        <w:t xml:space="preserve">communautés locales. </w:t>
      </w:r>
    </w:p>
  </w:footnote>
  <w:footnote w:id="44">
    <w:p w14:paraId="0F600084" w14:textId="0D85FCA6"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 sect</w:t>
      </w:r>
      <w:r>
        <w:t>.</w:t>
      </w:r>
      <w:r w:rsidRPr="00B950E1">
        <w:t> 7.</w:t>
      </w:r>
    </w:p>
  </w:footnote>
  <w:footnote w:id="45">
    <w:p w14:paraId="71007249" w14:textId="77777777" w:rsidR="00FC117D" w:rsidRPr="00B950E1" w:rsidRDefault="00FC117D" w:rsidP="00607B78">
      <w:pPr>
        <w:pStyle w:val="Footnote-Text"/>
        <w:rPr>
          <w:szCs w:val="18"/>
        </w:rPr>
      </w:pPr>
      <w:r w:rsidRPr="00B950E1">
        <w:rPr>
          <w:rStyle w:val="FootnoteReference"/>
        </w:rPr>
        <w:footnoteRef/>
      </w:r>
      <w:r w:rsidRPr="00B950E1">
        <w:t xml:space="preserve"> Décision IPBES-7/1, annexe I.</w:t>
      </w:r>
    </w:p>
  </w:footnote>
  <w:footnote w:id="46">
    <w:p w14:paraId="392D4C69" w14:textId="77777777" w:rsidR="00FC117D" w:rsidRPr="00B950E1" w:rsidRDefault="00FC117D" w:rsidP="00607B78">
      <w:pPr>
        <w:pStyle w:val="Footnote-Text"/>
        <w:rPr>
          <w:szCs w:val="18"/>
        </w:rPr>
      </w:pPr>
      <w:r w:rsidRPr="00B950E1">
        <w:rPr>
          <w:rStyle w:val="FootnoteReference"/>
        </w:rPr>
        <w:footnoteRef/>
      </w:r>
      <w:r w:rsidRPr="00B950E1">
        <w:t xml:space="preserve"> Décision IPBES-2/5, annexe I.</w:t>
      </w:r>
    </w:p>
  </w:footnote>
  <w:footnote w:id="47">
    <w:p w14:paraId="19D93595" w14:textId="77777777" w:rsidR="00FC117D" w:rsidRPr="00B950E1" w:rsidRDefault="00FC117D" w:rsidP="00607B78">
      <w:pPr>
        <w:pStyle w:val="Footnote-Text"/>
        <w:rPr>
          <w:szCs w:val="18"/>
        </w:rPr>
      </w:pPr>
      <w:r w:rsidRPr="00B950E1">
        <w:rPr>
          <w:rStyle w:val="FootnoteReference"/>
        </w:rPr>
        <w:footnoteRef/>
      </w:r>
      <w:r w:rsidRPr="00B950E1">
        <w:t xml:space="preserve"> Décision IPBES-5/1, annexe II. </w:t>
      </w:r>
    </w:p>
  </w:footnote>
  <w:footnote w:id="48">
    <w:p w14:paraId="3CE95C03" w14:textId="529FF324" w:rsidR="00FC117D" w:rsidRPr="00B950E1" w:rsidRDefault="00FC117D" w:rsidP="00607B78">
      <w:pPr>
        <w:pStyle w:val="Footnote-Text"/>
        <w:rPr>
          <w:szCs w:val="18"/>
        </w:rPr>
      </w:pPr>
      <w:r w:rsidRPr="00B950E1">
        <w:rPr>
          <w:rStyle w:val="FootnoteReference"/>
        </w:rPr>
        <w:footnoteRef/>
      </w:r>
      <w:r w:rsidRPr="00B950E1">
        <w:t xml:space="preserve"> Dans</w:t>
      </w:r>
      <w:r>
        <w:t xml:space="preserve"> le </w:t>
      </w:r>
      <w:r w:rsidRPr="00B950E1">
        <w:t>cadre de l</w:t>
      </w:r>
      <w:r>
        <w:t>’</w:t>
      </w:r>
      <w:r w:rsidRPr="00B950E1">
        <w:t>approche de l</w:t>
      </w:r>
      <w:r>
        <w:t>’</w:t>
      </w:r>
      <w:r w:rsidRPr="00B950E1">
        <w:t>IPBES visant à reconnaître</w:t>
      </w:r>
      <w:r>
        <w:t xml:space="preserve"> les </w:t>
      </w:r>
      <w:r w:rsidRPr="00B950E1">
        <w:t>savoirs autochtones et locaux et à travailler avec</w:t>
      </w:r>
      <w:r>
        <w:t xml:space="preserve"> les </w:t>
      </w:r>
      <w:r w:rsidRPr="00B950E1">
        <w:t>autochtones et</w:t>
      </w:r>
      <w:r>
        <w:t xml:space="preserve"> les </w:t>
      </w:r>
      <w:r w:rsidRPr="00B950E1">
        <w:t>communautés locales,</w:t>
      </w:r>
      <w:r>
        <w:t xml:space="preserve"> les </w:t>
      </w:r>
      <w:r w:rsidRPr="00B950E1">
        <w:t>« expert(e)s en savoirs autochtones et locaux » sont</w:t>
      </w:r>
      <w:r>
        <w:t xml:space="preserve"> des </w:t>
      </w:r>
      <w:r w:rsidRPr="00B950E1">
        <w:t>personnes qui ont</w:t>
      </w:r>
      <w:r>
        <w:t xml:space="preserve"> des </w:t>
      </w:r>
      <w:r w:rsidRPr="00B950E1">
        <w:t>connaissances sur</w:t>
      </w:r>
      <w:r>
        <w:t xml:space="preserve"> les </w:t>
      </w:r>
      <w:r w:rsidRPr="00B950E1">
        <w:t>savoirs autochtones et locaux et sur</w:t>
      </w:r>
      <w:r>
        <w:t xml:space="preserve"> les </w:t>
      </w:r>
      <w:r w:rsidRPr="00B950E1">
        <w:t>questions connexes, sans être nécessairement issues</w:t>
      </w:r>
      <w:r>
        <w:t xml:space="preserve"> des </w:t>
      </w:r>
      <w:r w:rsidRPr="00B950E1">
        <w:t>peuples autochtones et</w:t>
      </w:r>
      <w:r>
        <w:t xml:space="preserve"> des </w:t>
      </w:r>
      <w:r w:rsidRPr="00B950E1">
        <w:t xml:space="preserve">communautés locales. </w:t>
      </w:r>
    </w:p>
  </w:footnote>
  <w:footnote w:id="49">
    <w:p w14:paraId="5F7BB27C" w14:textId="3D98F679"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 sect</w:t>
      </w:r>
      <w:r>
        <w:t>.</w:t>
      </w:r>
      <w:r w:rsidRPr="00B950E1">
        <w:t> 7.</w:t>
      </w:r>
    </w:p>
  </w:footnote>
  <w:footnote w:id="50">
    <w:p w14:paraId="277B1F42" w14:textId="77777777" w:rsidR="00FC117D" w:rsidRPr="00B950E1" w:rsidRDefault="00FC117D" w:rsidP="00607B78">
      <w:pPr>
        <w:pStyle w:val="Footnote-Text"/>
        <w:rPr>
          <w:szCs w:val="18"/>
        </w:rPr>
      </w:pPr>
      <w:r w:rsidRPr="00B950E1">
        <w:rPr>
          <w:rStyle w:val="FootnoteReference"/>
        </w:rPr>
        <w:footnoteRef/>
      </w:r>
      <w:r w:rsidRPr="00B950E1">
        <w:t xml:space="preserve"> Décision IPBES-7/1, annexe I.</w:t>
      </w:r>
    </w:p>
  </w:footnote>
  <w:footnote w:id="51">
    <w:p w14:paraId="396AE325" w14:textId="77777777" w:rsidR="00FC117D" w:rsidRPr="00B950E1" w:rsidRDefault="00FC117D" w:rsidP="00607B78">
      <w:pPr>
        <w:pStyle w:val="Footnote-Text"/>
        <w:rPr>
          <w:szCs w:val="18"/>
        </w:rPr>
      </w:pPr>
      <w:r w:rsidRPr="00B950E1">
        <w:rPr>
          <w:rStyle w:val="FootnoteReference"/>
        </w:rPr>
        <w:footnoteRef/>
      </w:r>
      <w:r w:rsidRPr="00B950E1">
        <w:t xml:space="preserve"> Décision IPBES-2/5, annexe I.</w:t>
      </w:r>
    </w:p>
  </w:footnote>
  <w:footnote w:id="52">
    <w:p w14:paraId="5498D6CF" w14:textId="77777777" w:rsidR="00FC117D" w:rsidRPr="00B950E1" w:rsidRDefault="00FC117D" w:rsidP="00607B78">
      <w:pPr>
        <w:pStyle w:val="Footnote-Text"/>
        <w:rPr>
          <w:szCs w:val="18"/>
        </w:rPr>
      </w:pPr>
      <w:r w:rsidRPr="00B950E1">
        <w:rPr>
          <w:rStyle w:val="FootnoteReference"/>
        </w:rPr>
        <w:footnoteRef/>
      </w:r>
      <w:r w:rsidRPr="00B950E1">
        <w:t xml:space="preserve"> Décision IPBES-4/1, annexe V.</w:t>
      </w:r>
    </w:p>
  </w:footnote>
  <w:footnote w:id="53">
    <w:p w14:paraId="0675B146" w14:textId="774548B8" w:rsidR="00FC117D" w:rsidRPr="00B950E1" w:rsidRDefault="00FC117D" w:rsidP="00607B78">
      <w:pPr>
        <w:pStyle w:val="Footnote-Text"/>
        <w:rPr>
          <w:szCs w:val="18"/>
        </w:rPr>
      </w:pPr>
      <w:r w:rsidRPr="00B950E1">
        <w:rPr>
          <w:rStyle w:val="FootnoteReference"/>
        </w:rPr>
        <w:footnoteRef/>
      </w:r>
      <w:r w:rsidRPr="00B950E1">
        <w:t xml:space="preserve"> Dans</w:t>
      </w:r>
      <w:r>
        <w:t xml:space="preserve"> le </w:t>
      </w:r>
      <w:r w:rsidRPr="00B950E1">
        <w:t>cadre de l</w:t>
      </w:r>
      <w:r>
        <w:t>’</w:t>
      </w:r>
      <w:r w:rsidRPr="00B950E1">
        <w:t>approche de l</w:t>
      </w:r>
      <w:r>
        <w:t>’</w:t>
      </w:r>
      <w:r w:rsidRPr="00B950E1">
        <w:t>IPBES visant à reconnaître</w:t>
      </w:r>
      <w:r>
        <w:t xml:space="preserve"> les </w:t>
      </w:r>
      <w:r w:rsidRPr="00B950E1">
        <w:t>savoirs autochtones et locaux et à travailler avec</w:t>
      </w:r>
      <w:r>
        <w:t xml:space="preserve"> les </w:t>
      </w:r>
      <w:r w:rsidRPr="00B950E1">
        <w:t>autochtones et</w:t>
      </w:r>
      <w:r>
        <w:t xml:space="preserve"> les </w:t>
      </w:r>
      <w:r w:rsidRPr="00B950E1">
        <w:t>communautés locales,</w:t>
      </w:r>
      <w:r>
        <w:t xml:space="preserve"> les </w:t>
      </w:r>
      <w:r w:rsidRPr="00B950E1">
        <w:t>« expert(e)s en savoirs autochtones et locaux » sont</w:t>
      </w:r>
      <w:r>
        <w:t xml:space="preserve"> des </w:t>
      </w:r>
      <w:r w:rsidRPr="00B950E1">
        <w:t>personnes qui ont</w:t>
      </w:r>
      <w:r>
        <w:t xml:space="preserve"> des </w:t>
      </w:r>
      <w:r w:rsidRPr="00B950E1">
        <w:t>connaissances sur</w:t>
      </w:r>
      <w:r>
        <w:t xml:space="preserve"> les </w:t>
      </w:r>
      <w:r w:rsidRPr="00B950E1">
        <w:t>savoirs autochtones et locaux et sur</w:t>
      </w:r>
      <w:r>
        <w:t xml:space="preserve"> les </w:t>
      </w:r>
      <w:r w:rsidRPr="00B950E1">
        <w:t>questions connexes, sans être nécessairement issues</w:t>
      </w:r>
      <w:r>
        <w:t xml:space="preserve"> des </w:t>
      </w:r>
      <w:r w:rsidRPr="00B950E1">
        <w:t>peuples autochtones et</w:t>
      </w:r>
      <w:r>
        <w:t xml:space="preserve"> des </w:t>
      </w:r>
      <w:r w:rsidRPr="00B950E1">
        <w:t>communautés locales.</w:t>
      </w:r>
    </w:p>
  </w:footnote>
  <w:footnote w:id="54">
    <w:p w14:paraId="6C1E7762" w14:textId="5AEB1CA4" w:rsidR="00FC117D" w:rsidRPr="00B950E1" w:rsidRDefault="00FC117D" w:rsidP="00607B78">
      <w:pPr>
        <w:pStyle w:val="Footnote-Text"/>
        <w:rPr>
          <w:szCs w:val="18"/>
        </w:rPr>
      </w:pPr>
      <w:r w:rsidRPr="00B950E1">
        <w:rPr>
          <w:rStyle w:val="FootnoteReference"/>
        </w:rPr>
        <w:footnoteRef/>
      </w:r>
      <w:r w:rsidRPr="00B950E1">
        <w:t xml:space="preserve"> Voir</w:t>
      </w:r>
      <w:r>
        <w:t xml:space="preserve"> la </w:t>
      </w:r>
      <w:r w:rsidRPr="00B950E1">
        <w:t>décision IPBES-3/3, annexe I, sect</w:t>
      </w:r>
      <w:r>
        <w:t>.</w:t>
      </w:r>
      <w:r w:rsidRPr="00B950E1">
        <w:t> 7.</w:t>
      </w:r>
    </w:p>
  </w:footnote>
  <w:footnote w:id="55">
    <w:p w14:paraId="67D6EA34" w14:textId="77777777" w:rsidR="00FC117D" w:rsidRPr="00B950E1" w:rsidRDefault="00FC117D" w:rsidP="00607B78">
      <w:pPr>
        <w:pStyle w:val="Footnote-Text"/>
        <w:rPr>
          <w:szCs w:val="18"/>
        </w:rPr>
      </w:pPr>
      <w:r w:rsidRPr="00B950E1">
        <w:rPr>
          <w:rStyle w:val="FootnoteReference"/>
        </w:rPr>
        <w:footnoteRef/>
      </w:r>
      <w:r w:rsidRPr="00B950E1">
        <w:t xml:space="preserve"> ST/AI/342.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AA55" w14:textId="27024556" w:rsidR="00FC117D" w:rsidRPr="00603A5E" w:rsidRDefault="00012529" w:rsidP="00603A5E">
    <w:pPr>
      <w:pStyle w:val="Header-pool"/>
    </w:pPr>
    <w:r>
      <w:fldChar w:fldCharType="begin"/>
    </w:r>
    <w:r>
      <w:instrText xml:space="preserve"> StyleRef A_Symbol </w:instrText>
    </w:r>
    <w:r>
      <w:fldChar w:fldCharType="separate"/>
    </w:r>
    <w:r>
      <w:rPr>
        <w:noProof/>
      </w:rPr>
      <w:t>IPBES/10/12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C062" w14:textId="3D96C8C5" w:rsidR="00FC117D" w:rsidRPr="00603A5E" w:rsidRDefault="00012529" w:rsidP="00603A5E">
    <w:pPr>
      <w:pStyle w:val="Header-pool"/>
      <w:jc w:val="right"/>
    </w:pPr>
    <w:r>
      <w:fldChar w:fldCharType="begin"/>
    </w:r>
    <w:r>
      <w:instrText xml:space="preserve"> StyleRef A_Symbol </w:instrText>
    </w:r>
    <w:r>
      <w:fldChar w:fldCharType="separate"/>
    </w:r>
    <w:r>
      <w:rPr>
        <w:noProof/>
      </w:rPr>
      <w:t>IPBES/10/12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30AE" w14:textId="47B5BE59" w:rsidR="00FC117D" w:rsidRDefault="00012529" w:rsidP="00A068F8">
    <w:pPr>
      <w:pStyle w:val="Header-pool"/>
      <w:jc w:val="right"/>
    </w:pPr>
    <w:r>
      <w:fldChar w:fldCharType="begin"/>
    </w:r>
    <w:r>
      <w:instrText xml:space="preserve"> StyleRef A_Symbol </w:instrText>
    </w:r>
    <w:r>
      <w:fldChar w:fldCharType="separate"/>
    </w:r>
    <w:r>
      <w:rPr>
        <w:noProof/>
      </w:rPr>
      <w:t>IPBES/10/12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3608" w14:textId="14FC78A8" w:rsidR="00FC117D" w:rsidRDefault="00012529" w:rsidP="00A068F8">
    <w:pPr>
      <w:pStyle w:val="Header-pool"/>
    </w:pPr>
    <w:r>
      <w:fldChar w:fldCharType="begin"/>
    </w:r>
    <w:r>
      <w:instrText xml:space="preserve"> StyleRef A_Symbol </w:instrText>
    </w:r>
    <w:r>
      <w:fldChar w:fldCharType="separate"/>
    </w:r>
    <w:r>
      <w:rPr>
        <w:noProof/>
      </w:rPr>
      <w:t>IPBES/10/12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31EA" w14:textId="00FD01FC" w:rsidR="00FC117D" w:rsidRDefault="00012529" w:rsidP="00A068F8">
    <w:pPr>
      <w:pStyle w:val="Header-pool"/>
      <w:jc w:val="right"/>
    </w:pPr>
    <w:r>
      <w:fldChar w:fldCharType="begin"/>
    </w:r>
    <w:r>
      <w:instrText xml:space="preserve"> StyleRef A_Symbol </w:instrText>
    </w:r>
    <w:r>
      <w:fldChar w:fldCharType="separate"/>
    </w:r>
    <w:r>
      <w:rPr>
        <w:noProof/>
      </w:rPr>
      <w:t>IPBES/10/12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A77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5682"/>
    <w:multiLevelType w:val="hybridMultilevel"/>
    <w:tmpl w:val="FE3E341E"/>
    <w:lvl w:ilvl="0" w:tplc="37227E74">
      <w:start w:val="1"/>
      <w:numFmt w:val="decimal"/>
      <w:pStyle w:val="Heading3"/>
      <w:lvlText w:val="%1."/>
      <w:lvlJc w:val="right"/>
      <w:pPr>
        <w:tabs>
          <w:tab w:val="num" w:pos="1247"/>
        </w:tabs>
        <w:ind w:left="1247" w:hanging="39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02581833"/>
    <w:multiLevelType w:val="hybridMultilevel"/>
    <w:tmpl w:val="3992E42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3" w15:restartNumberingAfterBreak="0">
    <w:nsid w:val="029114E9"/>
    <w:multiLevelType w:val="multilevel"/>
    <w:tmpl w:val="2B0A685C"/>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4" w15:restartNumberingAfterBreak="0">
    <w:nsid w:val="07E879F7"/>
    <w:multiLevelType w:val="hybridMultilevel"/>
    <w:tmpl w:val="A5ECDB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1778" w:hanging="360"/>
      </w:pPr>
    </w:lvl>
    <w:lvl w:ilvl="7" w:tplc="040C0017">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5" w15:restartNumberingAfterBreak="0">
    <w:nsid w:val="0B1C634D"/>
    <w:multiLevelType w:val="hybridMultilevel"/>
    <w:tmpl w:val="B8B237EE"/>
    <w:lvl w:ilvl="0" w:tplc="2330615E">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6" w15:restartNumberingAfterBreak="0">
    <w:nsid w:val="0D534980"/>
    <w:multiLevelType w:val="hybridMultilevel"/>
    <w:tmpl w:val="D39ED17A"/>
    <w:lvl w:ilvl="0" w:tplc="AA167964">
      <w:start w:val="1"/>
      <w:numFmt w:val="decimal"/>
      <w:lvlText w:val="%1."/>
      <w:lvlJc w:val="left"/>
      <w:pPr>
        <w:ind w:left="19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8B5E32A2">
      <w:start w:val="1"/>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AF3ACF"/>
    <w:multiLevelType w:val="hybridMultilevel"/>
    <w:tmpl w:val="7CA6810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8" w15:restartNumberingAfterBreak="0">
    <w:nsid w:val="1A3057E7"/>
    <w:multiLevelType w:val="hybridMultilevel"/>
    <w:tmpl w:val="C5ACFA42"/>
    <w:lvl w:ilvl="0" w:tplc="040C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B4F6127"/>
    <w:multiLevelType w:val="hybridMultilevel"/>
    <w:tmpl w:val="ACFA5E3C"/>
    <w:lvl w:ilvl="0" w:tplc="2BE2DDA8">
      <w:start w:val="1"/>
      <w:numFmt w:val="lowerRoman"/>
      <w:pStyle w:val="Heading5"/>
      <w:lvlText w:val="%1)"/>
      <w:lvlJc w:val="right"/>
      <w:pPr>
        <w:ind w:left="1211"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0" w15:restartNumberingAfterBreak="0">
    <w:nsid w:val="1F9A0D12"/>
    <w:multiLevelType w:val="hybridMultilevel"/>
    <w:tmpl w:val="0C8CC020"/>
    <w:lvl w:ilvl="0" w:tplc="E3AE4658">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1" w15:restartNumberingAfterBreak="0">
    <w:nsid w:val="22EC5F77"/>
    <w:multiLevelType w:val="multilevel"/>
    <w:tmpl w:val="CD826B28"/>
    <w:lvl w:ilvl="0">
      <w:start w:val="1"/>
      <w:numFmt w:val="decimal"/>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22" w15:restartNumberingAfterBreak="0">
    <w:nsid w:val="2EF80BB1"/>
    <w:multiLevelType w:val="hybridMultilevel"/>
    <w:tmpl w:val="C024AB86"/>
    <w:lvl w:ilvl="0" w:tplc="08090017">
      <w:start w:val="1"/>
      <w:numFmt w:val="lowerLetter"/>
      <w:lvlText w:val="%1)"/>
      <w:lvlJc w:val="left"/>
      <w:pPr>
        <w:ind w:left="2871" w:hanging="360"/>
      </w:pPr>
    </w:lvl>
    <w:lvl w:ilvl="1" w:tplc="C0285720">
      <w:start w:val="1"/>
      <w:numFmt w:val="lowerLetter"/>
      <w:lvlText w:val="%2)"/>
      <w:lvlJc w:val="left"/>
      <w:pPr>
        <w:ind w:left="1778" w:hanging="360"/>
      </w:pPr>
      <w:rPr>
        <w:rFonts w:ascii="Times New Roman" w:eastAsia="Times New Roman" w:hAnsi="Times New Roman" w:cs="Times New Roman"/>
      </w:rPr>
    </w:lvl>
    <w:lvl w:ilvl="2" w:tplc="0809001B" w:tentative="1">
      <w:start w:val="1"/>
      <w:numFmt w:val="lowerRoman"/>
      <w:lvlText w:val="%3."/>
      <w:lvlJc w:val="right"/>
      <w:pPr>
        <w:ind w:left="4311" w:hanging="180"/>
      </w:pPr>
    </w:lvl>
    <w:lvl w:ilvl="3" w:tplc="0809000F" w:tentative="1">
      <w:start w:val="1"/>
      <w:numFmt w:val="decimal"/>
      <w:lvlText w:val="%4."/>
      <w:lvlJc w:val="left"/>
      <w:pPr>
        <w:ind w:left="5031" w:hanging="360"/>
      </w:pPr>
    </w:lvl>
    <w:lvl w:ilvl="4" w:tplc="08090019" w:tentative="1">
      <w:start w:val="1"/>
      <w:numFmt w:val="lowerLetter"/>
      <w:lvlText w:val="%5."/>
      <w:lvlJc w:val="left"/>
      <w:pPr>
        <w:ind w:left="5751" w:hanging="360"/>
      </w:pPr>
    </w:lvl>
    <w:lvl w:ilvl="5" w:tplc="0809001B" w:tentative="1">
      <w:start w:val="1"/>
      <w:numFmt w:val="lowerRoman"/>
      <w:lvlText w:val="%6."/>
      <w:lvlJc w:val="right"/>
      <w:pPr>
        <w:ind w:left="6471" w:hanging="180"/>
      </w:pPr>
    </w:lvl>
    <w:lvl w:ilvl="6" w:tplc="0809000F">
      <w:start w:val="1"/>
      <w:numFmt w:val="decimal"/>
      <w:lvlText w:val="%7."/>
      <w:lvlJc w:val="left"/>
      <w:pPr>
        <w:ind w:left="7191" w:hanging="360"/>
      </w:pPr>
    </w:lvl>
    <w:lvl w:ilvl="7" w:tplc="08090019" w:tentative="1">
      <w:start w:val="1"/>
      <w:numFmt w:val="lowerLetter"/>
      <w:lvlText w:val="%8."/>
      <w:lvlJc w:val="left"/>
      <w:pPr>
        <w:ind w:left="7911" w:hanging="360"/>
      </w:pPr>
    </w:lvl>
    <w:lvl w:ilvl="8" w:tplc="0809001B" w:tentative="1">
      <w:start w:val="1"/>
      <w:numFmt w:val="lowerRoman"/>
      <w:lvlText w:val="%9."/>
      <w:lvlJc w:val="right"/>
      <w:pPr>
        <w:ind w:left="8631" w:hanging="180"/>
      </w:pPr>
    </w:lvl>
  </w:abstractNum>
  <w:abstractNum w:abstractNumId="23"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4" w15:restartNumberingAfterBreak="0">
    <w:nsid w:val="32CD2BA0"/>
    <w:multiLevelType w:val="hybridMultilevel"/>
    <w:tmpl w:val="574EB05E"/>
    <w:lvl w:ilvl="0" w:tplc="A6C2D786">
      <w:start w:val="1"/>
      <w:numFmt w:val="upperLetter"/>
      <w:pStyle w:val="Heading2"/>
      <w:lvlText w:val="%1."/>
      <w:lvlJc w:val="right"/>
      <w:pPr>
        <w:tabs>
          <w:tab w:val="num" w:pos="1247"/>
        </w:tabs>
        <w:ind w:left="1247" w:hanging="39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4F51DA"/>
    <w:multiLevelType w:val="hybridMultilevel"/>
    <w:tmpl w:val="FC142FBA"/>
    <w:lvl w:ilvl="0" w:tplc="C7545AF0">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6" w15:restartNumberingAfterBreak="0">
    <w:nsid w:val="3E200A94"/>
    <w:multiLevelType w:val="hybridMultilevel"/>
    <w:tmpl w:val="718EE69A"/>
    <w:lvl w:ilvl="0" w:tplc="0B82E394">
      <w:start w:val="1"/>
      <w:numFmt w:val="lowerLetter"/>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41F6EB90">
      <w:start w:val="1"/>
      <w:numFmt w:val="decimal"/>
      <w:lvlText w:val="%3."/>
      <w:lvlJc w:val="left"/>
      <w:pPr>
        <w:ind w:left="2340" w:hanging="360"/>
      </w:pPr>
      <w:rPr>
        <w:rFonts w:hint="default"/>
        <w:i w:val="0"/>
        <w:i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1439F"/>
    <w:multiLevelType w:val="hybridMultilevel"/>
    <w:tmpl w:val="5C5A5E6A"/>
    <w:lvl w:ilvl="0" w:tplc="3A483DE2">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8" w15:restartNumberingAfterBreak="0">
    <w:nsid w:val="3F044863"/>
    <w:multiLevelType w:val="hybridMultilevel"/>
    <w:tmpl w:val="8F2AD130"/>
    <w:lvl w:ilvl="0" w:tplc="ED9619C8">
      <w:start w:val="1"/>
      <w:numFmt w:val="decimal"/>
      <w:lvlText w:val="%1."/>
      <w:lvlJc w:val="left"/>
      <w:pPr>
        <w:ind w:left="1833" w:hanging="360"/>
      </w:pPr>
    </w:lvl>
    <w:lvl w:ilvl="1" w:tplc="040C0017">
      <w:start w:val="1"/>
      <w:numFmt w:val="lowerLetter"/>
      <w:lvlText w:val="%2)"/>
      <w:lvlJc w:val="left"/>
      <w:pPr>
        <w:ind w:left="2553" w:hanging="360"/>
      </w:pPr>
    </w:lvl>
    <w:lvl w:ilvl="2" w:tplc="0809001B">
      <w:start w:val="1"/>
      <w:numFmt w:val="lowerRoman"/>
      <w:lvlText w:val="%3."/>
      <w:lvlJc w:val="right"/>
      <w:pPr>
        <w:ind w:left="3273" w:hanging="180"/>
      </w:pPr>
    </w:lvl>
    <w:lvl w:ilvl="3" w:tplc="0809000F">
      <w:start w:val="1"/>
      <w:numFmt w:val="decimal"/>
      <w:lvlText w:val="%4."/>
      <w:lvlJc w:val="left"/>
      <w:pPr>
        <w:ind w:left="3993" w:hanging="360"/>
      </w:pPr>
    </w:lvl>
    <w:lvl w:ilvl="4" w:tplc="08090019">
      <w:start w:val="1"/>
      <w:numFmt w:val="lowerLetter"/>
      <w:lvlText w:val="%5."/>
      <w:lvlJc w:val="left"/>
      <w:pPr>
        <w:ind w:left="4713" w:hanging="360"/>
      </w:pPr>
    </w:lvl>
    <w:lvl w:ilvl="5" w:tplc="0809001B">
      <w:start w:val="1"/>
      <w:numFmt w:val="lowerRoman"/>
      <w:lvlText w:val="%6."/>
      <w:lvlJc w:val="right"/>
      <w:pPr>
        <w:ind w:left="5433" w:hanging="180"/>
      </w:pPr>
    </w:lvl>
    <w:lvl w:ilvl="6" w:tplc="0809000F">
      <w:start w:val="1"/>
      <w:numFmt w:val="decimal"/>
      <w:lvlText w:val="%7."/>
      <w:lvlJc w:val="left"/>
      <w:pPr>
        <w:ind w:left="6153" w:hanging="360"/>
      </w:pPr>
    </w:lvl>
    <w:lvl w:ilvl="7" w:tplc="08090019">
      <w:start w:val="1"/>
      <w:numFmt w:val="lowerLetter"/>
      <w:lvlText w:val="%8."/>
      <w:lvlJc w:val="left"/>
      <w:pPr>
        <w:ind w:left="6873" w:hanging="360"/>
      </w:pPr>
    </w:lvl>
    <w:lvl w:ilvl="8" w:tplc="0809001B">
      <w:start w:val="1"/>
      <w:numFmt w:val="lowerRoman"/>
      <w:lvlText w:val="%9."/>
      <w:lvlJc w:val="right"/>
      <w:pPr>
        <w:ind w:left="7593" w:hanging="180"/>
      </w:pPr>
    </w:lvl>
  </w:abstractNum>
  <w:abstractNum w:abstractNumId="29" w15:restartNumberingAfterBreak="0">
    <w:nsid w:val="42F74EF8"/>
    <w:multiLevelType w:val="hybridMultilevel"/>
    <w:tmpl w:val="B3287B82"/>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30" w15:restartNumberingAfterBreak="0">
    <w:nsid w:val="470374C2"/>
    <w:multiLevelType w:val="hybridMultilevel"/>
    <w:tmpl w:val="BA5620D0"/>
    <w:lvl w:ilvl="0" w:tplc="D804D276">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1" w15:restartNumberingAfterBreak="0">
    <w:nsid w:val="493A7533"/>
    <w:multiLevelType w:val="hybridMultilevel"/>
    <w:tmpl w:val="91BE9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E4262C"/>
    <w:multiLevelType w:val="hybridMultilevel"/>
    <w:tmpl w:val="163C801C"/>
    <w:lvl w:ilvl="0" w:tplc="FFFFFFFF">
      <w:start w:val="1"/>
      <w:numFmt w:val="decimal"/>
      <w:lvlText w:val="%1."/>
      <w:lvlJc w:val="left"/>
      <w:pPr>
        <w:ind w:left="1967" w:hanging="360"/>
      </w:pPr>
    </w:lvl>
    <w:lvl w:ilvl="1" w:tplc="1408BB88">
      <w:start w:val="1"/>
      <w:numFmt w:val="lowerLetter"/>
      <w:lvlText w:val="%2)"/>
      <w:lvlJc w:val="left"/>
      <w:pPr>
        <w:ind w:left="2687" w:hanging="360"/>
      </w:pPr>
      <w:rPr>
        <w:rFonts w:hint="default"/>
      </w:r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33" w15:restartNumberingAfterBreak="0">
    <w:nsid w:val="52A66A9D"/>
    <w:multiLevelType w:val="multilevel"/>
    <w:tmpl w:val="CD826B28"/>
    <w:styleLink w:val="Normallist"/>
    <w:lvl w:ilvl="0">
      <w:start w:val="1"/>
      <w:numFmt w:val="decimal"/>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34" w15:restartNumberingAfterBreak="0">
    <w:nsid w:val="540877FC"/>
    <w:multiLevelType w:val="hybridMultilevel"/>
    <w:tmpl w:val="2B7A5A08"/>
    <w:lvl w:ilvl="0" w:tplc="040C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63D34D1"/>
    <w:multiLevelType w:val="hybridMultilevel"/>
    <w:tmpl w:val="C180E468"/>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0809001B">
      <w:start w:val="1"/>
      <w:numFmt w:val="lowerRoman"/>
      <w:lvlText w:val="%9."/>
      <w:lvlJc w:val="right"/>
      <w:pPr>
        <w:ind w:left="7727" w:hanging="180"/>
      </w:pPr>
    </w:lvl>
  </w:abstractNum>
  <w:abstractNum w:abstractNumId="36" w15:restartNumberingAfterBreak="0">
    <w:nsid w:val="5C1D0565"/>
    <w:multiLevelType w:val="hybridMultilevel"/>
    <w:tmpl w:val="0D62DC3C"/>
    <w:lvl w:ilvl="0" w:tplc="040C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EC32B01"/>
    <w:multiLevelType w:val="hybridMultilevel"/>
    <w:tmpl w:val="05E21200"/>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40C0017">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38"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39" w15:restartNumberingAfterBreak="0">
    <w:nsid w:val="6CE42423"/>
    <w:multiLevelType w:val="hybridMultilevel"/>
    <w:tmpl w:val="9C1699D4"/>
    <w:lvl w:ilvl="0" w:tplc="0809000F">
      <w:start w:val="1"/>
      <w:numFmt w:val="decimal"/>
      <w:lvlText w:val="%1."/>
      <w:lvlJc w:val="left"/>
      <w:pPr>
        <w:ind w:left="3215" w:hanging="360"/>
      </w:pPr>
    </w:lvl>
    <w:lvl w:ilvl="1" w:tplc="08090019">
      <w:start w:val="1"/>
      <w:numFmt w:val="lowerLetter"/>
      <w:lvlText w:val="%2."/>
      <w:lvlJc w:val="left"/>
      <w:pPr>
        <w:ind w:left="3935" w:hanging="360"/>
      </w:pPr>
    </w:lvl>
    <w:lvl w:ilvl="2" w:tplc="0809001B">
      <w:start w:val="1"/>
      <w:numFmt w:val="lowerRoman"/>
      <w:lvlText w:val="%3."/>
      <w:lvlJc w:val="right"/>
      <w:pPr>
        <w:ind w:left="4655" w:hanging="180"/>
      </w:pPr>
    </w:lvl>
    <w:lvl w:ilvl="3" w:tplc="0809000F">
      <w:start w:val="1"/>
      <w:numFmt w:val="decimal"/>
      <w:lvlText w:val="%4."/>
      <w:lvlJc w:val="left"/>
      <w:pPr>
        <w:ind w:left="5375" w:hanging="360"/>
      </w:pPr>
    </w:lvl>
    <w:lvl w:ilvl="4" w:tplc="08090019">
      <w:start w:val="1"/>
      <w:numFmt w:val="lowerLetter"/>
      <w:lvlText w:val="%5."/>
      <w:lvlJc w:val="left"/>
      <w:pPr>
        <w:ind w:left="6095" w:hanging="360"/>
      </w:pPr>
    </w:lvl>
    <w:lvl w:ilvl="5" w:tplc="0809001B">
      <w:start w:val="1"/>
      <w:numFmt w:val="lowerRoman"/>
      <w:lvlText w:val="%6."/>
      <w:lvlJc w:val="right"/>
      <w:pPr>
        <w:ind w:left="6815" w:hanging="180"/>
      </w:pPr>
    </w:lvl>
    <w:lvl w:ilvl="6" w:tplc="CE2C29AE">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40" w15:restartNumberingAfterBreak="0">
    <w:nsid w:val="6FF7321D"/>
    <w:multiLevelType w:val="multilevel"/>
    <w:tmpl w:val="989C1510"/>
    <w:lvl w:ilvl="0">
      <w:start w:val="1"/>
      <w:numFmt w:val="upperRoman"/>
      <w:pStyle w:val="Heading1"/>
      <w:lvlText w:val="%1."/>
      <w:lvlJc w:val="right"/>
      <w:pPr>
        <w:tabs>
          <w:tab w:val="num" w:pos="1247"/>
        </w:tabs>
        <w:ind w:left="1247" w:hanging="396"/>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Letter"/>
      <w:lvlText w:val="(%4)"/>
      <w:lvlJc w:val="right"/>
      <w:pPr>
        <w:tabs>
          <w:tab w:val="num" w:pos="1247"/>
        </w:tabs>
        <w:ind w:left="1247" w:hanging="396"/>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1"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2" w15:restartNumberingAfterBreak="0">
    <w:nsid w:val="77E60C11"/>
    <w:multiLevelType w:val="hybridMultilevel"/>
    <w:tmpl w:val="6AA24E2C"/>
    <w:lvl w:ilvl="0" w:tplc="BC5CB976">
      <w:start w:val="1"/>
      <w:numFmt w:val="lowerLetter"/>
      <w:pStyle w:val="Heading4"/>
      <w:lvlText w:val="%1)"/>
      <w:lvlJc w:val="right"/>
      <w:pPr>
        <w:ind w:left="160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642193826">
    <w:abstractNumId w:val="33"/>
  </w:num>
  <w:num w:numId="2" w16cid:durableId="1006440410">
    <w:abstractNumId w:val="33"/>
  </w:num>
  <w:num w:numId="3" w16cid:durableId="1748729238">
    <w:abstractNumId w:val="9"/>
  </w:num>
  <w:num w:numId="4" w16cid:durableId="1251618185">
    <w:abstractNumId w:val="7"/>
  </w:num>
  <w:num w:numId="5" w16cid:durableId="1837306228">
    <w:abstractNumId w:val="6"/>
  </w:num>
  <w:num w:numId="6" w16cid:durableId="1144925713">
    <w:abstractNumId w:val="5"/>
  </w:num>
  <w:num w:numId="7" w16cid:durableId="1040857635">
    <w:abstractNumId w:val="4"/>
  </w:num>
  <w:num w:numId="8" w16cid:durableId="1481270237">
    <w:abstractNumId w:val="8"/>
  </w:num>
  <w:num w:numId="9" w16cid:durableId="1453554527">
    <w:abstractNumId w:val="3"/>
  </w:num>
  <w:num w:numId="10" w16cid:durableId="1444111783">
    <w:abstractNumId w:val="2"/>
  </w:num>
  <w:num w:numId="11" w16cid:durableId="1140154457">
    <w:abstractNumId w:val="1"/>
  </w:num>
  <w:num w:numId="12" w16cid:durableId="1654866071">
    <w:abstractNumId w:val="0"/>
  </w:num>
  <w:num w:numId="13" w16cid:durableId="1936162491">
    <w:abstractNumId w:val="39"/>
  </w:num>
  <w:num w:numId="14" w16cid:durableId="1998878093">
    <w:abstractNumId w:val="13"/>
  </w:num>
  <w:num w:numId="15" w16cid:durableId="281497834">
    <w:abstractNumId w:val="41"/>
  </w:num>
  <w:num w:numId="16" w16cid:durableId="774322459">
    <w:abstractNumId w:val="28"/>
  </w:num>
  <w:num w:numId="17" w16cid:durableId="1971403071">
    <w:abstractNumId w:val="23"/>
  </w:num>
  <w:num w:numId="18" w16cid:durableId="660348217">
    <w:abstractNumId w:val="26"/>
  </w:num>
  <w:num w:numId="19" w16cid:durableId="1796365168">
    <w:abstractNumId w:val="34"/>
  </w:num>
  <w:num w:numId="20" w16cid:durableId="436409558">
    <w:abstractNumId w:val="38"/>
  </w:num>
  <w:num w:numId="21" w16cid:durableId="809978530">
    <w:abstractNumId w:val="18"/>
  </w:num>
  <w:num w:numId="22" w16cid:durableId="1155419492">
    <w:abstractNumId w:val="36"/>
  </w:num>
  <w:num w:numId="23" w16cid:durableId="764158548">
    <w:abstractNumId w:val="11"/>
  </w:num>
  <w:num w:numId="24" w16cid:durableId="1853180743">
    <w:abstractNumId w:val="37"/>
  </w:num>
  <w:num w:numId="25" w16cid:durableId="237058119">
    <w:abstractNumId w:val="29"/>
  </w:num>
  <w:num w:numId="26" w16cid:durableId="1471442067">
    <w:abstractNumId w:val="12"/>
  </w:num>
  <w:num w:numId="27" w16cid:durableId="1814982085">
    <w:abstractNumId w:val="32"/>
  </w:num>
  <w:num w:numId="28" w16cid:durableId="1756048023">
    <w:abstractNumId w:val="35"/>
  </w:num>
  <w:num w:numId="29" w16cid:durableId="749623685">
    <w:abstractNumId w:val="14"/>
  </w:num>
  <w:num w:numId="30" w16cid:durableId="389158979">
    <w:abstractNumId w:val="17"/>
  </w:num>
  <w:num w:numId="31" w16cid:durableId="636103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5999115">
    <w:abstractNumId w:val="22"/>
  </w:num>
  <w:num w:numId="33" w16cid:durableId="1199388503">
    <w:abstractNumId w:val="16"/>
  </w:num>
  <w:num w:numId="34" w16cid:durableId="2061515818">
    <w:abstractNumId w:val="30"/>
  </w:num>
  <w:num w:numId="35" w16cid:durableId="2027292077">
    <w:abstractNumId w:val="27"/>
  </w:num>
  <w:num w:numId="36" w16cid:durableId="1536622606">
    <w:abstractNumId w:val="31"/>
  </w:num>
  <w:num w:numId="37" w16cid:durableId="2088844723">
    <w:abstractNumId w:val="25"/>
  </w:num>
  <w:num w:numId="38" w16cid:durableId="2084912659">
    <w:abstractNumId w:val="15"/>
  </w:num>
  <w:num w:numId="39" w16cid:durableId="2046711970">
    <w:abstractNumId w:val="20"/>
  </w:num>
  <w:num w:numId="40" w16cid:durableId="394738736">
    <w:abstractNumId w:val="40"/>
  </w:num>
  <w:num w:numId="41" w16cid:durableId="451747538">
    <w:abstractNumId w:val="24"/>
  </w:num>
  <w:num w:numId="42" w16cid:durableId="634485576">
    <w:abstractNumId w:val="10"/>
  </w:num>
  <w:num w:numId="43" w16cid:durableId="2126579718">
    <w:abstractNumId w:val="19"/>
  </w:num>
  <w:num w:numId="44" w16cid:durableId="10280644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9067995">
    <w:abstractNumId w:val="42"/>
  </w:num>
  <w:num w:numId="46" w16cid:durableId="17270292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19"/>
    <w:rsid w:val="0000082A"/>
    <w:rsid w:val="0000276C"/>
    <w:rsid w:val="00003D9C"/>
    <w:rsid w:val="00010D96"/>
    <w:rsid w:val="0001183D"/>
    <w:rsid w:val="00012529"/>
    <w:rsid w:val="0001337C"/>
    <w:rsid w:val="00015C74"/>
    <w:rsid w:val="0002455E"/>
    <w:rsid w:val="000258C8"/>
    <w:rsid w:val="000306C9"/>
    <w:rsid w:val="0003543D"/>
    <w:rsid w:val="000366BD"/>
    <w:rsid w:val="0003675B"/>
    <w:rsid w:val="0005708A"/>
    <w:rsid w:val="00063109"/>
    <w:rsid w:val="0006359E"/>
    <w:rsid w:val="0006537E"/>
    <w:rsid w:val="00067C9A"/>
    <w:rsid w:val="00073FDF"/>
    <w:rsid w:val="00081C00"/>
    <w:rsid w:val="000835D3"/>
    <w:rsid w:val="00084A23"/>
    <w:rsid w:val="00084FE5"/>
    <w:rsid w:val="00085306"/>
    <w:rsid w:val="000856E4"/>
    <w:rsid w:val="00085988"/>
    <w:rsid w:val="00092A02"/>
    <w:rsid w:val="00092DBA"/>
    <w:rsid w:val="00094601"/>
    <w:rsid w:val="0009671C"/>
    <w:rsid w:val="0009688F"/>
    <w:rsid w:val="000978E4"/>
    <w:rsid w:val="000B1585"/>
    <w:rsid w:val="000B2D9C"/>
    <w:rsid w:val="000B4F26"/>
    <w:rsid w:val="000C6D71"/>
    <w:rsid w:val="000D2274"/>
    <w:rsid w:val="000D47E2"/>
    <w:rsid w:val="000D67C3"/>
    <w:rsid w:val="000D76B1"/>
    <w:rsid w:val="000E1BF9"/>
    <w:rsid w:val="000E6477"/>
    <w:rsid w:val="000F297F"/>
    <w:rsid w:val="00107282"/>
    <w:rsid w:val="0011121C"/>
    <w:rsid w:val="00115057"/>
    <w:rsid w:val="00116F2F"/>
    <w:rsid w:val="0012060D"/>
    <w:rsid w:val="00121CBC"/>
    <w:rsid w:val="001230E3"/>
    <w:rsid w:val="00126B41"/>
    <w:rsid w:val="001320A3"/>
    <w:rsid w:val="00133FC3"/>
    <w:rsid w:val="00140193"/>
    <w:rsid w:val="0014360F"/>
    <w:rsid w:val="00143756"/>
    <w:rsid w:val="00143A67"/>
    <w:rsid w:val="00144A78"/>
    <w:rsid w:val="00147AFA"/>
    <w:rsid w:val="001545AE"/>
    <w:rsid w:val="00155B95"/>
    <w:rsid w:val="001618A9"/>
    <w:rsid w:val="00162029"/>
    <w:rsid w:val="00162CD3"/>
    <w:rsid w:val="0016380F"/>
    <w:rsid w:val="001672B6"/>
    <w:rsid w:val="00167914"/>
    <w:rsid w:val="00170A53"/>
    <w:rsid w:val="00170E14"/>
    <w:rsid w:val="00172DE9"/>
    <w:rsid w:val="00175EB0"/>
    <w:rsid w:val="001801DF"/>
    <w:rsid w:val="00180887"/>
    <w:rsid w:val="001809DF"/>
    <w:rsid w:val="0018665C"/>
    <w:rsid w:val="00195DAD"/>
    <w:rsid w:val="0019614B"/>
    <w:rsid w:val="0019647C"/>
    <w:rsid w:val="001A3B56"/>
    <w:rsid w:val="001A5B30"/>
    <w:rsid w:val="001B49A2"/>
    <w:rsid w:val="001B55D5"/>
    <w:rsid w:val="001B78AD"/>
    <w:rsid w:val="001B7CDB"/>
    <w:rsid w:val="001C0FF2"/>
    <w:rsid w:val="001C332D"/>
    <w:rsid w:val="001C526D"/>
    <w:rsid w:val="001C69E2"/>
    <w:rsid w:val="001D38C7"/>
    <w:rsid w:val="001D42AB"/>
    <w:rsid w:val="001E0AF8"/>
    <w:rsid w:val="001E2DB8"/>
    <w:rsid w:val="001E3B64"/>
    <w:rsid w:val="001E422E"/>
    <w:rsid w:val="001E6BFB"/>
    <w:rsid w:val="001E7C96"/>
    <w:rsid w:val="001F33E5"/>
    <w:rsid w:val="001F363D"/>
    <w:rsid w:val="001F3BB8"/>
    <w:rsid w:val="001F6514"/>
    <w:rsid w:val="001F6D6B"/>
    <w:rsid w:val="001F7960"/>
    <w:rsid w:val="002002FD"/>
    <w:rsid w:val="00211383"/>
    <w:rsid w:val="002131BE"/>
    <w:rsid w:val="00214E0C"/>
    <w:rsid w:val="0021514D"/>
    <w:rsid w:val="002156AB"/>
    <w:rsid w:val="00215891"/>
    <w:rsid w:val="00216172"/>
    <w:rsid w:val="00222950"/>
    <w:rsid w:val="00223915"/>
    <w:rsid w:val="00223E3C"/>
    <w:rsid w:val="00225960"/>
    <w:rsid w:val="00226C07"/>
    <w:rsid w:val="00232BE5"/>
    <w:rsid w:val="00232C3F"/>
    <w:rsid w:val="00240159"/>
    <w:rsid w:val="00240CCC"/>
    <w:rsid w:val="00240D4F"/>
    <w:rsid w:val="002433C7"/>
    <w:rsid w:val="002459C0"/>
    <w:rsid w:val="0025132C"/>
    <w:rsid w:val="00251946"/>
    <w:rsid w:val="0025203C"/>
    <w:rsid w:val="00252659"/>
    <w:rsid w:val="0025476B"/>
    <w:rsid w:val="0026055B"/>
    <w:rsid w:val="002609B3"/>
    <w:rsid w:val="00260A0B"/>
    <w:rsid w:val="00262841"/>
    <w:rsid w:val="00264200"/>
    <w:rsid w:val="0026585C"/>
    <w:rsid w:val="00265EB4"/>
    <w:rsid w:val="00266E5D"/>
    <w:rsid w:val="00267474"/>
    <w:rsid w:val="00276469"/>
    <w:rsid w:val="0027660D"/>
    <w:rsid w:val="00276761"/>
    <w:rsid w:val="0027700D"/>
    <w:rsid w:val="00277553"/>
    <w:rsid w:val="00287783"/>
    <w:rsid w:val="002A5D20"/>
    <w:rsid w:val="002B2325"/>
    <w:rsid w:val="002B60F0"/>
    <w:rsid w:val="002C2328"/>
    <w:rsid w:val="002C39B2"/>
    <w:rsid w:val="002C56F8"/>
    <w:rsid w:val="002C5F49"/>
    <w:rsid w:val="002C6DB5"/>
    <w:rsid w:val="002D61D2"/>
    <w:rsid w:val="002D6272"/>
    <w:rsid w:val="002D64A4"/>
    <w:rsid w:val="002D7FC3"/>
    <w:rsid w:val="002E012D"/>
    <w:rsid w:val="002E11B7"/>
    <w:rsid w:val="002E2166"/>
    <w:rsid w:val="002E57A1"/>
    <w:rsid w:val="002E6973"/>
    <w:rsid w:val="002F6B0F"/>
    <w:rsid w:val="00300C45"/>
    <w:rsid w:val="003012D0"/>
    <w:rsid w:val="00301519"/>
    <w:rsid w:val="00312539"/>
    <w:rsid w:val="003138E6"/>
    <w:rsid w:val="00321253"/>
    <w:rsid w:val="00321B19"/>
    <w:rsid w:val="00321EB2"/>
    <w:rsid w:val="003251C7"/>
    <w:rsid w:val="00325EC1"/>
    <w:rsid w:val="00326FDB"/>
    <w:rsid w:val="00330BA6"/>
    <w:rsid w:val="0033221C"/>
    <w:rsid w:val="003328F6"/>
    <w:rsid w:val="00333F03"/>
    <w:rsid w:val="00346001"/>
    <w:rsid w:val="00347934"/>
    <w:rsid w:val="003532A2"/>
    <w:rsid w:val="00354D62"/>
    <w:rsid w:val="00356C3E"/>
    <w:rsid w:val="0035721C"/>
    <w:rsid w:val="00361246"/>
    <w:rsid w:val="00363DF8"/>
    <w:rsid w:val="003655A5"/>
    <w:rsid w:val="003675FA"/>
    <w:rsid w:val="00374D40"/>
    <w:rsid w:val="00375021"/>
    <w:rsid w:val="003755D5"/>
    <w:rsid w:val="0037676F"/>
    <w:rsid w:val="00381035"/>
    <w:rsid w:val="003817D5"/>
    <w:rsid w:val="0039448B"/>
    <w:rsid w:val="00395B33"/>
    <w:rsid w:val="00397408"/>
    <w:rsid w:val="003A08C4"/>
    <w:rsid w:val="003A404D"/>
    <w:rsid w:val="003A4DB3"/>
    <w:rsid w:val="003B06CC"/>
    <w:rsid w:val="003B121F"/>
    <w:rsid w:val="003B2E01"/>
    <w:rsid w:val="003B39BB"/>
    <w:rsid w:val="003C4B84"/>
    <w:rsid w:val="003C57E1"/>
    <w:rsid w:val="003D028C"/>
    <w:rsid w:val="003D1F39"/>
    <w:rsid w:val="003D2344"/>
    <w:rsid w:val="003D35F2"/>
    <w:rsid w:val="003D69F4"/>
    <w:rsid w:val="003E2EBB"/>
    <w:rsid w:val="003E4910"/>
    <w:rsid w:val="003F1633"/>
    <w:rsid w:val="003F25D8"/>
    <w:rsid w:val="00406893"/>
    <w:rsid w:val="004143B3"/>
    <w:rsid w:val="0041729B"/>
    <w:rsid w:val="004239B3"/>
    <w:rsid w:val="00425129"/>
    <w:rsid w:val="0044004C"/>
    <w:rsid w:val="00444B7D"/>
    <w:rsid w:val="00444C49"/>
    <w:rsid w:val="0044659A"/>
    <w:rsid w:val="00446C25"/>
    <w:rsid w:val="00446EE6"/>
    <w:rsid w:val="00450B87"/>
    <w:rsid w:val="004523BF"/>
    <w:rsid w:val="0045548C"/>
    <w:rsid w:val="00457BEF"/>
    <w:rsid w:val="0046057B"/>
    <w:rsid w:val="00460DF0"/>
    <w:rsid w:val="00472003"/>
    <w:rsid w:val="004739A2"/>
    <w:rsid w:val="004758E3"/>
    <w:rsid w:val="00480554"/>
    <w:rsid w:val="004831AD"/>
    <w:rsid w:val="00485422"/>
    <w:rsid w:val="004955DF"/>
    <w:rsid w:val="004A0403"/>
    <w:rsid w:val="004A2623"/>
    <w:rsid w:val="004A3B3D"/>
    <w:rsid w:val="004A471C"/>
    <w:rsid w:val="004A6662"/>
    <w:rsid w:val="004B5612"/>
    <w:rsid w:val="004B6793"/>
    <w:rsid w:val="004B7F6F"/>
    <w:rsid w:val="004C0908"/>
    <w:rsid w:val="004C17BD"/>
    <w:rsid w:val="004D5F44"/>
    <w:rsid w:val="004D6D18"/>
    <w:rsid w:val="004D78DA"/>
    <w:rsid w:val="004E08CE"/>
    <w:rsid w:val="004E0AAC"/>
    <w:rsid w:val="004E217C"/>
    <w:rsid w:val="004E2BF9"/>
    <w:rsid w:val="004E4ED3"/>
    <w:rsid w:val="004F1998"/>
    <w:rsid w:val="00500D98"/>
    <w:rsid w:val="00501BDF"/>
    <w:rsid w:val="00502446"/>
    <w:rsid w:val="00505369"/>
    <w:rsid w:val="00515A0E"/>
    <w:rsid w:val="005178E6"/>
    <w:rsid w:val="00524449"/>
    <w:rsid w:val="00526DBF"/>
    <w:rsid w:val="005278D7"/>
    <w:rsid w:val="00533B63"/>
    <w:rsid w:val="005342A0"/>
    <w:rsid w:val="00534CFA"/>
    <w:rsid w:val="0053601F"/>
    <w:rsid w:val="0054513C"/>
    <w:rsid w:val="00545E33"/>
    <w:rsid w:val="00546931"/>
    <w:rsid w:val="00553B1D"/>
    <w:rsid w:val="0055667D"/>
    <w:rsid w:val="0055789B"/>
    <w:rsid w:val="0056160B"/>
    <w:rsid w:val="00562E6E"/>
    <w:rsid w:val="00567935"/>
    <w:rsid w:val="00580C84"/>
    <w:rsid w:val="005820A9"/>
    <w:rsid w:val="005828A6"/>
    <w:rsid w:val="005847E4"/>
    <w:rsid w:val="00585B87"/>
    <w:rsid w:val="00591359"/>
    <w:rsid w:val="00596EB5"/>
    <w:rsid w:val="005970F9"/>
    <w:rsid w:val="005A3049"/>
    <w:rsid w:val="005A624C"/>
    <w:rsid w:val="005A702A"/>
    <w:rsid w:val="005B0183"/>
    <w:rsid w:val="005B0E3A"/>
    <w:rsid w:val="005B3384"/>
    <w:rsid w:val="005B3BFB"/>
    <w:rsid w:val="005B501D"/>
    <w:rsid w:val="005B5783"/>
    <w:rsid w:val="005C1F7C"/>
    <w:rsid w:val="005C35A8"/>
    <w:rsid w:val="005D2557"/>
    <w:rsid w:val="005D7FE1"/>
    <w:rsid w:val="005E4AB2"/>
    <w:rsid w:val="005F2DCB"/>
    <w:rsid w:val="005F70B5"/>
    <w:rsid w:val="005F7889"/>
    <w:rsid w:val="006000C8"/>
    <w:rsid w:val="00603A5E"/>
    <w:rsid w:val="00603B8D"/>
    <w:rsid w:val="00607B78"/>
    <w:rsid w:val="006125FF"/>
    <w:rsid w:val="00616A52"/>
    <w:rsid w:val="00622CA5"/>
    <w:rsid w:val="00624275"/>
    <w:rsid w:val="006273B2"/>
    <w:rsid w:val="00632380"/>
    <w:rsid w:val="00632E85"/>
    <w:rsid w:val="0063764D"/>
    <w:rsid w:val="00641CA6"/>
    <w:rsid w:val="00641EB1"/>
    <w:rsid w:val="00644082"/>
    <w:rsid w:val="0064796E"/>
    <w:rsid w:val="00647EC0"/>
    <w:rsid w:val="0066477B"/>
    <w:rsid w:val="0066572F"/>
    <w:rsid w:val="00667CFD"/>
    <w:rsid w:val="00672214"/>
    <w:rsid w:val="0067687F"/>
    <w:rsid w:val="0068014E"/>
    <w:rsid w:val="006829F0"/>
    <w:rsid w:val="00683550"/>
    <w:rsid w:val="006840C7"/>
    <w:rsid w:val="0069075D"/>
    <w:rsid w:val="0069268C"/>
    <w:rsid w:val="00693936"/>
    <w:rsid w:val="006A1466"/>
    <w:rsid w:val="006A365E"/>
    <w:rsid w:val="006B3AAB"/>
    <w:rsid w:val="006C4140"/>
    <w:rsid w:val="006C5A4F"/>
    <w:rsid w:val="006C6D1C"/>
    <w:rsid w:val="006D0419"/>
    <w:rsid w:val="006D11D7"/>
    <w:rsid w:val="006D521C"/>
    <w:rsid w:val="006D7CB1"/>
    <w:rsid w:val="006E1278"/>
    <w:rsid w:val="006E60F0"/>
    <w:rsid w:val="006E6BE6"/>
    <w:rsid w:val="006E6E87"/>
    <w:rsid w:val="006E6F5A"/>
    <w:rsid w:val="006F1D2C"/>
    <w:rsid w:val="006F5166"/>
    <w:rsid w:val="006F65EF"/>
    <w:rsid w:val="007002E0"/>
    <w:rsid w:val="0070082C"/>
    <w:rsid w:val="007070F3"/>
    <w:rsid w:val="007074B8"/>
    <w:rsid w:val="0071009C"/>
    <w:rsid w:val="00710FB6"/>
    <w:rsid w:val="007205CA"/>
    <w:rsid w:val="0072673B"/>
    <w:rsid w:val="00732A0B"/>
    <w:rsid w:val="00733061"/>
    <w:rsid w:val="007339F6"/>
    <w:rsid w:val="0073596A"/>
    <w:rsid w:val="00737AAB"/>
    <w:rsid w:val="00740478"/>
    <w:rsid w:val="00740785"/>
    <w:rsid w:val="00742973"/>
    <w:rsid w:val="00746975"/>
    <w:rsid w:val="00750430"/>
    <w:rsid w:val="00753C9C"/>
    <w:rsid w:val="007544D7"/>
    <w:rsid w:val="00755B2E"/>
    <w:rsid w:val="00761A43"/>
    <w:rsid w:val="00763A8F"/>
    <w:rsid w:val="007648B5"/>
    <w:rsid w:val="007678A7"/>
    <w:rsid w:val="00770F61"/>
    <w:rsid w:val="00773B9D"/>
    <w:rsid w:val="00774FE9"/>
    <w:rsid w:val="007768F4"/>
    <w:rsid w:val="00780461"/>
    <w:rsid w:val="00781BA1"/>
    <w:rsid w:val="00782E8A"/>
    <w:rsid w:val="00787206"/>
    <w:rsid w:val="00791838"/>
    <w:rsid w:val="00793C36"/>
    <w:rsid w:val="007A0610"/>
    <w:rsid w:val="007A16AF"/>
    <w:rsid w:val="007A37F8"/>
    <w:rsid w:val="007A3AAB"/>
    <w:rsid w:val="007A4705"/>
    <w:rsid w:val="007A62D2"/>
    <w:rsid w:val="007B33BB"/>
    <w:rsid w:val="007B4C2D"/>
    <w:rsid w:val="007B6983"/>
    <w:rsid w:val="007C0FAC"/>
    <w:rsid w:val="007C47AF"/>
    <w:rsid w:val="007C5846"/>
    <w:rsid w:val="007D204E"/>
    <w:rsid w:val="007D3C56"/>
    <w:rsid w:val="007F101A"/>
    <w:rsid w:val="008009AD"/>
    <w:rsid w:val="00801F3A"/>
    <w:rsid w:val="008058F0"/>
    <w:rsid w:val="008072FD"/>
    <w:rsid w:val="00823A4A"/>
    <w:rsid w:val="00830454"/>
    <w:rsid w:val="00832A0B"/>
    <w:rsid w:val="00840CE7"/>
    <w:rsid w:val="00841735"/>
    <w:rsid w:val="008506FB"/>
    <w:rsid w:val="0085273C"/>
    <w:rsid w:val="00852BC9"/>
    <w:rsid w:val="00855DD6"/>
    <w:rsid w:val="008567F3"/>
    <w:rsid w:val="00861721"/>
    <w:rsid w:val="00862BE6"/>
    <w:rsid w:val="008731A8"/>
    <w:rsid w:val="008747EC"/>
    <w:rsid w:val="00880860"/>
    <w:rsid w:val="008808F9"/>
    <w:rsid w:val="00881204"/>
    <w:rsid w:val="00884D2B"/>
    <w:rsid w:val="008874E8"/>
    <w:rsid w:val="00887C1D"/>
    <w:rsid w:val="00893B92"/>
    <w:rsid w:val="008A3A46"/>
    <w:rsid w:val="008A4C29"/>
    <w:rsid w:val="008A7A42"/>
    <w:rsid w:val="008B21DE"/>
    <w:rsid w:val="008B5CBF"/>
    <w:rsid w:val="008B6730"/>
    <w:rsid w:val="008B7CDF"/>
    <w:rsid w:val="008C036B"/>
    <w:rsid w:val="008C2152"/>
    <w:rsid w:val="008C40EA"/>
    <w:rsid w:val="008C6E19"/>
    <w:rsid w:val="008D062D"/>
    <w:rsid w:val="008D1095"/>
    <w:rsid w:val="008D3F25"/>
    <w:rsid w:val="008D73F0"/>
    <w:rsid w:val="008E3877"/>
    <w:rsid w:val="008E44D1"/>
    <w:rsid w:val="008F0AC5"/>
    <w:rsid w:val="008F17E7"/>
    <w:rsid w:val="008F2066"/>
    <w:rsid w:val="008F6690"/>
    <w:rsid w:val="00900255"/>
    <w:rsid w:val="00901D70"/>
    <w:rsid w:val="009054A8"/>
    <w:rsid w:val="00907F11"/>
    <w:rsid w:val="00911CC3"/>
    <w:rsid w:val="00914B12"/>
    <w:rsid w:val="00914DB2"/>
    <w:rsid w:val="00914EC4"/>
    <w:rsid w:val="00915F22"/>
    <w:rsid w:val="00915FB2"/>
    <w:rsid w:val="009168F2"/>
    <w:rsid w:val="009214D4"/>
    <w:rsid w:val="00931AE7"/>
    <w:rsid w:val="00931C38"/>
    <w:rsid w:val="0094253F"/>
    <w:rsid w:val="00955776"/>
    <w:rsid w:val="00955C5D"/>
    <w:rsid w:val="00956307"/>
    <w:rsid w:val="009619F8"/>
    <w:rsid w:val="00961B4B"/>
    <w:rsid w:val="00962D37"/>
    <w:rsid w:val="0096438D"/>
    <w:rsid w:val="009702C7"/>
    <w:rsid w:val="00975BA3"/>
    <w:rsid w:val="00977A71"/>
    <w:rsid w:val="009823B9"/>
    <w:rsid w:val="00992C71"/>
    <w:rsid w:val="009950EB"/>
    <w:rsid w:val="0099536F"/>
    <w:rsid w:val="00995752"/>
    <w:rsid w:val="00995DDC"/>
    <w:rsid w:val="009967AC"/>
    <w:rsid w:val="009A1E8C"/>
    <w:rsid w:val="009A5593"/>
    <w:rsid w:val="009B336F"/>
    <w:rsid w:val="009B5633"/>
    <w:rsid w:val="009B5D74"/>
    <w:rsid w:val="009B722D"/>
    <w:rsid w:val="009B739C"/>
    <w:rsid w:val="009C1306"/>
    <w:rsid w:val="009C14AE"/>
    <w:rsid w:val="009C1976"/>
    <w:rsid w:val="009C24BE"/>
    <w:rsid w:val="009C2953"/>
    <w:rsid w:val="009C766E"/>
    <w:rsid w:val="009D07AF"/>
    <w:rsid w:val="009D0C0D"/>
    <w:rsid w:val="009D4798"/>
    <w:rsid w:val="009D57E4"/>
    <w:rsid w:val="009D6022"/>
    <w:rsid w:val="009D6C80"/>
    <w:rsid w:val="009D7F3C"/>
    <w:rsid w:val="009E1808"/>
    <w:rsid w:val="009E3F2A"/>
    <w:rsid w:val="009F05BE"/>
    <w:rsid w:val="009F22C5"/>
    <w:rsid w:val="009F2933"/>
    <w:rsid w:val="009F6CF2"/>
    <w:rsid w:val="009F7D8A"/>
    <w:rsid w:val="009F7FAD"/>
    <w:rsid w:val="00A02CB8"/>
    <w:rsid w:val="00A04189"/>
    <w:rsid w:val="00A04413"/>
    <w:rsid w:val="00A05C91"/>
    <w:rsid w:val="00A068F8"/>
    <w:rsid w:val="00A06BD3"/>
    <w:rsid w:val="00A072CF"/>
    <w:rsid w:val="00A15420"/>
    <w:rsid w:val="00A16C66"/>
    <w:rsid w:val="00A17FD8"/>
    <w:rsid w:val="00A2351E"/>
    <w:rsid w:val="00A236B4"/>
    <w:rsid w:val="00A25C1F"/>
    <w:rsid w:val="00A322B1"/>
    <w:rsid w:val="00A34E6E"/>
    <w:rsid w:val="00A364FA"/>
    <w:rsid w:val="00A36693"/>
    <w:rsid w:val="00A36E76"/>
    <w:rsid w:val="00A40316"/>
    <w:rsid w:val="00A45523"/>
    <w:rsid w:val="00A45977"/>
    <w:rsid w:val="00A47D78"/>
    <w:rsid w:val="00A52927"/>
    <w:rsid w:val="00A54731"/>
    <w:rsid w:val="00A55561"/>
    <w:rsid w:val="00A5585F"/>
    <w:rsid w:val="00A607B7"/>
    <w:rsid w:val="00A61665"/>
    <w:rsid w:val="00A63E2F"/>
    <w:rsid w:val="00A728FD"/>
    <w:rsid w:val="00A72A27"/>
    <w:rsid w:val="00A746EA"/>
    <w:rsid w:val="00A75AD5"/>
    <w:rsid w:val="00A75B45"/>
    <w:rsid w:val="00A75E48"/>
    <w:rsid w:val="00A84050"/>
    <w:rsid w:val="00A861E9"/>
    <w:rsid w:val="00A87DD1"/>
    <w:rsid w:val="00A87FE1"/>
    <w:rsid w:val="00A90048"/>
    <w:rsid w:val="00A94ED6"/>
    <w:rsid w:val="00A9779B"/>
    <w:rsid w:val="00AA14F2"/>
    <w:rsid w:val="00AA1E3E"/>
    <w:rsid w:val="00AA2EBA"/>
    <w:rsid w:val="00AA3AC3"/>
    <w:rsid w:val="00AA71A2"/>
    <w:rsid w:val="00AA742F"/>
    <w:rsid w:val="00AB0ED5"/>
    <w:rsid w:val="00AB637C"/>
    <w:rsid w:val="00AB652D"/>
    <w:rsid w:val="00AB739F"/>
    <w:rsid w:val="00AC135A"/>
    <w:rsid w:val="00AD7438"/>
    <w:rsid w:val="00AE032F"/>
    <w:rsid w:val="00AE2187"/>
    <w:rsid w:val="00AE357F"/>
    <w:rsid w:val="00AF15BA"/>
    <w:rsid w:val="00AF3845"/>
    <w:rsid w:val="00AF522A"/>
    <w:rsid w:val="00AF615F"/>
    <w:rsid w:val="00B02D97"/>
    <w:rsid w:val="00B05AE1"/>
    <w:rsid w:val="00B06A28"/>
    <w:rsid w:val="00B12EDD"/>
    <w:rsid w:val="00B15403"/>
    <w:rsid w:val="00B16765"/>
    <w:rsid w:val="00B23ED8"/>
    <w:rsid w:val="00B27D84"/>
    <w:rsid w:val="00B3206F"/>
    <w:rsid w:val="00B34E80"/>
    <w:rsid w:val="00B37EDD"/>
    <w:rsid w:val="00B41B47"/>
    <w:rsid w:val="00B42365"/>
    <w:rsid w:val="00B432D8"/>
    <w:rsid w:val="00B4664E"/>
    <w:rsid w:val="00B47222"/>
    <w:rsid w:val="00B503C2"/>
    <w:rsid w:val="00B53051"/>
    <w:rsid w:val="00B5341B"/>
    <w:rsid w:val="00B54454"/>
    <w:rsid w:val="00B57209"/>
    <w:rsid w:val="00B60ED8"/>
    <w:rsid w:val="00B618F3"/>
    <w:rsid w:val="00B62045"/>
    <w:rsid w:val="00B63A2F"/>
    <w:rsid w:val="00B641D3"/>
    <w:rsid w:val="00B656C2"/>
    <w:rsid w:val="00B66EC3"/>
    <w:rsid w:val="00B67B28"/>
    <w:rsid w:val="00B70A99"/>
    <w:rsid w:val="00B734CD"/>
    <w:rsid w:val="00B8125F"/>
    <w:rsid w:val="00B83059"/>
    <w:rsid w:val="00B91F08"/>
    <w:rsid w:val="00B9251C"/>
    <w:rsid w:val="00B950E1"/>
    <w:rsid w:val="00BA3095"/>
    <w:rsid w:val="00BB1264"/>
    <w:rsid w:val="00BB194F"/>
    <w:rsid w:val="00BB65B6"/>
    <w:rsid w:val="00BC3493"/>
    <w:rsid w:val="00BC73C5"/>
    <w:rsid w:val="00BD0898"/>
    <w:rsid w:val="00BD4464"/>
    <w:rsid w:val="00BD6D9B"/>
    <w:rsid w:val="00BD72D6"/>
    <w:rsid w:val="00BF0E95"/>
    <w:rsid w:val="00BF4121"/>
    <w:rsid w:val="00BF6E1B"/>
    <w:rsid w:val="00BF76BC"/>
    <w:rsid w:val="00C00BBF"/>
    <w:rsid w:val="00C012A9"/>
    <w:rsid w:val="00C03C5B"/>
    <w:rsid w:val="00C0492D"/>
    <w:rsid w:val="00C0711B"/>
    <w:rsid w:val="00C074A8"/>
    <w:rsid w:val="00C07E37"/>
    <w:rsid w:val="00C249D2"/>
    <w:rsid w:val="00C26096"/>
    <w:rsid w:val="00C30254"/>
    <w:rsid w:val="00C30DB9"/>
    <w:rsid w:val="00C33E39"/>
    <w:rsid w:val="00C34592"/>
    <w:rsid w:val="00C35A2B"/>
    <w:rsid w:val="00C36C4F"/>
    <w:rsid w:val="00C46050"/>
    <w:rsid w:val="00C46901"/>
    <w:rsid w:val="00C46CD1"/>
    <w:rsid w:val="00C53497"/>
    <w:rsid w:val="00C6216B"/>
    <w:rsid w:val="00C64032"/>
    <w:rsid w:val="00C743E5"/>
    <w:rsid w:val="00C81FE8"/>
    <w:rsid w:val="00CB038B"/>
    <w:rsid w:val="00CB2F6A"/>
    <w:rsid w:val="00CB508B"/>
    <w:rsid w:val="00CB7C66"/>
    <w:rsid w:val="00CC3C58"/>
    <w:rsid w:val="00CC5D91"/>
    <w:rsid w:val="00CD2E8D"/>
    <w:rsid w:val="00CD466D"/>
    <w:rsid w:val="00CD7E1B"/>
    <w:rsid w:val="00CE246D"/>
    <w:rsid w:val="00CE4E5D"/>
    <w:rsid w:val="00CE7F24"/>
    <w:rsid w:val="00CF03CA"/>
    <w:rsid w:val="00CF368F"/>
    <w:rsid w:val="00CF5470"/>
    <w:rsid w:val="00CF58F3"/>
    <w:rsid w:val="00CF79B5"/>
    <w:rsid w:val="00CF7B0C"/>
    <w:rsid w:val="00D0133B"/>
    <w:rsid w:val="00D07110"/>
    <w:rsid w:val="00D10D17"/>
    <w:rsid w:val="00D130D5"/>
    <w:rsid w:val="00D14A91"/>
    <w:rsid w:val="00D15130"/>
    <w:rsid w:val="00D1670F"/>
    <w:rsid w:val="00D2123A"/>
    <w:rsid w:val="00D2273F"/>
    <w:rsid w:val="00D23134"/>
    <w:rsid w:val="00D24DC1"/>
    <w:rsid w:val="00D3031C"/>
    <w:rsid w:val="00D30320"/>
    <w:rsid w:val="00D31515"/>
    <w:rsid w:val="00D41081"/>
    <w:rsid w:val="00D43EA4"/>
    <w:rsid w:val="00D450FE"/>
    <w:rsid w:val="00D4758B"/>
    <w:rsid w:val="00D47F15"/>
    <w:rsid w:val="00D51FB5"/>
    <w:rsid w:val="00D54E2D"/>
    <w:rsid w:val="00D6326F"/>
    <w:rsid w:val="00D66A93"/>
    <w:rsid w:val="00D70F56"/>
    <w:rsid w:val="00D725D6"/>
    <w:rsid w:val="00D73CB1"/>
    <w:rsid w:val="00D74180"/>
    <w:rsid w:val="00D770F1"/>
    <w:rsid w:val="00D7756A"/>
    <w:rsid w:val="00D8290F"/>
    <w:rsid w:val="00D833A2"/>
    <w:rsid w:val="00D84F01"/>
    <w:rsid w:val="00D850ED"/>
    <w:rsid w:val="00D91E74"/>
    <w:rsid w:val="00D942AD"/>
    <w:rsid w:val="00DA0F3F"/>
    <w:rsid w:val="00DA5D67"/>
    <w:rsid w:val="00DA6AAF"/>
    <w:rsid w:val="00DA6D5E"/>
    <w:rsid w:val="00DB344C"/>
    <w:rsid w:val="00DB5946"/>
    <w:rsid w:val="00DB6986"/>
    <w:rsid w:val="00DC016B"/>
    <w:rsid w:val="00DC1599"/>
    <w:rsid w:val="00DC3DDA"/>
    <w:rsid w:val="00DD0FDE"/>
    <w:rsid w:val="00DD15A9"/>
    <w:rsid w:val="00DD161A"/>
    <w:rsid w:val="00DD4F1E"/>
    <w:rsid w:val="00DD7A5B"/>
    <w:rsid w:val="00DE13BC"/>
    <w:rsid w:val="00DE21E0"/>
    <w:rsid w:val="00DE48DE"/>
    <w:rsid w:val="00DF16D7"/>
    <w:rsid w:val="00DF37AB"/>
    <w:rsid w:val="00DF4837"/>
    <w:rsid w:val="00DF4AFE"/>
    <w:rsid w:val="00E06D61"/>
    <w:rsid w:val="00E07E94"/>
    <w:rsid w:val="00E1113F"/>
    <w:rsid w:val="00E20071"/>
    <w:rsid w:val="00E30B1D"/>
    <w:rsid w:val="00E348A9"/>
    <w:rsid w:val="00E34A8E"/>
    <w:rsid w:val="00E37558"/>
    <w:rsid w:val="00E3760B"/>
    <w:rsid w:val="00E4224E"/>
    <w:rsid w:val="00E46163"/>
    <w:rsid w:val="00E46E76"/>
    <w:rsid w:val="00E47BE2"/>
    <w:rsid w:val="00E50130"/>
    <w:rsid w:val="00E505FF"/>
    <w:rsid w:val="00E51EFB"/>
    <w:rsid w:val="00E52D9A"/>
    <w:rsid w:val="00E6701E"/>
    <w:rsid w:val="00E672F8"/>
    <w:rsid w:val="00E72001"/>
    <w:rsid w:val="00E72329"/>
    <w:rsid w:val="00E7322B"/>
    <w:rsid w:val="00E73E88"/>
    <w:rsid w:val="00E7452F"/>
    <w:rsid w:val="00E77BE3"/>
    <w:rsid w:val="00E839C7"/>
    <w:rsid w:val="00E83E6C"/>
    <w:rsid w:val="00E852F5"/>
    <w:rsid w:val="00E85C9E"/>
    <w:rsid w:val="00E9054F"/>
    <w:rsid w:val="00E91E7E"/>
    <w:rsid w:val="00EA02D0"/>
    <w:rsid w:val="00EA1A6A"/>
    <w:rsid w:val="00EA225A"/>
    <w:rsid w:val="00EA2966"/>
    <w:rsid w:val="00EA3CA0"/>
    <w:rsid w:val="00EB2EA2"/>
    <w:rsid w:val="00EB56AA"/>
    <w:rsid w:val="00EB609F"/>
    <w:rsid w:val="00EC0BF2"/>
    <w:rsid w:val="00EC2484"/>
    <w:rsid w:val="00EC47AF"/>
    <w:rsid w:val="00EC4FE0"/>
    <w:rsid w:val="00EC7BC6"/>
    <w:rsid w:val="00ED1F28"/>
    <w:rsid w:val="00ED3BF3"/>
    <w:rsid w:val="00ED456E"/>
    <w:rsid w:val="00ED6002"/>
    <w:rsid w:val="00EE5B9C"/>
    <w:rsid w:val="00EE6816"/>
    <w:rsid w:val="00EE771C"/>
    <w:rsid w:val="00EF11AD"/>
    <w:rsid w:val="00EF1507"/>
    <w:rsid w:val="00EF3318"/>
    <w:rsid w:val="00F012C4"/>
    <w:rsid w:val="00F0543F"/>
    <w:rsid w:val="00F064B3"/>
    <w:rsid w:val="00F07E41"/>
    <w:rsid w:val="00F07E76"/>
    <w:rsid w:val="00F121BD"/>
    <w:rsid w:val="00F15299"/>
    <w:rsid w:val="00F222EB"/>
    <w:rsid w:val="00F22F58"/>
    <w:rsid w:val="00F23B94"/>
    <w:rsid w:val="00F34278"/>
    <w:rsid w:val="00F34644"/>
    <w:rsid w:val="00F376FA"/>
    <w:rsid w:val="00F42B5F"/>
    <w:rsid w:val="00F456FE"/>
    <w:rsid w:val="00F53575"/>
    <w:rsid w:val="00F55D5B"/>
    <w:rsid w:val="00F56051"/>
    <w:rsid w:val="00F56100"/>
    <w:rsid w:val="00F56CA1"/>
    <w:rsid w:val="00F57452"/>
    <w:rsid w:val="00F6028C"/>
    <w:rsid w:val="00F62429"/>
    <w:rsid w:val="00F776E8"/>
    <w:rsid w:val="00F80306"/>
    <w:rsid w:val="00F857CB"/>
    <w:rsid w:val="00F86270"/>
    <w:rsid w:val="00F874D0"/>
    <w:rsid w:val="00F90B69"/>
    <w:rsid w:val="00FA01ED"/>
    <w:rsid w:val="00FA3078"/>
    <w:rsid w:val="00FA52F4"/>
    <w:rsid w:val="00FA5974"/>
    <w:rsid w:val="00FA5DF8"/>
    <w:rsid w:val="00FA7442"/>
    <w:rsid w:val="00FB00DE"/>
    <w:rsid w:val="00FB0F4B"/>
    <w:rsid w:val="00FB158B"/>
    <w:rsid w:val="00FB7279"/>
    <w:rsid w:val="00FC0B15"/>
    <w:rsid w:val="00FC117D"/>
    <w:rsid w:val="00FC5508"/>
    <w:rsid w:val="00FD2A39"/>
    <w:rsid w:val="00FD75C6"/>
    <w:rsid w:val="00FE4F75"/>
    <w:rsid w:val="00FE58C5"/>
    <w:rsid w:val="00FF23A6"/>
    <w:rsid w:val="00FF23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0E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en-GB" w:eastAsia="en-US"/>
      <w14:ligatures w14:val="none"/>
    </w:rPr>
  </w:style>
  <w:style w:type="paragraph" w:styleId="Heading1">
    <w:name w:val="heading 1"/>
    <w:basedOn w:val="CH1"/>
    <w:next w:val="Normalnumber"/>
    <w:link w:val="Heading1Char"/>
    <w:rsid w:val="00B950E1"/>
    <w:pPr>
      <w:numPr>
        <w:numId w:val="40"/>
      </w:numPr>
      <w:tabs>
        <w:tab w:val="clear" w:pos="851"/>
        <w:tab w:val="clear" w:pos="1247"/>
      </w:tabs>
      <w:ind w:right="624"/>
      <w:outlineLvl w:val="0"/>
    </w:pPr>
    <w:rPr>
      <w:rFonts w:eastAsia="Times New Roman"/>
    </w:rPr>
  </w:style>
  <w:style w:type="paragraph" w:styleId="Heading2">
    <w:name w:val="heading 2"/>
    <w:basedOn w:val="CH2"/>
    <w:next w:val="Normalnumber"/>
    <w:link w:val="Heading2Char"/>
    <w:rsid w:val="00B950E1"/>
    <w:pPr>
      <w:numPr>
        <w:numId w:val="41"/>
      </w:numPr>
      <w:tabs>
        <w:tab w:val="clear" w:pos="851"/>
        <w:tab w:val="clear" w:pos="1247"/>
      </w:tabs>
      <w:ind w:right="624"/>
      <w:outlineLvl w:val="1"/>
    </w:pPr>
    <w:rPr>
      <w:rFonts w:eastAsia="Times New Roman"/>
    </w:rPr>
  </w:style>
  <w:style w:type="paragraph" w:styleId="Heading3">
    <w:name w:val="heading 3"/>
    <w:basedOn w:val="CH3"/>
    <w:next w:val="Normalnumber"/>
    <w:link w:val="Heading3Char"/>
    <w:rsid w:val="00B950E1"/>
    <w:pPr>
      <w:numPr>
        <w:numId w:val="42"/>
      </w:numPr>
      <w:tabs>
        <w:tab w:val="clear" w:pos="851"/>
        <w:tab w:val="clear" w:pos="1247"/>
      </w:tabs>
      <w:ind w:right="624"/>
      <w:outlineLvl w:val="2"/>
    </w:pPr>
    <w:rPr>
      <w:rFonts w:eastAsia="Times New Roman"/>
    </w:rPr>
  </w:style>
  <w:style w:type="paragraph" w:styleId="Heading4">
    <w:name w:val="heading 4"/>
    <w:basedOn w:val="CH4"/>
    <w:next w:val="Normalnumber"/>
    <w:link w:val="Heading4Char"/>
    <w:rsid w:val="00B950E1"/>
    <w:pPr>
      <w:numPr>
        <w:numId w:val="45"/>
      </w:numPr>
      <w:tabs>
        <w:tab w:val="clear" w:pos="851"/>
        <w:tab w:val="clear" w:pos="1247"/>
      </w:tabs>
      <w:spacing w:before="120"/>
      <w:ind w:left="1248" w:right="624" w:hanging="397"/>
      <w:outlineLvl w:val="3"/>
    </w:pPr>
    <w:rPr>
      <w:rFonts w:eastAsia="Times New Roman"/>
      <w:lang w:eastAsia="en-US"/>
    </w:rPr>
  </w:style>
  <w:style w:type="paragraph" w:styleId="Heading5">
    <w:name w:val="heading 5"/>
    <w:basedOn w:val="CH5"/>
    <w:next w:val="Normalnumber"/>
    <w:link w:val="Heading5Char"/>
    <w:rsid w:val="00B950E1"/>
    <w:pPr>
      <w:numPr>
        <w:numId w:val="43"/>
      </w:numPr>
      <w:tabs>
        <w:tab w:val="clear" w:pos="851"/>
        <w:tab w:val="clear" w:pos="1247"/>
        <w:tab w:val="clear" w:pos="1814"/>
      </w:tabs>
      <w:ind w:left="1248" w:right="624" w:hanging="397"/>
      <w:outlineLvl w:val="4"/>
    </w:pPr>
    <w:rPr>
      <w:rFonts w:eastAsia="Times New Roman"/>
    </w:rPr>
  </w:style>
  <w:style w:type="paragraph" w:styleId="Heading6">
    <w:name w:val="heading 6"/>
    <w:basedOn w:val="CH5"/>
    <w:next w:val="Normalnumber"/>
    <w:link w:val="Heading6Char"/>
    <w:rsid w:val="00B950E1"/>
    <w:pPr>
      <w:numPr>
        <w:ilvl w:val="5"/>
        <w:numId w:val="40"/>
      </w:numPr>
      <w:tabs>
        <w:tab w:val="clear" w:pos="1247"/>
        <w:tab w:val="clear" w:pos="1814"/>
      </w:tabs>
      <w:ind w:right="624"/>
      <w:outlineLvl w:val="5"/>
    </w:pPr>
    <w:rPr>
      <w:rFonts w:eastAsia="Times New Roman"/>
      <w:b w:val="0"/>
      <w:bCs/>
      <w:sz w:val="24"/>
    </w:rPr>
  </w:style>
  <w:style w:type="paragraph" w:styleId="Heading7">
    <w:name w:val="heading 7"/>
    <w:basedOn w:val="CH5"/>
    <w:next w:val="Normalnumber"/>
    <w:link w:val="Heading7Char"/>
    <w:rsid w:val="00B950E1"/>
    <w:pPr>
      <w:widowControl w:val="0"/>
      <w:numPr>
        <w:ilvl w:val="6"/>
        <w:numId w:val="40"/>
      </w:numPr>
      <w:tabs>
        <w:tab w:val="clear" w:pos="1247"/>
        <w:tab w:val="clear" w:pos="1814"/>
      </w:tabs>
      <w:ind w:right="624"/>
      <w:jc w:val="center"/>
      <w:outlineLvl w:val="6"/>
    </w:pPr>
    <w:rPr>
      <w:rFonts w:eastAsia="Times New Roman"/>
      <w:snapToGrid w:val="0"/>
      <w:u w:val="single"/>
    </w:rPr>
  </w:style>
  <w:style w:type="paragraph" w:styleId="Heading8">
    <w:name w:val="heading 8"/>
    <w:basedOn w:val="CH5"/>
    <w:next w:val="Normal"/>
    <w:link w:val="Heading8Char"/>
    <w:rsid w:val="00B950E1"/>
    <w:pPr>
      <w:widowControl w:val="0"/>
      <w:numPr>
        <w:ilvl w:val="7"/>
        <w:numId w:val="40"/>
      </w:numPr>
      <w:tabs>
        <w:tab w:val="clear" w:pos="1247"/>
        <w:tab w:val="clear" w:pos="1814"/>
        <w:tab w:val="left" w:pos="-1440"/>
        <w:tab w:val="left" w:pos="-720"/>
      </w:tabs>
      <w:ind w:right="624"/>
      <w:jc w:val="center"/>
      <w:outlineLvl w:val="7"/>
    </w:pPr>
    <w:rPr>
      <w:rFonts w:eastAsia="Times New Roman"/>
      <w:snapToGrid w:val="0"/>
      <w:u w:val="single"/>
    </w:rPr>
  </w:style>
  <w:style w:type="paragraph" w:styleId="Heading9">
    <w:name w:val="heading 9"/>
    <w:basedOn w:val="Normal"/>
    <w:next w:val="Normal"/>
    <w:link w:val="Heading9Char"/>
    <w:rsid w:val="00B950E1"/>
    <w:pPr>
      <w:keepNext/>
      <w:widowControl w:val="0"/>
      <w:numPr>
        <w:ilvl w:val="8"/>
        <w:numId w:val="40"/>
      </w:numPr>
      <w:tabs>
        <w:tab w:val="left" w:pos="624"/>
        <w:tab w:val="left" w:pos="1871"/>
        <w:tab w:val="left" w:pos="2495"/>
        <w:tab w:val="left" w:pos="3119"/>
        <w:tab w:val="left" w:pos="3742"/>
        <w:tab w:val="left" w:pos="4366"/>
      </w:tabs>
      <w:suppressAutoHyphens/>
      <w:spacing w:after="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0E1"/>
    <w:rPr>
      <w:rFonts w:ascii="Times New Roman" w:eastAsia="Times New Roman" w:hAnsi="Times New Roman" w:cs="Times New Roman"/>
      <w:b/>
      <w:kern w:val="0"/>
      <w:sz w:val="28"/>
      <w:szCs w:val="28"/>
      <w14:ligatures w14:val="none"/>
    </w:rPr>
  </w:style>
  <w:style w:type="character" w:customStyle="1" w:styleId="Heading2Char">
    <w:name w:val="Heading 2 Char"/>
    <w:basedOn w:val="DefaultParagraphFont"/>
    <w:link w:val="Heading2"/>
    <w:rsid w:val="00B950E1"/>
    <w:rPr>
      <w:rFonts w:ascii="Times New Roman" w:eastAsia="Times New Roman" w:hAnsi="Times New Roman" w:cs="Times New Roman"/>
      <w:b/>
      <w:kern w:val="0"/>
      <w:sz w:val="24"/>
      <w:szCs w:val="24"/>
      <w14:ligatures w14:val="none"/>
    </w:rPr>
  </w:style>
  <w:style w:type="character" w:customStyle="1" w:styleId="Heading3Char">
    <w:name w:val="Heading 3 Char"/>
    <w:basedOn w:val="DefaultParagraphFont"/>
    <w:link w:val="Heading3"/>
    <w:rsid w:val="00B950E1"/>
    <w:rPr>
      <w:rFonts w:ascii="Times New Roman" w:eastAsia="Times New Roman" w:hAnsi="Times New Roman" w:cs="Times New Roman"/>
      <w:b/>
      <w:kern w:val="0"/>
      <w:sz w:val="20"/>
      <w:szCs w:val="20"/>
      <w14:ligatures w14:val="none"/>
    </w:rPr>
  </w:style>
  <w:style w:type="character" w:customStyle="1" w:styleId="Heading4Char">
    <w:name w:val="Heading 4 Char"/>
    <w:basedOn w:val="DefaultParagraphFont"/>
    <w:link w:val="Heading4"/>
    <w:rsid w:val="00B950E1"/>
    <w:rPr>
      <w:rFonts w:ascii="Times New Roman" w:eastAsia="Times New Roman" w:hAnsi="Times New Roman" w:cs="Times New Roman"/>
      <w:b/>
      <w:kern w:val="0"/>
      <w:sz w:val="20"/>
      <w:szCs w:val="20"/>
      <w:lang w:eastAsia="en-US"/>
      <w14:ligatures w14:val="none"/>
    </w:rPr>
  </w:style>
  <w:style w:type="character" w:customStyle="1" w:styleId="Heading5Char">
    <w:name w:val="Heading 5 Char"/>
    <w:basedOn w:val="DefaultParagraphFont"/>
    <w:link w:val="Heading5"/>
    <w:rsid w:val="00B950E1"/>
    <w:rPr>
      <w:rFonts w:ascii="Times New Roman" w:eastAsia="Times New Roman" w:hAnsi="Times New Roman" w:cs="Times New Roman"/>
      <w:b/>
      <w:kern w:val="0"/>
      <w:sz w:val="20"/>
      <w:szCs w:val="20"/>
      <w14:ligatures w14:val="none"/>
    </w:rPr>
  </w:style>
  <w:style w:type="character" w:customStyle="1" w:styleId="Heading6Char">
    <w:name w:val="Heading 6 Char"/>
    <w:basedOn w:val="DefaultParagraphFont"/>
    <w:link w:val="Heading6"/>
    <w:rsid w:val="00B950E1"/>
    <w:rPr>
      <w:rFonts w:ascii="Times New Roman" w:eastAsia="Times New Roman" w:hAnsi="Times New Roman" w:cs="Times New Roman"/>
      <w:bCs/>
      <w:kern w:val="0"/>
      <w:sz w:val="24"/>
      <w:szCs w:val="20"/>
      <w14:ligatures w14:val="none"/>
    </w:rPr>
  </w:style>
  <w:style w:type="character" w:customStyle="1" w:styleId="Heading7Char">
    <w:name w:val="Heading 7 Char"/>
    <w:basedOn w:val="DefaultParagraphFont"/>
    <w:link w:val="Heading7"/>
    <w:rsid w:val="00B950E1"/>
    <w:rPr>
      <w:rFonts w:ascii="Times New Roman" w:eastAsia="Times New Roman" w:hAnsi="Times New Roman" w:cs="Times New Roman"/>
      <w:b/>
      <w:snapToGrid w:val="0"/>
      <w:kern w:val="0"/>
      <w:sz w:val="20"/>
      <w:szCs w:val="20"/>
      <w:u w:val="single"/>
      <w14:ligatures w14:val="none"/>
    </w:rPr>
  </w:style>
  <w:style w:type="character" w:customStyle="1" w:styleId="Heading8Char">
    <w:name w:val="Heading 8 Char"/>
    <w:basedOn w:val="DefaultParagraphFont"/>
    <w:link w:val="Heading8"/>
    <w:rsid w:val="00B950E1"/>
    <w:rPr>
      <w:rFonts w:ascii="Times New Roman" w:eastAsia="Times New Roman" w:hAnsi="Times New Roman" w:cs="Times New Roman"/>
      <w:b/>
      <w:snapToGrid w:val="0"/>
      <w:kern w:val="0"/>
      <w:sz w:val="20"/>
      <w:szCs w:val="20"/>
      <w:u w:val="single"/>
      <w14:ligatures w14:val="none"/>
    </w:rPr>
  </w:style>
  <w:style w:type="character" w:customStyle="1" w:styleId="Heading9Char">
    <w:name w:val="Heading 9 Char"/>
    <w:basedOn w:val="DefaultParagraphFont"/>
    <w:link w:val="Heading9"/>
    <w:rsid w:val="00B950E1"/>
    <w:rPr>
      <w:rFonts w:ascii="Times New Roman" w:eastAsia="Times New Roman" w:hAnsi="Times New Roman" w:cs="Times New Roman"/>
      <w:snapToGrid w:val="0"/>
      <w:kern w:val="0"/>
      <w:sz w:val="20"/>
      <w:szCs w:val="20"/>
      <w:u w:val="single"/>
      <w:lang w:val="en-GB" w:eastAsia="en-US"/>
      <w14:ligatures w14:val="none"/>
    </w:rPr>
  </w:style>
  <w:style w:type="character" w:styleId="PageNumber">
    <w:name w:val="page number"/>
    <w:semiHidden/>
    <w:rsid w:val="00B950E1"/>
    <w:rPr>
      <w:rFonts w:ascii="Times New Roman" w:hAnsi="Times New Roman"/>
      <w:b/>
      <w:sz w:val="18"/>
      <w:lang w:val="fr-FR"/>
    </w:rPr>
  </w:style>
  <w:style w:type="table" w:customStyle="1" w:styleId="Tabledocright">
    <w:name w:val="Table_doc_right"/>
    <w:basedOn w:val="TableNormal"/>
    <w:rsid w:val="00B950E1"/>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950E1"/>
    <w:pPr>
      <w:ind w:left="1000"/>
    </w:pPr>
    <w:rPr>
      <w:sz w:val="18"/>
      <w:szCs w:val="18"/>
    </w:rPr>
  </w:style>
  <w:style w:type="paragraph" w:styleId="TOC7">
    <w:name w:val="toc 7"/>
    <w:basedOn w:val="Normal"/>
    <w:next w:val="Normal"/>
    <w:autoRedefine/>
    <w:semiHidden/>
    <w:rsid w:val="00B950E1"/>
    <w:pPr>
      <w:ind w:left="1200"/>
    </w:pPr>
    <w:rPr>
      <w:sz w:val="18"/>
      <w:szCs w:val="18"/>
    </w:rPr>
  </w:style>
  <w:style w:type="paragraph" w:styleId="TOC8">
    <w:name w:val="toc 8"/>
    <w:basedOn w:val="Normal"/>
    <w:next w:val="Normal"/>
    <w:autoRedefine/>
    <w:semiHidden/>
    <w:rsid w:val="00B950E1"/>
    <w:pPr>
      <w:ind w:left="1400"/>
    </w:pPr>
    <w:rPr>
      <w:sz w:val="18"/>
      <w:szCs w:val="18"/>
    </w:rPr>
  </w:style>
  <w:style w:type="paragraph" w:styleId="TOC9">
    <w:name w:val="toc 9"/>
    <w:basedOn w:val="Normal"/>
    <w:next w:val="Normal"/>
    <w:autoRedefine/>
    <w:semiHidden/>
    <w:rsid w:val="00B950E1"/>
    <w:pPr>
      <w:ind w:left="1600"/>
    </w:pPr>
    <w:rPr>
      <w:sz w:val="18"/>
      <w:szCs w:val="18"/>
    </w:rPr>
  </w:style>
  <w:style w:type="paragraph" w:customStyle="1" w:styleId="Titlefigure">
    <w:name w:val="Title_figure"/>
    <w:basedOn w:val="Titletable"/>
    <w:next w:val="NormalNonumber"/>
    <w:rsid w:val="00B950E1"/>
    <w:rPr>
      <w:bCs w:val="0"/>
    </w:rPr>
  </w:style>
  <w:style w:type="paragraph" w:styleId="TableofFigures">
    <w:name w:val="table of figures"/>
    <w:basedOn w:val="Normal"/>
    <w:next w:val="Normal"/>
    <w:autoRedefine/>
    <w:semiHidden/>
    <w:rsid w:val="00B950E1"/>
    <w:pPr>
      <w:ind w:left="1814" w:hanging="567"/>
    </w:pPr>
  </w:style>
  <w:style w:type="paragraph" w:customStyle="1" w:styleId="CH1">
    <w:name w:val="CH1"/>
    <w:basedOn w:val="Normal-pool"/>
    <w:next w:val="CH2"/>
    <w:qFormat/>
    <w:rsid w:val="00B950E1"/>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950E1"/>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950E1"/>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950E1"/>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B950E1"/>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950E1"/>
    <w:pPr>
      <w:keepNext/>
      <w:keepLines/>
      <w:tabs>
        <w:tab w:val="clear" w:pos="624"/>
        <w:tab w:val="right" w:pos="851"/>
        <w:tab w:val="left" w:pos="1814"/>
      </w:tabs>
      <w:suppressAutoHyphens/>
      <w:spacing w:after="120"/>
      <w:ind w:left="1247" w:right="284" w:hanging="1247"/>
    </w:pPr>
    <w:rPr>
      <w:b/>
    </w:rPr>
  </w:style>
  <w:style w:type="paragraph" w:customStyle="1" w:styleId="Footerpool">
    <w:name w:val="Footer_pool"/>
    <w:basedOn w:val="Normal"/>
    <w:next w:val="Normal"/>
    <w:uiPriority w:val="99"/>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B950E1"/>
    <w:pPr>
      <w:tabs>
        <w:tab w:val="left" w:pos="624"/>
        <w:tab w:val="left" w:pos="1871"/>
        <w:tab w:val="left" w:pos="2495"/>
        <w:tab w:val="left" w:pos="3119"/>
        <w:tab w:val="left" w:pos="3742"/>
        <w:tab w:val="left" w:pos="4321"/>
        <w:tab w:val="left" w:pos="4366"/>
        <w:tab w:val="right" w:pos="8641"/>
      </w:tabs>
      <w:spacing w:after="120"/>
    </w:pPr>
    <w:rPr>
      <w:b/>
      <w:sz w:val="18"/>
    </w:rPr>
  </w:style>
  <w:style w:type="paragraph" w:customStyle="1" w:styleId="Header-pool">
    <w:name w:val="Header-pool"/>
    <w:basedOn w:val="Normal-pool"/>
    <w:next w:val="Normal-pool"/>
    <w:rsid w:val="00B950E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B950E1"/>
    <w:pPr>
      <w:tabs>
        <w:tab w:val="left" w:pos="624"/>
        <w:tab w:val="left" w:pos="1247"/>
        <w:tab w:val="left" w:pos="1871"/>
        <w:tab w:val="left" w:pos="2495"/>
        <w:tab w:val="left" w:pos="3119"/>
        <w:tab w:val="left" w:pos="3742"/>
        <w:tab w:val="left" w:pos="4366"/>
      </w:tabs>
      <w:spacing w:after="0" w:line="240" w:lineRule="auto"/>
    </w:pPr>
    <w:rPr>
      <w:rFonts w:ascii="Times New Roman" w:eastAsia="SimSun" w:hAnsi="Times New Roman" w:cs="Times New Roman"/>
      <w:kern w:val="0"/>
      <w:sz w:val="20"/>
      <w:szCs w:val="20"/>
      <w14:ligatures w14:val="none"/>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rsid w:val="00B950E1"/>
    <w:rPr>
      <w:rFonts w:ascii="Times New Roman" w:hAnsi="Times New Roman"/>
      <w:sz w:val="20"/>
      <w:szCs w:val="18"/>
      <w:vertAlign w:val="superscript"/>
      <w:lang w:val="fr-FR"/>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
    <w:link w:val="FootnoteTextChar"/>
    <w:rsid w:val="00B950E1"/>
    <w:pPr>
      <w:tabs>
        <w:tab w:val="left" w:pos="4082"/>
      </w:tabs>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267474"/>
    <w:rPr>
      <w:rFonts w:ascii="Times New Roman" w:eastAsia="SimSun" w:hAnsi="Times New Roman" w:cs="Times New Roman"/>
      <w:kern w:val="0"/>
      <w:sz w:val="18"/>
      <w:szCs w:val="20"/>
      <w:lang w:eastAsia="en-US"/>
      <w14:ligatures w14:val="none"/>
    </w:rPr>
  </w:style>
  <w:style w:type="table" w:customStyle="1" w:styleId="AATable">
    <w:name w:val="AA_Table"/>
    <w:basedOn w:val="TableNormal"/>
    <w:semiHidden/>
    <w:rsid w:val="00774FE9"/>
    <w:pPr>
      <w:spacing w:after="0" w:line="240" w:lineRule="auto"/>
    </w:pPr>
    <w:rPr>
      <w:rFonts w:ascii="Times New Roman" w:eastAsia="SimSun" w:hAnsi="Times New Roman" w:cs="Times New Roman"/>
      <w:kern w:val="0"/>
      <w:sz w:val="20"/>
      <w:szCs w:val="20"/>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950E1"/>
    <w:pPr>
      <w:keepNext/>
      <w:keepLines/>
      <w:suppressAutoHyphens/>
    </w:pPr>
    <w:rPr>
      <w:b/>
    </w:rPr>
  </w:style>
  <w:style w:type="paragraph" w:customStyle="1" w:styleId="AATitle2">
    <w:name w:val="AA_Title2"/>
    <w:basedOn w:val="AATitle"/>
    <w:qFormat/>
    <w:rsid w:val="00B950E1"/>
    <w:pPr>
      <w:keepNext w:val="0"/>
      <w:keepLines w:val="0"/>
      <w:spacing w:before="120" w:after="120"/>
    </w:pPr>
  </w:style>
  <w:style w:type="paragraph" w:customStyle="1" w:styleId="BBTitle">
    <w:name w:val="BB_Title"/>
    <w:basedOn w:val="Normal-pool"/>
    <w:qFormat/>
    <w:rsid w:val="00B950E1"/>
    <w:pPr>
      <w:keepNext/>
      <w:keepLines/>
      <w:suppressAutoHyphens/>
      <w:spacing w:before="320" w:after="240"/>
      <w:ind w:left="1247" w:right="567"/>
    </w:pPr>
    <w:rPr>
      <w:b/>
      <w:sz w:val="28"/>
      <w:szCs w:val="28"/>
    </w:rPr>
  </w:style>
  <w:style w:type="paragraph" w:styleId="Footer">
    <w:name w:val="footer"/>
    <w:basedOn w:val="Normal"/>
    <w:link w:val="FooterChar"/>
    <w:unhideWhenUsed/>
    <w:rsid w:val="00B950E1"/>
    <w:pPr>
      <w:tabs>
        <w:tab w:val="right" w:pos="8641"/>
      </w:tabs>
      <w:spacing w:after="120"/>
    </w:pPr>
    <w:rPr>
      <w:b/>
      <w:sz w:val="18"/>
    </w:rPr>
  </w:style>
  <w:style w:type="character" w:customStyle="1" w:styleId="FooterChar">
    <w:name w:val="Footer Char"/>
    <w:basedOn w:val="DefaultParagraphFont"/>
    <w:link w:val="Footer"/>
    <w:rsid w:val="00B950E1"/>
    <w:rPr>
      <w:rFonts w:ascii="Times New Roman" w:eastAsia="Times New Roman" w:hAnsi="Times New Roman" w:cs="Times New Roman"/>
      <w:b/>
      <w:kern w:val="0"/>
      <w:sz w:val="18"/>
      <w:szCs w:val="20"/>
      <w:lang w:eastAsia="en-US"/>
      <w14:ligatures w14:val="none"/>
    </w:rPr>
  </w:style>
  <w:style w:type="paragraph" w:styleId="Header">
    <w:name w:val="header"/>
    <w:basedOn w:val="Normal"/>
    <w:next w:val="Header-pool"/>
    <w:link w:val="HeaderChar"/>
    <w:semiHidden/>
    <w:rsid w:val="00B950E1"/>
    <w:pPr>
      <w:pBdr>
        <w:bottom w:val="single" w:sz="4" w:space="1" w:color="auto"/>
      </w:pBdr>
      <w:tabs>
        <w:tab w:val="left" w:pos="624"/>
        <w:tab w:val="left" w:pos="1871"/>
        <w:tab w:val="left" w:pos="2495"/>
        <w:tab w:val="left" w:pos="3119"/>
        <w:tab w:val="left" w:pos="3742"/>
        <w:tab w:val="left" w:pos="4366"/>
        <w:tab w:val="center" w:pos="4536"/>
        <w:tab w:val="right" w:pos="9072"/>
      </w:tabs>
      <w:spacing w:after="120"/>
    </w:pPr>
    <w:rPr>
      <w:b/>
      <w:sz w:val="18"/>
    </w:rPr>
  </w:style>
  <w:style w:type="character" w:customStyle="1" w:styleId="HeaderChar">
    <w:name w:val="Header Char"/>
    <w:basedOn w:val="DefaultParagraphFont"/>
    <w:link w:val="Header"/>
    <w:semiHidden/>
    <w:rsid w:val="00B950E1"/>
    <w:rPr>
      <w:rFonts w:ascii="Times New Roman" w:eastAsia="Times New Roman" w:hAnsi="Times New Roman" w:cs="Times New Roman"/>
      <w:b/>
      <w:kern w:val="0"/>
      <w:sz w:val="18"/>
      <w:szCs w:val="20"/>
      <w:lang w:eastAsia="en-US"/>
      <w14:ligatures w14:val="none"/>
    </w:rPr>
  </w:style>
  <w:style w:type="character" w:styleId="Hyperlink">
    <w:name w:val="Hyperlink"/>
    <w:uiPriority w:val="99"/>
    <w:unhideWhenUsed/>
    <w:rsid w:val="00B950E1"/>
    <w:rPr>
      <w:rFonts w:ascii="Times New Roman" w:hAnsi="Times New Roman"/>
      <w:color w:val="0000FF"/>
      <w:sz w:val="20"/>
      <w:szCs w:val="20"/>
      <w:u w:val="none"/>
      <w:lang w:val="fr-FR"/>
    </w:rPr>
  </w:style>
  <w:style w:type="numbering" w:customStyle="1" w:styleId="Normallist">
    <w:name w:val="Normal_list"/>
    <w:basedOn w:val="NoList"/>
    <w:rsid w:val="00B950E1"/>
    <w:pPr>
      <w:numPr>
        <w:numId w:val="1"/>
      </w:numPr>
    </w:pPr>
  </w:style>
  <w:style w:type="paragraph" w:customStyle="1" w:styleId="NormalNonumber">
    <w:name w:val="Normal_No_number"/>
    <w:basedOn w:val="Normal-pool"/>
    <w:qFormat/>
    <w:rsid w:val="00B950E1"/>
    <w:pPr>
      <w:spacing w:after="120"/>
      <w:ind w:left="1247"/>
    </w:pPr>
  </w:style>
  <w:style w:type="paragraph" w:customStyle="1" w:styleId="Normalnumber">
    <w:name w:val="Normal_number"/>
    <w:basedOn w:val="Normal"/>
    <w:link w:val="NormalnumberChar"/>
    <w:qFormat/>
    <w:rsid w:val="00B950E1"/>
    <w:pPr>
      <w:tabs>
        <w:tab w:val="left" w:pos="2495"/>
        <w:tab w:val="left" w:pos="3119"/>
        <w:tab w:val="left" w:pos="3742"/>
        <w:tab w:val="left" w:pos="4366"/>
      </w:tabs>
      <w:spacing w:after="120"/>
    </w:pPr>
  </w:style>
  <w:style w:type="paragraph" w:customStyle="1" w:styleId="Titletable">
    <w:name w:val="Title_table"/>
    <w:basedOn w:val="Normal-pool"/>
    <w:next w:val="NormalNonumber"/>
    <w:rsid w:val="00B950E1"/>
    <w:pPr>
      <w:keepNext/>
      <w:keepLines/>
      <w:suppressAutoHyphens/>
      <w:spacing w:after="60"/>
      <w:ind w:left="1247"/>
    </w:pPr>
    <w:rPr>
      <w:b/>
      <w:bCs/>
    </w:rPr>
  </w:style>
  <w:style w:type="paragraph" w:styleId="TOC1">
    <w:name w:val="toc 1"/>
    <w:basedOn w:val="Normal"/>
    <w:next w:val="Normal"/>
    <w:autoRedefine/>
    <w:uiPriority w:val="39"/>
    <w:unhideWhenUsed/>
    <w:rsid w:val="00B950E1"/>
    <w:pPr>
      <w:tabs>
        <w:tab w:val="left" w:pos="624"/>
        <w:tab w:val="left" w:pos="1871"/>
        <w:tab w:val="right" w:leader="dot" w:pos="9486"/>
      </w:tabs>
      <w:spacing w:before="240"/>
      <w:ind w:left="1984" w:hanging="737"/>
    </w:pPr>
    <w:rPr>
      <w:bCs/>
    </w:rPr>
  </w:style>
  <w:style w:type="paragraph" w:styleId="TOC2">
    <w:name w:val="toc 2"/>
    <w:basedOn w:val="Normal"/>
    <w:next w:val="Normal"/>
    <w:uiPriority w:val="39"/>
    <w:unhideWhenUsed/>
    <w:rsid w:val="00B950E1"/>
    <w:pPr>
      <w:tabs>
        <w:tab w:val="left" w:pos="624"/>
        <w:tab w:val="left" w:pos="1871"/>
        <w:tab w:val="left" w:pos="2495"/>
        <w:tab w:val="right" w:leader="dot" w:pos="9486"/>
      </w:tabs>
      <w:spacing w:before="60"/>
      <w:ind w:left="2608" w:hanging="737"/>
    </w:pPr>
  </w:style>
  <w:style w:type="paragraph" w:styleId="TOC3">
    <w:name w:val="toc 3"/>
    <w:basedOn w:val="Normal"/>
    <w:next w:val="Normal"/>
    <w:uiPriority w:val="39"/>
    <w:unhideWhenUsed/>
    <w:rsid w:val="00B950E1"/>
    <w:pPr>
      <w:tabs>
        <w:tab w:val="left" w:pos="624"/>
        <w:tab w:val="left" w:pos="1871"/>
        <w:tab w:val="left" w:pos="2495"/>
        <w:tab w:val="left" w:pos="3119"/>
        <w:tab w:val="right" w:leader="dot" w:pos="9486"/>
      </w:tabs>
      <w:ind w:left="3232" w:hanging="737"/>
    </w:pPr>
    <w:rPr>
      <w:iCs/>
    </w:rPr>
  </w:style>
  <w:style w:type="paragraph" w:styleId="TOC4">
    <w:name w:val="toc 4"/>
    <w:basedOn w:val="Normal"/>
    <w:next w:val="Normal"/>
    <w:uiPriority w:val="39"/>
    <w:unhideWhenUsed/>
    <w:rsid w:val="00B950E1"/>
    <w:pPr>
      <w:tabs>
        <w:tab w:val="left" w:pos="624"/>
        <w:tab w:val="left" w:pos="1000"/>
        <w:tab w:val="left" w:pos="1871"/>
        <w:tab w:val="left" w:pos="2495"/>
        <w:tab w:val="left" w:pos="3119"/>
        <w:tab w:val="left" w:pos="3742"/>
        <w:tab w:val="right" w:leader="dot" w:pos="9486"/>
      </w:tabs>
      <w:ind w:left="3856" w:hanging="737"/>
    </w:pPr>
    <w:rPr>
      <w:szCs w:val="18"/>
    </w:rPr>
  </w:style>
  <w:style w:type="paragraph" w:styleId="TOC5">
    <w:name w:val="toc 5"/>
    <w:basedOn w:val="Normal"/>
    <w:next w:val="Normal"/>
    <w:uiPriority w:val="39"/>
    <w:rsid w:val="00B950E1"/>
    <w:pPr>
      <w:tabs>
        <w:tab w:val="left" w:pos="624"/>
        <w:tab w:val="left" w:pos="1871"/>
        <w:tab w:val="left" w:pos="2495"/>
        <w:tab w:val="left" w:pos="3119"/>
        <w:tab w:val="left" w:pos="3742"/>
        <w:tab w:val="left" w:pos="4366"/>
        <w:tab w:val="right" w:leader="dot" w:pos="9486"/>
      </w:tabs>
      <w:ind w:left="4479" w:hanging="737"/>
    </w:pPr>
    <w:rPr>
      <w:sz w:val="18"/>
      <w:szCs w:val="18"/>
    </w:rPr>
  </w:style>
  <w:style w:type="paragraph" w:customStyle="1" w:styleId="ZZAnxheader">
    <w:name w:val="ZZ_Anx_header"/>
    <w:basedOn w:val="Normal-pool"/>
    <w:rsid w:val="00B950E1"/>
    <w:rPr>
      <w:b/>
      <w:bCs/>
      <w:sz w:val="28"/>
      <w:szCs w:val="22"/>
    </w:rPr>
  </w:style>
  <w:style w:type="paragraph" w:customStyle="1" w:styleId="ZZAnxtitle">
    <w:name w:val="ZZ_Anx_title"/>
    <w:basedOn w:val="Normal-pool"/>
    <w:rsid w:val="00B950E1"/>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950E1"/>
    <w:pPr>
      <w:spacing w:before="40" w:after="40"/>
    </w:pPr>
    <w:rPr>
      <w:sz w:val="18"/>
    </w:rPr>
  </w:style>
  <w:style w:type="paragraph" w:customStyle="1" w:styleId="Footnote-Text">
    <w:name w:val="Footnote-Text"/>
    <w:basedOn w:val="Normal-pool"/>
    <w:rsid w:val="00B950E1"/>
    <w:pPr>
      <w:spacing w:before="20" w:after="40"/>
      <w:ind w:left="1247"/>
    </w:pPr>
    <w:rPr>
      <w:sz w:val="18"/>
    </w:rPr>
  </w:style>
  <w:style w:type="character" w:customStyle="1" w:styleId="Normal-poolChar">
    <w:name w:val="Normal-pool Char"/>
    <w:link w:val="Normal-pool"/>
    <w:locked/>
    <w:rsid w:val="00774FE9"/>
    <w:rPr>
      <w:rFonts w:ascii="Times New Roman" w:eastAsia="SimSun" w:hAnsi="Times New Roman" w:cs="Times New Roman"/>
      <w:kern w:val="0"/>
      <w:sz w:val="20"/>
      <w:szCs w:val="20"/>
      <w14:ligatures w14:val="none"/>
    </w:rPr>
  </w:style>
  <w:style w:type="paragraph" w:customStyle="1" w:styleId="AConvName">
    <w:name w:val="A_ConvName"/>
    <w:basedOn w:val="Normal-pool"/>
    <w:next w:val="Normal-pool"/>
    <w:rsid w:val="00B950E1"/>
    <w:pPr>
      <w:tabs>
        <w:tab w:val="clear" w:pos="1247"/>
      </w:tabs>
      <w:spacing w:before="120" w:after="240"/>
    </w:pPr>
    <w:rPr>
      <w:rFonts w:ascii="Arial" w:hAnsi="Arial"/>
      <w:b/>
      <w:sz w:val="28"/>
    </w:rPr>
  </w:style>
  <w:style w:type="paragraph" w:customStyle="1" w:styleId="ASymbol">
    <w:name w:val="A_Symbol"/>
    <w:basedOn w:val="Normal-pool"/>
    <w:rsid w:val="00B950E1"/>
    <w:pPr>
      <w:tabs>
        <w:tab w:val="clear" w:pos="1247"/>
      </w:tabs>
    </w:pPr>
  </w:style>
  <w:style w:type="paragraph" w:customStyle="1" w:styleId="AText">
    <w:name w:val="A_Text"/>
    <w:basedOn w:val="Normal-pool"/>
    <w:rsid w:val="00B950E1"/>
    <w:pPr>
      <w:spacing w:before="120"/>
    </w:pPr>
  </w:style>
  <w:style w:type="paragraph" w:customStyle="1" w:styleId="ATwoLetters">
    <w:name w:val="A_TwoLetters"/>
    <w:basedOn w:val="Normal-pool"/>
    <w:next w:val="Normal-pool"/>
    <w:rsid w:val="00B950E1"/>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B950E1"/>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iPriority w:val="99"/>
    <w:unhideWhenUsed/>
    <w:rsid w:val="00267474"/>
    <w:rPr>
      <w:rFonts w:ascii="Tahoma" w:hAnsi="Tahoma" w:cs="Tahoma"/>
      <w:sz w:val="16"/>
      <w:szCs w:val="16"/>
    </w:rPr>
  </w:style>
  <w:style w:type="character" w:customStyle="1" w:styleId="BalloonTextChar">
    <w:name w:val="Balloon Text Char"/>
    <w:basedOn w:val="DefaultParagraphFont"/>
    <w:link w:val="BalloonText"/>
    <w:uiPriority w:val="99"/>
    <w:rsid w:val="00267474"/>
    <w:rPr>
      <w:rFonts w:ascii="Tahoma" w:eastAsia="SimSun" w:hAnsi="Tahoma" w:cs="Tahoma"/>
      <w:kern w:val="0"/>
      <w:sz w:val="16"/>
      <w:szCs w:val="16"/>
      <w14:ligatures w14:val="none"/>
    </w:rPr>
  </w:style>
  <w:style w:type="character" w:styleId="CommentReference">
    <w:name w:val="annotation reference"/>
    <w:basedOn w:val="DefaultParagraphFont"/>
    <w:semiHidden/>
    <w:unhideWhenUsed/>
    <w:rsid w:val="00B950E1"/>
    <w:rPr>
      <w:sz w:val="16"/>
      <w:szCs w:val="16"/>
      <w:lang w:val="fr-FR"/>
    </w:rPr>
  </w:style>
  <w:style w:type="paragraph" w:styleId="CommentText">
    <w:name w:val="annotation text"/>
    <w:basedOn w:val="Normal"/>
    <w:link w:val="CommentTextChar"/>
    <w:unhideWhenUsed/>
    <w:rsid w:val="00B950E1"/>
    <w:pPr>
      <w:tabs>
        <w:tab w:val="left" w:pos="624"/>
        <w:tab w:val="left" w:pos="1871"/>
        <w:tab w:val="left" w:pos="2495"/>
        <w:tab w:val="left" w:pos="3119"/>
        <w:tab w:val="left" w:pos="3742"/>
        <w:tab w:val="left" w:pos="4366"/>
      </w:tabs>
      <w:spacing w:after="120"/>
    </w:pPr>
  </w:style>
  <w:style w:type="character" w:customStyle="1" w:styleId="CommentTextChar">
    <w:name w:val="Comment Text Char"/>
    <w:basedOn w:val="DefaultParagraphFont"/>
    <w:link w:val="CommentText"/>
    <w:rsid w:val="00B950E1"/>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semiHidden/>
    <w:unhideWhenUsed/>
    <w:rsid w:val="00B950E1"/>
    <w:rPr>
      <w:b/>
      <w:bCs/>
      <w:lang w:val="fr-FR"/>
    </w:rPr>
  </w:style>
  <w:style w:type="character" w:customStyle="1" w:styleId="CommentSubjectChar">
    <w:name w:val="Comment Subject Char"/>
    <w:basedOn w:val="CommentTextChar"/>
    <w:link w:val="CommentSubject"/>
    <w:semiHidden/>
    <w:rsid w:val="00B950E1"/>
    <w:rPr>
      <w:rFonts w:ascii="Times New Roman" w:eastAsia="Times New Roman" w:hAnsi="Times New Roman" w:cs="Times New Roman"/>
      <w:b/>
      <w:bCs/>
      <w:kern w:val="0"/>
      <w:sz w:val="20"/>
      <w:szCs w:val="20"/>
      <w:lang w:eastAsia="en-US"/>
      <w14:ligatures w14:val="none"/>
    </w:rPr>
  </w:style>
  <w:style w:type="character" w:styleId="FollowedHyperlink">
    <w:name w:val="FollowedHyperlink"/>
    <w:uiPriority w:val="99"/>
    <w:semiHidden/>
    <w:rsid w:val="00B950E1"/>
    <w:rPr>
      <w:color w:val="0000FF"/>
      <w:u w:val="none"/>
      <w:lang w:val="fr-FR"/>
    </w:rPr>
  </w:style>
  <w:style w:type="paragraph" w:styleId="ListParagraph">
    <w:name w:val="List Paragraph"/>
    <w:basedOn w:val="Normal"/>
    <w:uiPriority w:val="34"/>
    <w:qFormat/>
    <w:rsid w:val="00267474"/>
    <w:pPr>
      <w:ind w:left="720"/>
      <w:contextualSpacing/>
    </w:pPr>
  </w:style>
  <w:style w:type="paragraph" w:styleId="NoSpacing">
    <w:name w:val="No Spacing"/>
    <w:uiPriority w:val="1"/>
    <w:qFormat/>
    <w:rsid w:val="00267474"/>
    <w:pPr>
      <w:spacing w:after="0" w:line="240" w:lineRule="auto"/>
    </w:pPr>
    <w:rPr>
      <w:rFonts w:eastAsiaTheme="minorHAnsi"/>
      <w:kern w:val="0"/>
      <w:lang w:eastAsia="en-US"/>
      <w14:ligatures w14:val="none"/>
    </w:rPr>
  </w:style>
  <w:style w:type="character" w:customStyle="1" w:styleId="NormalnumberChar">
    <w:name w:val="Normal_number Char"/>
    <w:link w:val="Normalnumber"/>
    <w:qFormat/>
    <w:rsid w:val="00B950E1"/>
    <w:rPr>
      <w:rFonts w:ascii="Times New Roman" w:eastAsia="Times New Roman" w:hAnsi="Times New Roman" w:cs="Times New Roman"/>
      <w:kern w:val="0"/>
      <w:sz w:val="20"/>
      <w:szCs w:val="20"/>
      <w:lang w:val="en-GB" w:eastAsia="en-US"/>
      <w14:ligatures w14:val="none"/>
    </w:rPr>
  </w:style>
  <w:style w:type="character" w:styleId="PlaceholderText">
    <w:name w:val="Placeholder Text"/>
    <w:basedOn w:val="DefaultParagraphFont"/>
    <w:uiPriority w:val="99"/>
    <w:semiHidden/>
    <w:rsid w:val="00267474"/>
    <w:rPr>
      <w:color w:val="808080"/>
    </w:rPr>
  </w:style>
  <w:style w:type="table" w:styleId="TableGrid">
    <w:name w:val="Table Grid"/>
    <w:basedOn w:val="TableNormal"/>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950E1"/>
    <w:pPr>
      <w:spacing w:before="120" w:after="240"/>
    </w:pPr>
    <w:rPr>
      <w:rFonts w:eastAsia="Times New Roman"/>
    </w:rPr>
  </w:style>
  <w:style w:type="character" w:customStyle="1" w:styleId="ALogoChar">
    <w:name w:val="A_Logo Char"/>
    <w:basedOn w:val="DefaultParagraphFont"/>
    <w:link w:val="ALogo"/>
    <w:rsid w:val="00B950E1"/>
    <w:rPr>
      <w:rFonts w:ascii="Times New Roman" w:eastAsia="Times New Roman" w:hAnsi="Times New Roman" w:cs="Times New Roman"/>
      <w:kern w:val="0"/>
      <w:sz w:val="20"/>
      <w:szCs w:val="20"/>
      <w14:ligatures w14:val="none"/>
    </w:rPr>
  </w:style>
  <w:style w:type="paragraph" w:customStyle="1" w:styleId="ASpacer">
    <w:name w:val="A_Spacer"/>
    <w:basedOn w:val="Normal-pool"/>
    <w:link w:val="ASpacerChar"/>
    <w:qFormat/>
    <w:rsid w:val="00B950E1"/>
    <w:rPr>
      <w:rFonts w:eastAsia="Times New Roman"/>
      <w:sz w:val="2"/>
    </w:rPr>
  </w:style>
  <w:style w:type="character" w:customStyle="1" w:styleId="ASpacerChar">
    <w:name w:val="A_Spacer Char"/>
    <w:basedOn w:val="DefaultParagraphFont"/>
    <w:link w:val="ASpacer"/>
    <w:rsid w:val="00B950E1"/>
    <w:rPr>
      <w:rFonts w:ascii="Times New Roman" w:eastAsia="Times New Roman" w:hAnsi="Times New Roman" w:cs="Times New Roman"/>
      <w:kern w:val="0"/>
      <w:sz w:val="2"/>
      <w:szCs w:val="20"/>
      <w14:ligatures w14:val="none"/>
    </w:rPr>
  </w:style>
  <w:style w:type="paragraph" w:customStyle="1" w:styleId="AATitle1">
    <w:name w:val="AA_Title1"/>
    <w:basedOn w:val="Normal-pool"/>
    <w:qFormat/>
    <w:rsid w:val="00B950E1"/>
  </w:style>
  <w:style w:type="character" w:customStyle="1" w:styleId="UnresolvedMention1">
    <w:name w:val="Unresolved Mention1"/>
    <w:basedOn w:val="DefaultParagraphFont"/>
    <w:uiPriority w:val="99"/>
    <w:semiHidden/>
    <w:rsid w:val="00267474"/>
    <w:rPr>
      <w:color w:val="605E5C"/>
      <w:shd w:val="clear" w:color="auto" w:fill="E1DFDD"/>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SimSun" w:hAnsi="Times New Roman" w:cs="Times New Roman"/>
      <w:kern w:val="0"/>
      <w:sz w:val="20"/>
      <w:szCs w:val="20"/>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SimSun" w:hAnsi="Times New Roman" w:cs="Times New Roman"/>
      <w:kern w:val="0"/>
      <w:sz w:val="20"/>
      <w:szCs w:val="20"/>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SimSun" w:hAnsi="Times New Roman" w:cs="Times New Roman"/>
      <w:kern w:val="0"/>
      <w:sz w:val="16"/>
      <w:szCs w:val="16"/>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SimSun" w:hAnsi="Times New Roman" w:cs="Times New Roman"/>
      <w:kern w:val="0"/>
      <w:sz w:val="20"/>
      <w:szCs w:val="20"/>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SimSun" w:hAnsi="Times New Roman" w:cs="Times New Roman"/>
      <w:kern w:val="0"/>
      <w:sz w:val="20"/>
      <w:szCs w:val="20"/>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SimSun" w:hAnsi="Times New Roman" w:cs="Times New Roman"/>
      <w:kern w:val="0"/>
      <w:sz w:val="20"/>
      <w:szCs w:val="20"/>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SimSun" w:hAnsi="Times New Roman" w:cs="Times New Roman"/>
      <w:kern w:val="0"/>
      <w:sz w:val="20"/>
      <w:szCs w:val="20"/>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SimSun" w:hAnsi="Times New Roman" w:cs="Times New Roman"/>
      <w:kern w:val="0"/>
      <w:sz w:val="16"/>
      <w:szCs w:val="16"/>
      <w14:ligatures w14:val="none"/>
    </w:rPr>
  </w:style>
  <w:style w:type="character" w:styleId="BookTitle">
    <w:name w:val="Book Title"/>
    <w:basedOn w:val="DefaultParagraphFont"/>
    <w:uiPriority w:val="33"/>
    <w:qFormat/>
    <w:rsid w:val="008C6E19"/>
    <w:rPr>
      <w:b/>
      <w:bCs/>
      <w:i/>
      <w:iCs/>
      <w:spacing w:val="5"/>
      <w:lang w:val="fr-FR"/>
    </w:rPr>
  </w:style>
  <w:style w:type="paragraph" w:styleId="Caption">
    <w:name w:val="caption"/>
    <w:basedOn w:val="Normal"/>
    <w:next w:val="Normal"/>
    <w:uiPriority w:val="99"/>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SimSun" w:hAnsi="Times New Roman" w:cs="Times New Roman"/>
      <w:kern w:val="0"/>
      <w:sz w:val="20"/>
      <w:szCs w:val="20"/>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SimSun" w:hAnsi="Times New Roman" w:cs="Times New Roman"/>
      <w:kern w:val="0"/>
      <w:sz w:val="20"/>
      <w:szCs w:val="20"/>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SimSun" w:hAnsi="Segoe UI" w:cs="Segoe UI"/>
      <w:kern w:val="0"/>
      <w:sz w:val="16"/>
      <w:szCs w:val="16"/>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SimSun" w:hAnsi="Times New Roman" w:cs="Times New Roman"/>
      <w:kern w:val="0"/>
      <w:sz w:val="20"/>
      <w:szCs w:val="20"/>
      <w14:ligatures w14:val="none"/>
    </w:rPr>
  </w:style>
  <w:style w:type="character" w:styleId="Emphasis">
    <w:name w:val="Emphasis"/>
    <w:basedOn w:val="DefaultParagraphFont"/>
    <w:qFormat/>
    <w:rsid w:val="008C6E19"/>
    <w:rPr>
      <w:i/>
      <w:iCs/>
    </w:rPr>
  </w:style>
  <w:style w:type="character" w:styleId="EndnoteReference">
    <w:name w:val="endnote reference"/>
    <w:basedOn w:val="DefaultParagraphFont"/>
    <w:semiHidden/>
    <w:unhideWhenUsed/>
    <w:rsid w:val="008C6E19"/>
    <w:rPr>
      <w:vertAlign w:val="superscript"/>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SimSun" w:hAnsi="Times New Roman" w:cs="Times New Roman"/>
      <w:kern w:val="0"/>
      <w:sz w:val="20"/>
      <w:szCs w:val="20"/>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8C6E19"/>
    <w:rPr>
      <w:color w:val="2B579A"/>
      <w:shd w:val="clear" w:color="auto" w:fill="E1DFDD"/>
    </w:rPr>
  </w:style>
  <w:style w:type="character" w:styleId="HTMLAcronym">
    <w:name w:val="HTML Acronym"/>
    <w:basedOn w:val="DefaultParagraphFont"/>
    <w:semiHidden/>
    <w:unhideWhenUsed/>
    <w:rsid w:val="008C6E19"/>
  </w:style>
  <w:style w:type="paragraph" w:styleId="HTMLAddress">
    <w:name w:val="HTML Address"/>
    <w:basedOn w:val="Normal"/>
    <w:link w:val="HTMLAddressChar"/>
    <w:semiHidden/>
    <w:unhideWhenUsed/>
    <w:rsid w:val="008C6E19"/>
    <w:rPr>
      <w:i/>
      <w:iCs/>
    </w:rPr>
  </w:style>
  <w:style w:type="character" w:customStyle="1" w:styleId="HTMLAddressChar">
    <w:name w:val="HTML Address Char"/>
    <w:basedOn w:val="DefaultParagraphFont"/>
    <w:link w:val="HTMLAddress"/>
    <w:semiHidden/>
    <w:rsid w:val="008C6E19"/>
    <w:rPr>
      <w:rFonts w:ascii="Times New Roman" w:eastAsia="SimSun" w:hAnsi="Times New Roman" w:cs="Times New Roman"/>
      <w:i/>
      <w:iCs/>
      <w:kern w:val="0"/>
      <w:sz w:val="20"/>
      <w:szCs w:val="20"/>
      <w14:ligatures w14:val="none"/>
    </w:rPr>
  </w:style>
  <w:style w:type="character" w:styleId="HTMLCite">
    <w:name w:val="HTML Cite"/>
    <w:basedOn w:val="DefaultParagraphFont"/>
    <w:semiHidden/>
    <w:unhideWhenUsed/>
    <w:rsid w:val="008C6E19"/>
    <w:rPr>
      <w:i/>
      <w:iCs/>
    </w:rPr>
  </w:style>
  <w:style w:type="character" w:styleId="HTMLCode">
    <w:name w:val="HTML Code"/>
    <w:basedOn w:val="DefaultParagraphFont"/>
    <w:semiHidden/>
    <w:unhideWhenUsed/>
    <w:rsid w:val="008C6E19"/>
    <w:rPr>
      <w:rFonts w:ascii="Consolas" w:hAnsi="Consolas"/>
      <w:sz w:val="20"/>
      <w:szCs w:val="20"/>
    </w:rPr>
  </w:style>
  <w:style w:type="character" w:styleId="HTMLDefinition">
    <w:name w:val="HTML Definition"/>
    <w:basedOn w:val="DefaultParagraphFont"/>
    <w:semiHidden/>
    <w:unhideWhenUsed/>
    <w:rsid w:val="008C6E19"/>
    <w:rPr>
      <w:i/>
      <w:iCs/>
    </w:rPr>
  </w:style>
  <w:style w:type="character" w:styleId="HTMLKeyboard">
    <w:name w:val="HTML Keyboard"/>
    <w:basedOn w:val="DefaultParagraphFont"/>
    <w:semiHidden/>
    <w:unhideWhenUsed/>
    <w:rsid w:val="008C6E19"/>
    <w:rPr>
      <w:rFonts w:ascii="Consolas" w:hAnsi="Consolas"/>
      <w:sz w:val="20"/>
      <w:szCs w:val="20"/>
    </w:rPr>
  </w:style>
  <w:style w:type="paragraph" w:styleId="HTMLPreformatted">
    <w:name w:val="HTML Preformatted"/>
    <w:basedOn w:val="Normal"/>
    <w:link w:val="HTMLPreformattedChar"/>
    <w:semiHidden/>
    <w:unhideWhenUsed/>
    <w:rsid w:val="008C6E19"/>
    <w:rPr>
      <w:rFonts w:ascii="Consolas" w:hAnsi="Consolas"/>
    </w:rPr>
  </w:style>
  <w:style w:type="character" w:customStyle="1" w:styleId="HTMLPreformattedChar">
    <w:name w:val="HTML Preformatted Char"/>
    <w:basedOn w:val="DefaultParagraphFont"/>
    <w:link w:val="HTMLPreformatted"/>
    <w:semiHidden/>
    <w:rsid w:val="008C6E19"/>
    <w:rPr>
      <w:rFonts w:ascii="Consolas" w:eastAsia="SimSun" w:hAnsi="Consolas" w:cs="Times New Roman"/>
      <w:kern w:val="0"/>
      <w:sz w:val="20"/>
      <w:szCs w:val="20"/>
      <w14:ligatures w14:val="none"/>
    </w:rPr>
  </w:style>
  <w:style w:type="character" w:styleId="HTMLSample">
    <w:name w:val="HTML Sample"/>
    <w:basedOn w:val="DefaultParagraphFont"/>
    <w:semiHidden/>
    <w:unhideWhenUsed/>
    <w:rsid w:val="008C6E19"/>
    <w:rPr>
      <w:rFonts w:ascii="Consolas" w:hAnsi="Consolas"/>
      <w:sz w:val="24"/>
      <w:szCs w:val="24"/>
    </w:rPr>
  </w:style>
  <w:style w:type="character" w:styleId="HTMLTypewriter">
    <w:name w:val="HTML Typewriter"/>
    <w:basedOn w:val="DefaultParagraphFont"/>
    <w:semiHidden/>
    <w:unhideWhenUsed/>
    <w:rsid w:val="008C6E19"/>
    <w:rPr>
      <w:rFonts w:ascii="Consolas" w:hAnsi="Consolas"/>
      <w:sz w:val="20"/>
      <w:szCs w:val="20"/>
    </w:rPr>
  </w:style>
  <w:style w:type="character" w:styleId="HTMLVariable">
    <w:name w:val="HTML Variable"/>
    <w:basedOn w:val="DefaultParagraphFont"/>
    <w:semiHidden/>
    <w:unhideWhenUsed/>
    <w:rsid w:val="008C6E19"/>
    <w:rPr>
      <w:i/>
      <w:iCs/>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qFormat/>
    <w:rsid w:val="008C6E19"/>
    <w:rPr>
      <w:i/>
      <w:iCs/>
      <w:color w:val="4472C4" w:themeColor="accent1"/>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6E19"/>
    <w:rPr>
      <w:rFonts w:ascii="Times New Roman" w:eastAsia="SimSun" w:hAnsi="Times New Roman" w:cs="Times New Roman"/>
      <w:i/>
      <w:iCs/>
      <w:color w:val="4472C4" w:themeColor="accent1"/>
      <w:kern w:val="0"/>
      <w:sz w:val="20"/>
      <w:szCs w:val="20"/>
      <w14:ligatures w14:val="none"/>
    </w:rPr>
  </w:style>
  <w:style w:type="character" w:styleId="IntenseReference">
    <w:name w:val="Intense Reference"/>
    <w:basedOn w:val="DefaultParagraphFont"/>
    <w:uiPriority w:val="32"/>
    <w:qFormat/>
    <w:rsid w:val="008C6E19"/>
    <w:rPr>
      <w:b/>
      <w:bCs/>
      <w:smallCaps/>
      <w:color w:val="4472C4" w:themeColor="accent1"/>
      <w:spacing w:val="5"/>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8C6E19"/>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uiPriority w:val="99"/>
    <w:semiHidden/>
    <w:unhideWhenUsed/>
    <w:rsid w:val="008C6E19"/>
    <w:pPr>
      <w:numPr>
        <w:numId w:val="3"/>
      </w:numPr>
      <w:contextualSpacing/>
    </w:pPr>
  </w:style>
  <w:style w:type="paragraph" w:styleId="ListBullet2">
    <w:name w:val="List Bullet 2"/>
    <w:basedOn w:val="Normal"/>
    <w:uiPriority w:val="99"/>
    <w:semiHidden/>
    <w:unhideWhenUsed/>
    <w:rsid w:val="008C6E19"/>
    <w:pPr>
      <w:numPr>
        <w:numId w:val="4"/>
      </w:numPr>
      <w:contextualSpacing/>
    </w:pPr>
  </w:style>
  <w:style w:type="paragraph" w:styleId="ListBullet3">
    <w:name w:val="List Bullet 3"/>
    <w:basedOn w:val="Normal"/>
    <w:uiPriority w:val="99"/>
    <w:semiHidden/>
    <w:unhideWhenUsed/>
    <w:rsid w:val="008C6E19"/>
    <w:pPr>
      <w:numPr>
        <w:numId w:val="5"/>
      </w:numPr>
      <w:contextualSpacing/>
    </w:pPr>
  </w:style>
  <w:style w:type="paragraph" w:styleId="ListBullet4">
    <w:name w:val="List Bullet 4"/>
    <w:basedOn w:val="Normal"/>
    <w:uiPriority w:val="99"/>
    <w:semiHidden/>
    <w:unhideWhenUsed/>
    <w:rsid w:val="008C6E19"/>
    <w:pPr>
      <w:numPr>
        <w:numId w:val="6"/>
      </w:numPr>
      <w:contextualSpacing/>
    </w:pPr>
  </w:style>
  <w:style w:type="paragraph" w:styleId="ListBullet5">
    <w:name w:val="List Bullet 5"/>
    <w:basedOn w:val="Normal"/>
    <w:uiPriority w:val="99"/>
    <w:semiHidden/>
    <w:unhideWhenUsed/>
    <w:rsid w:val="008C6E19"/>
    <w:pPr>
      <w:numPr>
        <w:numId w:val="7"/>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semiHidden/>
    <w:rsid w:val="00B950E1"/>
    <w:pPr>
      <w:numPr>
        <w:numId w:val="8"/>
      </w:numPr>
      <w:contextualSpacing/>
    </w:pPr>
  </w:style>
  <w:style w:type="paragraph" w:styleId="ListNumber2">
    <w:name w:val="List Number 2"/>
    <w:basedOn w:val="Normal"/>
    <w:uiPriority w:val="99"/>
    <w:semiHidden/>
    <w:unhideWhenUsed/>
    <w:rsid w:val="008C6E19"/>
    <w:pPr>
      <w:numPr>
        <w:numId w:val="9"/>
      </w:numPr>
      <w:contextualSpacing/>
    </w:pPr>
  </w:style>
  <w:style w:type="paragraph" w:styleId="ListNumber3">
    <w:name w:val="List Number 3"/>
    <w:basedOn w:val="Normal"/>
    <w:uiPriority w:val="99"/>
    <w:semiHidden/>
    <w:unhideWhenUsed/>
    <w:rsid w:val="008C6E19"/>
    <w:pPr>
      <w:numPr>
        <w:numId w:val="10"/>
      </w:numPr>
      <w:contextualSpacing/>
    </w:pPr>
  </w:style>
  <w:style w:type="paragraph" w:styleId="ListNumber4">
    <w:name w:val="List Number 4"/>
    <w:basedOn w:val="Normal"/>
    <w:uiPriority w:val="99"/>
    <w:semiHidden/>
    <w:unhideWhenUsed/>
    <w:rsid w:val="008C6E19"/>
    <w:pPr>
      <w:numPr>
        <w:numId w:val="11"/>
      </w:numPr>
      <w:contextualSpacing/>
    </w:pPr>
  </w:style>
  <w:style w:type="paragraph" w:styleId="ListNumber5">
    <w:name w:val="List Number 5"/>
    <w:basedOn w:val="Normal"/>
    <w:uiPriority w:val="99"/>
    <w:semiHidden/>
    <w:unhideWhenUsed/>
    <w:rsid w:val="008C6E19"/>
    <w:pPr>
      <w:numPr>
        <w:numId w:val="12"/>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8C6E19"/>
    <w:rPr>
      <w:color w:val="2B579A"/>
      <w:shd w:val="clear" w:color="auto" w:fill="E1DFDD"/>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SimSun" w:hAnsi="Times New Roman" w:cs="Times New Roman"/>
      <w:kern w:val="0"/>
      <w:sz w:val="20"/>
      <w:szCs w:val="20"/>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SimSun" w:hAnsi="Consolas" w:cs="Times New Roman"/>
      <w:kern w:val="0"/>
      <w:sz w:val="21"/>
      <w:szCs w:val="21"/>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SimSun" w:hAnsi="Times New Roman" w:cs="Times New Roman"/>
      <w:i/>
      <w:iCs/>
      <w:color w:val="404040" w:themeColor="text1" w:themeTint="BF"/>
      <w:kern w:val="0"/>
      <w:sz w:val="20"/>
      <w:szCs w:val="20"/>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SimSun" w:hAnsi="Times New Roman" w:cs="Times New Roman"/>
      <w:kern w:val="0"/>
      <w:sz w:val="20"/>
      <w:szCs w:val="20"/>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SimSun" w:hAnsi="Times New Roman" w:cs="Times New Roman"/>
      <w:kern w:val="0"/>
      <w:sz w:val="20"/>
      <w:szCs w:val="20"/>
      <w14:ligatures w14:val="none"/>
    </w:rPr>
  </w:style>
  <w:style w:type="character" w:customStyle="1" w:styleId="SmartHyperlink1">
    <w:name w:val="Smart Hyperlink1"/>
    <w:basedOn w:val="DefaultParagraphFont"/>
    <w:uiPriority w:val="99"/>
    <w:semiHidden/>
    <w:unhideWhenUsed/>
    <w:rsid w:val="008C6E19"/>
    <w:rPr>
      <w:u w:val="dotted"/>
    </w:rPr>
  </w:style>
  <w:style w:type="character" w:customStyle="1" w:styleId="SmartLink1">
    <w:name w:val="SmartLink1"/>
    <w:basedOn w:val="DefaultParagraphFont"/>
    <w:uiPriority w:val="99"/>
    <w:semiHidden/>
    <w:unhideWhenUsed/>
    <w:rsid w:val="008C6E19"/>
    <w:rPr>
      <w:color w:val="0000FF"/>
      <w:u w:val="single"/>
      <w:shd w:val="clear" w:color="auto" w:fill="F3F2F1"/>
    </w:rPr>
  </w:style>
  <w:style w:type="character" w:styleId="Strong">
    <w:name w:val="Strong"/>
    <w:basedOn w:val="DefaultParagraphFont"/>
    <w:qFormat/>
    <w:rsid w:val="008C6E19"/>
    <w:rPr>
      <w:b/>
      <w:bCs/>
    </w:rPr>
  </w:style>
  <w:style w:type="paragraph" w:styleId="Subtitle">
    <w:name w:val="Subtitle"/>
    <w:basedOn w:val="Normal"/>
    <w:next w:val="Normal"/>
    <w:link w:val="SubtitleChar"/>
    <w:uiPriority w:val="99"/>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8C6E19"/>
    <w:rPr>
      <w:color w:val="5A5A5A" w:themeColor="text1" w:themeTint="A5"/>
      <w:spacing w:val="15"/>
      <w:kern w:val="0"/>
      <w14:ligatures w14:val="none"/>
    </w:rPr>
  </w:style>
  <w:style w:type="character" w:styleId="SubtleEmphasis">
    <w:name w:val="Subtle Emphasis"/>
    <w:basedOn w:val="DefaultParagraphFont"/>
    <w:uiPriority w:val="19"/>
    <w:qFormat/>
    <w:rsid w:val="008C6E19"/>
    <w:rPr>
      <w:i/>
      <w:iCs/>
      <w:color w:val="404040" w:themeColor="text1" w:themeTint="BF"/>
    </w:rPr>
  </w:style>
  <w:style w:type="character" w:styleId="SubtleReference">
    <w:name w:val="Subtle Reference"/>
    <w:basedOn w:val="DefaultParagraphFont"/>
    <w:uiPriority w:val="31"/>
    <w:qFormat/>
    <w:rsid w:val="008C6E19"/>
    <w:rPr>
      <w:smallCaps/>
      <w:color w:val="5A5A5A" w:themeColor="text1" w:themeTint="A5"/>
    </w:rPr>
  </w:style>
  <w:style w:type="table" w:styleId="Table3Deffects1">
    <w:name w:val="Table 3D effects 1"/>
    <w:basedOn w:val="TableNormal"/>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C6E19"/>
    <w:rPr>
      <w:rFonts w:asciiTheme="majorHAnsi" w:eastAsiaTheme="majorEastAsia" w:hAnsiTheme="majorHAnsi" w:cstheme="majorBidi"/>
      <w:spacing w:val="-10"/>
      <w:kern w:val="28"/>
      <w:sz w:val="56"/>
      <w:szCs w:val="56"/>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spacing w:after="0"/>
      <w:ind w:left="0" w:firstLine="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B950E1"/>
    <w:rPr>
      <w:rFonts w:eastAsia="Times New Roman"/>
    </w:rPr>
  </w:style>
  <w:style w:type="paragraph" w:customStyle="1" w:styleId="AText0">
    <w:name w:val="A_Text0"/>
    <w:basedOn w:val="AText"/>
    <w:next w:val="Normal-pool"/>
    <w:qFormat/>
    <w:rsid w:val="00B950E1"/>
    <w:pPr>
      <w:spacing w:before="0" w:after="120"/>
    </w:pPr>
    <w:rPr>
      <w:rFonts w:eastAsia="Times New Roman"/>
    </w:rPr>
  </w:style>
  <w:style w:type="paragraph" w:customStyle="1" w:styleId="Normalpool">
    <w:name w:val="Normal_pool"/>
    <w:autoRedefine/>
    <w:semiHidden/>
    <w:rsid w:val="00774FE9"/>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kern w:val="0"/>
      <w:sz w:val="20"/>
      <w:szCs w:val="20"/>
      <w:lang w:eastAsia="en-US"/>
      <w14:ligatures w14:val="none"/>
    </w:rPr>
  </w:style>
  <w:style w:type="character" w:customStyle="1" w:styleId="UnresolvedMention10">
    <w:name w:val="Unresolved Mention1"/>
    <w:basedOn w:val="DefaultParagraphFont"/>
    <w:uiPriority w:val="99"/>
    <w:semiHidden/>
    <w:rsid w:val="00607B78"/>
    <w:rPr>
      <w:color w:val="605E5C"/>
      <w:shd w:val="clear" w:color="auto" w:fill="E1DFDD"/>
    </w:rPr>
  </w:style>
  <w:style w:type="table" w:customStyle="1" w:styleId="GridTable1Light1">
    <w:name w:val="Grid Table 1 Light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607B78"/>
    <w:pPr>
      <w:spacing w:after="0" w:line="240" w:lineRule="auto"/>
    </w:pPr>
    <w:rPr>
      <w:rFonts w:ascii="Times New Roman" w:eastAsia="SimSun" w:hAnsi="Times New Roman" w:cs="Times New Roman"/>
      <w:color w:val="000000" w:themeColor="text1"/>
      <w:kern w:val="0"/>
      <w:sz w:val="20"/>
      <w:szCs w:val="2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07B78"/>
    <w:pPr>
      <w:spacing w:after="0" w:line="240" w:lineRule="auto"/>
    </w:pPr>
    <w:rPr>
      <w:rFonts w:ascii="Times New Roman" w:eastAsia="SimSun" w:hAnsi="Times New Roman" w:cs="Times New Roman"/>
      <w:color w:val="2F5496" w:themeColor="accent1" w:themeShade="BF"/>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607B78"/>
    <w:pPr>
      <w:spacing w:after="0" w:line="240" w:lineRule="auto"/>
    </w:pPr>
    <w:rPr>
      <w:rFonts w:ascii="Times New Roman" w:eastAsia="SimSun" w:hAnsi="Times New Roman" w:cs="Times New Roman"/>
      <w:color w:val="C45911" w:themeColor="accent2" w:themeShade="BF"/>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607B78"/>
    <w:pPr>
      <w:spacing w:after="0" w:line="240" w:lineRule="auto"/>
    </w:pPr>
    <w:rPr>
      <w:rFonts w:ascii="Times New Roman" w:eastAsia="SimSun" w:hAnsi="Times New Roman" w:cs="Times New Roman"/>
      <w:color w:val="7B7B7B" w:themeColor="accent3" w:themeShade="BF"/>
      <w:kern w:val="0"/>
      <w:sz w:val="20"/>
      <w:szCs w:val="2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607B78"/>
    <w:pPr>
      <w:spacing w:after="0" w:line="240" w:lineRule="auto"/>
    </w:pPr>
    <w:rPr>
      <w:rFonts w:ascii="Times New Roman" w:eastAsia="SimSun" w:hAnsi="Times New Roman" w:cs="Times New Roman"/>
      <w:color w:val="BF8F00" w:themeColor="accent4" w:themeShade="BF"/>
      <w:kern w:val="0"/>
      <w:sz w:val="20"/>
      <w:szCs w:val="2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607B78"/>
    <w:pPr>
      <w:spacing w:after="0" w:line="240" w:lineRule="auto"/>
    </w:pPr>
    <w:rPr>
      <w:rFonts w:ascii="Times New Roman" w:eastAsia="SimSun" w:hAnsi="Times New Roman" w:cs="Times New Roman"/>
      <w:color w:val="2E74B5" w:themeColor="accent5" w:themeShade="BF"/>
      <w:kern w:val="0"/>
      <w:sz w:val="2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607B78"/>
    <w:pPr>
      <w:spacing w:after="0" w:line="240" w:lineRule="auto"/>
    </w:pPr>
    <w:rPr>
      <w:rFonts w:ascii="Times New Roman" w:eastAsia="SimSun" w:hAnsi="Times New Roman" w:cs="Times New Roman"/>
      <w:color w:val="538135" w:themeColor="accent6" w:themeShade="BF"/>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607B78"/>
    <w:pPr>
      <w:spacing w:after="0" w:line="240" w:lineRule="auto"/>
    </w:pPr>
    <w:rPr>
      <w:rFonts w:ascii="Times New Roman" w:eastAsia="SimSun" w:hAnsi="Times New Roman" w:cs="Times New Roman"/>
      <w:color w:val="000000" w:themeColor="text1"/>
      <w:kern w:val="0"/>
      <w:sz w:val="20"/>
      <w:szCs w:val="2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07B78"/>
    <w:pPr>
      <w:spacing w:after="0" w:line="240" w:lineRule="auto"/>
    </w:pPr>
    <w:rPr>
      <w:rFonts w:ascii="Times New Roman" w:eastAsia="SimSun" w:hAnsi="Times New Roman" w:cs="Times New Roman"/>
      <w:color w:val="2F5496" w:themeColor="accent1" w:themeShade="BF"/>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607B78"/>
    <w:pPr>
      <w:spacing w:after="0" w:line="240" w:lineRule="auto"/>
    </w:pPr>
    <w:rPr>
      <w:rFonts w:ascii="Times New Roman" w:eastAsia="SimSun" w:hAnsi="Times New Roman" w:cs="Times New Roman"/>
      <w:color w:val="C45911" w:themeColor="accent2" w:themeShade="BF"/>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607B78"/>
    <w:pPr>
      <w:spacing w:after="0" w:line="240" w:lineRule="auto"/>
    </w:pPr>
    <w:rPr>
      <w:rFonts w:ascii="Times New Roman" w:eastAsia="SimSun" w:hAnsi="Times New Roman" w:cs="Times New Roman"/>
      <w:color w:val="7B7B7B" w:themeColor="accent3" w:themeShade="BF"/>
      <w:kern w:val="0"/>
      <w:sz w:val="20"/>
      <w:szCs w:val="2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607B78"/>
    <w:pPr>
      <w:spacing w:after="0" w:line="240" w:lineRule="auto"/>
    </w:pPr>
    <w:rPr>
      <w:rFonts w:ascii="Times New Roman" w:eastAsia="SimSun" w:hAnsi="Times New Roman" w:cs="Times New Roman"/>
      <w:color w:val="BF8F00" w:themeColor="accent4" w:themeShade="BF"/>
      <w:kern w:val="0"/>
      <w:sz w:val="20"/>
      <w:szCs w:val="2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607B78"/>
    <w:pPr>
      <w:spacing w:after="0" w:line="240" w:lineRule="auto"/>
    </w:pPr>
    <w:rPr>
      <w:rFonts w:ascii="Times New Roman" w:eastAsia="SimSun" w:hAnsi="Times New Roman" w:cs="Times New Roman"/>
      <w:color w:val="2E74B5" w:themeColor="accent5" w:themeShade="BF"/>
      <w:kern w:val="0"/>
      <w:sz w:val="2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607B78"/>
    <w:pPr>
      <w:spacing w:after="0" w:line="240" w:lineRule="auto"/>
    </w:pPr>
    <w:rPr>
      <w:rFonts w:ascii="Times New Roman" w:eastAsia="SimSun" w:hAnsi="Times New Roman" w:cs="Times New Roman"/>
      <w:color w:val="538135" w:themeColor="accent6" w:themeShade="BF"/>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0">
    <w:name w:val="Hashtag1"/>
    <w:basedOn w:val="DefaultParagraphFont"/>
    <w:uiPriority w:val="99"/>
    <w:semiHidden/>
    <w:rsid w:val="00607B78"/>
    <w:rPr>
      <w:color w:val="2B579A"/>
      <w:shd w:val="clear" w:color="auto" w:fill="E1DFDD"/>
    </w:rPr>
  </w:style>
  <w:style w:type="table" w:customStyle="1" w:styleId="ListTable1Light1">
    <w:name w:val="List Table 1 Light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07B78"/>
    <w:pPr>
      <w:spacing w:after="0" w:line="240" w:lineRule="auto"/>
    </w:pPr>
    <w:rPr>
      <w:rFonts w:ascii="Times New Roman" w:eastAsia="SimSun" w:hAnsi="Times New Roman" w:cs="Times New Roman"/>
      <w:color w:val="FFFFFF" w:themeColor="background1"/>
      <w:kern w:val="0"/>
      <w:sz w:val="20"/>
      <w:szCs w:val="20"/>
      <w14:ligatures w14:val="non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07B78"/>
    <w:pPr>
      <w:spacing w:after="0" w:line="240" w:lineRule="auto"/>
    </w:pPr>
    <w:rPr>
      <w:rFonts w:ascii="Times New Roman" w:eastAsia="SimSun" w:hAnsi="Times New Roman" w:cs="Times New Roman"/>
      <w:color w:val="000000" w:themeColor="text1"/>
      <w:kern w:val="0"/>
      <w:sz w:val="20"/>
      <w:szCs w:val="20"/>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07B78"/>
    <w:pPr>
      <w:spacing w:after="0" w:line="240" w:lineRule="auto"/>
    </w:pPr>
    <w:rPr>
      <w:rFonts w:ascii="Times New Roman" w:eastAsia="SimSun" w:hAnsi="Times New Roman" w:cs="Times New Roman"/>
      <w:color w:val="2F5496" w:themeColor="accent1" w:themeShade="BF"/>
      <w:kern w:val="0"/>
      <w:sz w:val="20"/>
      <w:szCs w:val="20"/>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607B78"/>
    <w:pPr>
      <w:spacing w:after="0" w:line="240" w:lineRule="auto"/>
    </w:pPr>
    <w:rPr>
      <w:rFonts w:ascii="Times New Roman" w:eastAsia="SimSun" w:hAnsi="Times New Roman" w:cs="Times New Roman"/>
      <w:color w:val="C45911" w:themeColor="accent2" w:themeShade="BF"/>
      <w:kern w:val="0"/>
      <w:sz w:val="20"/>
      <w:szCs w:val="20"/>
      <w14:ligatures w14:val="non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607B78"/>
    <w:pPr>
      <w:spacing w:after="0" w:line="240" w:lineRule="auto"/>
    </w:pPr>
    <w:rPr>
      <w:rFonts w:ascii="Times New Roman" w:eastAsia="SimSun" w:hAnsi="Times New Roman" w:cs="Times New Roman"/>
      <w:color w:val="7B7B7B" w:themeColor="accent3" w:themeShade="BF"/>
      <w:kern w:val="0"/>
      <w:sz w:val="20"/>
      <w:szCs w:val="20"/>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607B78"/>
    <w:pPr>
      <w:spacing w:after="0" w:line="240" w:lineRule="auto"/>
    </w:pPr>
    <w:rPr>
      <w:rFonts w:ascii="Times New Roman" w:eastAsia="SimSun" w:hAnsi="Times New Roman" w:cs="Times New Roman"/>
      <w:color w:val="BF8F00" w:themeColor="accent4" w:themeShade="BF"/>
      <w:kern w:val="0"/>
      <w:sz w:val="20"/>
      <w:szCs w:val="20"/>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607B78"/>
    <w:pPr>
      <w:spacing w:after="0" w:line="240" w:lineRule="auto"/>
    </w:pPr>
    <w:rPr>
      <w:rFonts w:ascii="Times New Roman" w:eastAsia="SimSun" w:hAnsi="Times New Roman" w:cs="Times New Roman"/>
      <w:color w:val="2E74B5" w:themeColor="accent5" w:themeShade="BF"/>
      <w:kern w:val="0"/>
      <w:sz w:val="20"/>
      <w:szCs w:val="20"/>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607B78"/>
    <w:pPr>
      <w:spacing w:after="0" w:line="240" w:lineRule="auto"/>
    </w:pPr>
    <w:rPr>
      <w:rFonts w:ascii="Times New Roman" w:eastAsia="SimSun" w:hAnsi="Times New Roman" w:cs="Times New Roman"/>
      <w:color w:val="538135" w:themeColor="accent6" w:themeShade="BF"/>
      <w:kern w:val="0"/>
      <w:sz w:val="20"/>
      <w:szCs w:val="20"/>
      <w14:ligatures w14:val="non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607B78"/>
    <w:pPr>
      <w:spacing w:after="0" w:line="240" w:lineRule="auto"/>
    </w:pPr>
    <w:rPr>
      <w:rFonts w:ascii="Times New Roman" w:eastAsia="SimSun" w:hAnsi="Times New Roman" w:cs="Times New Roman"/>
      <w:color w:val="000000" w:themeColor="text1"/>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07B78"/>
    <w:pPr>
      <w:spacing w:after="0" w:line="240" w:lineRule="auto"/>
    </w:pPr>
    <w:rPr>
      <w:rFonts w:ascii="Times New Roman" w:eastAsia="SimSun" w:hAnsi="Times New Roman" w:cs="Times New Roman"/>
      <w:color w:val="2F5496" w:themeColor="accent1"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07B78"/>
    <w:pPr>
      <w:spacing w:after="0" w:line="240" w:lineRule="auto"/>
    </w:pPr>
    <w:rPr>
      <w:rFonts w:ascii="Times New Roman" w:eastAsia="SimSun" w:hAnsi="Times New Roman" w:cs="Times New Roman"/>
      <w:color w:val="C45911" w:themeColor="accent2"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07B78"/>
    <w:pPr>
      <w:spacing w:after="0" w:line="240" w:lineRule="auto"/>
    </w:pPr>
    <w:rPr>
      <w:rFonts w:ascii="Times New Roman" w:eastAsia="SimSun" w:hAnsi="Times New Roman" w:cs="Times New Roman"/>
      <w:color w:val="7B7B7B" w:themeColor="accent3"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07B78"/>
    <w:pPr>
      <w:spacing w:after="0" w:line="240" w:lineRule="auto"/>
    </w:pPr>
    <w:rPr>
      <w:rFonts w:ascii="Times New Roman" w:eastAsia="SimSun" w:hAnsi="Times New Roman" w:cs="Times New Roman"/>
      <w:color w:val="BF8F00" w:themeColor="accent4"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07B78"/>
    <w:pPr>
      <w:spacing w:after="0" w:line="240" w:lineRule="auto"/>
    </w:pPr>
    <w:rPr>
      <w:rFonts w:ascii="Times New Roman" w:eastAsia="SimSun" w:hAnsi="Times New Roman" w:cs="Times New Roman"/>
      <w:color w:val="2E74B5" w:themeColor="accent5"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07B78"/>
    <w:pPr>
      <w:spacing w:after="0" w:line="240" w:lineRule="auto"/>
    </w:pPr>
    <w:rPr>
      <w:rFonts w:ascii="Times New Roman" w:eastAsia="SimSun" w:hAnsi="Times New Roman" w:cs="Times New Roman"/>
      <w:color w:val="538135" w:themeColor="accent6" w:themeShade="BF"/>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0">
    <w:name w:val="Mention1"/>
    <w:basedOn w:val="DefaultParagraphFont"/>
    <w:uiPriority w:val="99"/>
    <w:semiHidden/>
    <w:rsid w:val="00607B78"/>
    <w:rPr>
      <w:color w:val="2B579A"/>
      <w:shd w:val="clear" w:color="auto" w:fill="E1DFDD"/>
    </w:rPr>
  </w:style>
  <w:style w:type="table" w:customStyle="1" w:styleId="PlainTable11">
    <w:name w:val="Plain Table 11"/>
    <w:basedOn w:val="TableNormal"/>
    <w:uiPriority w:val="41"/>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07B78"/>
    <w:pPr>
      <w:spacing w:after="0" w:line="240" w:lineRule="auto"/>
    </w:pPr>
    <w:rPr>
      <w:rFonts w:ascii="Times New Roman" w:eastAsia="SimSun" w:hAnsi="Times New Roman" w:cs="Times New Roman"/>
      <w:kern w:val="0"/>
      <w:sz w:val="20"/>
      <w:szCs w:val="2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0">
    <w:name w:val="Smart Hyperlink1"/>
    <w:basedOn w:val="DefaultParagraphFont"/>
    <w:uiPriority w:val="99"/>
    <w:semiHidden/>
    <w:rsid w:val="00607B78"/>
    <w:rPr>
      <w:u w:val="dotted"/>
    </w:rPr>
  </w:style>
  <w:style w:type="character" w:customStyle="1" w:styleId="SmartLink10">
    <w:name w:val="SmartLink1"/>
    <w:basedOn w:val="DefaultParagraphFont"/>
    <w:uiPriority w:val="99"/>
    <w:semiHidden/>
    <w:unhideWhenUsed/>
    <w:rsid w:val="00607B78"/>
    <w:rPr>
      <w:color w:val="0000FF"/>
      <w:u w:val="single"/>
      <w:shd w:val="clear" w:color="auto" w:fill="F3F2F1"/>
    </w:rPr>
  </w:style>
  <w:style w:type="table" w:customStyle="1" w:styleId="TableGridLight1">
    <w:name w:val="Table Grid Light1"/>
    <w:basedOn w:val="TableNormal"/>
    <w:uiPriority w:val="40"/>
    <w:rsid w:val="00607B78"/>
    <w:pPr>
      <w:spacing w:after="0" w:line="240" w:lineRule="auto"/>
    </w:pPr>
    <w:rPr>
      <w:rFonts w:ascii="Times New Roman" w:eastAsia="SimSun" w:hAnsi="Times New Roman"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07B78"/>
    <w:pPr>
      <w:spacing w:after="0" w:line="240" w:lineRule="auto"/>
    </w:pPr>
    <w:rPr>
      <w:rFonts w:ascii="Times New Roman" w:eastAsia="Times New Roman" w:hAnsi="Times New Roman" w:cs="Times New Roman"/>
      <w:kern w:val="0"/>
      <w:sz w:val="20"/>
      <w:szCs w:val="20"/>
      <w:lang w:eastAsia="en-US"/>
      <w14:ligatures w14:val="none"/>
    </w:rPr>
  </w:style>
  <w:style w:type="character" w:customStyle="1" w:styleId="CH2Char">
    <w:name w:val="CH2 Char"/>
    <w:link w:val="CH2"/>
    <w:locked/>
    <w:rsid w:val="00607B78"/>
    <w:rPr>
      <w:rFonts w:ascii="Times New Roman" w:eastAsia="SimSun" w:hAnsi="Times New Roman" w:cs="Times New Roman"/>
      <w:b/>
      <w:kern w:val="0"/>
      <w:sz w:val="24"/>
      <w:szCs w:val="24"/>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607B78"/>
    <w:pPr>
      <w:spacing w:after="160" w:line="240" w:lineRule="exact"/>
    </w:pPr>
    <w:rPr>
      <w:rFonts w:eastAsiaTheme="minorEastAsia" w:cstheme="minorBidi"/>
      <w:kern w:val="2"/>
      <w:szCs w:val="18"/>
      <w:vertAlign w:val="superscript"/>
      <w14:ligatures w14:val="standardContextual"/>
    </w:rPr>
  </w:style>
  <w:style w:type="paragraph" w:customStyle="1" w:styleId="msonormal0">
    <w:name w:val="msonormal"/>
    <w:basedOn w:val="Normal"/>
    <w:uiPriority w:val="99"/>
    <w:semiHidden/>
    <w:rsid w:val="00607B78"/>
    <w:pPr>
      <w:spacing w:before="100" w:beforeAutospacing="1" w:after="100" w:afterAutospacing="1"/>
    </w:pPr>
    <w:rPr>
      <w:rFonts w:eastAsiaTheme="minorEastAsia"/>
    </w:rPr>
  </w:style>
  <w:style w:type="character" w:customStyle="1" w:styleId="preferred">
    <w:name w:val="preferred"/>
    <w:basedOn w:val="DefaultParagraphFont"/>
    <w:semiHidden/>
    <w:rsid w:val="00607B78"/>
  </w:style>
  <w:style w:type="character" w:customStyle="1" w:styleId="hgkelc">
    <w:name w:val="hgkelc"/>
    <w:basedOn w:val="DefaultParagraphFont"/>
    <w:rsid w:val="00607B78"/>
  </w:style>
  <w:style w:type="character" w:customStyle="1" w:styleId="content">
    <w:name w:val="content"/>
    <w:basedOn w:val="DefaultParagraphFont"/>
    <w:rsid w:val="00607B78"/>
    <w:rPr>
      <w:lang w:val="fr-FR"/>
    </w:rPr>
  </w:style>
  <w:style w:type="character" w:customStyle="1" w:styleId="bitextlink">
    <w:name w:val="bitextlink"/>
    <w:basedOn w:val="DefaultParagraphFont"/>
    <w:rsid w:val="00607B78"/>
    <w:rPr>
      <w:lang w:val="fr-FR"/>
    </w:rPr>
  </w:style>
  <w:style w:type="paragraph" w:customStyle="1" w:styleId="Footer-jobnumber">
    <w:name w:val="Footer-jobnumber"/>
    <w:basedOn w:val="Normal-pool"/>
    <w:qFormat/>
    <w:rsid w:val="00B950E1"/>
    <w:pPr>
      <w:tabs>
        <w:tab w:val="clear" w:pos="624"/>
        <w:tab w:val="clear" w:pos="1247"/>
        <w:tab w:val="clear" w:pos="2495"/>
        <w:tab w:val="clear" w:pos="3119"/>
        <w:tab w:val="clear" w:pos="3742"/>
        <w:tab w:val="clear" w:pos="4366"/>
      </w:tabs>
    </w:pPr>
    <w:rPr>
      <w:rFonts w:eastAsia="Times New Roman"/>
      <w:lang w:eastAsia="en-US"/>
    </w:rPr>
  </w:style>
  <w:style w:type="character" w:customStyle="1" w:styleId="Hashtag2">
    <w:name w:val="Hashtag2"/>
    <w:basedOn w:val="DefaultParagraphFont"/>
    <w:uiPriority w:val="99"/>
    <w:semiHidden/>
    <w:unhideWhenUsed/>
    <w:rsid w:val="00B950E1"/>
    <w:rPr>
      <w:color w:val="2B579A"/>
      <w:shd w:val="clear" w:color="auto" w:fill="E1DFDD"/>
    </w:rPr>
  </w:style>
  <w:style w:type="character" w:customStyle="1" w:styleId="Mention2">
    <w:name w:val="Mention2"/>
    <w:basedOn w:val="DefaultParagraphFont"/>
    <w:uiPriority w:val="99"/>
    <w:semiHidden/>
    <w:unhideWhenUsed/>
    <w:rsid w:val="00B950E1"/>
    <w:rPr>
      <w:color w:val="2B579A"/>
      <w:shd w:val="clear" w:color="auto" w:fill="E1DFDD"/>
    </w:rPr>
  </w:style>
  <w:style w:type="character" w:customStyle="1" w:styleId="SmartHyperlink2">
    <w:name w:val="Smart Hyperlink2"/>
    <w:basedOn w:val="DefaultParagraphFont"/>
    <w:uiPriority w:val="99"/>
    <w:semiHidden/>
    <w:unhideWhenUsed/>
    <w:rsid w:val="00B950E1"/>
    <w:rPr>
      <w:u w:val="dotted"/>
    </w:rPr>
  </w:style>
  <w:style w:type="character" w:customStyle="1" w:styleId="SmartLink2">
    <w:name w:val="SmartLink2"/>
    <w:basedOn w:val="DefaultParagraphFont"/>
    <w:uiPriority w:val="99"/>
    <w:semiHidden/>
    <w:unhideWhenUsed/>
    <w:rsid w:val="00B950E1"/>
    <w:rPr>
      <w:color w:val="0000FF"/>
      <w:u w:val="single"/>
      <w:shd w:val="clear" w:color="auto" w:fill="F3F2F1"/>
    </w:rPr>
  </w:style>
  <w:style w:type="character" w:customStyle="1" w:styleId="UnresolvedMention2">
    <w:name w:val="Unresolved Mention2"/>
    <w:basedOn w:val="DefaultParagraphFont"/>
    <w:uiPriority w:val="99"/>
    <w:semiHidden/>
    <w:unhideWhenUsed/>
    <w:rsid w:val="00B9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mpact-trackin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2023-12-20T11:04:21+00:00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9BFAE-1938-45BC-BDB6-52407E7157DC}"/>
</file>

<file path=customXml/itemProps2.xml><?xml version="1.0" encoding="utf-8"?>
<ds:datastoreItem xmlns:ds="http://schemas.openxmlformats.org/officeDocument/2006/customXml" ds:itemID="{F5516989-9928-47D1-89C5-1CAB12E66F78}">
  <ds:schemaRefs>
    <ds:schemaRef ds:uri="985ec44e-1bab-4c0b-9df0-6ba128686fc9"/>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5a4600d-fc45-4aed-ad1e-9b44b590e5cc"/>
    <ds:schemaRef ds:uri="786100a8-bbaa-48b6-aa10-6d2082f346b4"/>
    <ds:schemaRef ds:uri="http://purl.org/dc/terms/"/>
  </ds:schemaRefs>
</ds:datastoreItem>
</file>

<file path=customXml/itemProps3.xml><?xml version="1.0" encoding="utf-8"?>
<ds:datastoreItem xmlns:ds="http://schemas.openxmlformats.org/officeDocument/2006/customXml" ds:itemID="{B2BE85F9-AE33-4316-A3B6-6FE68CF6F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34513</Words>
  <Characters>193279</Characters>
  <Application>Microsoft Office Word</Application>
  <DocSecurity>0</DocSecurity>
  <PresentationFormat/>
  <Lines>4494</Lines>
  <Paragraphs>2190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225602</CharactersWithSpaces>
  <SharedDoc>false</SharedDoc>
  <HyperlinkBase/>
  <HLinks>
    <vt:vector size="6" baseType="variant">
      <vt:variant>
        <vt:i4>1179661</vt:i4>
      </vt:variant>
      <vt:variant>
        <vt:i4>0</vt:i4>
      </vt:variant>
      <vt:variant>
        <vt:i4>0</vt:i4>
      </vt:variant>
      <vt:variant>
        <vt:i4>5</vt:i4>
      </vt:variant>
      <vt:variant>
        <vt:lpwstr>http://www.ipbes.net/impact-tracking-view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Herimalala Raveloarinjato</dc:creator>
  <cp:keywords/>
  <dc:description/>
  <cp:lastModifiedBy>Thomas Lieven</cp:lastModifiedBy>
  <cp:revision>3</cp:revision>
  <cp:lastPrinted>2023-12-20T06:40:00Z</cp:lastPrinted>
  <dcterms:created xsi:type="dcterms:W3CDTF">2023-12-20T06:40:00Z</dcterms:created>
  <dcterms:modified xsi:type="dcterms:W3CDTF">2023-12-20T06:41:00Z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0x0101001C49DCCFF06D044688251B3E010FA2BB</vt:lpwstr>
  </property>
</Properties>
</file>