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666C4C">
        <w:trPr>
          <w:cantSplit/>
          <w:trHeight w:val="1079"/>
        </w:trPr>
        <w:tc>
          <w:tcPr>
            <w:tcW w:w="1501" w:type="dxa"/>
          </w:tcPr>
          <w:p w14:paraId="51432495" w14:textId="77777777" w:rsidR="00606AC6" w:rsidRPr="00541206" w:rsidRDefault="00606AC6" w:rsidP="00666C4C">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17DF4079" w14:textId="77777777" w:rsidR="00606AC6" w:rsidRPr="009A55B3" w:rsidRDefault="00606AC6" w:rsidP="00666C4C">
            <w:pPr>
              <w:rPr>
                <w:sz w:val="6"/>
                <w:szCs w:val="6"/>
              </w:rPr>
            </w:pPr>
            <w:r>
              <w:rPr>
                <w:noProof/>
              </w:rPr>
              <w:drawing>
                <wp:inline distT="0" distB="0" distL="0" distR="0" wp14:anchorId="76850163" wp14:editId="67931EC9">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6AB91B5A" w14:textId="77777777" w:rsidR="00606AC6" w:rsidRPr="00606AC6" w:rsidRDefault="00606AC6" w:rsidP="00666C4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1FE7D19A" w:rsidR="00FE4A4D" w:rsidRPr="00952665" w:rsidRDefault="00FE4A4D" w:rsidP="00A551A8">
            <w:pPr>
              <w:bidi w:val="0"/>
              <w:jc w:val="both"/>
              <w:rPr>
                <w:b/>
                <w:sz w:val="24"/>
                <w:szCs w:val="24"/>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2E415B">
              <w:rPr>
                <w:rFonts w:cs="Times New Roman" w:hint="cs"/>
                <w:sz w:val="20"/>
                <w:szCs w:val="20"/>
                <w:rtl/>
              </w:rPr>
              <w:t>8</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4094DCEA" w:rsidR="00FE4A4D" w:rsidRPr="00952665" w:rsidRDefault="009D3D55" w:rsidP="00C84DB9">
            <w:pPr>
              <w:bidi w:val="0"/>
              <w:spacing w:after="120"/>
              <w:rPr>
                <w:sz w:val="20"/>
                <w:szCs w:val="20"/>
                <w:lang w:val="en-GB"/>
              </w:rPr>
            </w:pPr>
            <w:r>
              <w:rPr>
                <w:sz w:val="20"/>
                <w:szCs w:val="20"/>
              </w:rPr>
              <w:t>17</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7C6296" w:rsidRDefault="005E5BC8" w:rsidP="003B1924">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592324B1" w:rsidR="008A6A43" w:rsidRPr="007C6296" w:rsidRDefault="005E5BC8" w:rsidP="005E5BC8">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الدورة السابعة</w:t>
      </w:r>
    </w:p>
    <w:p w14:paraId="5E08A0ED" w14:textId="312A452C" w:rsidR="00195098" w:rsidRPr="00B946C5" w:rsidRDefault="00195098" w:rsidP="00B946C5">
      <w:pPr>
        <w:spacing w:line="320" w:lineRule="exact"/>
        <w:rPr>
          <w:sz w:val="24"/>
          <w:szCs w:val="24"/>
          <w:rtl/>
        </w:rPr>
      </w:pPr>
      <w:r w:rsidRPr="00B946C5">
        <w:rPr>
          <w:sz w:val="24"/>
          <w:szCs w:val="24"/>
          <w:rtl/>
        </w:rPr>
        <w:t>عبر الإنترنت، 14-24 حزيران/يونيه 2021</w:t>
      </w:r>
    </w:p>
    <w:p w14:paraId="0C1282BC" w14:textId="0B1488D3" w:rsidR="00195098" w:rsidRPr="00B946C5" w:rsidRDefault="00195098" w:rsidP="00B946C5">
      <w:pPr>
        <w:spacing w:after="60" w:line="320" w:lineRule="exact"/>
        <w:rPr>
          <w:sz w:val="24"/>
          <w:szCs w:val="24"/>
          <w:rtl/>
        </w:rPr>
      </w:pPr>
      <w:r w:rsidRPr="00B946C5">
        <w:rPr>
          <w:sz w:val="24"/>
          <w:szCs w:val="24"/>
          <w:rtl/>
        </w:rPr>
        <w:t xml:space="preserve">البند </w:t>
      </w:r>
      <w:r w:rsidR="006A0CB1">
        <w:rPr>
          <w:sz w:val="24"/>
          <w:szCs w:val="24"/>
        </w:rPr>
        <w:t>9</w:t>
      </w:r>
      <w:r w:rsidRPr="00B946C5">
        <w:rPr>
          <w:sz w:val="24"/>
          <w:szCs w:val="24"/>
          <w:rtl/>
        </w:rPr>
        <w:t xml:space="preserve"> من جدول الأعمال المؤقت</w:t>
      </w:r>
      <w:r w:rsidRPr="00B946C5">
        <w:rPr>
          <w:sz w:val="24"/>
          <w:szCs w:val="24"/>
          <w:vertAlign w:val="superscript"/>
        </w:rPr>
        <w:footnoteReference w:customMarkFollows="1" w:id="1"/>
        <w:t>*</w:t>
      </w:r>
    </w:p>
    <w:p w14:paraId="5C584D60" w14:textId="0C813C22" w:rsidR="00817765" w:rsidRPr="00B946C5" w:rsidRDefault="00AB3CEA" w:rsidP="00C00421">
      <w:pPr>
        <w:spacing w:line="280" w:lineRule="exact"/>
        <w:rPr>
          <w:b/>
          <w:bCs/>
          <w:szCs w:val="22"/>
          <w:rtl/>
        </w:rPr>
      </w:pPr>
      <w:bookmarkStart w:id="0" w:name="_Hlk499030572"/>
      <w:r>
        <w:rPr>
          <w:rFonts w:ascii="Simplified Arabic" w:hAnsi="Simplified Arabic" w:hint="cs"/>
          <w:bCs/>
          <w:szCs w:val="22"/>
          <w:rtl/>
        </w:rPr>
        <w:t>تحسين فعالية المنبر</w:t>
      </w:r>
    </w:p>
    <w:bookmarkEnd w:id="0"/>
    <w:p w14:paraId="739445B7" w14:textId="6CF5BE6C" w:rsidR="00BA568A" w:rsidRPr="00DF1132" w:rsidRDefault="00BA568A" w:rsidP="004D3122">
      <w:pPr>
        <w:pStyle w:val="BBTitle"/>
        <w:tabs>
          <w:tab w:val="clear" w:pos="1247"/>
          <w:tab w:val="clear" w:pos="1814"/>
          <w:tab w:val="left" w:pos="1132"/>
          <w:tab w:val="left" w:pos="1841"/>
        </w:tabs>
        <w:bidi/>
        <w:spacing w:before="360" w:line="340" w:lineRule="exact"/>
        <w:ind w:left="1134" w:right="0"/>
        <w:jc w:val="both"/>
        <w:textDirection w:val="tbRlV"/>
        <w:rPr>
          <w:bCs/>
          <w:rtl/>
          <w:lang w:val="ar-SA" w:eastAsia="zh-TW"/>
        </w:rPr>
      </w:pPr>
      <w:r w:rsidRPr="00632209">
        <w:rPr>
          <w:rFonts w:ascii="Simplified Arabic" w:hAnsi="Simplified Arabic" w:cs="Simplified Arabic"/>
          <w:bCs/>
          <w:rtl/>
        </w:rPr>
        <w:t>تقرير المكتب وفريق الخبراء المتعدد التخصصات والأمينة التنفيذية عن التقدم المحرز في تناول التوصيات الواردة في التقرير المتعلق باستعراض المنبر في نهاية برنامج عمله الأول</w:t>
      </w:r>
    </w:p>
    <w:p w14:paraId="1A438447" w14:textId="77777777" w:rsidR="00BA568A" w:rsidRDefault="00BA568A" w:rsidP="00BA568A">
      <w:pPr>
        <w:pStyle w:val="CH1"/>
        <w:tabs>
          <w:tab w:val="clear" w:pos="1247"/>
          <w:tab w:val="clear" w:pos="1814"/>
          <w:tab w:val="left" w:pos="1132"/>
          <w:tab w:val="left" w:pos="1841"/>
        </w:tabs>
        <w:bidi/>
        <w:spacing w:line="320" w:lineRule="exact"/>
        <w:ind w:left="1132" w:firstLine="0"/>
        <w:jc w:val="both"/>
        <w:textDirection w:val="tbRlV"/>
        <w:rPr>
          <w:rFonts w:ascii="Simplified Arabic" w:hAnsi="Simplified Arabic" w:cs="Simplified Arabic"/>
          <w:bCs/>
          <w:sz w:val="26"/>
          <w:szCs w:val="26"/>
        </w:rPr>
      </w:pPr>
      <w:r w:rsidRPr="003C0ED0">
        <w:rPr>
          <w:rFonts w:ascii="Simplified Arabic" w:hAnsi="Simplified Arabic" w:cs="Simplified Arabic"/>
          <w:bCs/>
          <w:sz w:val="26"/>
          <w:szCs w:val="26"/>
          <w:rtl/>
        </w:rPr>
        <w:t>مذكرة من الأمانة</w:t>
      </w:r>
    </w:p>
    <w:p w14:paraId="2B3668F1" w14:textId="77777777" w:rsidR="00BA568A" w:rsidRPr="00E824E9" w:rsidRDefault="00BA568A" w:rsidP="00BA568A">
      <w:pPr>
        <w:pStyle w:val="CH1"/>
        <w:tabs>
          <w:tab w:val="clear" w:pos="1247"/>
          <w:tab w:val="clear" w:pos="1814"/>
          <w:tab w:val="left" w:pos="1132"/>
          <w:tab w:val="left" w:pos="1841"/>
        </w:tabs>
        <w:bidi/>
        <w:spacing w:line="320" w:lineRule="exact"/>
        <w:ind w:left="1132" w:firstLine="0"/>
        <w:jc w:val="both"/>
        <w:rPr>
          <w:rFonts w:ascii="Simplified Arabic" w:hAnsi="Simplified Arabic" w:cs="Simplified Arabic"/>
          <w:bCs/>
          <w:sz w:val="26"/>
          <w:szCs w:val="26"/>
          <w:rtl/>
        </w:rPr>
      </w:pPr>
      <w:r w:rsidRPr="00E824E9">
        <w:rPr>
          <w:rFonts w:ascii="Simplified Arabic" w:hAnsi="Simplified Arabic" w:cs="Simplified Arabic" w:hint="cs"/>
          <w:bCs/>
          <w:sz w:val="26"/>
          <w:szCs w:val="26"/>
          <w:rtl/>
        </w:rPr>
        <w:t>مقدمة</w:t>
      </w:r>
    </w:p>
    <w:p w14:paraId="6164B486"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eastAsia="MS Mincho" w:hAnsi="Simplified Arabic" w:cs="Simplified Arabic"/>
          <w:sz w:val="24"/>
          <w:szCs w:val="24"/>
          <w:lang w:val="ar-SA" w:eastAsia="zh-TW"/>
        </w:rPr>
      </w:pPr>
      <w:r w:rsidRPr="00632209">
        <w:rPr>
          <w:rFonts w:ascii="Simplified Arabic" w:hAnsi="Simplified Arabic" w:cs="Simplified Arabic"/>
          <w:sz w:val="24"/>
          <w:szCs w:val="24"/>
          <w:rtl/>
        </w:rPr>
        <w:t>في إطار برنامج العمل الأول للمنبر الحكومي الدولي للعلوم والسياسات في مجال التنوع البيولوجي وخدمات النظم الإيكولوجية (المنبر)، كلف الاجتماع العام في الفرع التاسع من مقرره م ح د-2/5 بإجراء استعراض لفعالية وظائف المنبر الإدارية والعلمية. وقد أجري استعراض داخلي، بقيادة فريق الخبراء المتعدد التخصصات والمكتب، في الفترة الفاصلة بين الدورتين الخامسة والسادسة للاجتماع العام. وقد أنجز استعراض خارجي أجراه فريق استعراض يتألف من 10 أعضاء في وقت مناسب قبل انعقاد الدورة السابعة للاجتماع العام</w:t>
      </w:r>
      <w:r w:rsidRPr="00A67760">
        <w:rPr>
          <w:rFonts w:ascii="Simplified Arabic" w:hAnsi="Simplified Arabic" w:cs="Simplified Arabic"/>
          <w:sz w:val="24"/>
          <w:szCs w:val="24"/>
          <w:rtl/>
        </w:rPr>
        <w:t>.</w:t>
      </w:r>
    </w:p>
    <w:p w14:paraId="6F6E63C0" w14:textId="69AA3C6A"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وفي المقرر م ح د-7/2، أحاط الاجتماع العام علما</w:t>
      </w:r>
      <w:r w:rsidR="00C671AA">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بالأنشطة المضطلع بها لتنفيذ التوصيات الواردة في التقرير الذي أعده فريق الاستعراض الداخلي</w:t>
      </w:r>
      <w:r w:rsidRPr="00E824E9">
        <w:rPr>
          <w:rFonts w:ascii="Simplified Arabic" w:hAnsi="Simplified Arabic" w:cs="Simplified Arabic" w:hint="cs"/>
          <w:sz w:val="24"/>
          <w:szCs w:val="24"/>
          <w:vertAlign w:val="superscript"/>
          <w:rtl/>
        </w:rPr>
        <w:t>(</w:t>
      </w:r>
      <w:r w:rsidRPr="00E824E9">
        <w:rPr>
          <w:rFonts w:ascii="Simplified Arabic" w:hAnsi="Simplified Arabic" w:cs="Simplified Arabic"/>
          <w:sz w:val="24"/>
          <w:szCs w:val="24"/>
          <w:vertAlign w:val="superscript"/>
          <w:rtl/>
        </w:rPr>
        <w:footnoteReference w:id="2"/>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ورحب بالتقرير الذي أعده فريق الاستعراض عن استعراض المنبر في نهاية برنامج عمله الأول</w:t>
      </w:r>
      <w:r w:rsidRPr="00E824E9">
        <w:rPr>
          <w:rFonts w:ascii="Simplified Arabic" w:hAnsi="Simplified Arabic" w:cs="Simplified Arabic" w:hint="cs"/>
          <w:sz w:val="24"/>
          <w:szCs w:val="24"/>
          <w:vertAlign w:val="superscript"/>
          <w:rtl/>
        </w:rPr>
        <w:t>(</w:t>
      </w:r>
      <w:r w:rsidRPr="00E824E9">
        <w:rPr>
          <w:rFonts w:ascii="Simplified Arabic" w:hAnsi="Simplified Arabic" w:cs="Simplified Arabic"/>
          <w:sz w:val="24"/>
          <w:szCs w:val="24"/>
          <w:vertAlign w:val="superscript"/>
          <w:rtl/>
        </w:rPr>
        <w:footnoteReference w:id="3"/>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وبالردود التي قدمها فريق الخبراء المتعدد التخصصات والمكتب</w:t>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vertAlign w:val="superscript"/>
          <w:rtl/>
        </w:rPr>
        <w:footnoteReference w:id="4"/>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xml:space="preserve"> والأمينة التنفيذية على التقرير</w:t>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vertAlign w:val="superscript"/>
          <w:rtl/>
        </w:rPr>
        <w:footnoteReference w:id="5"/>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وفي المقرر نفسه، طلب الاجتماع العام إلى المكتب وفريق الخبراء المتعدد التخصصات والأمينة التنفيذية، وفقاً لولاية كل منهم، أخذ التوصيات التي قدمها فريق الاستعراض في الاعتبار عند تنفيذ برنامج عمل المنبر المتجدد حتى العام 2030 وتحديد حلول و/أو مسائل لكي ينظر فيها الاجتماع العام في دورته الثامنة.</w:t>
      </w:r>
    </w:p>
    <w:p w14:paraId="78F5AC3D"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واعتمد الاجتماع العام في دورته السابعة برنامج العمل المتجدد للمنبر حتى عام 2030، وذلك في مقرره م ح د-7/1، </w:t>
      </w:r>
      <w:r>
        <w:rPr>
          <w:rFonts w:ascii="Simplified Arabic" w:hAnsi="Simplified Arabic" w:cs="Simplified Arabic" w:hint="cs"/>
          <w:sz w:val="24"/>
          <w:szCs w:val="24"/>
          <w:rtl/>
        </w:rPr>
        <w:t>ويرد البرنامج</w:t>
      </w:r>
      <w:r w:rsidRPr="00632209">
        <w:rPr>
          <w:rFonts w:ascii="Simplified Arabic" w:hAnsi="Simplified Arabic" w:cs="Simplified Arabic"/>
          <w:sz w:val="24"/>
          <w:szCs w:val="24"/>
          <w:rtl/>
        </w:rPr>
        <w:t xml:space="preserve"> في المرفق الأول للمقرر. ويعمل الهدف 6 من برنامج العمل، تحسين فعالية المنبر، على ضمان الاستعراض الداخلي والخارجي المنتظم لفعالية المنبر الحكومي الدولي، ويتضمن ما يلي:</w:t>
      </w:r>
    </w:p>
    <w:p w14:paraId="03DDAB28" w14:textId="77777777" w:rsidR="00BA568A" w:rsidRPr="00632209" w:rsidRDefault="00BA568A" w:rsidP="004D3122">
      <w:pPr>
        <w:pStyle w:val="Normalnumber"/>
        <w:numPr>
          <w:ilvl w:val="1"/>
          <w:numId w:val="24"/>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632209">
        <w:rPr>
          <w:rFonts w:ascii="Simplified Arabic" w:hAnsi="Simplified Arabic" w:cs="Simplified Arabic"/>
          <w:i/>
          <w:iCs/>
          <w:sz w:val="24"/>
          <w:szCs w:val="24"/>
          <w:rtl/>
        </w:rPr>
        <w:lastRenderedPageBreak/>
        <w:t>الاستعراض المنتظم لفعالية المنبر</w:t>
      </w:r>
      <w:r w:rsidRPr="00632209">
        <w:rPr>
          <w:rFonts w:ascii="Simplified Arabic" w:hAnsi="Simplified Arabic" w:cs="Simplified Arabic"/>
          <w:sz w:val="24"/>
          <w:szCs w:val="24"/>
          <w:rtl/>
        </w:rPr>
        <w:t>: يسعى هذا الهدف إلى ضمان أن تُرشد نتيجة استعراض برنامج العمل الأول عملية تنفيذ برنامج العمل المتجدد حتى العام 2030، وأن يوضع إجراء لتنفيذ استعراض</w:t>
      </w:r>
      <w:r>
        <w:rPr>
          <w:rFonts w:ascii="Simplified Arabic" w:hAnsi="Simplified Arabic" w:cs="Simplified Arabic" w:hint="cs"/>
          <w:sz w:val="24"/>
          <w:szCs w:val="24"/>
          <w:rtl/>
        </w:rPr>
        <w:t xml:space="preserve"> يُجرى في</w:t>
      </w:r>
      <w:r w:rsidRPr="00632209">
        <w:rPr>
          <w:rFonts w:ascii="Simplified Arabic" w:hAnsi="Simplified Arabic" w:cs="Simplified Arabic"/>
          <w:sz w:val="24"/>
          <w:szCs w:val="24"/>
          <w:rtl/>
        </w:rPr>
        <w:t xml:space="preserve"> منتصف المدة واستعراض نهائي لبرنامج العمل المتجدد؛</w:t>
      </w:r>
    </w:p>
    <w:p w14:paraId="69FBCEE8" w14:textId="77777777" w:rsidR="00BA568A" w:rsidRPr="00632209" w:rsidRDefault="00BA568A" w:rsidP="004D3122">
      <w:pPr>
        <w:pStyle w:val="Normalnumber"/>
        <w:numPr>
          <w:ilvl w:val="1"/>
          <w:numId w:val="24"/>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632209">
        <w:rPr>
          <w:rFonts w:ascii="Simplified Arabic" w:hAnsi="Simplified Arabic" w:cs="Simplified Arabic"/>
          <w:i/>
          <w:iCs/>
          <w:sz w:val="24"/>
          <w:szCs w:val="24"/>
          <w:rtl/>
        </w:rPr>
        <w:t>استعراض الإطار المفاهيمي للمنبر</w:t>
      </w:r>
      <w:r w:rsidRPr="00632209">
        <w:rPr>
          <w:rFonts w:ascii="Simplified Arabic" w:hAnsi="Simplified Arabic" w:cs="Simplified Arabic"/>
          <w:sz w:val="24"/>
          <w:szCs w:val="24"/>
          <w:rtl/>
        </w:rPr>
        <w:t>: يسعى هذا الهدف إلى ضمان استعراض استخدام وأثر الإطار المفاهيمي للمنبر من أجل إرشاد تطور برنامج العمل المتجدد</w:t>
      </w:r>
      <w:r>
        <w:rPr>
          <w:rFonts w:ascii="Simplified Arabic" w:hAnsi="Simplified Arabic" w:cs="Simplified Arabic" w:hint="cs"/>
          <w:sz w:val="24"/>
          <w:szCs w:val="24"/>
          <w:rtl/>
        </w:rPr>
        <w:t>؛</w:t>
      </w:r>
    </w:p>
    <w:p w14:paraId="7C3D8F04" w14:textId="77777777" w:rsidR="00BA568A" w:rsidRPr="00632209" w:rsidRDefault="00BA568A" w:rsidP="004D3122">
      <w:pPr>
        <w:pStyle w:val="Normalnumber"/>
        <w:numPr>
          <w:ilvl w:val="1"/>
          <w:numId w:val="24"/>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632209">
        <w:rPr>
          <w:rFonts w:ascii="Simplified Arabic" w:hAnsi="Simplified Arabic" w:cs="Simplified Arabic"/>
          <w:i/>
          <w:iCs/>
          <w:sz w:val="24"/>
          <w:szCs w:val="24"/>
          <w:rtl/>
        </w:rPr>
        <w:t>تحسين فعالية عملية التقييم</w:t>
      </w:r>
      <w:r w:rsidRPr="00632209">
        <w:rPr>
          <w:rFonts w:ascii="Simplified Arabic" w:hAnsi="Simplified Arabic" w:cs="Simplified Arabic"/>
          <w:sz w:val="24"/>
          <w:szCs w:val="24"/>
          <w:rtl/>
        </w:rPr>
        <w:t>: يسعى هذا الهدف إلى توفير الدروس المستفادة والمشورة من المؤلفين وغيرهم من المساهمين في التقييمات المنجزة لفائدة المضطلعين بالتقييمات المستقبلية.</w:t>
      </w:r>
    </w:p>
    <w:p w14:paraId="60A48C81"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وفي الفرع الثاني من المقرر م ح د-7/1، طلب الاجتماع العام إلى فريق الخبراء المتعدد التخصصات والمكتب </w:t>
      </w:r>
      <w:r>
        <w:rPr>
          <w:rFonts w:ascii="Simplified Arabic" w:hAnsi="Simplified Arabic" w:cs="Simplified Arabic" w:hint="cs"/>
          <w:sz w:val="24"/>
          <w:szCs w:val="24"/>
          <w:rtl/>
        </w:rPr>
        <w:t>أن يستعرضا</w:t>
      </w:r>
      <w:r w:rsidRPr="00632209">
        <w:rPr>
          <w:rFonts w:ascii="Simplified Arabic" w:hAnsi="Simplified Arabic" w:cs="Simplified Arabic"/>
          <w:sz w:val="24"/>
          <w:szCs w:val="24"/>
          <w:rtl/>
        </w:rPr>
        <w:t xml:space="preserve"> الإطار المفاهيمي للمنبر تمشياً مع الهدف 6 (ب) من برنامج العمل. وطلب أيضاً إلى الأمينة التنفيذية تيسير تبادل الدروس المستفادة والمشورة بين المؤلفين والمساهمين الآخرين في التقييمات المنجزة وبين أولئك الذين سيجرون التقييمات في المستقبل.</w:t>
      </w:r>
    </w:p>
    <w:p w14:paraId="23AF1B0A"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وفي الفرع السادس من المقرر م ح د-</w:t>
      </w:r>
      <w:r>
        <w:rPr>
          <w:rFonts w:ascii="Simplified Arabic" w:hAnsi="Simplified Arabic" w:cs="Simplified Arabic" w:hint="cs"/>
          <w:sz w:val="24"/>
          <w:szCs w:val="24"/>
          <w:rtl/>
        </w:rPr>
        <w:t>7</w:t>
      </w:r>
      <w:r w:rsidRPr="00632209">
        <w:rPr>
          <w:rFonts w:ascii="Simplified Arabic" w:hAnsi="Simplified Arabic" w:cs="Simplified Arabic"/>
          <w:sz w:val="24"/>
          <w:szCs w:val="24"/>
          <w:rtl/>
        </w:rPr>
        <w:t>/</w:t>
      </w:r>
      <w:r>
        <w:rPr>
          <w:rFonts w:ascii="Simplified Arabic" w:hAnsi="Simplified Arabic" w:cs="Simplified Arabic" w:hint="cs"/>
          <w:sz w:val="24"/>
          <w:szCs w:val="24"/>
          <w:rtl/>
        </w:rPr>
        <w:t>1</w:t>
      </w:r>
      <w:r w:rsidRPr="00632209">
        <w:rPr>
          <w:rFonts w:ascii="Simplified Arabic" w:hAnsi="Simplified Arabic" w:cs="Simplified Arabic"/>
          <w:sz w:val="24"/>
          <w:szCs w:val="24"/>
          <w:rtl/>
        </w:rPr>
        <w:t>، طلب الاجتماع العام إلى الأمينة التنفيذية أن تلتمس آراء أعضاء المنبر وأصحاب المصلحة بشأن عملية استعراض المنبر في ختام برنامج عمله الأول، وطلب إلى المكتب وفريق الخبراء المتعدد التخصصات أن يستعرضا تلك العملية، آخذين في اعتبارهما الآراء التي أعرب عنها أعضاء المنبر وأصحاب المصلحة فيه، وأن يعدا مشروع اختصاصات لاستعراض يجرى في منتصف المدة للمنبر، لكي ينظر فيه الاجتماع العام في دورته التاسعة.</w:t>
      </w:r>
    </w:p>
    <w:p w14:paraId="0FAD10DF"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ويعرض الفرع الأول من هذه المذكرة معلومات عن الردود على توصيات فريق الاستعراض وعن أنشطة المتابعة، في حين يصف الفرع الثاني الخطوات نحو إجراء استعراض منتصف المدة لتنفيذ برنامج العمل المتجدد لعام 2030. ويرد مشروع مقرر بشأن هذه المسائل في مذكرة الأمانة بشأن مشاريع المقررات للدورة الثامنة للاجتماع العام (</w:t>
      </w:r>
      <w:r w:rsidRPr="00632209">
        <w:rPr>
          <w:rFonts w:asciiTheme="majorBidi" w:hAnsiTheme="majorBidi" w:cstheme="majorBidi"/>
        </w:rPr>
        <w:t>IPBES/8/1/Add.2</w:t>
      </w:r>
      <w:r w:rsidRPr="00632209">
        <w:rPr>
          <w:rFonts w:ascii="Simplified Arabic" w:hAnsi="Simplified Arabic" w:cs="Simplified Arabic"/>
          <w:sz w:val="24"/>
          <w:szCs w:val="24"/>
          <w:rtl/>
        </w:rPr>
        <w:t>).</w:t>
      </w:r>
    </w:p>
    <w:p w14:paraId="7D6D045D"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6"/>
          <w:szCs w:val="26"/>
          <w:rtl/>
        </w:rPr>
      </w:pPr>
      <w:r>
        <w:rPr>
          <w:rFonts w:ascii="Simplified Arabic" w:hAnsi="Simplified Arabic" w:cs="Simplified Arabic" w:hint="cs"/>
          <w:b w:val="0"/>
          <w:bCs/>
          <w:w w:val="95"/>
          <w:sz w:val="26"/>
          <w:szCs w:val="26"/>
          <w:rtl/>
        </w:rPr>
        <w:t>أولاً-</w:t>
      </w:r>
      <w:r w:rsidRPr="00632209">
        <w:rPr>
          <w:rFonts w:ascii="Simplified Arabic" w:hAnsi="Simplified Arabic" w:cs="Simplified Arabic"/>
          <w:b w:val="0"/>
          <w:bCs/>
          <w:w w:val="95"/>
          <w:sz w:val="26"/>
          <w:szCs w:val="26"/>
          <w:rtl/>
        </w:rPr>
        <w:tab/>
        <w:t>الردود على توصيات فريق الاستعراض وأنشطة المتابعة المتعلقة بذلك</w:t>
      </w:r>
    </w:p>
    <w:p w14:paraId="5A4D5D51"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4"/>
          <w:szCs w:val="24"/>
          <w:rtl/>
        </w:rPr>
      </w:pPr>
      <w:r>
        <w:rPr>
          <w:rFonts w:ascii="Simplified Arabic" w:hAnsi="Simplified Arabic" w:cs="Simplified Arabic" w:hint="cs"/>
          <w:b w:val="0"/>
          <w:bCs/>
          <w:w w:val="95"/>
          <w:sz w:val="24"/>
          <w:szCs w:val="24"/>
          <w:rtl/>
        </w:rPr>
        <w:t>ألف-</w:t>
      </w:r>
      <w:r w:rsidRPr="00632209">
        <w:rPr>
          <w:rFonts w:ascii="Simplified Arabic" w:hAnsi="Simplified Arabic" w:cs="Simplified Arabic"/>
          <w:b w:val="0"/>
          <w:bCs/>
          <w:w w:val="95"/>
          <w:sz w:val="24"/>
          <w:szCs w:val="24"/>
          <w:rtl/>
        </w:rPr>
        <w:tab/>
        <w:t>اعتبارات عامة</w:t>
      </w:r>
    </w:p>
    <w:p w14:paraId="6501DE3D"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تناول الاجتماع العام عدة توصيات لفريق الاستعراض من خلال برنامج العمل المتجدد للمنبر حتى عام 2030، الذي اعتُمد في المقرر م ح د-</w:t>
      </w:r>
      <w:r>
        <w:rPr>
          <w:rFonts w:ascii="Simplified Arabic" w:hAnsi="Simplified Arabic" w:cs="Simplified Arabic" w:hint="cs"/>
          <w:sz w:val="24"/>
          <w:szCs w:val="24"/>
          <w:rtl/>
        </w:rPr>
        <w:t>7/1</w:t>
      </w:r>
      <w:r w:rsidRPr="00632209">
        <w:rPr>
          <w:rFonts w:ascii="Simplified Arabic" w:hAnsi="Simplified Arabic" w:cs="Simplified Arabic"/>
          <w:sz w:val="24"/>
          <w:szCs w:val="24"/>
          <w:rtl/>
        </w:rPr>
        <w:t xml:space="preserve">. وواصل المكتب وفريق الخبراء المتعدد التخصصات والأمينة التنفيذية النظر في توصيات فريق الاستعراض في تنفيذ برنامج العمل. وتبين الوثيقة </w:t>
      </w:r>
      <w:r w:rsidRPr="00632209">
        <w:rPr>
          <w:rFonts w:asciiTheme="majorBidi" w:hAnsiTheme="majorBidi" w:cstheme="majorBidi"/>
        </w:rPr>
        <w:t>IPBES/8/INF/21</w:t>
      </w:r>
      <w:r w:rsidRPr="00632209">
        <w:rPr>
          <w:rFonts w:ascii="Simplified Arabic" w:hAnsi="Simplified Arabic" w:cs="Simplified Arabic"/>
          <w:sz w:val="24"/>
          <w:szCs w:val="24"/>
          <w:rtl/>
        </w:rPr>
        <w:t xml:space="preserve"> التقدم المحرز في الرد على توصيات محددة.</w:t>
      </w:r>
    </w:p>
    <w:p w14:paraId="13B7C6FE" w14:textId="76FA3FB5"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وقرر المكتب وفريق الخبراء المتعدد التخصصات، في الاجتماع الثالث عشر </w:t>
      </w:r>
      <w:r>
        <w:rPr>
          <w:rFonts w:ascii="Simplified Arabic" w:hAnsi="Simplified Arabic" w:cs="Simplified Arabic" w:hint="cs"/>
          <w:sz w:val="24"/>
          <w:szCs w:val="24"/>
          <w:rtl/>
        </w:rPr>
        <w:t>لكل منهما</w:t>
      </w:r>
      <w:r w:rsidRPr="00632209">
        <w:rPr>
          <w:rFonts w:ascii="Simplified Arabic" w:hAnsi="Simplified Arabic" w:cs="Simplified Arabic"/>
          <w:sz w:val="24"/>
          <w:szCs w:val="24"/>
          <w:rtl/>
        </w:rPr>
        <w:t>، مواصلة النظر في بعض التوصيات، ولا سيما التوصيات المتعلقة بما يلي</w:t>
      </w:r>
      <w:r w:rsidRPr="00632209">
        <w:rPr>
          <w:rFonts w:ascii="Simplified Arabic" w:hAnsi="Simplified Arabic" w:cs="Simplified Arabic"/>
          <w:sz w:val="24"/>
          <w:szCs w:val="24"/>
        </w:rPr>
        <w:t>:</w:t>
      </w:r>
    </w:p>
    <w:p w14:paraId="0C59C948" w14:textId="77777777" w:rsidR="00BA568A" w:rsidRPr="00632209" w:rsidRDefault="00BA568A" w:rsidP="004D3122">
      <w:pPr>
        <w:pStyle w:val="Normalnumber"/>
        <w:numPr>
          <w:ilvl w:val="1"/>
          <w:numId w:val="25"/>
        </w:numPr>
        <w:tabs>
          <w:tab w:val="clear" w:pos="1247"/>
          <w:tab w:val="clear" w:pos="1814"/>
          <w:tab w:val="clear" w:pos="2381"/>
          <w:tab w:val="clear" w:pos="2948"/>
          <w:tab w:val="clear" w:pos="3515"/>
          <w:tab w:val="num" w:pos="1274"/>
          <w:tab w:val="left" w:pos="2408"/>
        </w:tabs>
        <w:bidi/>
        <w:spacing w:line="340" w:lineRule="exact"/>
        <w:ind w:firstLine="594"/>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الأدوار التي يؤديها المكتب وفريق الخبراء المتعدد التخصصات</w:t>
      </w:r>
      <w:r>
        <w:rPr>
          <w:rFonts w:ascii="Simplified Arabic" w:hAnsi="Simplified Arabic" w:cs="Simplified Arabic" w:hint="cs"/>
          <w:sz w:val="24"/>
          <w:szCs w:val="24"/>
          <w:rtl/>
        </w:rPr>
        <w:t>؛</w:t>
      </w:r>
    </w:p>
    <w:p w14:paraId="6B8B7BD0" w14:textId="77777777" w:rsidR="00BA568A" w:rsidRPr="00632209" w:rsidRDefault="00BA568A" w:rsidP="004D3122">
      <w:pPr>
        <w:pStyle w:val="Normalnumber"/>
        <w:numPr>
          <w:ilvl w:val="1"/>
          <w:numId w:val="25"/>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التوجيهات بشأن أدوار مراكز التنسيق الوطنية وممارساتها الجيدة؛</w:t>
      </w:r>
    </w:p>
    <w:p w14:paraId="6119BE4A" w14:textId="796AF0E5" w:rsidR="00BA568A" w:rsidRPr="00632209" w:rsidRDefault="00BA568A" w:rsidP="004D3122">
      <w:pPr>
        <w:pStyle w:val="Normalnumber"/>
        <w:numPr>
          <w:ilvl w:val="1"/>
          <w:numId w:val="25"/>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استخدام وأثر الإطار المفاهيمي للمنبر</w:t>
      </w:r>
      <w:r>
        <w:rPr>
          <w:rFonts w:ascii="Simplified Arabic" w:hAnsi="Simplified Arabic" w:cs="Simplified Arabic" w:hint="cs"/>
          <w:sz w:val="24"/>
          <w:szCs w:val="24"/>
          <w:rtl/>
        </w:rPr>
        <w:t>؛</w:t>
      </w:r>
    </w:p>
    <w:p w14:paraId="33A61418" w14:textId="77777777" w:rsidR="00BA568A" w:rsidRPr="00632209" w:rsidRDefault="00BA568A" w:rsidP="004D3122">
      <w:pPr>
        <w:pStyle w:val="Normalnumber"/>
        <w:numPr>
          <w:ilvl w:val="1"/>
          <w:numId w:val="25"/>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تحسين فعالية عملية التقييم</w:t>
      </w:r>
      <w:r>
        <w:rPr>
          <w:rFonts w:ascii="Simplified Arabic" w:hAnsi="Simplified Arabic" w:cs="Simplified Arabic" w:hint="cs"/>
          <w:sz w:val="24"/>
          <w:szCs w:val="24"/>
          <w:rtl/>
        </w:rPr>
        <w:t>.</w:t>
      </w:r>
    </w:p>
    <w:p w14:paraId="055DB630" w14:textId="1A93ACAE"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ويرد وصف للتقدم المحرز في تناول تلك التوصيات في الفروع التالية.</w:t>
      </w:r>
    </w:p>
    <w:p w14:paraId="7722FE44"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4"/>
          <w:szCs w:val="24"/>
          <w:rtl/>
        </w:rPr>
      </w:pPr>
      <w:r>
        <w:rPr>
          <w:rFonts w:ascii="Simplified Arabic" w:hAnsi="Simplified Arabic" w:cs="Simplified Arabic" w:hint="cs"/>
          <w:b w:val="0"/>
          <w:bCs/>
          <w:w w:val="95"/>
          <w:sz w:val="24"/>
          <w:szCs w:val="24"/>
          <w:rtl/>
        </w:rPr>
        <w:t>باء-</w:t>
      </w:r>
      <w:r w:rsidRPr="00632209">
        <w:rPr>
          <w:rFonts w:ascii="Simplified Arabic" w:hAnsi="Simplified Arabic" w:cs="Simplified Arabic"/>
          <w:b w:val="0"/>
          <w:bCs/>
          <w:w w:val="95"/>
          <w:sz w:val="24"/>
          <w:szCs w:val="24"/>
          <w:rtl/>
        </w:rPr>
        <w:tab/>
        <w:t>التمييز بين الأدوار التي يؤديها المكتب وفريق الخبراء المتعدد التخصصات</w:t>
      </w:r>
    </w:p>
    <w:p w14:paraId="148164B3"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في التقرير المتعلق باستعراض المنبر في نهاية برنامج عمله الأول، خلص فريق الاستعراض الخارجي في النتيجة 16 إلى أن كثيراً من المشاركين رأوا أن ”هيكل الحوكمة في المنبر مُبالغ في تصميمه، إذ يوجد تداخل في مهام فريق الخبراء المتعدد التخصصات والمكتب، مما يؤدي في كثير من الأحيان إلى ازدواجية الجهود وعدم </w:t>
      </w:r>
      <w:r w:rsidRPr="00632209">
        <w:rPr>
          <w:rFonts w:ascii="Simplified Arabic" w:hAnsi="Simplified Arabic" w:cs="Simplified Arabic"/>
          <w:sz w:val="24"/>
          <w:szCs w:val="24"/>
          <w:rtl/>
        </w:rPr>
        <w:lastRenderedPageBreak/>
        <w:t>وضوح الفصل بين المهام، وهو ما يتعارض مع مبادئ الحوكمة الجيدة“. واقترح التقرير أن ”الفصل الناجم عن تشكيل فريق الخبراء المتعدد التخصصات والمكتب كهيئتين متميزتين أصبح أمراً مرهقاً ولا يبدو أنه يضيف أي قيمة تُذكر“. وبالنظر إلى القيود ذات الصلة الأخرى لاسيما فيما يتعلق بالميزانية والوقت الذي ينفقه الموظفون لدعم اللجان، رأى فريق الاستعراض فرصة لوضع هيكل حوكمة أكثر بساطة وأوصى في توصيته 10، بأن ينظر الاجتماع العام في هذه المسألة.</w:t>
      </w:r>
    </w:p>
    <w:p w14:paraId="4300F361"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ونظر أعضاء فريق الخبراء المتعدد التخصصات والمكتب في التوصية ووجدوا أنه على الرغم من وجود عدد من نقاط الضعف في الهيكل الحالي على النحو الذي يحدده النظام </w:t>
      </w:r>
      <w:r>
        <w:rPr>
          <w:rFonts w:ascii="Simplified Arabic" w:hAnsi="Simplified Arabic" w:cs="Simplified Arabic" w:hint="cs"/>
          <w:sz w:val="24"/>
          <w:szCs w:val="24"/>
          <w:rtl/>
        </w:rPr>
        <w:t>الداخلي</w:t>
      </w:r>
      <w:r w:rsidRPr="00DC085D">
        <w:rPr>
          <w:rFonts w:ascii="Simplified Arabic" w:hAnsi="Simplified Arabic" w:cs="Simplified Arabic" w:hint="cs"/>
          <w:sz w:val="24"/>
          <w:szCs w:val="24"/>
          <w:vertAlign w:val="superscript"/>
          <w:rtl/>
        </w:rPr>
        <w:t>(</w:t>
      </w:r>
      <w:r w:rsidRPr="00DC085D">
        <w:rPr>
          <w:rFonts w:ascii="Simplified Arabic" w:hAnsi="Simplified Arabic" w:cs="Simplified Arabic"/>
          <w:sz w:val="24"/>
          <w:szCs w:val="24"/>
          <w:vertAlign w:val="superscript"/>
          <w:rtl/>
        </w:rPr>
        <w:footnoteReference w:id="6"/>
      </w:r>
      <w:r w:rsidRPr="00DC085D">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xml:space="preserve"> وإجراءات إعداد نواتج المنبر</w:t>
      </w:r>
      <w:r w:rsidRPr="00DC085D">
        <w:rPr>
          <w:rFonts w:ascii="Simplified Arabic" w:hAnsi="Simplified Arabic" w:cs="Simplified Arabic" w:hint="cs"/>
          <w:sz w:val="24"/>
          <w:szCs w:val="24"/>
          <w:vertAlign w:val="superscript"/>
          <w:rtl/>
        </w:rPr>
        <w:t>(</w:t>
      </w:r>
      <w:r w:rsidRPr="00DC085D">
        <w:rPr>
          <w:rFonts w:ascii="Simplified Arabic" w:hAnsi="Simplified Arabic" w:cs="Simplified Arabic"/>
          <w:sz w:val="24"/>
          <w:szCs w:val="24"/>
          <w:vertAlign w:val="superscript"/>
          <w:rtl/>
        </w:rPr>
        <w:footnoteReference w:id="7"/>
      </w:r>
      <w:r w:rsidRPr="00DC085D">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فإن مواطن الضعف لا تبرر تنقيح نظام المنبر وإجراءاته.</w:t>
      </w:r>
    </w:p>
    <w:p w14:paraId="1685AD9A" w14:textId="2DF7F45D"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وبدلا</w:t>
      </w:r>
      <w:r w:rsidR="007239A2">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ذلك، وافق فريق الخبراء المتعدد التخصصات والمكتب، في الاجتماع الرابع عشر </w:t>
      </w:r>
      <w:r>
        <w:rPr>
          <w:rFonts w:ascii="Simplified Arabic" w:hAnsi="Simplified Arabic" w:cs="Simplified Arabic" w:hint="cs"/>
          <w:sz w:val="24"/>
          <w:szCs w:val="24"/>
          <w:rtl/>
        </w:rPr>
        <w:t>لكل منهما</w:t>
      </w:r>
      <w:r w:rsidRPr="00632209">
        <w:rPr>
          <w:rFonts w:ascii="Simplified Arabic" w:hAnsi="Simplified Arabic" w:cs="Simplified Arabic"/>
          <w:sz w:val="24"/>
          <w:szCs w:val="24"/>
          <w:rtl/>
        </w:rPr>
        <w:t xml:space="preserve">، على الطرائق والتوجيهات العملية لتنفيذ أدوارهما المتميزة في عملية تقييم المنبر وفي عمل فرق العمل التابعة للمنبر. وترد التوجيهات في الوثيقة </w:t>
      </w:r>
      <w:r w:rsidRPr="00632209">
        <w:rPr>
          <w:rFonts w:asciiTheme="majorBidi" w:hAnsiTheme="majorBidi" w:cstheme="majorBidi"/>
        </w:rPr>
        <w:t>IPBES/8/INF/22</w:t>
      </w:r>
      <w:r w:rsidRPr="00632209">
        <w:rPr>
          <w:rFonts w:ascii="Simplified Arabic" w:hAnsi="Simplified Arabic" w:cs="Simplified Arabic"/>
          <w:sz w:val="24"/>
          <w:szCs w:val="24"/>
          <w:rtl/>
        </w:rPr>
        <w:t>.</w:t>
      </w:r>
    </w:p>
    <w:p w14:paraId="2161ACDD"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وعلاوة على ذلك، وافق المكتب وفريق الخبراء المتعدد التخصصات على مدونة قواعد ممارسات لأعضائهما، ترد أيضاً في الوثيقة </w:t>
      </w:r>
      <w:r w:rsidRPr="00632209">
        <w:rPr>
          <w:rFonts w:asciiTheme="majorBidi" w:hAnsiTheme="majorBidi" w:cstheme="majorBidi"/>
        </w:rPr>
        <w:t>IPBES/8/INF/22</w:t>
      </w:r>
      <w:r w:rsidRPr="00632209">
        <w:rPr>
          <w:rFonts w:ascii="Simplified Arabic" w:hAnsi="Simplified Arabic" w:cs="Simplified Arabic"/>
          <w:sz w:val="24"/>
          <w:szCs w:val="24"/>
          <w:rtl/>
        </w:rPr>
        <w:t>.</w:t>
      </w:r>
    </w:p>
    <w:p w14:paraId="3B314B70"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4"/>
          <w:szCs w:val="24"/>
          <w:rtl/>
        </w:rPr>
      </w:pPr>
      <w:r>
        <w:rPr>
          <w:rFonts w:ascii="Simplified Arabic" w:hAnsi="Simplified Arabic" w:cs="Simplified Arabic" w:hint="cs"/>
          <w:b w:val="0"/>
          <w:bCs/>
          <w:w w:val="95"/>
          <w:sz w:val="24"/>
          <w:szCs w:val="24"/>
          <w:rtl/>
        </w:rPr>
        <w:t>جيم-</w:t>
      </w:r>
      <w:r w:rsidRPr="00632209">
        <w:rPr>
          <w:rFonts w:ascii="Simplified Arabic" w:hAnsi="Simplified Arabic" w:cs="Simplified Arabic"/>
          <w:b w:val="0"/>
          <w:bCs/>
          <w:w w:val="95"/>
          <w:sz w:val="24"/>
          <w:szCs w:val="24"/>
          <w:rtl/>
        </w:rPr>
        <w:tab/>
        <w:t>دليل مراكز التنسيق الوطنية للمنبر</w:t>
      </w:r>
    </w:p>
    <w:p w14:paraId="6D27E785" w14:textId="6E17F509"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bookmarkStart w:id="1" w:name="_Toc29541356"/>
      <w:r w:rsidRPr="00632209">
        <w:rPr>
          <w:rFonts w:ascii="Simplified Arabic" w:hAnsi="Simplified Arabic" w:cs="Simplified Arabic"/>
          <w:sz w:val="24"/>
          <w:szCs w:val="24"/>
          <w:rtl/>
        </w:rPr>
        <w:t>تنص التوصية 14 من الاستعراض الخارجي للمنبر، أنه يتعين على المنبر إعداد توجيهات شاملة بشأن أدوار مراكز التنسيق الوطنية وممارساتها الجيدة، مع السماح للبلدان بتحديد طرائقها الخاصة، وتطوير قنوات مخصصة للاتصالات بين المنبر ومراكز التنسيق الوطنية وللتفاعل فيما بين مراكز التنسيق الوطنية نفسها.</w:t>
      </w:r>
    </w:p>
    <w:p w14:paraId="2EE9BF5F" w14:textId="28203ED3"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واستجابة لتلك التوصية، وضع المكتب وفريق الخبراء المتعدد التخصصات دليلا</w:t>
      </w:r>
      <w:r w:rsidR="00ED4A55">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لمراكز التنسيق الوطنية التابعة للمنبر، وسيتاح على الموقع الشبكي للمنبر</w:t>
      </w:r>
      <w:r w:rsidRPr="00DC085D">
        <w:rPr>
          <w:rFonts w:ascii="Simplified Arabic" w:hAnsi="Simplified Arabic" w:cs="Simplified Arabic" w:hint="cs"/>
          <w:sz w:val="24"/>
          <w:szCs w:val="24"/>
          <w:vertAlign w:val="superscript"/>
          <w:rtl/>
        </w:rPr>
        <w:t>(</w:t>
      </w:r>
      <w:r w:rsidRPr="00DC085D">
        <w:rPr>
          <w:rFonts w:ascii="Simplified Arabic" w:hAnsi="Simplified Arabic" w:cs="Simplified Arabic"/>
          <w:sz w:val="24"/>
          <w:szCs w:val="24"/>
          <w:vertAlign w:val="superscript"/>
          <w:rtl/>
        </w:rPr>
        <w:footnoteReference w:id="8"/>
      </w:r>
      <w:r w:rsidRPr="00DC085D">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w:t>
      </w:r>
    </w:p>
    <w:p w14:paraId="585F6246"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4"/>
          <w:szCs w:val="24"/>
          <w:rtl/>
        </w:rPr>
      </w:pPr>
      <w:r>
        <w:rPr>
          <w:rFonts w:ascii="Simplified Arabic" w:hAnsi="Simplified Arabic" w:cs="Simplified Arabic" w:hint="cs"/>
          <w:b w:val="0"/>
          <w:bCs/>
          <w:w w:val="95"/>
          <w:sz w:val="24"/>
          <w:szCs w:val="24"/>
          <w:rtl/>
        </w:rPr>
        <w:t>دال-</w:t>
      </w:r>
      <w:r w:rsidRPr="00632209">
        <w:rPr>
          <w:rFonts w:ascii="Simplified Arabic" w:hAnsi="Simplified Arabic" w:cs="Simplified Arabic"/>
          <w:b w:val="0"/>
          <w:bCs/>
          <w:w w:val="95"/>
          <w:sz w:val="24"/>
          <w:szCs w:val="24"/>
          <w:rtl/>
        </w:rPr>
        <w:tab/>
        <w:t>استعراض استخدام وأثر الإطار المفاهيمي للمنبر</w:t>
      </w:r>
      <w:bookmarkEnd w:id="1"/>
    </w:p>
    <w:p w14:paraId="5E49EB33" w14:textId="5C3971DB"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يسعى الهدف 6 (ب) من برنامج العمل المتجدد حتى العام 2030، وهو استعراض الإطار المفاهيمي للمنبر، إلى ضمان استعراض استخدام وأثر الإطار المفاهيمي للمنبر من أجل إرشاد تطور برنامج العمل المتجدد. وطلب الاجتماع العام، في المقرر م ح د-7/1، إلى فريق الخبراء المتعدد التخصصات والمكتب استعراض الإطار المفاهيمي للمنبر تمشياً مع ذلك الهدف.</w:t>
      </w:r>
    </w:p>
    <w:p w14:paraId="54D0E036" w14:textId="227FAB2B"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واعتمد الاجتماع العام الإطار المفاهيمي للمنبر في مقرره م ح د-</w:t>
      </w:r>
      <w:r>
        <w:rPr>
          <w:rFonts w:ascii="Simplified Arabic" w:hAnsi="Simplified Arabic" w:cs="Simplified Arabic" w:hint="cs"/>
          <w:sz w:val="24"/>
          <w:szCs w:val="24"/>
          <w:rtl/>
        </w:rPr>
        <w:t>2</w:t>
      </w:r>
      <w:r w:rsidRPr="00632209">
        <w:rPr>
          <w:rFonts w:ascii="Simplified Arabic" w:hAnsi="Simplified Arabic" w:cs="Simplified Arabic"/>
          <w:sz w:val="24"/>
          <w:szCs w:val="24"/>
          <w:rtl/>
        </w:rPr>
        <w:t>/</w:t>
      </w:r>
      <w:r>
        <w:rPr>
          <w:rFonts w:ascii="Simplified Arabic" w:hAnsi="Simplified Arabic" w:cs="Simplified Arabic" w:hint="cs"/>
          <w:sz w:val="24"/>
          <w:szCs w:val="24"/>
          <w:rtl/>
        </w:rPr>
        <w:t>4</w:t>
      </w:r>
      <w:r w:rsidRPr="00632209">
        <w:rPr>
          <w:rFonts w:ascii="Simplified Arabic" w:hAnsi="Simplified Arabic" w:cs="Simplified Arabic"/>
          <w:sz w:val="24"/>
          <w:szCs w:val="24"/>
          <w:rtl/>
        </w:rPr>
        <w:t xml:space="preserve">. وفي المقرر م ح  د-5/1، أشار الاجتماع العام إلى أن مفهوم </w:t>
      </w:r>
      <w:r>
        <w:rPr>
          <w:rFonts w:ascii="Simplified Arabic" w:hAnsi="Simplified Arabic" w:cs="Simplified Arabic" w:hint="cs"/>
          <w:sz w:val="24"/>
          <w:szCs w:val="24"/>
          <w:rtl/>
        </w:rPr>
        <w:t>الإسهامات التي تقدمها</w:t>
      </w:r>
      <w:r w:rsidRPr="00632209">
        <w:rPr>
          <w:rFonts w:ascii="Simplified Arabic" w:hAnsi="Simplified Arabic" w:cs="Simplified Arabic"/>
          <w:sz w:val="24"/>
          <w:szCs w:val="24"/>
          <w:rtl/>
        </w:rPr>
        <w:t xml:space="preserve"> الطبيعة </w:t>
      </w:r>
      <w:r>
        <w:rPr>
          <w:rFonts w:ascii="Simplified Arabic" w:hAnsi="Simplified Arabic" w:cs="Simplified Arabic" w:hint="cs"/>
          <w:sz w:val="24"/>
          <w:szCs w:val="24"/>
          <w:rtl/>
        </w:rPr>
        <w:t>للبشر</w:t>
      </w:r>
      <w:r w:rsidRPr="00632209">
        <w:rPr>
          <w:rFonts w:ascii="Simplified Arabic" w:hAnsi="Simplified Arabic" w:cs="Simplified Arabic"/>
          <w:sz w:val="24"/>
          <w:szCs w:val="24"/>
          <w:rtl/>
        </w:rPr>
        <w:t xml:space="preserve"> سيستخدم في التقييمات الحالية والمستقبلية التي يجريها المنبر. ومنذ ذلك الحين، حل مفهوم ”</w:t>
      </w:r>
      <w:r>
        <w:rPr>
          <w:rFonts w:ascii="Simplified Arabic" w:hAnsi="Simplified Arabic" w:cs="Simplified Arabic" w:hint="cs"/>
          <w:sz w:val="24"/>
          <w:szCs w:val="24"/>
          <w:rtl/>
        </w:rPr>
        <w:t xml:space="preserve">الإسهامات التي تقدمها </w:t>
      </w:r>
      <w:r w:rsidRPr="00632209">
        <w:rPr>
          <w:rFonts w:ascii="Simplified Arabic" w:hAnsi="Simplified Arabic" w:cs="Simplified Arabic"/>
          <w:sz w:val="24"/>
          <w:szCs w:val="24"/>
          <w:rtl/>
        </w:rPr>
        <w:t xml:space="preserve">الطبيعة </w:t>
      </w:r>
      <w:r>
        <w:rPr>
          <w:rFonts w:ascii="Simplified Arabic" w:hAnsi="Simplified Arabic" w:cs="Simplified Arabic" w:hint="cs"/>
          <w:sz w:val="24"/>
          <w:szCs w:val="24"/>
          <w:rtl/>
        </w:rPr>
        <w:t>للبشر</w:t>
      </w:r>
      <w:r w:rsidRPr="00632209">
        <w:rPr>
          <w:rFonts w:ascii="Simplified Arabic" w:hAnsi="Simplified Arabic" w:cs="Simplified Arabic"/>
          <w:sz w:val="24"/>
          <w:szCs w:val="24"/>
          <w:rtl/>
        </w:rPr>
        <w:t>“ محل استخدام عبارة ”منافع الطبيعة للناس“ التي استخدمت في الإطار المفاهيمي على النحو الذي اعتُمد به في البداية.</w:t>
      </w:r>
    </w:p>
    <w:p w14:paraId="6C366BE7" w14:textId="7036E2B6"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واستجابة لطلب استعراض استخدام وأثر الإطار المفاهيمي الوارد في المقرر م ح د-7/1، شرع فريق الخبراء المتعدد التخصصات والمكتب في دراسة عن استخدام الإطار المفاهيمي وأثره.</w:t>
      </w:r>
    </w:p>
    <w:p w14:paraId="7ED67985" w14:textId="430B05D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وكجزء من الدراسة، أجرى فريق الخبراء المتعدد التخصصات والمكتب دراستين استقصائيتين عبر الإنترنت في وقت واحد، من 6 نيسان/أبريل إلى 29 أيار/مايو 2020، استهدفت إحداهما الخبراء من التقييمات الجارية والمنجزة للمنبر، واستهدفت الدراسة الأخرى مراكز التنسيق والجهات صاحبة المصلحة على الصعيد الوطني. وقد رد على الاستقصاء الموجه إلى الخبراء ما مجموعه 114 خبيرا</w:t>
      </w:r>
      <w:r w:rsidR="005C59E1">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جميع تقييمات المنبر المنجزة والجارية؛ وورد </w:t>
      </w:r>
      <w:r w:rsidRPr="00632209">
        <w:rPr>
          <w:rFonts w:ascii="Simplified Arabic" w:hAnsi="Simplified Arabic" w:cs="Simplified Arabic"/>
          <w:sz w:val="24"/>
          <w:szCs w:val="24"/>
          <w:rtl/>
        </w:rPr>
        <w:lastRenderedPageBreak/>
        <w:t>231 ردا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على الدراسة الاستقصائية التي استهدفت مراكز التنسيق والجهات صاحبة المصلحة على الصعيد الوطني، منها 45 ردا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ممثلي الحكومات و186 ردا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منظمات أو أفراد.</w:t>
      </w:r>
    </w:p>
    <w:p w14:paraId="0500E638" w14:textId="2DF23E21"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وبالإضافة إلى ذلك، أجرى فريق الخبراء متعدد التخصصات والمكتب استعراضا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للمؤلفات من أجل تقييم استخدام وأثر الإطار المفاهيمي.</w:t>
      </w:r>
    </w:p>
    <w:p w14:paraId="0E8CB269"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وسيتاح مشروع نص الدراسة بشأن استخدام وأثر الإطار المفاهيمي لاستعراضه خارجياً في الفترة من 1 حزيران/يونيه إلى 31 تموز/يوليه 2021. وسيأخذ فريق الخبراء المتعدد التخصصات والمكتب في الاعتبار أي تعليقات يتلقيانها، عند وضع الصيغة النهائية للدراسة لكي ينظر فيها الاجتماع العام في دورته التاسعة.</w:t>
      </w:r>
    </w:p>
    <w:p w14:paraId="46A5253C"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4"/>
          <w:szCs w:val="24"/>
          <w:rtl/>
        </w:rPr>
      </w:pPr>
      <w:r>
        <w:rPr>
          <w:rFonts w:ascii="Simplified Arabic" w:hAnsi="Simplified Arabic" w:cs="Simplified Arabic" w:hint="cs"/>
          <w:b w:val="0"/>
          <w:bCs/>
          <w:w w:val="95"/>
          <w:sz w:val="24"/>
          <w:szCs w:val="24"/>
          <w:rtl/>
        </w:rPr>
        <w:t>هاء-</w:t>
      </w:r>
      <w:r w:rsidRPr="00632209">
        <w:rPr>
          <w:rFonts w:ascii="Simplified Arabic" w:hAnsi="Simplified Arabic" w:cs="Simplified Arabic"/>
          <w:b w:val="0"/>
          <w:bCs/>
          <w:w w:val="95"/>
          <w:sz w:val="24"/>
          <w:szCs w:val="24"/>
          <w:rtl/>
        </w:rPr>
        <w:tab/>
        <w:t>تحسين فعالية عملية التقييم</w:t>
      </w:r>
    </w:p>
    <w:p w14:paraId="48924663" w14:textId="3ECA05B3"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يسعى الهدف 6 (ج)</w:t>
      </w:r>
      <w:r>
        <w:rPr>
          <w:rFonts w:ascii="Simplified Arabic" w:hAnsi="Simplified Arabic" w:cs="Simplified Arabic" w:hint="cs"/>
          <w:sz w:val="24"/>
          <w:szCs w:val="24"/>
          <w:rtl/>
        </w:rPr>
        <w:t xml:space="preserve"> من برنامج العمل المتجدد حتى العام 2030</w:t>
      </w:r>
      <w:r w:rsidRPr="0063220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وهو </w:t>
      </w:r>
      <w:r w:rsidRPr="00632209">
        <w:rPr>
          <w:rFonts w:ascii="Simplified Arabic" w:hAnsi="Simplified Arabic" w:cs="Simplified Arabic"/>
          <w:sz w:val="24"/>
          <w:szCs w:val="24"/>
          <w:rtl/>
        </w:rPr>
        <w:t>تحسين فعالية عملية التقييم، إلى توفير الدروس المستفادة والمشورة من المؤلفين وغيرهم من المساهمين في التقييمات المنجزة لفائدة المضطلعين بالتقييمات المستقبلية. وفي هذا السياق، طلب الاجتماع العام، في المقرر م ح د-7/1، إلى الأمينة التنفيذية تيسير تبادل الدروس المستفادة والمشورة بين مؤلفي التقييمات والمساهمين الآخرين في التقييمات المنجزة وبين أولئك الذين سيجرون التقييمات في المستقبل</w:t>
      </w:r>
      <w:r w:rsidR="00744517">
        <w:rPr>
          <w:rFonts w:ascii="Simplified Arabic" w:hAnsi="Simplified Arabic" w:cs="Simplified Arabic" w:hint="cs"/>
          <w:sz w:val="24"/>
          <w:szCs w:val="24"/>
          <w:rtl/>
        </w:rPr>
        <w:t>.</w:t>
      </w:r>
    </w:p>
    <w:p w14:paraId="2EA32AC5" w14:textId="643E6779"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وشملت التوصية 17 من الاستعراض الخارجي استعراض مجموعة الطرق المتاحة لتحديث عملية التقييم، بما في ذلك سبل توجيه المشاركة الفعالة وتمكينها</w:t>
      </w:r>
      <w:r>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والهياكل وطرق العمل الجديدة، بما في ذلك بالوسائل الرقمية.</w:t>
      </w:r>
    </w:p>
    <w:p w14:paraId="44AC8322" w14:textId="46C05F43"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واستجابة للمقرر م ح د-7/1، استعرض فريق الخبراء المتعدد التخصصات والمكتب الانطباعات والرؤى فيما يتعلق بعملية تقييم المنبر وقررا أن يوصيا الاجتماع العام بأن تجرب الحكومات جولة إضافية من الاستعراض في الفترة بين تموز/يوليه وآب/أغسطس 2021، من أجل الموجز الخاص ب</w:t>
      </w:r>
      <w:r>
        <w:rPr>
          <w:rFonts w:ascii="Simplified Arabic" w:hAnsi="Simplified Arabic" w:cs="Simplified Arabic" w:hint="cs"/>
          <w:sz w:val="24"/>
          <w:szCs w:val="24"/>
          <w:rtl/>
        </w:rPr>
        <w:t>م</w:t>
      </w:r>
      <w:r w:rsidRPr="00632209">
        <w:rPr>
          <w:rFonts w:ascii="Simplified Arabic" w:hAnsi="Simplified Arabic" w:cs="Simplified Arabic"/>
          <w:sz w:val="24"/>
          <w:szCs w:val="24"/>
          <w:rtl/>
        </w:rPr>
        <w:t>قرري السياسات للتقييم المتعلق بالقيم. ويمكن لهذه الجولة الإضافية من الاستعراض أن تعزز أهمية موجز مقرري السياسات وأن تيسر نظر الاجتماع العام في صيغته النهائية.</w:t>
      </w:r>
    </w:p>
    <w:p w14:paraId="292F98B4" w14:textId="7C506F3A"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ويبذل فريق الخبراء المتعدد التخصصات الجهود لإشراك المزيد من الممارسين، ولا سيما في أفرقة الخبراء الذين يساعدون في عمليات تحديد النطاق للتقييمات؛ على سبيل المثال، فريق الخبراء المختارين للمساعدة في عملية تحديد النطاق للتقييم المنهجي لأثر الأعمال التجارية واعتمادها على التنوع البيولوجي وعلى الإسهامات التي تقدمها الطبيعة للبشر </w:t>
      </w:r>
      <w:r w:rsidRPr="00067F32">
        <w:rPr>
          <w:rFonts w:asciiTheme="majorBidi" w:hAnsiTheme="majorBidi" w:cstheme="majorBidi"/>
          <w:rtl/>
        </w:rPr>
        <w:t>(</w:t>
      </w:r>
      <w:r w:rsidRPr="00067F32">
        <w:rPr>
          <w:rFonts w:asciiTheme="majorBidi" w:hAnsiTheme="majorBidi" w:cstheme="majorBidi"/>
        </w:rPr>
        <w:t>IPBES/8/INF/7</w:t>
      </w:r>
      <w:r w:rsidRPr="00067F32">
        <w:rPr>
          <w:rFonts w:asciiTheme="majorBidi" w:hAnsiTheme="majorBidi" w:cstheme="majorBidi"/>
          <w:rtl/>
        </w:rPr>
        <w:t>)</w:t>
      </w:r>
      <w:r w:rsidRPr="00632209">
        <w:rPr>
          <w:rFonts w:ascii="Simplified Arabic" w:hAnsi="Simplified Arabic" w:cs="Simplified Arabic"/>
          <w:sz w:val="24"/>
          <w:szCs w:val="24"/>
          <w:rtl/>
        </w:rPr>
        <w:t>.</w:t>
      </w:r>
    </w:p>
    <w:p w14:paraId="2201F3B4" w14:textId="34C7F4B0"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وقدم فريق الخبراء المتعدد التخصصات والمكتب الدعم أيضا</w:t>
      </w:r>
      <w:r w:rsidR="00067F32">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لتجريب أساليب وأدوات جديدة ومبتكرة في التقييمات الجارية للمنبر. وتقود فرقة العمل المعنية بالمعارف والبيانات الجهود المبذولة في هذا الصدد. ويرد في الوثيقة </w:t>
      </w:r>
      <w:r w:rsidRPr="00632209">
        <w:rPr>
          <w:rFonts w:asciiTheme="majorBidi" w:hAnsiTheme="majorBidi" w:cstheme="majorBidi"/>
        </w:rPr>
        <w:t>IPBES/8/INF/11</w:t>
      </w:r>
      <w:r w:rsidRPr="00632209">
        <w:rPr>
          <w:rFonts w:ascii="Simplified Arabic" w:hAnsi="Simplified Arabic" w:cs="Simplified Arabic"/>
          <w:sz w:val="24"/>
          <w:szCs w:val="24"/>
          <w:rtl/>
        </w:rPr>
        <w:t xml:space="preserve"> بيان للتقدم المحرز في هذه الجهود، بما في ذلك في الدراسات التجريبية حول تطبيق الذكاء الا</w:t>
      </w:r>
      <w:r>
        <w:rPr>
          <w:rFonts w:ascii="Simplified Arabic" w:hAnsi="Simplified Arabic" w:cs="Simplified Arabic"/>
          <w:sz w:val="24"/>
          <w:szCs w:val="24"/>
          <w:rtl/>
        </w:rPr>
        <w:t xml:space="preserve">صطناعي ومعالجة اللغات الطبيعية </w:t>
      </w:r>
      <w:r>
        <w:rPr>
          <w:rFonts w:ascii="Simplified Arabic" w:hAnsi="Simplified Arabic" w:cs="Simplified Arabic" w:hint="cs"/>
          <w:sz w:val="24"/>
          <w:szCs w:val="24"/>
          <w:rtl/>
        </w:rPr>
        <w:t>بالنسبة ل</w:t>
      </w:r>
      <w:r w:rsidRPr="00632209">
        <w:rPr>
          <w:rFonts w:ascii="Simplified Arabic" w:hAnsi="Simplified Arabic" w:cs="Simplified Arabic"/>
          <w:sz w:val="24"/>
          <w:szCs w:val="24"/>
          <w:rtl/>
        </w:rPr>
        <w:t>منتجات المنبر.</w:t>
      </w:r>
    </w:p>
    <w:p w14:paraId="3FEF10B7" w14:textId="77777777" w:rsidR="00BA568A" w:rsidRPr="00632209" w:rsidRDefault="00BA568A"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6"/>
          <w:szCs w:val="26"/>
          <w:rtl/>
        </w:rPr>
      </w:pPr>
      <w:r>
        <w:rPr>
          <w:rFonts w:ascii="Simplified Arabic" w:hAnsi="Simplified Arabic" w:cs="Simplified Arabic" w:hint="cs"/>
          <w:b w:val="0"/>
          <w:bCs/>
          <w:w w:val="95"/>
          <w:sz w:val="26"/>
          <w:szCs w:val="26"/>
          <w:rtl/>
        </w:rPr>
        <w:t>ثانياً-</w:t>
      </w:r>
      <w:r w:rsidRPr="00632209">
        <w:rPr>
          <w:rFonts w:ascii="Simplified Arabic" w:hAnsi="Simplified Arabic" w:cs="Simplified Arabic"/>
          <w:b w:val="0"/>
          <w:bCs/>
          <w:w w:val="95"/>
          <w:sz w:val="26"/>
          <w:szCs w:val="26"/>
          <w:rtl/>
        </w:rPr>
        <w:tab/>
        <w:t>نحو استعراض يجرى في منتصف المدة لتنفيذ برنامج العمل المتجدد لعام 2030</w:t>
      </w:r>
    </w:p>
    <w:p w14:paraId="51610B87" w14:textId="77777777"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يسعى الهدف 6 (أ) من برنامج العمل المتجدد لعام 2030 إلى الاستعراض الدوري لفعالية المنبر. وفي هذا السياق، طلب الاجتماع العام، في الفرع السادس من المقرر م ح د-7/1، إلى الأمينة التنفيذية أن تلتمس آراء أعضاء المنبر وأصحاب المصلحة بشأن عملية استعراض المنبر المنجزة، وطلب إلى المكتب وفريق الخبراء المتعدد التخصصات أن يستعرضا عملية الاستعراض، آخذين في اعتبارهما تلك الآراء، وأن يعدا مشروع اختصاصات لاستعراض يجرى في منتصف المدة للمنبر، لكي ينظر فيه الاجتماع العام في دورته التاسعة.</w:t>
      </w:r>
    </w:p>
    <w:p w14:paraId="13042C16" w14:textId="52797370" w:rsidR="00BA568A" w:rsidRDefault="00BA568A" w:rsidP="00066E8E">
      <w:pPr>
        <w:pStyle w:val="Normalnumber"/>
        <w:numPr>
          <w:ilvl w:val="0"/>
          <w:numId w:val="23"/>
        </w:numPr>
        <w:tabs>
          <w:tab w:val="clear" w:pos="1247"/>
          <w:tab w:val="clear" w:pos="1814"/>
          <w:tab w:val="clear" w:pos="2381"/>
          <w:tab w:val="clear" w:pos="2948"/>
          <w:tab w:val="clear" w:pos="3515"/>
          <w:tab w:val="left" w:pos="1841"/>
        </w:tabs>
        <w:bidi/>
        <w:spacing w:after="0" w:line="340" w:lineRule="exact"/>
        <w:ind w:left="1134" w:firstLine="0"/>
        <w:jc w:val="both"/>
        <w:textDirection w:val="tbRlV"/>
        <w:rPr>
          <w:rFonts w:ascii="Simplified Arabic" w:hAnsi="Simplified Arabic" w:cs="Simplified Arabic"/>
          <w:sz w:val="24"/>
          <w:szCs w:val="24"/>
        </w:rPr>
      </w:pPr>
      <w:r w:rsidRPr="00632209">
        <w:rPr>
          <w:rFonts w:ascii="Simplified Arabic" w:hAnsi="Simplified Arabic" w:cs="Simplified Arabic"/>
          <w:sz w:val="24"/>
          <w:szCs w:val="24"/>
          <w:rtl/>
        </w:rPr>
        <w:t>وسيصدر إخطار يلتمس آراء أعضاء المنبر وأصحاب المصلحة بشأن استعراض المنبر في نهاية برنامج عمله الأول بعد الدورة الثامنة للاجتماع العام. وسيعد فريق الخبراء المتعدد التخصصات والمكتب اختصاصات لاستعراض يجرى في</w:t>
      </w:r>
      <w:r>
        <w:rPr>
          <w:rFonts w:ascii="Simplified Arabic" w:hAnsi="Simplified Arabic" w:cs="Simplified Arabic" w:hint="cs"/>
          <w:sz w:val="24"/>
          <w:szCs w:val="24"/>
          <w:rtl/>
        </w:rPr>
        <w:t xml:space="preserve"> </w:t>
      </w:r>
      <w:r w:rsidRPr="00632209">
        <w:rPr>
          <w:rFonts w:ascii="Simplified Arabic" w:hAnsi="Simplified Arabic" w:cs="Simplified Arabic"/>
          <w:sz w:val="24"/>
          <w:szCs w:val="24"/>
          <w:rtl/>
        </w:rPr>
        <w:t>منتصف المدة على أساس الردود المتلقاة.</w:t>
      </w:r>
    </w:p>
    <w:p w14:paraId="184E79A4" w14:textId="6D8B2570" w:rsidR="00DD2B87" w:rsidRPr="00DD2B87" w:rsidRDefault="00DD2B87" w:rsidP="00066E8E">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247" w:right="0"/>
        <w:jc w:val="center"/>
        <w:rPr>
          <w:rFonts w:ascii="Simplified Arabic" w:hAnsi="Simplified Arabic" w:cs="Simplified Arabic"/>
          <w:sz w:val="24"/>
          <w:szCs w:val="24"/>
          <w:rtl/>
        </w:rPr>
      </w:pPr>
      <w:r w:rsidRPr="001C51CC">
        <w:rPr>
          <w:rFonts w:ascii="Simplified Arabic" w:hAnsi="Simplified Arabic" w:cs="Simplified Arabic"/>
          <w:w w:val="100"/>
          <w:sz w:val="24"/>
          <w:szCs w:val="24"/>
        </w:rPr>
        <w:t>_____________</w:t>
      </w:r>
    </w:p>
    <w:sectPr w:rsidR="00DD2B87" w:rsidRPr="00DD2B87" w:rsidSect="004429C9">
      <w:headerReference w:type="even" r:id="rId13"/>
      <w:headerReference w:type="default" r:id="rId14"/>
      <w:footerReference w:type="even" r:id="rId15"/>
      <w:footerReference w:type="default" r:id="rId16"/>
      <w:footerReference w:type="first" r:id="rId17"/>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E019" w14:textId="77777777" w:rsidR="000D6FD9" w:rsidRDefault="000D6FD9">
      <w:r>
        <w:separator/>
      </w:r>
    </w:p>
  </w:endnote>
  <w:endnote w:type="continuationSeparator" w:id="0">
    <w:p w14:paraId="46FFED2B" w14:textId="77777777" w:rsidR="000D6FD9" w:rsidRDefault="000D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0C1F4BD8" w:rsidR="00AE0FB8" w:rsidRPr="00F45D78" w:rsidRDefault="00AE0FB8"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2100775</w:t>
    </w:r>
    <w:r w:rsidRPr="00F45D78">
      <w:rPr>
        <w:rFonts w:cs="Times New Roman" w:hint="cs"/>
        <w:sz w:val="20"/>
        <w:szCs w:val="20"/>
        <w:rtl/>
        <w:lang w:val="en-GB"/>
      </w:rPr>
      <w:tab/>
    </w:r>
    <w:r w:rsidR="007C001C">
      <w:rPr>
        <w:rFonts w:cs="Times New Roman"/>
        <w:sz w:val="20"/>
        <w:szCs w:val="20"/>
        <w:lang w:val="en-GB"/>
      </w:rPr>
      <w:t>0</w:t>
    </w:r>
    <w:r w:rsidR="00067A31">
      <w:rPr>
        <w:rFonts w:cs="Times New Roman"/>
        <w:sz w:val="20"/>
        <w:szCs w:val="20"/>
        <w:lang w:val="en-GB"/>
      </w:rPr>
      <w:t>5</w:t>
    </w:r>
    <w:r>
      <w:rPr>
        <w:rFonts w:cs="Times New Roman"/>
        <w:sz w:val="20"/>
        <w:szCs w:val="20"/>
        <w:lang w:val="en-GB"/>
      </w:rPr>
      <w:t>0</w:t>
    </w:r>
    <w:r w:rsidR="007C001C">
      <w:rPr>
        <w:rFonts w:cs="Times New Roman"/>
        <w:sz w:val="20"/>
        <w:szCs w:val="20"/>
        <w:lang w:val="en-GB"/>
      </w:rPr>
      <w:t>5</w:t>
    </w:r>
    <w:r>
      <w:rPr>
        <w:rFonts w:cs="Times New Roman"/>
        <w:sz w:val="20"/>
        <w:szCs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E90F" w14:textId="77777777" w:rsidR="000D6FD9" w:rsidRDefault="000D6FD9" w:rsidP="00684243">
      <w:pPr>
        <w:ind w:left="720"/>
      </w:pPr>
      <w:r>
        <w:separator/>
      </w:r>
    </w:p>
  </w:footnote>
  <w:footnote w:type="continuationSeparator" w:id="0">
    <w:p w14:paraId="139F2DAB" w14:textId="77777777" w:rsidR="000D6FD9" w:rsidRDefault="000D6FD9">
      <w:r>
        <w:continuationSeparator/>
      </w:r>
    </w:p>
  </w:footnote>
  <w:footnote w:id="1">
    <w:p w14:paraId="3D2E2995" w14:textId="1FB601FF" w:rsidR="00AE0FB8" w:rsidRPr="00171843" w:rsidRDefault="00AE0FB8" w:rsidP="007C001C">
      <w:pPr>
        <w:pStyle w:val="Normal-pool"/>
        <w:bidi/>
        <w:spacing w:after="40" w:line="280" w:lineRule="exact"/>
        <w:ind w:left="1134"/>
        <w:jc w:val="both"/>
        <w:textDirection w:val="tbRlV"/>
        <w:rPr>
          <w:sz w:val="18"/>
          <w:szCs w:val="18"/>
          <w:rtl/>
          <w:lang w:val="ar-SA" w:eastAsia="zh-TW"/>
        </w:rPr>
      </w:pPr>
      <w:r w:rsidRPr="004D3122">
        <w:rPr>
          <w:rFonts w:asciiTheme="majorBidi" w:hAnsiTheme="majorBidi" w:cstheme="majorBidi"/>
          <w:sz w:val="24"/>
          <w:szCs w:val="24"/>
          <w:vertAlign w:val="subscript"/>
        </w:rPr>
        <w:t>*</w:t>
      </w:r>
      <w:r>
        <w:rPr>
          <w:rFonts w:ascii="Traditional Arabic" w:cs="Traditional Arabic" w:hint="cs"/>
          <w:rtl/>
        </w:rPr>
        <w:t xml:space="preserve">  </w:t>
      </w:r>
      <w:r w:rsidRPr="001D0669">
        <w:rPr>
          <w:sz w:val="18"/>
          <w:szCs w:val="18"/>
        </w:rPr>
        <w:t>IPBES/8/1</w:t>
      </w:r>
      <w:r>
        <w:rPr>
          <w:rtl/>
        </w:rPr>
        <w:t>.</w:t>
      </w:r>
    </w:p>
  </w:footnote>
  <w:footnote w:id="2">
    <w:p w14:paraId="292B9E01" w14:textId="17614A5C" w:rsidR="00BA568A" w:rsidRPr="00E824E9" w:rsidRDefault="00BA568A"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 w:val="18"/>
          <w:szCs w:val="18"/>
          <w:rtl/>
        </w:rPr>
        <w:footnoteRef/>
      </w:r>
      <w:r>
        <w:rPr>
          <w:rFonts w:ascii="Simplified Arabic" w:hAnsi="Simplified Arabic" w:cs="Simplified Arabic" w:hint="cs"/>
          <w:sz w:val="18"/>
          <w:szCs w:val="18"/>
          <w:rtl/>
        </w:rPr>
        <w:t>)</w:t>
      </w:r>
      <w:r w:rsidRPr="00E824E9">
        <w:rPr>
          <w:rFonts w:ascii="Simplified Arabic" w:hAnsi="Simplified Arabic" w:cs="Simplified Arabic"/>
          <w:sz w:val="18"/>
          <w:szCs w:val="18"/>
          <w:rtl/>
        </w:rPr>
        <w:t xml:space="preserve"> </w:t>
      </w:r>
      <w:r w:rsidR="004D3122">
        <w:rPr>
          <w:rFonts w:ascii="Simplified Arabic" w:hAnsi="Simplified Arabic" w:cs="Simplified Arabic" w:hint="cs"/>
          <w:sz w:val="18"/>
          <w:szCs w:val="18"/>
          <w:rtl/>
        </w:rPr>
        <w:t xml:space="preserve"> </w:t>
      </w:r>
      <w:r w:rsidRPr="00E824E9">
        <w:rPr>
          <w:rFonts w:ascii="Simplified Arabic" w:hAnsi="Simplified Arabic" w:cs="Simplified Arabic"/>
          <w:sz w:val="18"/>
          <w:szCs w:val="18"/>
          <w:rtl/>
        </w:rPr>
        <w:t xml:space="preserve">انظر الوثيقة </w:t>
      </w:r>
      <w:r w:rsidRPr="00E824E9">
        <w:rPr>
          <w:rFonts w:asciiTheme="majorBidi" w:hAnsiTheme="majorBidi" w:cstheme="majorBidi"/>
          <w:sz w:val="18"/>
          <w:szCs w:val="18"/>
          <w:rtl/>
        </w:rPr>
        <w:t>IPBES/7/INF/17</w:t>
      </w:r>
      <w:r w:rsidRPr="00E824E9">
        <w:rPr>
          <w:rFonts w:ascii="Simplified Arabic" w:hAnsi="Simplified Arabic" w:cs="Simplified Arabic"/>
          <w:sz w:val="18"/>
          <w:szCs w:val="18"/>
          <w:rtl/>
        </w:rPr>
        <w:t xml:space="preserve"> </w:t>
      </w:r>
      <w:r>
        <w:rPr>
          <w:rFonts w:ascii="Simplified Arabic" w:hAnsi="Simplified Arabic" w:cs="Simplified Arabic" w:hint="cs"/>
          <w:sz w:val="18"/>
          <w:szCs w:val="18"/>
          <w:rtl/>
        </w:rPr>
        <w:t xml:space="preserve"> </w:t>
      </w:r>
      <w:r w:rsidRPr="00E824E9">
        <w:rPr>
          <w:rFonts w:ascii="Simplified Arabic" w:hAnsi="Simplified Arabic" w:cs="Simplified Arabic"/>
          <w:sz w:val="18"/>
          <w:szCs w:val="18"/>
          <w:rtl/>
        </w:rPr>
        <w:t>بشأن أنشطة تنفيذ التوصيات الناشئة عن تقرير الاستعراض الداخلي.</w:t>
      </w:r>
    </w:p>
  </w:footnote>
  <w:footnote w:id="3">
    <w:p w14:paraId="09596083" w14:textId="0A6E5D41" w:rsidR="00BA568A" w:rsidRPr="00E824E9" w:rsidRDefault="00BA568A"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 w:val="18"/>
          <w:szCs w:val="18"/>
          <w:rtl/>
        </w:rPr>
        <w:footnoteRef/>
      </w:r>
      <w:r>
        <w:rPr>
          <w:rFonts w:ascii="Simplified Arabic" w:hAnsi="Simplified Arabic" w:cs="Simplified Arabic" w:hint="cs"/>
          <w:sz w:val="18"/>
          <w:szCs w:val="18"/>
          <w:rtl/>
        </w:rPr>
        <w:t>)</w:t>
      </w:r>
      <w:r w:rsidRPr="00E824E9">
        <w:rPr>
          <w:rFonts w:ascii="Simplified Arabic" w:hAnsi="Simplified Arabic" w:cs="Simplified Arabic"/>
          <w:sz w:val="18"/>
          <w:szCs w:val="18"/>
          <w:rtl/>
        </w:rPr>
        <w:t xml:space="preserve"> </w:t>
      </w:r>
      <w:r w:rsidR="004D3122">
        <w:rPr>
          <w:rFonts w:ascii="Simplified Arabic" w:hAnsi="Simplified Arabic" w:cs="Simplified Arabic" w:hint="cs"/>
          <w:sz w:val="18"/>
          <w:szCs w:val="18"/>
          <w:rtl/>
        </w:rPr>
        <w:t xml:space="preserve"> </w:t>
      </w:r>
      <w:r w:rsidRPr="00E824E9">
        <w:rPr>
          <w:rFonts w:asciiTheme="majorBidi" w:hAnsiTheme="majorBidi" w:cstheme="majorBidi"/>
          <w:sz w:val="18"/>
          <w:szCs w:val="18"/>
        </w:rPr>
        <w:t>IPBES/7/INF/18</w:t>
      </w:r>
      <w:r w:rsidRPr="00E824E9">
        <w:rPr>
          <w:rFonts w:ascii="Simplified Arabic" w:hAnsi="Simplified Arabic" w:cs="Simplified Arabic"/>
          <w:sz w:val="18"/>
          <w:szCs w:val="18"/>
          <w:rtl/>
        </w:rPr>
        <w:t>.</w:t>
      </w:r>
    </w:p>
  </w:footnote>
  <w:footnote w:id="4">
    <w:p w14:paraId="44D83464" w14:textId="46FC3212" w:rsidR="00BA568A" w:rsidRPr="00E824E9" w:rsidRDefault="00BA568A"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 w:val="18"/>
          <w:szCs w:val="18"/>
          <w:rtl/>
        </w:rPr>
        <w:footnoteRef/>
      </w:r>
      <w:r>
        <w:rPr>
          <w:rFonts w:ascii="Simplified Arabic" w:hAnsi="Simplified Arabic" w:cs="Simplified Arabic" w:hint="cs"/>
          <w:sz w:val="18"/>
          <w:szCs w:val="18"/>
          <w:rtl/>
        </w:rPr>
        <w:t>)</w:t>
      </w:r>
      <w:r w:rsidRPr="00E824E9">
        <w:rPr>
          <w:rFonts w:ascii="Simplified Arabic" w:hAnsi="Simplified Arabic" w:cs="Simplified Arabic"/>
          <w:sz w:val="18"/>
          <w:szCs w:val="18"/>
          <w:rtl/>
        </w:rPr>
        <w:t xml:space="preserve"> </w:t>
      </w:r>
      <w:r w:rsidR="004D3122">
        <w:rPr>
          <w:rFonts w:ascii="Simplified Arabic" w:hAnsi="Simplified Arabic" w:cs="Simplified Arabic" w:hint="cs"/>
          <w:sz w:val="18"/>
          <w:szCs w:val="18"/>
          <w:rtl/>
        </w:rPr>
        <w:t xml:space="preserve"> </w:t>
      </w:r>
      <w:r w:rsidRPr="00E824E9">
        <w:rPr>
          <w:rFonts w:asciiTheme="majorBidi" w:hAnsiTheme="majorBidi" w:cstheme="majorBidi"/>
          <w:sz w:val="18"/>
          <w:szCs w:val="18"/>
        </w:rPr>
        <w:t>IPBES/7/INF/19</w:t>
      </w:r>
      <w:r w:rsidRPr="00E824E9">
        <w:rPr>
          <w:rFonts w:ascii="Simplified Arabic" w:hAnsi="Simplified Arabic" w:cs="Simplified Arabic"/>
          <w:sz w:val="18"/>
          <w:szCs w:val="18"/>
          <w:rtl/>
        </w:rPr>
        <w:t>.</w:t>
      </w:r>
    </w:p>
  </w:footnote>
  <w:footnote w:id="5">
    <w:p w14:paraId="355EC003" w14:textId="5419C3DD" w:rsidR="00BA568A" w:rsidRPr="00E824E9" w:rsidRDefault="00BA568A"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Cs w:val="18"/>
          <w:rtl/>
        </w:rPr>
        <w:footnoteRef/>
      </w:r>
      <w:r>
        <w:rPr>
          <w:rFonts w:ascii="Simplified Arabic" w:hAnsi="Simplified Arabic" w:cs="Simplified Arabic" w:hint="cs"/>
          <w:sz w:val="18"/>
          <w:szCs w:val="18"/>
          <w:rtl/>
        </w:rPr>
        <w:t>)</w:t>
      </w:r>
      <w:r w:rsidR="004D3122">
        <w:rPr>
          <w:rFonts w:ascii="Simplified Arabic" w:hAnsi="Simplified Arabic" w:cs="Simplified Arabic" w:hint="cs"/>
          <w:sz w:val="18"/>
          <w:szCs w:val="18"/>
          <w:rtl/>
        </w:rPr>
        <w:t xml:space="preserve"> </w:t>
      </w:r>
      <w:r w:rsidRPr="00E824E9">
        <w:rPr>
          <w:rFonts w:ascii="Simplified Arabic" w:hAnsi="Simplified Arabic" w:cs="Simplified Arabic"/>
          <w:sz w:val="18"/>
          <w:szCs w:val="18"/>
          <w:rtl/>
        </w:rPr>
        <w:t xml:space="preserve"> </w:t>
      </w:r>
      <w:r w:rsidRPr="00E824E9">
        <w:rPr>
          <w:rFonts w:asciiTheme="majorBidi" w:hAnsiTheme="majorBidi" w:cstheme="majorBidi"/>
          <w:sz w:val="18"/>
          <w:szCs w:val="18"/>
        </w:rPr>
        <w:t>IPBES/7/INF/20</w:t>
      </w:r>
      <w:r w:rsidRPr="00E824E9">
        <w:rPr>
          <w:rFonts w:ascii="Simplified Arabic" w:hAnsi="Simplified Arabic" w:cs="Simplified Arabic"/>
          <w:sz w:val="18"/>
          <w:szCs w:val="18"/>
          <w:rtl/>
        </w:rPr>
        <w:t>.</w:t>
      </w:r>
    </w:p>
  </w:footnote>
  <w:footnote w:id="6">
    <w:p w14:paraId="0EF90B35" w14:textId="77777777" w:rsidR="00BA568A" w:rsidRPr="00816101" w:rsidRDefault="00BA568A" w:rsidP="007C001C">
      <w:pPr>
        <w:pStyle w:val="Normal-pool"/>
        <w:tabs>
          <w:tab w:val="clear" w:pos="1247"/>
        </w:tabs>
        <w:bidi/>
        <w:spacing w:after="40" w:line="280" w:lineRule="exact"/>
        <w:ind w:left="1134"/>
        <w:textDirection w:val="tbRlV"/>
        <w:rPr>
          <w:rFonts w:ascii="Simplified Arabic" w:hAnsi="Simplified Arabic" w:cs="Simplified Arabic"/>
          <w:sz w:val="18"/>
          <w:szCs w:val="18"/>
          <w:rtl/>
          <w:lang w:val="ar-SA" w:eastAsia="zh-TW"/>
        </w:rPr>
      </w:pPr>
      <w:r w:rsidRPr="00816101">
        <w:rPr>
          <w:rFonts w:ascii="Simplified Arabic" w:hAnsi="Simplified Arabic" w:cs="Simplified Arabic"/>
          <w:rtl/>
        </w:rPr>
        <w:t>(</w:t>
      </w:r>
      <w:r w:rsidRPr="00816101">
        <w:rPr>
          <w:rStyle w:val="FootnoteReference"/>
          <w:rFonts w:ascii="Simplified Arabic" w:hAnsi="Simplified Arabic" w:cs="Simplified Arabic"/>
          <w:sz w:val="18"/>
          <w:vertAlign w:val="baseline"/>
          <w:rtl/>
        </w:rPr>
        <w:footnoteRef/>
      </w:r>
      <w:r w:rsidRPr="00816101">
        <w:rPr>
          <w:rFonts w:ascii="Simplified Arabic" w:hAnsi="Simplified Arabic" w:cs="Simplified Arabic"/>
          <w:rtl/>
        </w:rPr>
        <w:t>)  المعتمد في المقرر م ح د-1/1 والمعدل في المقرر م ح د-2/1.</w:t>
      </w:r>
    </w:p>
  </w:footnote>
  <w:footnote w:id="7">
    <w:p w14:paraId="032FBB1C" w14:textId="444B6E0F" w:rsidR="00BA568A" w:rsidRPr="00816101" w:rsidRDefault="00BA568A" w:rsidP="007C001C">
      <w:pPr>
        <w:pStyle w:val="Normal-pool"/>
        <w:tabs>
          <w:tab w:val="clear" w:pos="1247"/>
        </w:tabs>
        <w:bidi/>
        <w:spacing w:after="40" w:line="280" w:lineRule="exact"/>
        <w:ind w:left="1132"/>
        <w:textDirection w:val="tbRlV"/>
        <w:rPr>
          <w:rStyle w:val="FootnoteReference"/>
          <w:rFonts w:ascii="Simplified Arabic" w:hAnsi="Simplified Arabic" w:cs="Simplified Arabic"/>
          <w:vertAlign w:val="baseline"/>
          <w:rtl/>
        </w:rPr>
      </w:pPr>
      <w:r w:rsidRPr="00816101">
        <w:rPr>
          <w:rStyle w:val="FootnoteReference"/>
          <w:rFonts w:ascii="Simplified Arabic" w:hAnsi="Simplified Arabic" w:cs="Simplified Arabic"/>
          <w:sz w:val="18"/>
          <w:vertAlign w:val="baseline"/>
          <w:rtl/>
        </w:rPr>
        <w:t>(</w:t>
      </w:r>
      <w:r w:rsidRPr="00816101">
        <w:rPr>
          <w:rStyle w:val="FootnoteReference"/>
          <w:rFonts w:ascii="Simplified Arabic" w:hAnsi="Simplified Arabic" w:cs="Simplified Arabic"/>
          <w:sz w:val="18"/>
          <w:vertAlign w:val="baseline"/>
          <w:rtl/>
        </w:rPr>
        <w:footnoteRef/>
      </w:r>
      <w:r w:rsidRPr="00816101">
        <w:rPr>
          <w:rStyle w:val="FootnoteReference"/>
          <w:rFonts w:ascii="Simplified Arabic" w:hAnsi="Simplified Arabic" w:cs="Simplified Arabic"/>
          <w:sz w:val="18"/>
          <w:vertAlign w:val="baseline"/>
          <w:rtl/>
        </w:rPr>
        <w:t>)  المقرر م ح د-3/3، المرفق الأول.</w:t>
      </w:r>
    </w:p>
  </w:footnote>
  <w:footnote w:id="8">
    <w:p w14:paraId="5929E641" w14:textId="1CC9FBA9" w:rsidR="00BA568A" w:rsidRPr="00816101" w:rsidRDefault="00BA568A" w:rsidP="007C001C">
      <w:pPr>
        <w:pStyle w:val="Normal-pool"/>
        <w:tabs>
          <w:tab w:val="clear" w:pos="1247"/>
        </w:tabs>
        <w:bidi/>
        <w:spacing w:after="40" w:line="280" w:lineRule="exact"/>
        <w:ind w:left="1132"/>
        <w:textDirection w:val="tbRlV"/>
        <w:rPr>
          <w:rStyle w:val="FootnoteReference"/>
          <w:rFonts w:ascii="Simplified Arabic" w:hAnsi="Simplified Arabic" w:cs="Simplified Arabic"/>
          <w:vertAlign w:val="baseline"/>
          <w:rtl/>
        </w:rPr>
      </w:pPr>
      <w:r>
        <w:rPr>
          <w:rFonts w:ascii="Simplified Arabic" w:hAnsi="Simplified Arabic" w:cs="Simplified Arabic" w:hint="cs"/>
          <w:sz w:val="18"/>
          <w:rtl/>
        </w:rPr>
        <w:t>(</w:t>
      </w:r>
      <w:r w:rsidRPr="00816101">
        <w:rPr>
          <w:rStyle w:val="FootnoteReference"/>
          <w:rFonts w:ascii="Simplified Arabic" w:hAnsi="Simplified Arabic" w:cs="Simplified Arabic"/>
          <w:sz w:val="18"/>
          <w:vertAlign w:val="baseline"/>
          <w:rtl/>
        </w:rPr>
        <w:footnoteRef/>
      </w:r>
      <w:r>
        <w:rPr>
          <w:rFonts w:ascii="Simplified Arabic" w:hAnsi="Simplified Arabic" w:cs="Simplified Arabic" w:hint="cs"/>
          <w:sz w:val="18"/>
          <w:rtl/>
        </w:rPr>
        <w:t>)</w:t>
      </w:r>
      <w:r w:rsidRPr="00816101">
        <w:rPr>
          <w:rStyle w:val="FootnoteReference"/>
          <w:rFonts w:ascii="Simplified Arabic" w:hAnsi="Simplified Arabic" w:cs="Simplified Arabic"/>
          <w:sz w:val="18"/>
          <w:vertAlign w:val="baseline"/>
          <w:rtl/>
        </w:rPr>
        <w:t xml:space="preserve"> انظر</w:t>
      </w:r>
      <w:r w:rsidRPr="00816101">
        <w:rPr>
          <w:rStyle w:val="FootnoteReference"/>
          <w:rFonts w:ascii="Simplified Arabic" w:hAnsi="Simplified Arabic" w:cs="Simplified Arabic"/>
          <w:sz w:val="18"/>
          <w:vertAlign w:val="baseline"/>
        </w:rPr>
        <w:t>:</w:t>
      </w:r>
      <w:r w:rsidRPr="00816101">
        <w:rPr>
          <w:rStyle w:val="FootnoteReference"/>
          <w:rFonts w:ascii="Simplified Arabic" w:hAnsi="Simplified Arabic" w:cs="Simplified Arabic"/>
          <w:sz w:val="18"/>
          <w:vertAlign w:val="baseline"/>
          <w:rtl/>
        </w:rPr>
        <w:t xml:space="preserve"> </w:t>
      </w:r>
      <w:r w:rsidRPr="00816101">
        <w:rPr>
          <w:rStyle w:val="FootnoteReference"/>
          <w:rFonts w:asciiTheme="majorBidi" w:hAnsiTheme="majorBidi" w:cstheme="majorBidi"/>
          <w:sz w:val="18"/>
          <w:vertAlign w:val="baseline"/>
        </w:rPr>
        <w:t>https://ipbes.net/national-focal-points</w:t>
      </w:r>
      <w:r w:rsidRPr="00816101">
        <w:rPr>
          <w:rStyle w:val="FootnoteReference"/>
          <w:rFonts w:ascii="Simplified Arabic" w:hAnsi="Simplified Arabic" w:cs="Simplified Arabic"/>
          <w:sz w:val="18"/>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1DB2990B"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A50B7D">
      <w:rPr>
        <w:rStyle w:val="PageNumber"/>
        <w:rFonts w:cs="Times New Roman"/>
        <w:b/>
        <w:bCs/>
        <w:sz w:val="17"/>
        <w:szCs w:val="17"/>
        <w:lang w:val="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A5F2" w14:textId="167B9521" w:rsidR="004429C9" w:rsidRPr="004429C9" w:rsidRDefault="004429C9" w:rsidP="004429C9">
    <w:pPr>
      <w:pBdr>
        <w:bottom w:val="single" w:sz="4" w:space="0" w:color="auto"/>
      </w:pBdr>
      <w:bidi w:val="0"/>
      <w:spacing w:before="20" w:after="4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A50B7D">
      <w:rPr>
        <w:rStyle w:val="PageNumber"/>
        <w:rFonts w:cs="Times New Roman"/>
        <w:b/>
        <w:bCs/>
        <w:sz w:val="17"/>
        <w:szCs w:val="17"/>
        <w:lang w:val="fr-F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4331"/>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AE35B5"/>
    <w:multiLevelType w:val="multilevel"/>
    <w:tmpl w:val="51FCBC38"/>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94056"/>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29A135E4"/>
    <w:multiLevelType w:val="multilevel"/>
    <w:tmpl w:val="BDCCE818"/>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A33676B"/>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8"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F9F097B"/>
    <w:multiLevelType w:val="multilevel"/>
    <w:tmpl w:val="BDCCE818"/>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7"/>
  </w:num>
  <w:num w:numId="5">
    <w:abstractNumId w:val="21"/>
  </w:num>
  <w:num w:numId="6">
    <w:abstractNumId w:val="2"/>
  </w:num>
  <w:num w:numId="7">
    <w:abstractNumId w:val="13"/>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5"/>
    <w:lvlOverride w:ilvl="0">
      <w:lvl w:ilvl="0" w:tplc="2824552C">
        <w:start w:val="1"/>
        <w:numFmt w:val="bullet"/>
        <w:lvlText w:val="•"/>
        <w:lvlJc w:val="left"/>
        <w:pPr>
          <w:ind w:left="720" w:hanging="360"/>
        </w:pPr>
        <w:rPr>
          <w:rFonts w:ascii="Times New Roman" w:hAnsi="Times New Roman" w:cs="Times New Roman"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9">
    <w:abstractNumId w:val="18"/>
  </w:num>
  <w:num w:numId="10">
    <w:abstractNumId w:val="16"/>
  </w:num>
  <w:num w:numId="11">
    <w:abstractNumId w:val="3"/>
  </w:num>
  <w:num w:numId="12">
    <w:abstractNumId w:val="14"/>
  </w:num>
  <w:num w:numId="13">
    <w:abstractNumId w:val="4"/>
  </w:num>
  <w:num w:numId="14">
    <w:abstractNumId w:val="11"/>
  </w:num>
  <w:num w:numId="15">
    <w:abstractNumId w:val="0"/>
  </w:num>
  <w:num w:numId="16">
    <w:abstractNumId w:val="20"/>
  </w:num>
  <w:num w:numId="17">
    <w:abstractNumId w:val="6"/>
  </w:num>
  <w:num w:numId="18">
    <w:abstractNumId w:val="9"/>
  </w:num>
  <w:num w:numId="19">
    <w:abstractNumId w:val="15"/>
  </w:num>
  <w:num w:numId="20">
    <w:abstractNumId w:val="12"/>
  </w:num>
  <w:num w:numId="21">
    <w:abstractNumId w:val="5"/>
  </w:num>
  <w:num w:numId="22">
    <w:abstractNumId w:val="10"/>
  </w:num>
  <w:num w:numId="23">
    <w:abstractNumId w:val="13"/>
    <w:lvlOverride w:ilvl="0">
      <w:lvl w:ilvl="0">
        <w:start w:val="1"/>
        <w:numFmt w:val="decimal"/>
        <w:lvlText w:val="%1-"/>
        <w:lvlJc w:val="left"/>
        <w:pPr>
          <w:ind w:left="1607" w:hanging="360"/>
        </w:pPr>
        <w:rPr>
          <w:rFonts w:hint="default"/>
          <w:sz w:val="22"/>
          <w:szCs w:val="22"/>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4">
    <w:abstractNumId w:val="19"/>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wUADFl7JywAAAA="/>
  </w:docVars>
  <w:rsids>
    <w:rsidRoot w:val="0090002B"/>
    <w:rsid w:val="0000326C"/>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56A99"/>
    <w:rsid w:val="0006021A"/>
    <w:rsid w:val="00066E8E"/>
    <w:rsid w:val="00067A31"/>
    <w:rsid w:val="00067F32"/>
    <w:rsid w:val="00067F7C"/>
    <w:rsid w:val="0008088A"/>
    <w:rsid w:val="00082B96"/>
    <w:rsid w:val="0008343B"/>
    <w:rsid w:val="000844F9"/>
    <w:rsid w:val="00092517"/>
    <w:rsid w:val="00095712"/>
    <w:rsid w:val="000A27EE"/>
    <w:rsid w:val="000A2893"/>
    <w:rsid w:val="000A6E39"/>
    <w:rsid w:val="000B2598"/>
    <w:rsid w:val="000B3CA0"/>
    <w:rsid w:val="000B502D"/>
    <w:rsid w:val="000B6B96"/>
    <w:rsid w:val="000C1415"/>
    <w:rsid w:val="000C2ECA"/>
    <w:rsid w:val="000C473C"/>
    <w:rsid w:val="000C60CD"/>
    <w:rsid w:val="000C64CB"/>
    <w:rsid w:val="000C6AF1"/>
    <w:rsid w:val="000C70BB"/>
    <w:rsid w:val="000C72D5"/>
    <w:rsid w:val="000D5CA1"/>
    <w:rsid w:val="000D6FD9"/>
    <w:rsid w:val="000D716E"/>
    <w:rsid w:val="000E6626"/>
    <w:rsid w:val="000E685E"/>
    <w:rsid w:val="000E72D6"/>
    <w:rsid w:val="000F083C"/>
    <w:rsid w:val="000F39C0"/>
    <w:rsid w:val="000F463A"/>
    <w:rsid w:val="000F712A"/>
    <w:rsid w:val="001017F6"/>
    <w:rsid w:val="00102A11"/>
    <w:rsid w:val="00105907"/>
    <w:rsid w:val="00107C41"/>
    <w:rsid w:val="00111A3E"/>
    <w:rsid w:val="00111DDA"/>
    <w:rsid w:val="00115C7F"/>
    <w:rsid w:val="0012040B"/>
    <w:rsid w:val="001223A2"/>
    <w:rsid w:val="00123D61"/>
    <w:rsid w:val="00124CC4"/>
    <w:rsid w:val="00126193"/>
    <w:rsid w:val="00130365"/>
    <w:rsid w:val="00131CE1"/>
    <w:rsid w:val="001367EA"/>
    <w:rsid w:val="001368B8"/>
    <w:rsid w:val="001369C6"/>
    <w:rsid w:val="00136E97"/>
    <w:rsid w:val="0014131C"/>
    <w:rsid w:val="0014278C"/>
    <w:rsid w:val="00142AE3"/>
    <w:rsid w:val="00144172"/>
    <w:rsid w:val="00147C03"/>
    <w:rsid w:val="00147D7B"/>
    <w:rsid w:val="00153644"/>
    <w:rsid w:val="00154CC2"/>
    <w:rsid w:val="00155F84"/>
    <w:rsid w:val="001578B2"/>
    <w:rsid w:val="0016168E"/>
    <w:rsid w:val="0016255E"/>
    <w:rsid w:val="00165669"/>
    <w:rsid w:val="00165BE3"/>
    <w:rsid w:val="00167110"/>
    <w:rsid w:val="0017427B"/>
    <w:rsid w:val="001742B7"/>
    <w:rsid w:val="00177C0C"/>
    <w:rsid w:val="001841AD"/>
    <w:rsid w:val="001844E3"/>
    <w:rsid w:val="00186DE2"/>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C7F"/>
    <w:rsid w:val="00251749"/>
    <w:rsid w:val="00252430"/>
    <w:rsid w:val="00253BCB"/>
    <w:rsid w:val="00260C3B"/>
    <w:rsid w:val="00261451"/>
    <w:rsid w:val="002615F7"/>
    <w:rsid w:val="0026399C"/>
    <w:rsid w:val="002653F1"/>
    <w:rsid w:val="00267DA8"/>
    <w:rsid w:val="00272AB2"/>
    <w:rsid w:val="00276E48"/>
    <w:rsid w:val="00280BE3"/>
    <w:rsid w:val="0028306F"/>
    <w:rsid w:val="002A003B"/>
    <w:rsid w:val="002A188D"/>
    <w:rsid w:val="002A3D7D"/>
    <w:rsid w:val="002A7552"/>
    <w:rsid w:val="002B14DB"/>
    <w:rsid w:val="002B2CC9"/>
    <w:rsid w:val="002B42EE"/>
    <w:rsid w:val="002B5AB9"/>
    <w:rsid w:val="002C1F45"/>
    <w:rsid w:val="002C2187"/>
    <w:rsid w:val="002C60AD"/>
    <w:rsid w:val="002C66EC"/>
    <w:rsid w:val="002D0FCA"/>
    <w:rsid w:val="002D12BC"/>
    <w:rsid w:val="002D2E8C"/>
    <w:rsid w:val="002D5C13"/>
    <w:rsid w:val="002D7BBF"/>
    <w:rsid w:val="002E415B"/>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44240"/>
    <w:rsid w:val="003501E1"/>
    <w:rsid w:val="003553DB"/>
    <w:rsid w:val="00355949"/>
    <w:rsid w:val="00361B58"/>
    <w:rsid w:val="00371CB9"/>
    <w:rsid w:val="00372CE2"/>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55A"/>
    <w:rsid w:val="003D482F"/>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25186"/>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FE5"/>
    <w:rsid w:val="004845CD"/>
    <w:rsid w:val="00485260"/>
    <w:rsid w:val="004868EF"/>
    <w:rsid w:val="004916B5"/>
    <w:rsid w:val="0049182D"/>
    <w:rsid w:val="00491A32"/>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3122"/>
    <w:rsid w:val="004D745B"/>
    <w:rsid w:val="004E001B"/>
    <w:rsid w:val="004E0AB1"/>
    <w:rsid w:val="004E1EDE"/>
    <w:rsid w:val="004E3260"/>
    <w:rsid w:val="004E46E6"/>
    <w:rsid w:val="004E5370"/>
    <w:rsid w:val="004E561D"/>
    <w:rsid w:val="004E63A5"/>
    <w:rsid w:val="004E7B30"/>
    <w:rsid w:val="004F084F"/>
    <w:rsid w:val="004F540F"/>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72ED"/>
    <w:rsid w:val="00547A83"/>
    <w:rsid w:val="00560A29"/>
    <w:rsid w:val="005622D2"/>
    <w:rsid w:val="0056457C"/>
    <w:rsid w:val="00564A9C"/>
    <w:rsid w:val="005668AB"/>
    <w:rsid w:val="00566C4A"/>
    <w:rsid w:val="00566DD6"/>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98D"/>
    <w:rsid w:val="005B25B0"/>
    <w:rsid w:val="005B4C4C"/>
    <w:rsid w:val="005C0D73"/>
    <w:rsid w:val="005C2054"/>
    <w:rsid w:val="005C55FF"/>
    <w:rsid w:val="005C59E1"/>
    <w:rsid w:val="005D1176"/>
    <w:rsid w:val="005D717A"/>
    <w:rsid w:val="005E06C5"/>
    <w:rsid w:val="005E2737"/>
    <w:rsid w:val="005E5BC8"/>
    <w:rsid w:val="005E66C7"/>
    <w:rsid w:val="005E6F32"/>
    <w:rsid w:val="005F023C"/>
    <w:rsid w:val="005F3809"/>
    <w:rsid w:val="005F3BCA"/>
    <w:rsid w:val="005F4603"/>
    <w:rsid w:val="005F5925"/>
    <w:rsid w:val="005F7A99"/>
    <w:rsid w:val="00604B89"/>
    <w:rsid w:val="00606AC6"/>
    <w:rsid w:val="00606C05"/>
    <w:rsid w:val="0060772E"/>
    <w:rsid w:val="00610F8D"/>
    <w:rsid w:val="00614496"/>
    <w:rsid w:val="00615461"/>
    <w:rsid w:val="006160A4"/>
    <w:rsid w:val="00617DE3"/>
    <w:rsid w:val="00620B95"/>
    <w:rsid w:val="006227F4"/>
    <w:rsid w:val="0062350F"/>
    <w:rsid w:val="006237A0"/>
    <w:rsid w:val="0062594E"/>
    <w:rsid w:val="00627628"/>
    <w:rsid w:val="00633E8B"/>
    <w:rsid w:val="0063685D"/>
    <w:rsid w:val="006377FE"/>
    <w:rsid w:val="00645512"/>
    <w:rsid w:val="00646558"/>
    <w:rsid w:val="00647320"/>
    <w:rsid w:val="006559BA"/>
    <w:rsid w:val="00665C2A"/>
    <w:rsid w:val="00671875"/>
    <w:rsid w:val="00676469"/>
    <w:rsid w:val="00677642"/>
    <w:rsid w:val="006813C8"/>
    <w:rsid w:val="00684243"/>
    <w:rsid w:val="00686768"/>
    <w:rsid w:val="0069086F"/>
    <w:rsid w:val="00696059"/>
    <w:rsid w:val="00697559"/>
    <w:rsid w:val="006A0CB1"/>
    <w:rsid w:val="006A5C3F"/>
    <w:rsid w:val="006A7464"/>
    <w:rsid w:val="006A7E4F"/>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48C9"/>
    <w:rsid w:val="00706852"/>
    <w:rsid w:val="00712158"/>
    <w:rsid w:val="0071484E"/>
    <w:rsid w:val="00714D1A"/>
    <w:rsid w:val="0071767D"/>
    <w:rsid w:val="00720932"/>
    <w:rsid w:val="007226C6"/>
    <w:rsid w:val="007239A2"/>
    <w:rsid w:val="00724CB2"/>
    <w:rsid w:val="00726C91"/>
    <w:rsid w:val="00726D81"/>
    <w:rsid w:val="007301C8"/>
    <w:rsid w:val="00730A80"/>
    <w:rsid w:val="007313C7"/>
    <w:rsid w:val="0073191C"/>
    <w:rsid w:val="0073400D"/>
    <w:rsid w:val="00734465"/>
    <w:rsid w:val="00744517"/>
    <w:rsid w:val="00744709"/>
    <w:rsid w:val="007453FE"/>
    <w:rsid w:val="00751833"/>
    <w:rsid w:val="00752879"/>
    <w:rsid w:val="0075378C"/>
    <w:rsid w:val="00760DC8"/>
    <w:rsid w:val="007656A7"/>
    <w:rsid w:val="00767A09"/>
    <w:rsid w:val="00774C9B"/>
    <w:rsid w:val="00775957"/>
    <w:rsid w:val="00777222"/>
    <w:rsid w:val="00783165"/>
    <w:rsid w:val="00783D31"/>
    <w:rsid w:val="00796F2E"/>
    <w:rsid w:val="007A0D4D"/>
    <w:rsid w:val="007A1738"/>
    <w:rsid w:val="007A671B"/>
    <w:rsid w:val="007A6D2A"/>
    <w:rsid w:val="007A7A0C"/>
    <w:rsid w:val="007B173A"/>
    <w:rsid w:val="007B4358"/>
    <w:rsid w:val="007B5F59"/>
    <w:rsid w:val="007B6D76"/>
    <w:rsid w:val="007B7061"/>
    <w:rsid w:val="007C001C"/>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AD0"/>
    <w:rsid w:val="007F54AA"/>
    <w:rsid w:val="00802B63"/>
    <w:rsid w:val="00803A21"/>
    <w:rsid w:val="00805014"/>
    <w:rsid w:val="008148D5"/>
    <w:rsid w:val="00817765"/>
    <w:rsid w:val="00821BB3"/>
    <w:rsid w:val="00822614"/>
    <w:rsid w:val="008247FB"/>
    <w:rsid w:val="008259F6"/>
    <w:rsid w:val="00827A97"/>
    <w:rsid w:val="0083089E"/>
    <w:rsid w:val="008371D4"/>
    <w:rsid w:val="008413D1"/>
    <w:rsid w:val="00841F08"/>
    <w:rsid w:val="008500FB"/>
    <w:rsid w:val="00852F12"/>
    <w:rsid w:val="008547D9"/>
    <w:rsid w:val="00855DAB"/>
    <w:rsid w:val="008571CA"/>
    <w:rsid w:val="00857B7B"/>
    <w:rsid w:val="00860E5A"/>
    <w:rsid w:val="0086197B"/>
    <w:rsid w:val="00863521"/>
    <w:rsid w:val="00864FA4"/>
    <w:rsid w:val="00873A40"/>
    <w:rsid w:val="008801C0"/>
    <w:rsid w:val="008814AB"/>
    <w:rsid w:val="008844D8"/>
    <w:rsid w:val="00887CE8"/>
    <w:rsid w:val="00887FD6"/>
    <w:rsid w:val="0089216B"/>
    <w:rsid w:val="00892A8F"/>
    <w:rsid w:val="0089620E"/>
    <w:rsid w:val="008A1C95"/>
    <w:rsid w:val="008A5EBB"/>
    <w:rsid w:val="008A6A43"/>
    <w:rsid w:val="008B1BBE"/>
    <w:rsid w:val="008B22CE"/>
    <w:rsid w:val="008D3DF4"/>
    <w:rsid w:val="008E0EC1"/>
    <w:rsid w:val="008E227C"/>
    <w:rsid w:val="008E3A61"/>
    <w:rsid w:val="008E71C7"/>
    <w:rsid w:val="008F07B5"/>
    <w:rsid w:val="008F48E3"/>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5980"/>
    <w:rsid w:val="00960EBC"/>
    <w:rsid w:val="00973875"/>
    <w:rsid w:val="00973D23"/>
    <w:rsid w:val="0097400D"/>
    <w:rsid w:val="0097592A"/>
    <w:rsid w:val="00980B82"/>
    <w:rsid w:val="009819E2"/>
    <w:rsid w:val="009825B1"/>
    <w:rsid w:val="0098293D"/>
    <w:rsid w:val="00982E96"/>
    <w:rsid w:val="00982F86"/>
    <w:rsid w:val="00983085"/>
    <w:rsid w:val="009838F3"/>
    <w:rsid w:val="00995078"/>
    <w:rsid w:val="00995A73"/>
    <w:rsid w:val="009974EC"/>
    <w:rsid w:val="009A052E"/>
    <w:rsid w:val="009A0997"/>
    <w:rsid w:val="009A1FDF"/>
    <w:rsid w:val="009A55B3"/>
    <w:rsid w:val="009B2A75"/>
    <w:rsid w:val="009B6CEF"/>
    <w:rsid w:val="009B6F53"/>
    <w:rsid w:val="009B74E7"/>
    <w:rsid w:val="009C5B87"/>
    <w:rsid w:val="009D0736"/>
    <w:rsid w:val="009D2569"/>
    <w:rsid w:val="009D3D55"/>
    <w:rsid w:val="009D58E8"/>
    <w:rsid w:val="009E0DC7"/>
    <w:rsid w:val="009E263E"/>
    <w:rsid w:val="009E2CE5"/>
    <w:rsid w:val="009E46DF"/>
    <w:rsid w:val="009E6EAB"/>
    <w:rsid w:val="009F1164"/>
    <w:rsid w:val="009F4096"/>
    <w:rsid w:val="009F528D"/>
    <w:rsid w:val="009F7EE8"/>
    <w:rsid w:val="00A0029B"/>
    <w:rsid w:val="00A03464"/>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41F82"/>
    <w:rsid w:val="00A50563"/>
    <w:rsid w:val="00A50B7D"/>
    <w:rsid w:val="00A50ECE"/>
    <w:rsid w:val="00A515BE"/>
    <w:rsid w:val="00A5344D"/>
    <w:rsid w:val="00A53E97"/>
    <w:rsid w:val="00A54B49"/>
    <w:rsid w:val="00A551A8"/>
    <w:rsid w:val="00A55531"/>
    <w:rsid w:val="00A56221"/>
    <w:rsid w:val="00A579D1"/>
    <w:rsid w:val="00A62403"/>
    <w:rsid w:val="00A65D94"/>
    <w:rsid w:val="00A70DB7"/>
    <w:rsid w:val="00A71BC1"/>
    <w:rsid w:val="00A72550"/>
    <w:rsid w:val="00A7387C"/>
    <w:rsid w:val="00A76B59"/>
    <w:rsid w:val="00A80B37"/>
    <w:rsid w:val="00A85E58"/>
    <w:rsid w:val="00A87A85"/>
    <w:rsid w:val="00A969A0"/>
    <w:rsid w:val="00AA4B56"/>
    <w:rsid w:val="00AA683A"/>
    <w:rsid w:val="00AA73B3"/>
    <w:rsid w:val="00AB1740"/>
    <w:rsid w:val="00AB1E5D"/>
    <w:rsid w:val="00AB3CEA"/>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71FC"/>
    <w:rsid w:val="00B00290"/>
    <w:rsid w:val="00B00CA0"/>
    <w:rsid w:val="00B07A1F"/>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3E45"/>
    <w:rsid w:val="00B77EDA"/>
    <w:rsid w:val="00B8350F"/>
    <w:rsid w:val="00B83776"/>
    <w:rsid w:val="00B85578"/>
    <w:rsid w:val="00B855AE"/>
    <w:rsid w:val="00B86C1A"/>
    <w:rsid w:val="00B87B65"/>
    <w:rsid w:val="00B90B62"/>
    <w:rsid w:val="00B9103C"/>
    <w:rsid w:val="00B946C5"/>
    <w:rsid w:val="00B97A52"/>
    <w:rsid w:val="00BA2590"/>
    <w:rsid w:val="00BA25D1"/>
    <w:rsid w:val="00BA25F3"/>
    <w:rsid w:val="00BA568A"/>
    <w:rsid w:val="00BA66F1"/>
    <w:rsid w:val="00BA6B5D"/>
    <w:rsid w:val="00BA6ED1"/>
    <w:rsid w:val="00BB062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71"/>
    <w:rsid w:val="00C265FC"/>
    <w:rsid w:val="00C3352A"/>
    <w:rsid w:val="00C34FDE"/>
    <w:rsid w:val="00C363F1"/>
    <w:rsid w:val="00C41430"/>
    <w:rsid w:val="00C462C2"/>
    <w:rsid w:val="00C47D5D"/>
    <w:rsid w:val="00C54268"/>
    <w:rsid w:val="00C56205"/>
    <w:rsid w:val="00C633EB"/>
    <w:rsid w:val="00C671AA"/>
    <w:rsid w:val="00C671E6"/>
    <w:rsid w:val="00C712BF"/>
    <w:rsid w:val="00C820E0"/>
    <w:rsid w:val="00C84DB9"/>
    <w:rsid w:val="00C85728"/>
    <w:rsid w:val="00C86BDC"/>
    <w:rsid w:val="00C92D99"/>
    <w:rsid w:val="00CA15F5"/>
    <w:rsid w:val="00CA22FE"/>
    <w:rsid w:val="00CA4C29"/>
    <w:rsid w:val="00CA4EA2"/>
    <w:rsid w:val="00CA4F8C"/>
    <w:rsid w:val="00CA5362"/>
    <w:rsid w:val="00CB261B"/>
    <w:rsid w:val="00CB65AA"/>
    <w:rsid w:val="00CB79F1"/>
    <w:rsid w:val="00CB7CE9"/>
    <w:rsid w:val="00CC2016"/>
    <w:rsid w:val="00CC50A7"/>
    <w:rsid w:val="00CC55AD"/>
    <w:rsid w:val="00CD16B3"/>
    <w:rsid w:val="00CD248F"/>
    <w:rsid w:val="00CD25C4"/>
    <w:rsid w:val="00CD399B"/>
    <w:rsid w:val="00CE1915"/>
    <w:rsid w:val="00CE19BD"/>
    <w:rsid w:val="00CE446D"/>
    <w:rsid w:val="00CF0C7E"/>
    <w:rsid w:val="00CF141F"/>
    <w:rsid w:val="00CF35FC"/>
    <w:rsid w:val="00CF5671"/>
    <w:rsid w:val="00CF57B4"/>
    <w:rsid w:val="00CF77D5"/>
    <w:rsid w:val="00D12FDA"/>
    <w:rsid w:val="00D16D6E"/>
    <w:rsid w:val="00D17B39"/>
    <w:rsid w:val="00D24737"/>
    <w:rsid w:val="00D27925"/>
    <w:rsid w:val="00D30A9A"/>
    <w:rsid w:val="00D319C5"/>
    <w:rsid w:val="00D36352"/>
    <w:rsid w:val="00D444E7"/>
    <w:rsid w:val="00D44CE3"/>
    <w:rsid w:val="00D54AB1"/>
    <w:rsid w:val="00D56D43"/>
    <w:rsid w:val="00D578BF"/>
    <w:rsid w:val="00D611B6"/>
    <w:rsid w:val="00D61608"/>
    <w:rsid w:val="00D61802"/>
    <w:rsid w:val="00D63263"/>
    <w:rsid w:val="00D6394F"/>
    <w:rsid w:val="00D63E19"/>
    <w:rsid w:val="00D66C66"/>
    <w:rsid w:val="00D70490"/>
    <w:rsid w:val="00D71822"/>
    <w:rsid w:val="00D77FD2"/>
    <w:rsid w:val="00D83FA9"/>
    <w:rsid w:val="00D85F28"/>
    <w:rsid w:val="00D9173E"/>
    <w:rsid w:val="00D91942"/>
    <w:rsid w:val="00D958DE"/>
    <w:rsid w:val="00DA1588"/>
    <w:rsid w:val="00DA494E"/>
    <w:rsid w:val="00DA5000"/>
    <w:rsid w:val="00DA7E8A"/>
    <w:rsid w:val="00DB2BEA"/>
    <w:rsid w:val="00DB6958"/>
    <w:rsid w:val="00DB7118"/>
    <w:rsid w:val="00DC24A5"/>
    <w:rsid w:val="00DC590D"/>
    <w:rsid w:val="00DC6A39"/>
    <w:rsid w:val="00DD295E"/>
    <w:rsid w:val="00DD2B87"/>
    <w:rsid w:val="00DD440F"/>
    <w:rsid w:val="00DD5F92"/>
    <w:rsid w:val="00DE4F98"/>
    <w:rsid w:val="00DE5798"/>
    <w:rsid w:val="00DE796A"/>
    <w:rsid w:val="00DF05BB"/>
    <w:rsid w:val="00DF7063"/>
    <w:rsid w:val="00E015AC"/>
    <w:rsid w:val="00E059D3"/>
    <w:rsid w:val="00E14F28"/>
    <w:rsid w:val="00E158D5"/>
    <w:rsid w:val="00E201C8"/>
    <w:rsid w:val="00E2234C"/>
    <w:rsid w:val="00E22E05"/>
    <w:rsid w:val="00E247C2"/>
    <w:rsid w:val="00E24E25"/>
    <w:rsid w:val="00E25221"/>
    <w:rsid w:val="00E31210"/>
    <w:rsid w:val="00E3344F"/>
    <w:rsid w:val="00E369DB"/>
    <w:rsid w:val="00E36EB2"/>
    <w:rsid w:val="00E43707"/>
    <w:rsid w:val="00E51EC3"/>
    <w:rsid w:val="00E63CFD"/>
    <w:rsid w:val="00E63D25"/>
    <w:rsid w:val="00E67568"/>
    <w:rsid w:val="00E724A0"/>
    <w:rsid w:val="00E7433F"/>
    <w:rsid w:val="00E760C7"/>
    <w:rsid w:val="00E828C7"/>
    <w:rsid w:val="00E84A4F"/>
    <w:rsid w:val="00E90558"/>
    <w:rsid w:val="00E9077F"/>
    <w:rsid w:val="00E91640"/>
    <w:rsid w:val="00E921B9"/>
    <w:rsid w:val="00E95BA4"/>
    <w:rsid w:val="00E96DEF"/>
    <w:rsid w:val="00EA0788"/>
    <w:rsid w:val="00EA0FD4"/>
    <w:rsid w:val="00EA1054"/>
    <w:rsid w:val="00EA37A1"/>
    <w:rsid w:val="00EA4780"/>
    <w:rsid w:val="00EB0EB2"/>
    <w:rsid w:val="00EB32FE"/>
    <w:rsid w:val="00EC2CB1"/>
    <w:rsid w:val="00EC3A5F"/>
    <w:rsid w:val="00ED2918"/>
    <w:rsid w:val="00ED4A55"/>
    <w:rsid w:val="00ED4ECA"/>
    <w:rsid w:val="00ED6BB3"/>
    <w:rsid w:val="00ED77A3"/>
    <w:rsid w:val="00EE026C"/>
    <w:rsid w:val="00EE3DF6"/>
    <w:rsid w:val="00EE5837"/>
    <w:rsid w:val="00EE5C27"/>
    <w:rsid w:val="00EF135A"/>
    <w:rsid w:val="00EF19EC"/>
    <w:rsid w:val="00EF6CDD"/>
    <w:rsid w:val="00EF711C"/>
    <w:rsid w:val="00EF7575"/>
    <w:rsid w:val="00F00CCF"/>
    <w:rsid w:val="00F01B22"/>
    <w:rsid w:val="00F03C00"/>
    <w:rsid w:val="00F12DD6"/>
    <w:rsid w:val="00F228CB"/>
    <w:rsid w:val="00F240DC"/>
    <w:rsid w:val="00F24F24"/>
    <w:rsid w:val="00F253D4"/>
    <w:rsid w:val="00F27FC6"/>
    <w:rsid w:val="00F322C7"/>
    <w:rsid w:val="00F3310C"/>
    <w:rsid w:val="00F40D7F"/>
    <w:rsid w:val="00F43F00"/>
    <w:rsid w:val="00F45D78"/>
    <w:rsid w:val="00F47390"/>
    <w:rsid w:val="00F50135"/>
    <w:rsid w:val="00F61AB5"/>
    <w:rsid w:val="00F622EA"/>
    <w:rsid w:val="00F64BB3"/>
    <w:rsid w:val="00F66AB2"/>
    <w:rsid w:val="00F67C3E"/>
    <w:rsid w:val="00F7444A"/>
    <w:rsid w:val="00F7639B"/>
    <w:rsid w:val="00F822AB"/>
    <w:rsid w:val="00F83AB9"/>
    <w:rsid w:val="00F84049"/>
    <w:rsid w:val="00F87E04"/>
    <w:rsid w:val="00F932A0"/>
    <w:rsid w:val="00F93650"/>
    <w:rsid w:val="00FA2101"/>
    <w:rsid w:val="00FB0332"/>
    <w:rsid w:val="00FB1EDD"/>
    <w:rsid w:val="00FB4A3F"/>
    <w:rsid w:val="00FB4F87"/>
    <w:rsid w:val="00FB61BA"/>
    <w:rsid w:val="00FC1EB0"/>
    <w:rsid w:val="00FC44A4"/>
    <w:rsid w:val="00FD1841"/>
    <w:rsid w:val="00FD2F48"/>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2021-05-05T10:39:39Z</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11F32-5C14-4D07-9B3F-112F64BF669D}"/>
</file>

<file path=customXml/itemProps2.xml><?xml version="1.0" encoding="utf-8"?>
<ds:datastoreItem xmlns:ds="http://schemas.openxmlformats.org/officeDocument/2006/customXml" ds:itemID="{71A40525-1CBF-4253-B016-D78FD60A24E3}">
  <ds:schemaRefs>
    <ds:schemaRef ds:uri="http://schemas.openxmlformats.org/officeDocument/2006/bibliography"/>
  </ds:schemaRefs>
</ds:datastoreItem>
</file>

<file path=customXml/itemProps3.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7F6416-3CB8-4CF9-9489-04B7FBA6B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2021-05-05T08:38:00Z</dcterms:created>
  <dcterms:modified xsi:type="dcterms:W3CDTF">2021-05-05T08:38:00Z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