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3435"/>
      </w:tblGrid>
      <w:tr w:rsidR="00053C64" w:rsidRPr="00EE19C3" w:rsidTr="00053C6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053C64" w:rsidRPr="00EE19C3" w:rsidRDefault="00053C64" w:rsidP="00053C64">
            <w:pPr>
              <w:rPr>
                <w:rFonts w:ascii="Univers" w:hAnsi="Univers"/>
                <w:noProof/>
                <w:lang w:val="fr-FR"/>
              </w:rPr>
            </w:pPr>
            <w:bookmarkStart w:id="0" w:name="_GoBack"/>
            <w:bookmarkEnd w:id="0"/>
            <w:r w:rsidRPr="00EE19C3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t>NATIONS UNIES</w:t>
            </w:r>
            <w:r w:rsidRPr="00EE19C3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br/>
            </w:r>
          </w:p>
        </w:tc>
        <w:tc>
          <w:tcPr>
            <w:tcW w:w="4785" w:type="dxa"/>
          </w:tcPr>
          <w:p w:rsidR="00053C64" w:rsidRPr="00EE19C3" w:rsidRDefault="00053C64" w:rsidP="00053C64">
            <w:pPr>
              <w:rPr>
                <w:rFonts w:ascii="Univers" w:hAnsi="Univers"/>
                <w:b/>
                <w:sz w:val="27"/>
                <w:szCs w:val="27"/>
                <w:lang w:val="fr-FR"/>
              </w:rPr>
            </w:pPr>
          </w:p>
        </w:tc>
        <w:tc>
          <w:tcPr>
            <w:tcW w:w="3435" w:type="dxa"/>
          </w:tcPr>
          <w:p w:rsidR="00053C64" w:rsidRPr="00EE19C3" w:rsidRDefault="00053C64" w:rsidP="00053C64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EE19C3">
              <w:rPr>
                <w:rFonts w:ascii="Arial" w:hAnsi="Arial" w:cs="Arial"/>
                <w:b/>
                <w:sz w:val="64"/>
                <w:szCs w:val="64"/>
                <w:lang w:val="fr-FR"/>
              </w:rPr>
              <w:t>EP</w:t>
            </w:r>
          </w:p>
        </w:tc>
      </w:tr>
      <w:tr w:rsidR="00053C64" w:rsidRPr="00EE19C3" w:rsidTr="00053C6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053C64" w:rsidRPr="00EE19C3" w:rsidRDefault="00053C64" w:rsidP="00053C64">
            <w:pPr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053C64" w:rsidRPr="00EE19C3" w:rsidRDefault="00053C64" w:rsidP="00053C64">
            <w:pPr>
              <w:rPr>
                <w:rFonts w:ascii="Univers" w:hAnsi="Univers"/>
                <w:b/>
                <w:sz w:val="18"/>
                <w:szCs w:val="18"/>
                <w:lang w:val="fr-FR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53C64" w:rsidRPr="00EE19C3" w:rsidRDefault="00053C64" w:rsidP="00053C64">
            <w:pPr>
              <w:rPr>
                <w:noProof/>
                <w:sz w:val="18"/>
                <w:szCs w:val="18"/>
                <w:lang w:val="fr-FR"/>
              </w:rPr>
            </w:pPr>
            <w:r w:rsidRPr="00EE19C3">
              <w:rPr>
                <w:b/>
                <w:sz w:val="24"/>
                <w:szCs w:val="24"/>
                <w:lang w:val="fr-FR"/>
              </w:rPr>
              <w:t>IPBES</w:t>
            </w:r>
            <w:r w:rsidRPr="00EE19C3">
              <w:rPr>
                <w:lang w:val="fr-FR"/>
              </w:rPr>
              <w:t>/2/</w:t>
            </w:r>
            <w:r w:rsidR="00D961F6" w:rsidRPr="00EE19C3">
              <w:rPr>
                <w:lang w:val="fr-FR"/>
              </w:rPr>
              <w:t>7</w:t>
            </w:r>
          </w:p>
        </w:tc>
      </w:tr>
      <w:bookmarkStart w:id="1" w:name="_MON_1021710482"/>
      <w:bookmarkStart w:id="2" w:name="_MON_1021710510"/>
      <w:bookmarkEnd w:id="1"/>
      <w:bookmarkEnd w:id="2"/>
      <w:tr w:rsidR="00053C64" w:rsidRPr="00EE19C3" w:rsidTr="00053C64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053C64" w:rsidRPr="00EE19C3" w:rsidRDefault="00053C64" w:rsidP="00053C64">
            <w:pPr>
              <w:rPr>
                <w:noProof/>
                <w:lang w:val="fr-FR"/>
              </w:rPr>
            </w:pPr>
            <w:r w:rsidRPr="00EE19C3">
              <w:rPr>
                <w:noProof/>
                <w:lang w:val="fr-FR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61.25pt" o:ole="" fillcolor="window">
                  <v:imagedata r:id="rId9" o:title=""/>
                </v:shape>
                <o:OLEObject Type="Embed" ProgID="Word.Picture.8" ShapeID="_x0000_i1025" DrawAspect="Content" ObjectID="_1444570265" r:id="rId10"/>
              </w:object>
            </w:r>
            <w:r w:rsidR="000C6002">
              <w:rPr>
                <w:noProof/>
                <w:lang w:val="en-US"/>
              </w:rPr>
              <w:drawing>
                <wp:inline distT="0" distB="0" distL="0" distR="0">
                  <wp:extent cx="723265" cy="764540"/>
                  <wp:effectExtent l="0" t="0" r="63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:rsidR="00053C64" w:rsidRPr="00EE19C3" w:rsidRDefault="00053C64" w:rsidP="00053C64">
            <w:pPr>
              <w:spacing w:before="1200"/>
              <w:rPr>
                <w:rFonts w:ascii="Arial" w:hAnsi="Arial" w:cs="Arial"/>
                <w:b/>
                <w:sz w:val="28"/>
                <w:lang w:val="fr-FR"/>
              </w:rPr>
            </w:pPr>
            <w:r w:rsidRPr="00EE19C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Programme </w:t>
            </w:r>
            <w:r w:rsidRPr="00EE19C3">
              <w:rPr>
                <w:rFonts w:ascii="Arial" w:hAnsi="Arial" w:cs="Arial"/>
                <w:b/>
                <w:sz w:val="28"/>
                <w:szCs w:val="28"/>
                <w:lang w:val="fr-FR"/>
              </w:rPr>
              <w:br/>
              <w:t xml:space="preserve">des Nations Unies </w:t>
            </w:r>
            <w:r w:rsidRPr="00EE19C3">
              <w:rPr>
                <w:rFonts w:ascii="Arial" w:hAnsi="Arial" w:cs="Arial"/>
                <w:b/>
                <w:sz w:val="28"/>
                <w:szCs w:val="28"/>
                <w:lang w:val="fr-FR"/>
              </w:rPr>
              <w:br/>
              <w:t>pour l’environnement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:rsidR="00053C64" w:rsidRPr="00EE19C3" w:rsidRDefault="00D961F6" w:rsidP="00053C64">
            <w:pPr>
              <w:spacing w:before="120" w:after="120"/>
              <w:rPr>
                <w:lang w:val="fr-FR"/>
              </w:rPr>
            </w:pPr>
            <w:r w:rsidRPr="00EE19C3">
              <w:rPr>
                <w:lang w:val="fr-FR"/>
              </w:rPr>
              <w:t>Distr. : générale</w:t>
            </w:r>
            <w:r w:rsidRPr="00EE19C3">
              <w:rPr>
                <w:lang w:val="fr-FR"/>
              </w:rPr>
              <w:br/>
              <w:t>19</w:t>
            </w:r>
            <w:r w:rsidR="00053C64" w:rsidRPr="00EE19C3">
              <w:rPr>
                <w:lang w:val="fr-FR"/>
              </w:rPr>
              <w:t> septembre 2013</w:t>
            </w:r>
          </w:p>
          <w:p w:rsidR="00053C64" w:rsidRPr="00EE19C3" w:rsidRDefault="00053C64" w:rsidP="00053C64">
            <w:pPr>
              <w:spacing w:before="120" w:after="120"/>
              <w:rPr>
                <w:lang w:val="fr-FR"/>
              </w:rPr>
            </w:pPr>
            <w:r w:rsidRPr="00EE19C3">
              <w:rPr>
                <w:lang w:val="fr-FR"/>
              </w:rPr>
              <w:t>Français</w:t>
            </w:r>
            <w:r w:rsidRPr="00EE19C3">
              <w:rPr>
                <w:lang w:val="fr-FR"/>
              </w:rPr>
              <w:br/>
              <w:t>Original : anglais</w:t>
            </w:r>
          </w:p>
        </w:tc>
      </w:tr>
    </w:tbl>
    <w:p w:rsidR="00053C64" w:rsidRPr="00EE19C3" w:rsidRDefault="00053C64" w:rsidP="00053C64">
      <w:pPr>
        <w:pStyle w:val="AATitle"/>
        <w:rPr>
          <w:lang w:val="fr-FR"/>
        </w:rPr>
      </w:pPr>
      <w:r w:rsidRPr="00EE19C3">
        <w:rPr>
          <w:lang w:val="fr-FR"/>
        </w:rPr>
        <w:t>Plénière de la Plateforme intergouvernementale scientifique et politique sur la biodiversité et les services écosystémiques</w:t>
      </w:r>
    </w:p>
    <w:p w:rsidR="00053C64" w:rsidRPr="00EE19C3" w:rsidRDefault="00053C64" w:rsidP="00053C64">
      <w:pPr>
        <w:pStyle w:val="AATitle"/>
        <w:rPr>
          <w:lang w:val="fr-FR"/>
        </w:rPr>
      </w:pPr>
      <w:r w:rsidRPr="00EE19C3">
        <w:rPr>
          <w:lang w:val="fr-FR"/>
        </w:rPr>
        <w:t>Deuxième session</w:t>
      </w:r>
    </w:p>
    <w:p w:rsidR="00053C64" w:rsidRPr="00EE19C3" w:rsidRDefault="00053C64" w:rsidP="00053C64">
      <w:pPr>
        <w:pStyle w:val="AATitle"/>
        <w:rPr>
          <w:b w:val="0"/>
          <w:szCs w:val="22"/>
          <w:lang w:val="fr-FR"/>
        </w:rPr>
      </w:pPr>
      <w:r w:rsidRPr="00EE19C3">
        <w:rPr>
          <w:b w:val="0"/>
          <w:szCs w:val="22"/>
          <w:lang w:val="fr-FR"/>
        </w:rPr>
        <w:t xml:space="preserve">Antalya (Turquie), 9-14 décembre 2013 </w:t>
      </w:r>
    </w:p>
    <w:p w:rsidR="000A7562" w:rsidRPr="00EE19C3" w:rsidRDefault="00053C64" w:rsidP="000A7562">
      <w:pPr>
        <w:pStyle w:val="AATitle"/>
        <w:keepNext w:val="0"/>
        <w:keepLines w:val="0"/>
        <w:rPr>
          <w:b w:val="0"/>
          <w:lang w:val="fr-FR" w:eastAsia="ja-JP"/>
        </w:rPr>
      </w:pPr>
      <w:r w:rsidRPr="00EE19C3">
        <w:rPr>
          <w:b w:val="0"/>
          <w:lang w:val="fr-FR" w:eastAsia="ja-JP"/>
        </w:rPr>
        <w:t>Point </w:t>
      </w:r>
      <w:r w:rsidR="00D961F6" w:rsidRPr="00EE19C3">
        <w:rPr>
          <w:b w:val="0"/>
          <w:lang w:val="fr-FR" w:eastAsia="ja-JP"/>
        </w:rPr>
        <w:t>5</w:t>
      </w:r>
      <w:r w:rsidR="0031022F" w:rsidRPr="00EE19C3">
        <w:rPr>
          <w:b w:val="0"/>
          <w:lang w:val="fr-FR" w:eastAsia="ja-JP"/>
        </w:rPr>
        <w:t> </w:t>
      </w:r>
      <w:r w:rsidR="00D961F6" w:rsidRPr="00EE19C3">
        <w:rPr>
          <w:b w:val="0"/>
          <w:lang w:val="fr-FR" w:eastAsia="ja-JP"/>
        </w:rPr>
        <w:t>c</w:t>
      </w:r>
      <w:r w:rsidR="00267A16" w:rsidRPr="00EE19C3">
        <w:rPr>
          <w:b w:val="0"/>
          <w:lang w:val="fr-FR" w:eastAsia="ja-JP"/>
        </w:rPr>
        <w:t>)</w:t>
      </w:r>
      <w:r w:rsidR="000A7562" w:rsidRPr="00EE19C3">
        <w:rPr>
          <w:b w:val="0"/>
          <w:lang w:val="fr-FR" w:eastAsia="ja-JP"/>
        </w:rPr>
        <w:t xml:space="preserve"> </w:t>
      </w:r>
      <w:r w:rsidR="0031022F" w:rsidRPr="00EE19C3">
        <w:rPr>
          <w:b w:val="0"/>
          <w:lang w:val="fr-FR" w:eastAsia="ja-JP"/>
        </w:rPr>
        <w:t>de l’ordre du jour provisoire</w:t>
      </w:r>
      <w:r w:rsidR="000A7562" w:rsidRPr="00EE19C3">
        <w:rPr>
          <w:rStyle w:val="FootnoteReference"/>
          <w:b w:val="0"/>
          <w:lang w:val="fr-FR" w:eastAsia="ja-JP"/>
        </w:rPr>
        <w:footnoteReference w:customMarkFollows="1" w:id="1"/>
        <w:sym w:font="Symbol" w:char="F02A"/>
      </w:r>
    </w:p>
    <w:p w:rsidR="000A7562" w:rsidRPr="00EE19C3" w:rsidRDefault="00D961F6" w:rsidP="000A7562">
      <w:pPr>
        <w:pStyle w:val="AATitle"/>
        <w:keepNext w:val="0"/>
        <w:keepLines w:val="0"/>
        <w:spacing w:before="60"/>
        <w:rPr>
          <w:lang w:val="fr-FR"/>
        </w:rPr>
      </w:pPr>
      <w:r w:rsidRPr="00EE19C3">
        <w:rPr>
          <w:lang w:val="fr-FR"/>
        </w:rPr>
        <w:t>Arrangements financiers et budgétaires pour la Plateforme </w:t>
      </w:r>
      <w:r w:rsidR="00267A16" w:rsidRPr="00EE19C3">
        <w:rPr>
          <w:lang w:val="fr-FR"/>
        </w:rPr>
        <w:t xml:space="preserve">: </w:t>
      </w:r>
      <w:r w:rsidR="003C18C6" w:rsidRPr="00EE19C3">
        <w:rPr>
          <w:lang w:val="fr-FR"/>
        </w:rPr>
        <w:t>p</w:t>
      </w:r>
      <w:r w:rsidRPr="00EE19C3">
        <w:rPr>
          <w:lang w:val="fr-FR"/>
        </w:rPr>
        <w:t>rocédures financières</w:t>
      </w:r>
    </w:p>
    <w:p w:rsidR="00C15AAE" w:rsidRPr="00EE19C3" w:rsidRDefault="00471C85" w:rsidP="000A7562">
      <w:pPr>
        <w:pStyle w:val="BBTitle"/>
        <w:rPr>
          <w:rFonts w:eastAsia="MS Mincho"/>
          <w:lang w:val="fr-FR"/>
        </w:rPr>
      </w:pPr>
      <w:r w:rsidRPr="00EE19C3">
        <w:rPr>
          <w:lang w:val="fr-FR"/>
        </w:rPr>
        <w:t>Projet de proc</w:t>
      </w:r>
      <w:r w:rsidR="002F55E3" w:rsidRPr="00EE19C3">
        <w:rPr>
          <w:lang w:val="fr-FR"/>
        </w:rPr>
        <w:t>édure</w:t>
      </w:r>
      <w:r w:rsidR="008D10EE" w:rsidRPr="00EE19C3">
        <w:rPr>
          <w:lang w:val="fr-FR"/>
        </w:rPr>
        <w:t>s</w:t>
      </w:r>
      <w:r w:rsidR="002F55E3" w:rsidRPr="00EE19C3">
        <w:rPr>
          <w:lang w:val="fr-FR"/>
        </w:rPr>
        <w:t xml:space="preserve"> financière</w:t>
      </w:r>
      <w:r w:rsidR="008D10EE" w:rsidRPr="00EE19C3">
        <w:rPr>
          <w:lang w:val="fr-FR"/>
        </w:rPr>
        <w:t>s</w:t>
      </w:r>
      <w:r w:rsidR="002F55E3" w:rsidRPr="00EE19C3">
        <w:rPr>
          <w:lang w:val="fr-FR"/>
        </w:rPr>
        <w:t xml:space="preserve"> </w:t>
      </w:r>
      <w:r w:rsidR="001F7E2D" w:rsidRPr="00EE19C3">
        <w:rPr>
          <w:lang w:val="fr-FR"/>
        </w:rPr>
        <w:t>pour</w:t>
      </w:r>
      <w:r w:rsidRPr="00EE19C3">
        <w:rPr>
          <w:lang w:val="fr-FR"/>
        </w:rPr>
        <w:t xml:space="preserve"> la Plateforme int</w:t>
      </w:r>
      <w:r w:rsidR="002F55E3" w:rsidRPr="00EE19C3">
        <w:rPr>
          <w:lang w:val="fr-FR"/>
        </w:rPr>
        <w:t xml:space="preserve">ergouvernementale scientifique </w:t>
      </w:r>
      <w:r w:rsidRPr="00EE19C3">
        <w:rPr>
          <w:lang w:val="fr-FR"/>
        </w:rPr>
        <w:t>et politique sur la biodiversité et les services écosystémiques</w:t>
      </w:r>
    </w:p>
    <w:p w:rsidR="000A7562" w:rsidRPr="00EE19C3" w:rsidRDefault="000A7562" w:rsidP="000A7562">
      <w:pPr>
        <w:pStyle w:val="CH2"/>
        <w:rPr>
          <w:lang w:val="fr-FR"/>
        </w:rPr>
      </w:pPr>
      <w:r w:rsidRPr="00EE19C3">
        <w:rPr>
          <w:lang w:val="fr-FR"/>
        </w:rPr>
        <w:tab/>
      </w:r>
      <w:r w:rsidRPr="00EE19C3">
        <w:rPr>
          <w:lang w:val="fr-FR"/>
        </w:rPr>
        <w:tab/>
        <w:t xml:space="preserve">Note </w:t>
      </w:r>
      <w:r w:rsidR="00C15AAE" w:rsidRPr="00EE19C3">
        <w:rPr>
          <w:lang w:val="fr-FR"/>
        </w:rPr>
        <w:t>du Secré</w:t>
      </w:r>
      <w:r w:rsidRPr="00EE19C3">
        <w:rPr>
          <w:lang w:val="fr-FR"/>
        </w:rPr>
        <w:t>tariat</w:t>
      </w:r>
    </w:p>
    <w:p w:rsidR="0024785C" w:rsidRPr="00EE19C3" w:rsidRDefault="00203070" w:rsidP="004F492C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lang w:val="fr-FR"/>
        </w:rPr>
      </w:pPr>
      <w:r w:rsidRPr="00EE19C3">
        <w:rPr>
          <w:lang w:val="fr-FR"/>
        </w:rPr>
        <w:tab/>
      </w:r>
      <w:r w:rsidR="004F492C" w:rsidRPr="00EE19C3">
        <w:rPr>
          <w:lang w:val="fr-FR"/>
        </w:rPr>
        <w:t>Le projet de procédure</w:t>
      </w:r>
      <w:r w:rsidR="008D10EE" w:rsidRPr="00EE19C3">
        <w:rPr>
          <w:lang w:val="fr-FR"/>
        </w:rPr>
        <w:t>s</w:t>
      </w:r>
      <w:r w:rsidR="004F492C" w:rsidRPr="00EE19C3">
        <w:rPr>
          <w:lang w:val="fr-FR"/>
        </w:rPr>
        <w:t xml:space="preserve"> financière</w:t>
      </w:r>
      <w:r w:rsidR="008D10EE" w:rsidRPr="00EE19C3">
        <w:rPr>
          <w:lang w:val="fr-FR"/>
        </w:rPr>
        <w:t>s</w:t>
      </w:r>
      <w:r w:rsidRPr="00EE19C3">
        <w:rPr>
          <w:lang w:val="fr-FR"/>
        </w:rPr>
        <w:t xml:space="preserve"> </w:t>
      </w:r>
      <w:r w:rsidR="008D10EE" w:rsidRPr="00EE19C3">
        <w:rPr>
          <w:lang w:val="fr-FR"/>
        </w:rPr>
        <w:t>pour</w:t>
      </w:r>
      <w:r w:rsidRPr="00EE19C3">
        <w:rPr>
          <w:lang w:val="fr-FR"/>
        </w:rPr>
        <w:t xml:space="preserve"> la Plateforme intergouvernementale scientifique et politique sur la biodiversité et les services écosystémiques figure d</w:t>
      </w:r>
      <w:r w:rsidR="008B67C3" w:rsidRPr="00EE19C3">
        <w:rPr>
          <w:lang w:val="fr-FR"/>
        </w:rPr>
        <w:t>ans l’annexe à la présente note</w:t>
      </w:r>
      <w:r w:rsidR="001C5E56" w:rsidRPr="00EE19C3">
        <w:rPr>
          <w:lang w:val="fr-FR"/>
        </w:rPr>
        <w:t>.</w:t>
      </w:r>
    </w:p>
    <w:p w:rsidR="00441480" w:rsidRPr="00EE19C3" w:rsidRDefault="00441480" w:rsidP="0024785C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rPr>
          <w:lang w:val="fr-FR"/>
        </w:rPr>
      </w:pPr>
    </w:p>
    <w:p w:rsidR="00DC4836" w:rsidRPr="00EE19C3" w:rsidRDefault="0024785C" w:rsidP="0024785C">
      <w:pPr>
        <w:pStyle w:val="CH1"/>
        <w:ind w:left="0" w:firstLine="0"/>
        <w:rPr>
          <w:lang w:val="fr-FR"/>
        </w:rPr>
      </w:pPr>
      <w:r w:rsidRPr="00EE19C3">
        <w:rPr>
          <w:lang w:val="fr-FR"/>
        </w:rPr>
        <w:br w:type="page"/>
      </w:r>
      <w:r w:rsidRPr="00EE19C3">
        <w:rPr>
          <w:lang w:val="fr-FR"/>
        </w:rPr>
        <w:lastRenderedPageBreak/>
        <w:t>Annexe</w:t>
      </w:r>
    </w:p>
    <w:p w:rsidR="00F01039" w:rsidRPr="00EE19C3" w:rsidRDefault="00F01039" w:rsidP="00F01039">
      <w:pPr>
        <w:pStyle w:val="CH2"/>
        <w:rPr>
          <w:lang w:val="fr-FR"/>
        </w:rPr>
      </w:pPr>
      <w:r w:rsidRPr="00EE19C3">
        <w:rPr>
          <w:lang w:val="fr-FR"/>
        </w:rPr>
        <w:tab/>
      </w:r>
      <w:r w:rsidRPr="00EE19C3">
        <w:rPr>
          <w:lang w:val="fr-FR"/>
        </w:rPr>
        <w:tab/>
        <w:t>Projet de procédure</w:t>
      </w:r>
      <w:r w:rsidR="008D10EE" w:rsidRPr="00EE19C3">
        <w:rPr>
          <w:lang w:val="fr-FR"/>
        </w:rPr>
        <w:t>s</w:t>
      </w:r>
      <w:r w:rsidRPr="00EE19C3">
        <w:rPr>
          <w:lang w:val="fr-FR"/>
        </w:rPr>
        <w:t xml:space="preserve"> financière</w:t>
      </w:r>
      <w:r w:rsidR="008D10EE" w:rsidRPr="00EE19C3">
        <w:rPr>
          <w:lang w:val="fr-FR"/>
        </w:rPr>
        <w:t>s</w:t>
      </w:r>
      <w:r w:rsidRPr="00EE19C3">
        <w:rPr>
          <w:lang w:val="fr-FR"/>
        </w:rPr>
        <w:t xml:space="preserve"> </w:t>
      </w:r>
      <w:r w:rsidR="008D10EE" w:rsidRPr="00EE19C3">
        <w:rPr>
          <w:lang w:val="fr-FR"/>
        </w:rPr>
        <w:t>pour</w:t>
      </w:r>
      <w:r w:rsidRPr="00EE19C3">
        <w:rPr>
          <w:lang w:val="fr-FR"/>
        </w:rPr>
        <w:t xml:space="preserve"> la Plateforme intergouvernementale scientifique et politique sur la biodiversité et les services écosystémique</w:t>
      </w:r>
      <w:r w:rsidR="00FC7048" w:rsidRPr="00EE19C3">
        <w:rPr>
          <w:lang w:val="fr-FR"/>
        </w:rPr>
        <w:t>s</w:t>
      </w:r>
    </w:p>
    <w:p w:rsidR="00F01039" w:rsidRPr="00EE19C3" w:rsidRDefault="00405067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Portée</w:t>
      </w:r>
    </w:p>
    <w:p w:rsidR="00F01039" w:rsidRPr="00EE19C3" w:rsidRDefault="00F01039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1</w:t>
      </w:r>
    </w:p>
    <w:p w:rsidR="00F01039" w:rsidRPr="00EE19C3" w:rsidRDefault="00F01039" w:rsidP="00F01039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lang w:val="fr-FR"/>
        </w:rPr>
      </w:pPr>
      <w:r w:rsidRPr="00EE19C3">
        <w:rPr>
          <w:lang w:val="fr-FR"/>
        </w:rPr>
        <w:tab/>
        <w:t>Les présentes règles régissent la</w:t>
      </w:r>
      <w:r w:rsidR="008B67C3" w:rsidRPr="00EE19C3">
        <w:rPr>
          <w:lang w:val="fr-FR"/>
        </w:rPr>
        <w:t xml:space="preserve"> gestion financière de la Plate</w:t>
      </w:r>
      <w:r w:rsidRPr="00EE19C3">
        <w:rPr>
          <w:lang w:val="fr-FR"/>
        </w:rPr>
        <w:t xml:space="preserve">forme intergouvernementale scientifique et politique sur la biodiversité et les services écosystémiques. </w:t>
      </w:r>
      <w:r w:rsidR="00405067" w:rsidRPr="00EE19C3">
        <w:rPr>
          <w:lang w:val="fr-FR"/>
        </w:rPr>
        <w:t xml:space="preserve">Pour toutes les questions qui ne sont pas expressément couvertes par </w:t>
      </w:r>
      <w:r w:rsidRPr="00EE19C3">
        <w:rPr>
          <w:lang w:val="fr-FR"/>
        </w:rPr>
        <w:t xml:space="preserve">les présentes règles, le </w:t>
      </w:r>
      <w:r w:rsidR="00405067" w:rsidRPr="00EE19C3">
        <w:rPr>
          <w:lang w:val="fr-FR"/>
        </w:rPr>
        <w:t>r</w:t>
      </w:r>
      <w:r w:rsidRPr="00EE19C3">
        <w:rPr>
          <w:lang w:val="fr-FR"/>
        </w:rPr>
        <w:t>èglement financier et les règles de gestion financière d</w:t>
      </w:r>
      <w:r w:rsidR="00F05BD5" w:rsidRPr="00EE19C3">
        <w:rPr>
          <w:lang w:val="fr-FR"/>
        </w:rPr>
        <w:t xml:space="preserve">u </w:t>
      </w:r>
      <w:r w:rsidR="00405067" w:rsidRPr="00EE19C3">
        <w:rPr>
          <w:lang w:val="fr-FR"/>
        </w:rPr>
        <w:t xml:space="preserve">[Programme des Nations Unies pour l'environnement (PNUE)] </w:t>
      </w:r>
      <w:r w:rsidR="00355F2A" w:rsidRPr="00EE19C3">
        <w:rPr>
          <w:lang w:val="fr-FR"/>
        </w:rPr>
        <w:t>[</w:t>
      </w:r>
      <w:r w:rsidR="00B40129" w:rsidRPr="00EE19C3">
        <w:rPr>
          <w:bCs/>
          <w:lang w:val="fr-FR"/>
        </w:rPr>
        <w:t>Bureau des fonds d’affectation spéciale pluripartenaires</w:t>
      </w:r>
      <w:r w:rsidR="00B40129" w:rsidRPr="00EE19C3">
        <w:rPr>
          <w:lang w:val="fr-FR"/>
        </w:rPr>
        <w:t xml:space="preserve"> du </w:t>
      </w:r>
      <w:r w:rsidR="00F05BD5" w:rsidRPr="00EE19C3">
        <w:rPr>
          <w:lang w:val="fr-FR"/>
        </w:rPr>
        <w:t>Programme des Nations Unies pour le développement</w:t>
      </w:r>
      <w:r w:rsidR="00F17BAA" w:rsidRPr="00EE19C3">
        <w:rPr>
          <w:lang w:val="fr-FR"/>
        </w:rPr>
        <w:t xml:space="preserve"> (PNUD)</w:t>
      </w:r>
      <w:r w:rsidR="00B40129" w:rsidRPr="00EE19C3">
        <w:rPr>
          <w:lang w:val="fr-FR"/>
        </w:rPr>
        <w:t>]</w:t>
      </w:r>
      <w:r w:rsidR="00F05BD5" w:rsidRPr="00EE19C3">
        <w:rPr>
          <w:lang w:val="fr-FR"/>
        </w:rPr>
        <w:t xml:space="preserve"> </w:t>
      </w:r>
      <w:r w:rsidRPr="00EE19C3">
        <w:rPr>
          <w:lang w:val="fr-FR"/>
        </w:rPr>
        <w:t>s’appliquent</w:t>
      </w:r>
      <w:r w:rsidR="00B40129" w:rsidRPr="00EE19C3">
        <w:rPr>
          <w:lang w:val="fr-FR"/>
        </w:rPr>
        <w:t>.</w:t>
      </w:r>
    </w:p>
    <w:p w:rsidR="00F17BAA" w:rsidRPr="00EE19C3" w:rsidRDefault="00F17BAA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Exercice</w:t>
      </w:r>
      <w:r w:rsidR="009D4D3C" w:rsidRPr="00EE19C3">
        <w:rPr>
          <w:b/>
          <w:sz w:val="24"/>
          <w:szCs w:val="24"/>
          <w:lang w:val="fr-FR"/>
        </w:rPr>
        <w:t xml:space="preserve"> financier et exercice budgétaire</w:t>
      </w:r>
    </w:p>
    <w:p w:rsidR="00F17BAA" w:rsidRPr="00EE19C3" w:rsidRDefault="00F17BAA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2</w:t>
      </w:r>
    </w:p>
    <w:p w:rsidR="00C34E2D" w:rsidRPr="00EE19C3" w:rsidRDefault="00C34E2D" w:rsidP="00F17BAA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lang w:val="fr-FR"/>
        </w:rPr>
      </w:pPr>
      <w:r w:rsidRPr="00EE19C3">
        <w:rPr>
          <w:lang w:val="fr-FR"/>
        </w:rPr>
        <w:tab/>
        <w:t>L’exercice financier correspond à l’année civile, du 1</w:t>
      </w:r>
      <w:r w:rsidRPr="00EE19C3">
        <w:rPr>
          <w:vertAlign w:val="superscript"/>
          <w:lang w:val="fr-FR"/>
        </w:rPr>
        <w:t>er</w:t>
      </w:r>
      <w:r w:rsidRPr="00EE19C3">
        <w:rPr>
          <w:lang w:val="fr-FR"/>
        </w:rPr>
        <w:t xml:space="preserve"> janvier au 31 décembre. L’exercice budgétaire </w:t>
      </w:r>
      <w:r w:rsidR="009D4D3C" w:rsidRPr="00EE19C3">
        <w:rPr>
          <w:lang w:val="fr-FR"/>
        </w:rPr>
        <w:t>que</w:t>
      </w:r>
      <w:r w:rsidRPr="00EE19C3">
        <w:rPr>
          <w:lang w:val="fr-FR"/>
        </w:rPr>
        <w:t xml:space="preserve"> la Plénière</w:t>
      </w:r>
      <w:r w:rsidR="009D4D3C" w:rsidRPr="00EE19C3">
        <w:rPr>
          <w:lang w:val="fr-FR"/>
        </w:rPr>
        <w:t xml:space="preserve"> examine</w:t>
      </w:r>
      <w:r w:rsidRPr="00EE19C3">
        <w:rPr>
          <w:lang w:val="fr-FR"/>
        </w:rPr>
        <w:t xml:space="preserve"> </w:t>
      </w:r>
      <w:r w:rsidR="00405067" w:rsidRPr="00EE19C3">
        <w:rPr>
          <w:lang w:val="fr-FR"/>
        </w:rPr>
        <w:t xml:space="preserve">porte sur </w:t>
      </w:r>
      <w:r w:rsidRPr="00EE19C3">
        <w:rPr>
          <w:lang w:val="fr-FR"/>
        </w:rPr>
        <w:t>deux années civiles consécutives.</w:t>
      </w:r>
    </w:p>
    <w:p w:rsidR="00405067" w:rsidRPr="00EE19C3" w:rsidRDefault="00405067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Fonds d’affectation spéciale pour la Plateforme intergouvernementale scientifique et politique sur la biodiversité et les services écosystémiques</w:t>
      </w:r>
    </w:p>
    <w:p w:rsidR="00647FE7" w:rsidRPr="00EE19C3" w:rsidRDefault="00647FE7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3</w:t>
      </w:r>
    </w:p>
    <w:p w:rsidR="00647FE7" w:rsidRPr="00EE19C3" w:rsidRDefault="00354BDB" w:rsidP="00F17BAA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lang w:val="fr-FR"/>
        </w:rPr>
      </w:pPr>
      <w:r w:rsidRPr="00EE19C3">
        <w:rPr>
          <w:lang w:val="fr-FR"/>
        </w:rPr>
        <w:tab/>
      </w:r>
      <w:r w:rsidR="00647FE7" w:rsidRPr="00EE19C3">
        <w:rPr>
          <w:lang w:val="fr-FR"/>
        </w:rPr>
        <w:t xml:space="preserve">Le Fonds d’affectation spéciale </w:t>
      </w:r>
      <w:r w:rsidR="00405067" w:rsidRPr="00EE19C3">
        <w:rPr>
          <w:lang w:val="fr-FR"/>
        </w:rPr>
        <w:t xml:space="preserve">pour </w:t>
      </w:r>
      <w:r w:rsidR="00351DBD" w:rsidRPr="00EE19C3">
        <w:rPr>
          <w:lang w:val="fr-FR"/>
        </w:rPr>
        <w:t xml:space="preserve">la Plateforme </w:t>
      </w:r>
      <w:r w:rsidR="00647FE7" w:rsidRPr="00EE19C3">
        <w:rPr>
          <w:lang w:val="fr-FR"/>
        </w:rPr>
        <w:t>fi</w:t>
      </w:r>
      <w:r w:rsidR="00351DBD" w:rsidRPr="00EE19C3">
        <w:rPr>
          <w:lang w:val="fr-FR"/>
        </w:rPr>
        <w:t>nance la Plate</w:t>
      </w:r>
      <w:r w:rsidR="00647FE7" w:rsidRPr="00EE19C3">
        <w:rPr>
          <w:lang w:val="fr-FR"/>
        </w:rPr>
        <w:t>forme et ses activités. La Plénière adopte le budget du Fonds d’affectation spéciale</w:t>
      </w:r>
      <w:r w:rsidR="00351DBD" w:rsidRPr="00EE19C3">
        <w:rPr>
          <w:lang w:val="fr-FR"/>
        </w:rPr>
        <w:t>.</w:t>
      </w:r>
    </w:p>
    <w:p w:rsidR="009401F5" w:rsidRPr="00EE19C3" w:rsidRDefault="009401F5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4</w:t>
      </w:r>
    </w:p>
    <w:p w:rsidR="00017C9E" w:rsidRPr="00EE19C3" w:rsidRDefault="00DD1A69" w:rsidP="00F17BAA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lang w:val="fr-FR"/>
        </w:rPr>
      </w:pPr>
      <w:r w:rsidRPr="00EE19C3">
        <w:rPr>
          <w:lang w:val="fr-FR"/>
        </w:rPr>
        <w:tab/>
      </w:r>
      <w:r w:rsidR="00017C9E" w:rsidRPr="00EE19C3">
        <w:rPr>
          <w:lang w:val="fr-FR"/>
        </w:rPr>
        <w:t xml:space="preserve">Le Fonds d’affectation spéciale </w:t>
      </w:r>
      <w:r w:rsidR="00405067" w:rsidRPr="00EE19C3">
        <w:rPr>
          <w:lang w:val="fr-FR"/>
        </w:rPr>
        <w:t xml:space="preserve">pour </w:t>
      </w:r>
      <w:r w:rsidR="00017C9E" w:rsidRPr="00EE19C3">
        <w:rPr>
          <w:lang w:val="fr-FR"/>
        </w:rPr>
        <w:t xml:space="preserve">la Plateforme est ouvert aux contributions volontaires de toutes </w:t>
      </w:r>
      <w:r w:rsidR="00405067" w:rsidRPr="00EE19C3">
        <w:rPr>
          <w:lang w:val="fr-FR"/>
        </w:rPr>
        <w:t>sources</w:t>
      </w:r>
      <w:r w:rsidR="00017C9E" w:rsidRPr="00EE19C3">
        <w:rPr>
          <w:lang w:val="fr-FR"/>
        </w:rPr>
        <w:t>, y compris les gouvernements, les organismes des Nations Unies, le Fonds pour l’environnement mondial, d’autres organisations intergouvernementales et parties prenantes, telles que le secteur privé et les fondations.</w:t>
      </w:r>
    </w:p>
    <w:p w:rsidR="009401F5" w:rsidRPr="00EE19C3" w:rsidRDefault="009401F5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5</w:t>
      </w:r>
    </w:p>
    <w:p w:rsidR="009401F5" w:rsidRPr="00EE19C3" w:rsidRDefault="00017C9E" w:rsidP="00F17BAA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lang w:val="fr-FR"/>
        </w:rPr>
      </w:pPr>
      <w:r w:rsidRPr="00EE19C3">
        <w:rPr>
          <w:lang w:val="fr-FR"/>
        </w:rPr>
        <w:tab/>
        <w:t xml:space="preserve">Les contributions doivent être </w:t>
      </w:r>
      <w:r w:rsidR="00DD1A69" w:rsidRPr="00EE19C3">
        <w:rPr>
          <w:lang w:val="fr-FR"/>
        </w:rPr>
        <w:t>versées</w:t>
      </w:r>
      <w:r w:rsidRPr="00EE19C3">
        <w:rPr>
          <w:lang w:val="fr-FR"/>
        </w:rPr>
        <w:t xml:space="preserve"> au Fonds d’affectation spéciale et le </w:t>
      </w:r>
      <w:r w:rsidR="00405067" w:rsidRPr="00EE19C3">
        <w:rPr>
          <w:lang w:val="fr-FR"/>
        </w:rPr>
        <w:t>s</w:t>
      </w:r>
      <w:r w:rsidRPr="00EE19C3">
        <w:rPr>
          <w:lang w:val="fr-FR"/>
        </w:rPr>
        <w:t>ecrétariat doit être i</w:t>
      </w:r>
      <w:r w:rsidR="00DD1A69" w:rsidRPr="00EE19C3">
        <w:rPr>
          <w:lang w:val="fr-FR"/>
        </w:rPr>
        <w:t>nformé de chaque contribution. L</w:t>
      </w:r>
      <w:r w:rsidRPr="00EE19C3">
        <w:rPr>
          <w:lang w:val="fr-FR"/>
        </w:rPr>
        <w:t xml:space="preserve">es contributions </w:t>
      </w:r>
      <w:r w:rsidR="00DD1A69" w:rsidRPr="00EE19C3">
        <w:rPr>
          <w:lang w:val="fr-FR"/>
        </w:rPr>
        <w:t>n’orientent pas l</w:t>
      </w:r>
      <w:r w:rsidRPr="00EE19C3">
        <w:rPr>
          <w:lang w:val="fr-FR"/>
        </w:rPr>
        <w:t>es travaux de la Plateforme</w:t>
      </w:r>
      <w:r w:rsidR="009E0C24" w:rsidRPr="00EE19C3">
        <w:rPr>
          <w:lang w:val="fr-FR"/>
        </w:rPr>
        <w:t xml:space="preserve"> et</w:t>
      </w:r>
      <w:r w:rsidRPr="00EE19C3">
        <w:rPr>
          <w:lang w:val="fr-FR"/>
        </w:rPr>
        <w:t xml:space="preserve"> ne sont </w:t>
      </w:r>
      <w:r w:rsidR="00DD1A69" w:rsidRPr="00EE19C3">
        <w:rPr>
          <w:lang w:val="fr-FR"/>
        </w:rPr>
        <w:t>pas</w:t>
      </w:r>
      <w:r w:rsidRPr="00EE19C3">
        <w:rPr>
          <w:lang w:val="fr-FR"/>
        </w:rPr>
        <w:t xml:space="preserve"> affectées à des activités particulières</w:t>
      </w:r>
      <w:r w:rsidR="009E0C24" w:rsidRPr="00EE19C3">
        <w:rPr>
          <w:lang w:val="fr-FR"/>
        </w:rPr>
        <w:t>.</w:t>
      </w:r>
      <w:r w:rsidR="00DD1A69" w:rsidRPr="00EE19C3">
        <w:rPr>
          <w:lang w:val="fr-FR"/>
        </w:rPr>
        <w:t xml:space="preserve"> </w:t>
      </w:r>
      <w:r w:rsidR="009E0C24" w:rsidRPr="00EE19C3">
        <w:rPr>
          <w:lang w:val="fr-FR"/>
        </w:rPr>
        <w:t xml:space="preserve">Elles </w:t>
      </w:r>
      <w:r w:rsidR="00DD1A69" w:rsidRPr="00EE19C3">
        <w:rPr>
          <w:lang w:val="fr-FR"/>
        </w:rPr>
        <w:t>ne sont pas anonymes</w:t>
      </w:r>
      <w:r w:rsidR="009E0C24" w:rsidRPr="00EE19C3">
        <w:rPr>
          <w:lang w:val="fr-FR"/>
        </w:rPr>
        <w:t xml:space="preserve"> ni </w:t>
      </w:r>
      <w:r w:rsidRPr="00EE19C3">
        <w:rPr>
          <w:lang w:val="fr-FR"/>
        </w:rPr>
        <w:t xml:space="preserve">assorties </w:t>
      </w:r>
      <w:r w:rsidR="009E0C24" w:rsidRPr="00EE19C3">
        <w:rPr>
          <w:lang w:val="fr-FR"/>
        </w:rPr>
        <w:t>de</w:t>
      </w:r>
      <w:r w:rsidRPr="00EE19C3">
        <w:rPr>
          <w:lang w:val="fr-FR"/>
        </w:rPr>
        <w:t xml:space="preserve"> condition</w:t>
      </w:r>
      <w:r w:rsidR="00C57AF4" w:rsidRPr="00EE19C3">
        <w:rPr>
          <w:lang w:val="fr-FR"/>
        </w:rPr>
        <w:t>s</w:t>
      </w:r>
      <w:r w:rsidRPr="00EE19C3">
        <w:rPr>
          <w:lang w:val="fr-FR"/>
        </w:rPr>
        <w:t xml:space="preserve">. Les gouvernements, la communauté scientifique ainsi que d’autres détenteurs de </w:t>
      </w:r>
      <w:r w:rsidR="00C57AF4" w:rsidRPr="00EE19C3">
        <w:rPr>
          <w:lang w:val="fr-FR"/>
        </w:rPr>
        <w:t>savoir</w:t>
      </w:r>
      <w:r w:rsidR="00FD788E" w:rsidRPr="00EE19C3">
        <w:rPr>
          <w:lang w:val="fr-FR"/>
        </w:rPr>
        <w:t xml:space="preserve"> et parties prenantes</w:t>
      </w:r>
      <w:r w:rsidRPr="00EE19C3">
        <w:rPr>
          <w:lang w:val="fr-FR"/>
        </w:rPr>
        <w:t xml:space="preserve"> apportent des contributions en nature non assorties de conditions</w:t>
      </w:r>
      <w:r w:rsidR="00C57AF4" w:rsidRPr="00EE19C3">
        <w:rPr>
          <w:lang w:val="fr-FR"/>
        </w:rPr>
        <w:t xml:space="preserve"> et q</w:t>
      </w:r>
      <w:r w:rsidRPr="00EE19C3">
        <w:rPr>
          <w:lang w:val="fr-FR"/>
        </w:rPr>
        <w:t>ui sont déterminantes pour la bonne exécution du programme de travail</w:t>
      </w:r>
      <w:r w:rsidR="00FD788E" w:rsidRPr="00EE19C3">
        <w:rPr>
          <w:lang w:val="fr-FR"/>
        </w:rPr>
        <w:t>.</w:t>
      </w:r>
    </w:p>
    <w:p w:rsidR="00FD788E" w:rsidRPr="00EE19C3" w:rsidRDefault="00FD788E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6</w:t>
      </w:r>
    </w:p>
    <w:p w:rsidR="00FD788E" w:rsidRPr="00EE19C3" w:rsidRDefault="00D84F3A" w:rsidP="00F17BAA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lang w:val="fr-FR"/>
        </w:rPr>
      </w:pPr>
      <w:r w:rsidRPr="00EE19C3">
        <w:rPr>
          <w:lang w:val="fr-FR"/>
        </w:rPr>
        <w:tab/>
      </w:r>
      <w:r w:rsidR="00FD788E" w:rsidRPr="00EE19C3">
        <w:rPr>
          <w:lang w:val="fr-FR"/>
        </w:rPr>
        <w:t>Sous réserve de l’approbation de la Plénière, des contributions volontaires supplémentaires</w:t>
      </w:r>
      <w:r w:rsidR="003C585C" w:rsidRPr="00EE19C3">
        <w:rPr>
          <w:lang w:val="fr-FR"/>
        </w:rPr>
        <w:t>,</w:t>
      </w:r>
      <w:r w:rsidR="00FD788E" w:rsidRPr="00EE19C3">
        <w:rPr>
          <w:lang w:val="fr-FR"/>
        </w:rPr>
        <w:t xml:space="preserve"> non affectées au Fonds d’affectation spéciale</w:t>
      </w:r>
      <w:r w:rsidR="003C585C" w:rsidRPr="00EE19C3">
        <w:rPr>
          <w:lang w:val="fr-FR"/>
        </w:rPr>
        <w:t>,</w:t>
      </w:r>
      <w:r w:rsidR="00FD788E" w:rsidRPr="00EE19C3">
        <w:rPr>
          <w:lang w:val="fr-FR"/>
        </w:rPr>
        <w:t xml:space="preserve"> peuvent être acceptées à titre exceptionnel, notamment en soutien direct </w:t>
      </w:r>
      <w:r w:rsidR="00427B67" w:rsidRPr="00EE19C3">
        <w:rPr>
          <w:lang w:val="fr-FR"/>
        </w:rPr>
        <w:t xml:space="preserve">à des </w:t>
      </w:r>
      <w:r w:rsidR="00FD788E" w:rsidRPr="00EE19C3">
        <w:rPr>
          <w:lang w:val="fr-FR"/>
        </w:rPr>
        <w:t xml:space="preserve">activités </w:t>
      </w:r>
      <w:r w:rsidR="009B4AFE" w:rsidRPr="00EE19C3">
        <w:rPr>
          <w:lang w:val="fr-FR"/>
        </w:rPr>
        <w:t>précises</w:t>
      </w:r>
      <w:r w:rsidR="00FD788E" w:rsidRPr="00EE19C3">
        <w:rPr>
          <w:lang w:val="fr-FR"/>
        </w:rPr>
        <w:t xml:space="preserve"> du programme de travail</w:t>
      </w:r>
      <w:r w:rsidR="00427B67" w:rsidRPr="00EE19C3">
        <w:rPr>
          <w:lang w:val="fr-FR"/>
        </w:rPr>
        <w:t xml:space="preserve"> de la Plateforme.</w:t>
      </w:r>
    </w:p>
    <w:p w:rsidR="001F2E68" w:rsidRPr="00EE19C3" w:rsidRDefault="001F2E68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Devise</w:t>
      </w:r>
    </w:p>
    <w:p w:rsidR="001F2E68" w:rsidRPr="00EE19C3" w:rsidRDefault="001F2E68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7</w:t>
      </w:r>
    </w:p>
    <w:p w:rsidR="002F3599" w:rsidRPr="00EE19C3" w:rsidRDefault="002D0F0E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</w:r>
      <w:r w:rsidR="009508F9" w:rsidRPr="00EE19C3">
        <w:rPr>
          <w:rFonts w:cs="Calibri"/>
          <w:lang w:val="fr-FR"/>
        </w:rPr>
        <w:t xml:space="preserve">La devise utilisée pour établir les budgets et </w:t>
      </w:r>
      <w:r w:rsidR="004D600E" w:rsidRPr="00EE19C3">
        <w:rPr>
          <w:rFonts w:cs="Calibri"/>
          <w:lang w:val="fr-FR"/>
        </w:rPr>
        <w:t xml:space="preserve">les rapports de recettes et de dépenses est le dollar des États-Unis. </w:t>
      </w:r>
    </w:p>
    <w:p w:rsidR="00405067" w:rsidRPr="00EE19C3" w:rsidRDefault="00405067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</w:p>
    <w:p w:rsidR="00405067" w:rsidRPr="00EE19C3" w:rsidRDefault="00405067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</w:p>
    <w:p w:rsidR="004D600E" w:rsidRPr="00EE19C3" w:rsidRDefault="004D600E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lastRenderedPageBreak/>
        <w:t>Budget</w:t>
      </w:r>
    </w:p>
    <w:p w:rsidR="004D600E" w:rsidRPr="00EE19C3" w:rsidRDefault="004D600E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8</w:t>
      </w:r>
    </w:p>
    <w:p w:rsidR="004D600E" w:rsidRPr="00EE19C3" w:rsidRDefault="00AA24F1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</w:r>
      <w:r w:rsidR="004D600E" w:rsidRPr="00EE19C3">
        <w:rPr>
          <w:rFonts w:cs="Calibri"/>
          <w:lang w:val="fr-FR"/>
        </w:rPr>
        <w:t xml:space="preserve">En consultation avec le Bureau, le </w:t>
      </w:r>
      <w:r w:rsidR="00405067" w:rsidRPr="00EE19C3">
        <w:rPr>
          <w:rFonts w:cs="Calibri"/>
          <w:lang w:val="fr-FR"/>
        </w:rPr>
        <w:t>s</w:t>
      </w:r>
      <w:r w:rsidR="004D600E" w:rsidRPr="00EE19C3">
        <w:rPr>
          <w:rFonts w:cs="Calibri"/>
          <w:lang w:val="fr-FR"/>
        </w:rPr>
        <w:t>ecrétariat de la Plateforme établit un proj</w:t>
      </w:r>
      <w:r w:rsidR="00405067" w:rsidRPr="00EE19C3">
        <w:rPr>
          <w:rFonts w:cs="Calibri"/>
          <w:lang w:val="fr-FR"/>
        </w:rPr>
        <w:t xml:space="preserve">et de budget et le </w:t>
      </w:r>
      <w:r w:rsidR="001210A9" w:rsidRPr="00EE19C3">
        <w:rPr>
          <w:rFonts w:cs="Calibri"/>
          <w:lang w:val="fr-FR"/>
        </w:rPr>
        <w:t>communique</w:t>
      </w:r>
      <w:r w:rsidR="004D600E" w:rsidRPr="00EE19C3">
        <w:rPr>
          <w:rFonts w:cs="Calibri"/>
          <w:lang w:val="fr-FR"/>
        </w:rPr>
        <w:t xml:space="preserve"> aux membres de </w:t>
      </w:r>
      <w:r w:rsidR="001210A9" w:rsidRPr="00EE19C3">
        <w:rPr>
          <w:rFonts w:cs="Calibri"/>
          <w:lang w:val="fr-FR"/>
        </w:rPr>
        <w:t xml:space="preserve">la Plateforme au </w:t>
      </w:r>
      <w:r w:rsidR="00405067" w:rsidRPr="00EE19C3">
        <w:rPr>
          <w:rFonts w:cs="Calibri"/>
          <w:lang w:val="fr-FR"/>
        </w:rPr>
        <w:t xml:space="preserve">moins </w:t>
      </w:r>
      <w:r w:rsidR="004D600E" w:rsidRPr="00EE19C3">
        <w:rPr>
          <w:rFonts w:cs="Calibri"/>
          <w:lang w:val="fr-FR"/>
        </w:rPr>
        <w:t xml:space="preserve">six semaines avant </w:t>
      </w:r>
      <w:r w:rsidR="00405067" w:rsidRPr="00EE19C3">
        <w:rPr>
          <w:rFonts w:cs="Calibri"/>
          <w:lang w:val="fr-FR"/>
        </w:rPr>
        <w:t xml:space="preserve">l’ouverture de </w:t>
      </w:r>
      <w:r w:rsidR="004D600E" w:rsidRPr="00EE19C3">
        <w:rPr>
          <w:rFonts w:cs="Calibri"/>
          <w:lang w:val="fr-FR"/>
        </w:rPr>
        <w:t xml:space="preserve">la session de la Plénière </w:t>
      </w:r>
      <w:r w:rsidR="00405067" w:rsidRPr="00EE19C3">
        <w:rPr>
          <w:rFonts w:cs="Calibri"/>
          <w:lang w:val="fr-FR"/>
        </w:rPr>
        <w:t xml:space="preserve">au cours de </w:t>
      </w:r>
      <w:r w:rsidR="004D600E" w:rsidRPr="00EE19C3">
        <w:rPr>
          <w:rFonts w:cs="Calibri"/>
          <w:lang w:val="fr-FR"/>
        </w:rPr>
        <w:t>laquelle le budget doit être adopté</w:t>
      </w:r>
      <w:r w:rsidR="001210A9" w:rsidRPr="00EE19C3">
        <w:rPr>
          <w:rFonts w:cs="Calibri"/>
          <w:lang w:val="fr-FR"/>
        </w:rPr>
        <w:t>.</w:t>
      </w:r>
    </w:p>
    <w:p w:rsidR="001210A9" w:rsidRPr="00EE19C3" w:rsidRDefault="001210A9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 9</w:t>
      </w:r>
    </w:p>
    <w:p w:rsidR="001210A9" w:rsidRPr="00EE19C3" w:rsidRDefault="001210A9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  <w:t xml:space="preserve">La Plénière examine le projet de budget et adopte </w:t>
      </w:r>
      <w:r w:rsidR="00405067" w:rsidRPr="00EE19C3">
        <w:rPr>
          <w:rFonts w:cs="Calibri"/>
          <w:lang w:val="fr-FR"/>
        </w:rPr>
        <w:t xml:space="preserve">par consensus un </w:t>
      </w:r>
      <w:r w:rsidR="00AA24F1" w:rsidRPr="00EE19C3">
        <w:rPr>
          <w:rFonts w:cs="Calibri"/>
          <w:lang w:val="fr-FR"/>
        </w:rPr>
        <w:t xml:space="preserve">budget </w:t>
      </w:r>
      <w:r w:rsidRPr="00EE19C3">
        <w:rPr>
          <w:rFonts w:cs="Calibri"/>
          <w:lang w:val="fr-FR"/>
        </w:rPr>
        <w:t>avant le début de l’exercice</w:t>
      </w:r>
      <w:r w:rsidR="00B90BCB" w:rsidRPr="00EE19C3">
        <w:rPr>
          <w:rFonts w:cs="Calibri"/>
          <w:lang w:val="fr-FR"/>
        </w:rPr>
        <w:t xml:space="preserve"> </w:t>
      </w:r>
      <w:r w:rsidR="00405067" w:rsidRPr="00EE19C3">
        <w:rPr>
          <w:rFonts w:cs="Calibri"/>
          <w:lang w:val="fr-FR"/>
        </w:rPr>
        <w:t xml:space="preserve">financier auquel le budget </w:t>
      </w:r>
      <w:r w:rsidR="00AA24F1" w:rsidRPr="00EE19C3">
        <w:rPr>
          <w:rFonts w:cs="Calibri"/>
          <w:lang w:val="fr-FR"/>
        </w:rPr>
        <w:t>se rapporte</w:t>
      </w:r>
      <w:r w:rsidRPr="00EE19C3">
        <w:rPr>
          <w:rFonts w:cs="Calibri"/>
          <w:lang w:val="fr-FR"/>
        </w:rPr>
        <w:t>.</w:t>
      </w:r>
    </w:p>
    <w:p w:rsidR="00407AED" w:rsidRPr="00EE19C3" w:rsidRDefault="00407AED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 10</w:t>
      </w:r>
    </w:p>
    <w:p w:rsidR="00C321AA" w:rsidRPr="00EE19C3" w:rsidRDefault="00407AED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  <w:t xml:space="preserve">L’adoption du budget par la Plénière autorise le Secrétaire à </w:t>
      </w:r>
      <w:r w:rsidR="00405067" w:rsidRPr="00EE19C3">
        <w:rPr>
          <w:rFonts w:cs="Calibri"/>
          <w:lang w:val="fr-FR"/>
        </w:rPr>
        <w:t xml:space="preserve">engager </w:t>
      </w:r>
      <w:r w:rsidR="00C321AA" w:rsidRPr="00EE19C3">
        <w:rPr>
          <w:rFonts w:cs="Calibri"/>
          <w:lang w:val="fr-FR"/>
        </w:rPr>
        <w:t xml:space="preserve">des </w:t>
      </w:r>
      <w:r w:rsidR="00405067" w:rsidRPr="00EE19C3">
        <w:rPr>
          <w:rFonts w:cs="Calibri"/>
          <w:lang w:val="fr-FR"/>
        </w:rPr>
        <w:t xml:space="preserve">dépenses </w:t>
      </w:r>
      <w:r w:rsidR="00C321AA" w:rsidRPr="00EE19C3">
        <w:rPr>
          <w:rFonts w:cs="Calibri"/>
          <w:lang w:val="fr-FR"/>
        </w:rPr>
        <w:t xml:space="preserve">et </w:t>
      </w:r>
      <w:r w:rsidR="00405067" w:rsidRPr="00EE19C3">
        <w:rPr>
          <w:rFonts w:cs="Calibri"/>
          <w:lang w:val="fr-FR"/>
        </w:rPr>
        <w:t xml:space="preserve">à </w:t>
      </w:r>
      <w:r w:rsidR="00C321AA" w:rsidRPr="00EE19C3">
        <w:rPr>
          <w:rFonts w:cs="Calibri"/>
          <w:lang w:val="fr-FR"/>
        </w:rPr>
        <w:t xml:space="preserve">effectuer des </w:t>
      </w:r>
      <w:r w:rsidR="00405067" w:rsidRPr="00EE19C3">
        <w:rPr>
          <w:rFonts w:cs="Calibri"/>
          <w:lang w:val="fr-FR"/>
        </w:rPr>
        <w:t xml:space="preserve">paiements </w:t>
      </w:r>
      <w:r w:rsidR="00713561" w:rsidRPr="00EE19C3">
        <w:rPr>
          <w:rFonts w:cs="Calibri"/>
          <w:lang w:val="fr-FR"/>
        </w:rPr>
        <w:t xml:space="preserve">aux fins </w:t>
      </w:r>
      <w:r w:rsidR="00405067" w:rsidRPr="00EE19C3">
        <w:rPr>
          <w:rFonts w:cs="Calibri"/>
          <w:lang w:val="fr-FR"/>
        </w:rPr>
        <w:t>pour l</w:t>
      </w:r>
      <w:r w:rsidR="00713561" w:rsidRPr="00EE19C3">
        <w:rPr>
          <w:rFonts w:cs="Calibri"/>
          <w:lang w:val="fr-FR"/>
        </w:rPr>
        <w:t>es</w:t>
      </w:r>
      <w:r w:rsidR="00F3048D" w:rsidRPr="00EE19C3">
        <w:rPr>
          <w:rFonts w:cs="Calibri"/>
          <w:lang w:val="fr-FR"/>
        </w:rPr>
        <w:t xml:space="preserve">quelles </w:t>
      </w:r>
      <w:r w:rsidR="00405067" w:rsidRPr="00EE19C3">
        <w:rPr>
          <w:rFonts w:cs="Calibri"/>
          <w:lang w:val="fr-FR"/>
        </w:rPr>
        <w:t>d</w:t>
      </w:r>
      <w:r w:rsidR="00F3048D" w:rsidRPr="00EE19C3">
        <w:rPr>
          <w:rFonts w:cs="Calibri"/>
          <w:lang w:val="fr-FR"/>
        </w:rPr>
        <w:t xml:space="preserve">es crédits ont </w:t>
      </w:r>
      <w:r w:rsidR="00713561" w:rsidRPr="00EE19C3">
        <w:rPr>
          <w:rFonts w:cs="Calibri"/>
          <w:lang w:val="fr-FR"/>
        </w:rPr>
        <w:t xml:space="preserve">été </w:t>
      </w:r>
      <w:r w:rsidR="00405067" w:rsidRPr="00EE19C3">
        <w:rPr>
          <w:rFonts w:cs="Calibri"/>
          <w:lang w:val="fr-FR"/>
        </w:rPr>
        <w:t xml:space="preserve">ouverts et jusqu’à </w:t>
      </w:r>
      <w:r w:rsidR="00F3048D" w:rsidRPr="00EE19C3">
        <w:rPr>
          <w:rFonts w:cs="Calibri"/>
          <w:lang w:val="fr-FR"/>
        </w:rPr>
        <w:t>concurrence des montants approuvés, pour autant que le solde du Fonds d’affectation spéciale soit suffisant pour couvrir l’intégralité des crédits budgétaires.</w:t>
      </w:r>
    </w:p>
    <w:p w:rsidR="00BC0DEB" w:rsidRPr="00EE19C3" w:rsidRDefault="00BC0DEB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11</w:t>
      </w:r>
    </w:p>
    <w:p w:rsidR="00BC0DEB" w:rsidRPr="00EE19C3" w:rsidRDefault="003B2B4B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</w:r>
      <w:r w:rsidR="00725ECA" w:rsidRPr="00EE19C3">
        <w:rPr>
          <w:rFonts w:cs="Calibri"/>
          <w:lang w:val="fr-FR"/>
        </w:rPr>
        <w:t>Au besoin, l</w:t>
      </w:r>
      <w:r w:rsidRPr="00EE19C3">
        <w:rPr>
          <w:rFonts w:cs="Calibri"/>
          <w:lang w:val="fr-FR"/>
        </w:rPr>
        <w:t xml:space="preserve">e Secrétaire peut réaffecter </w:t>
      </w:r>
      <w:r w:rsidR="00725ECA" w:rsidRPr="00EE19C3">
        <w:rPr>
          <w:rFonts w:cs="Calibri"/>
          <w:lang w:val="fr-FR"/>
        </w:rPr>
        <w:t>jusqu’à 20 % des fonds d’une ligne de crédit.</w:t>
      </w:r>
      <w:r w:rsidR="00713561" w:rsidRPr="00EE19C3">
        <w:rPr>
          <w:rFonts w:cs="Calibri"/>
          <w:lang w:val="fr-FR"/>
        </w:rPr>
        <w:t xml:space="preserve"> La Plénière peut périodiquement revoir</w:t>
      </w:r>
      <w:r w:rsidR="00725ECA" w:rsidRPr="00EE19C3">
        <w:rPr>
          <w:rFonts w:cs="Calibri"/>
          <w:lang w:val="fr-FR"/>
        </w:rPr>
        <w:t xml:space="preserve"> cette limite par consensus</w:t>
      </w:r>
      <w:r w:rsidR="00AA21B9" w:rsidRPr="00EE19C3">
        <w:rPr>
          <w:rFonts w:cs="Calibri"/>
          <w:lang w:val="fr-FR"/>
        </w:rPr>
        <w:t>.</w:t>
      </w:r>
      <w:r w:rsidR="00AA21B9" w:rsidRPr="00EE19C3">
        <w:rPr>
          <w:rFonts w:ascii="Times" w:eastAsia="Calibri" w:hAnsi="Times" w:cs="Times"/>
          <w:sz w:val="32"/>
          <w:szCs w:val="32"/>
          <w:lang w:val="fr-FR"/>
        </w:rPr>
        <w:t xml:space="preserve"> </w:t>
      </w:r>
      <w:r w:rsidR="00AA21B9" w:rsidRPr="00EE19C3">
        <w:rPr>
          <w:rFonts w:cs="Calibri"/>
          <w:lang w:val="fr-FR"/>
        </w:rPr>
        <w:t>Une ligne de crédit correspond à une grande catégorie budgétaire d’activités ou de produits.</w:t>
      </w:r>
    </w:p>
    <w:p w:rsidR="00AA21B9" w:rsidRPr="00EE19C3" w:rsidRDefault="00AA21B9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12</w:t>
      </w:r>
    </w:p>
    <w:p w:rsidR="00AB7BF4" w:rsidRPr="00EE19C3" w:rsidRDefault="00AA21B9" w:rsidP="009A241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  <w:t xml:space="preserve">Si le solde disponible du </w:t>
      </w:r>
      <w:r w:rsidR="00DE3E30" w:rsidRPr="00EE19C3">
        <w:rPr>
          <w:rFonts w:cs="Calibri"/>
          <w:lang w:val="fr-FR"/>
        </w:rPr>
        <w:t xml:space="preserve">Fonds d’affectation spéciale pour </w:t>
      </w:r>
      <w:r w:rsidRPr="00EE19C3">
        <w:rPr>
          <w:rFonts w:cs="Calibri"/>
          <w:lang w:val="fr-FR"/>
        </w:rPr>
        <w:t xml:space="preserve">la Plateforme est inférieur au budget approuvé, le Secrétaire peut, avec l’accord du Bureau, ajuster les </w:t>
      </w:r>
      <w:r w:rsidR="002D12A8" w:rsidRPr="00EE19C3">
        <w:rPr>
          <w:rFonts w:cs="Calibri"/>
          <w:lang w:val="fr-FR"/>
        </w:rPr>
        <w:t>allocations</w:t>
      </w:r>
      <w:r w:rsidRPr="00EE19C3">
        <w:rPr>
          <w:rFonts w:cs="Calibri"/>
          <w:lang w:val="fr-FR"/>
        </w:rPr>
        <w:t xml:space="preserve"> </w:t>
      </w:r>
      <w:r w:rsidR="0093354E" w:rsidRPr="00EE19C3">
        <w:rPr>
          <w:rFonts w:cs="Calibri"/>
          <w:lang w:val="fr-FR"/>
        </w:rPr>
        <w:t xml:space="preserve">de manière à </w:t>
      </w:r>
      <w:r w:rsidR="009A2416" w:rsidRPr="00EE19C3">
        <w:rPr>
          <w:rFonts w:cs="Calibri"/>
          <w:lang w:val="fr-FR"/>
        </w:rPr>
        <w:t>adapter le budget aux revenus déficitaires par rapport aux lignes budgétaires approuvées</w:t>
      </w:r>
      <w:r w:rsidR="00AB7BF4" w:rsidRPr="00EE19C3">
        <w:rPr>
          <w:rFonts w:cs="Calibri"/>
          <w:lang w:val="fr-FR"/>
        </w:rPr>
        <w:t>. À la prochaine session de la Plénière, le Secrétaire fait rapport à celle-ci sur les mesures qu’il a prises.</w:t>
      </w:r>
    </w:p>
    <w:p w:rsidR="00AB7BF4" w:rsidRPr="00EE19C3" w:rsidRDefault="00524C2D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Contributions</w:t>
      </w:r>
    </w:p>
    <w:p w:rsidR="00524C2D" w:rsidRPr="00EE19C3" w:rsidRDefault="00524C2D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13</w:t>
      </w:r>
    </w:p>
    <w:p w:rsidR="00315841" w:rsidRPr="00EE19C3" w:rsidRDefault="00355F2A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</w:r>
      <w:r w:rsidR="00315841" w:rsidRPr="00EE19C3">
        <w:rPr>
          <w:rFonts w:cs="Calibri"/>
          <w:lang w:val="fr-FR"/>
        </w:rPr>
        <w:t>Les ressources de la Plateforme comprennent:</w:t>
      </w:r>
    </w:p>
    <w:p w:rsidR="00315841" w:rsidRPr="00EE19C3" w:rsidRDefault="00315841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lang w:val="fr-FR"/>
        </w:rPr>
      </w:pPr>
      <w:r w:rsidRPr="00EE19C3">
        <w:rPr>
          <w:rFonts w:cs="Calibri"/>
          <w:lang w:val="fr-FR"/>
        </w:rPr>
        <w:tab/>
        <w:t>a)</w:t>
      </w:r>
      <w:r w:rsidRPr="00EE19C3">
        <w:rPr>
          <w:rFonts w:cs="Calibri"/>
          <w:lang w:val="fr-FR"/>
        </w:rPr>
        <w:tab/>
        <w:t xml:space="preserve">Les coûts de l’année-personne de l’Administrateur de Programme </w:t>
      </w:r>
      <w:r w:rsidRPr="00EE19C3">
        <w:rPr>
          <w:lang w:val="fr-FR"/>
        </w:rPr>
        <w:t>[</w:t>
      </w:r>
      <w:r w:rsidR="00A55956" w:rsidRPr="00EE19C3">
        <w:rPr>
          <w:rFonts w:cs="Calibri"/>
          <w:lang w:val="fr-FR"/>
        </w:rPr>
        <w:t xml:space="preserve">et </w:t>
      </w:r>
      <w:r w:rsidRPr="00EE19C3">
        <w:rPr>
          <w:lang w:val="fr-FR"/>
        </w:rPr>
        <w:t>]</w:t>
      </w:r>
      <w:r w:rsidRPr="00EE19C3">
        <w:rPr>
          <w:rStyle w:val="FootnoteReference"/>
          <w:lang w:val="fr-FR"/>
        </w:rPr>
        <w:footnoteReference w:id="2"/>
      </w:r>
      <w:r w:rsidRPr="00EE19C3">
        <w:rPr>
          <w:rFonts w:cs="Calibri"/>
          <w:lang w:val="fr-FR"/>
        </w:rPr>
        <w:t xml:space="preserve"> détaché</w:t>
      </w:r>
      <w:r w:rsidR="00A55956" w:rsidRPr="00EE19C3">
        <w:rPr>
          <w:lang w:val="fr-FR"/>
        </w:rPr>
        <w:t>[</w:t>
      </w:r>
      <w:r w:rsidR="00A55956" w:rsidRPr="00EE19C3">
        <w:rPr>
          <w:rFonts w:cs="Calibri"/>
          <w:lang w:val="fr-FR"/>
        </w:rPr>
        <w:t>s</w:t>
      </w:r>
      <w:r w:rsidR="00A55956" w:rsidRPr="00EE19C3">
        <w:rPr>
          <w:lang w:val="fr-FR"/>
        </w:rPr>
        <w:t>]</w:t>
      </w:r>
      <w:r w:rsidRPr="00EE19C3">
        <w:rPr>
          <w:rFonts w:cs="Calibri"/>
          <w:lang w:val="fr-FR"/>
        </w:rPr>
        <w:t xml:space="preserve"> par le PNUE </w:t>
      </w:r>
      <w:r w:rsidRPr="00EE19C3">
        <w:rPr>
          <w:lang w:val="fr-FR"/>
        </w:rPr>
        <w:t>[</w:t>
      </w:r>
      <w:r w:rsidRPr="00EE19C3">
        <w:rPr>
          <w:rFonts w:cs="Calibri"/>
          <w:lang w:val="fr-FR"/>
        </w:rPr>
        <w:t xml:space="preserve">et </w:t>
      </w:r>
      <w:r w:rsidRPr="00EE19C3">
        <w:rPr>
          <w:lang w:val="fr-FR"/>
        </w:rPr>
        <w:t>]</w:t>
      </w:r>
      <w:r w:rsidRPr="00EE19C3">
        <w:rPr>
          <w:rStyle w:val="FootnoteReference"/>
          <w:rFonts w:cs="Calibri"/>
          <w:lang w:val="fr-FR"/>
        </w:rPr>
        <w:footnoteReference w:id="3"/>
      </w:r>
      <w:r w:rsidR="001C1DDD" w:rsidRPr="00EE19C3">
        <w:rPr>
          <w:lang w:val="fr-FR"/>
        </w:rPr>
        <w:t>;</w:t>
      </w:r>
    </w:p>
    <w:p w:rsidR="001C1DDD" w:rsidRPr="00EE19C3" w:rsidRDefault="001C1DDD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lang w:val="fr-FR"/>
        </w:rPr>
      </w:pPr>
      <w:r w:rsidRPr="00EE19C3">
        <w:rPr>
          <w:lang w:val="fr-FR"/>
        </w:rPr>
        <w:tab/>
        <w:t>b)</w:t>
      </w:r>
      <w:r w:rsidRPr="00EE19C3">
        <w:rPr>
          <w:lang w:val="fr-FR"/>
        </w:rPr>
        <w:tab/>
        <w:t xml:space="preserve">Les </w:t>
      </w:r>
      <w:r w:rsidR="00530DAA" w:rsidRPr="00EE19C3">
        <w:rPr>
          <w:lang w:val="fr-FR"/>
        </w:rPr>
        <w:t>frais</w:t>
      </w:r>
      <w:r w:rsidR="00355F2A" w:rsidRPr="00EE19C3">
        <w:rPr>
          <w:lang w:val="fr-FR"/>
        </w:rPr>
        <w:t xml:space="preserve"> d</w:t>
      </w:r>
      <w:r w:rsidRPr="00EE19C3">
        <w:rPr>
          <w:lang w:val="fr-FR"/>
        </w:rPr>
        <w:t xml:space="preserve">’hébergement du </w:t>
      </w:r>
      <w:r w:rsidR="00405067" w:rsidRPr="00EE19C3">
        <w:rPr>
          <w:lang w:val="fr-FR"/>
        </w:rPr>
        <w:t>s</w:t>
      </w:r>
      <w:r w:rsidRPr="00EE19C3">
        <w:rPr>
          <w:lang w:val="fr-FR"/>
        </w:rPr>
        <w:t>ecrétariat de la Plateforme</w:t>
      </w:r>
      <w:r w:rsidR="002A2213" w:rsidRPr="00EE19C3">
        <w:rPr>
          <w:lang w:val="fr-FR"/>
        </w:rPr>
        <w:t>, assuré</w:t>
      </w:r>
      <w:r w:rsidRPr="00EE19C3">
        <w:rPr>
          <w:lang w:val="fr-FR"/>
        </w:rPr>
        <w:t xml:space="preserve"> par le Gouvernement allemand </w:t>
      </w:r>
      <w:r w:rsidR="00530DAA" w:rsidRPr="00EE19C3">
        <w:rPr>
          <w:lang w:val="fr-FR"/>
        </w:rPr>
        <w:t>en v</w:t>
      </w:r>
      <w:r w:rsidR="002A2213" w:rsidRPr="00EE19C3">
        <w:rPr>
          <w:lang w:val="fr-FR"/>
        </w:rPr>
        <w:t xml:space="preserve">ertu de </w:t>
      </w:r>
      <w:r w:rsidRPr="00EE19C3">
        <w:rPr>
          <w:lang w:val="fr-FR"/>
        </w:rPr>
        <w:t>l’accord de siège conclu entre la Plateforme et le pays hôte</w:t>
      </w:r>
      <w:r w:rsidR="00510F92" w:rsidRPr="00EE19C3">
        <w:rPr>
          <w:lang w:val="fr-FR"/>
        </w:rPr>
        <w:t>;</w:t>
      </w:r>
    </w:p>
    <w:p w:rsidR="002A2213" w:rsidRPr="00EE19C3" w:rsidRDefault="00510F92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lang w:val="fr-FR"/>
        </w:rPr>
      </w:pPr>
      <w:r w:rsidRPr="00EE19C3">
        <w:rPr>
          <w:lang w:val="fr-FR"/>
        </w:rPr>
        <w:tab/>
        <w:t>c)</w:t>
      </w:r>
      <w:r w:rsidRPr="00EE19C3">
        <w:rPr>
          <w:lang w:val="fr-FR"/>
        </w:rPr>
        <w:tab/>
      </w:r>
      <w:r w:rsidR="002A2213" w:rsidRPr="00EE19C3">
        <w:rPr>
          <w:lang w:val="fr-FR"/>
        </w:rPr>
        <w:t>Les contributions volontaires, notamment annuelles, versées en espèces au Fonds d’affect</w:t>
      </w:r>
      <w:r w:rsidR="00CC2751" w:rsidRPr="00EE19C3">
        <w:rPr>
          <w:lang w:val="fr-FR"/>
        </w:rPr>
        <w:t xml:space="preserve">ation spéciale </w:t>
      </w:r>
      <w:r w:rsidR="00DE3E30" w:rsidRPr="00EE19C3">
        <w:rPr>
          <w:lang w:val="fr-FR"/>
        </w:rPr>
        <w:t xml:space="preserve">pour </w:t>
      </w:r>
      <w:r w:rsidR="00CC2751" w:rsidRPr="00EE19C3">
        <w:rPr>
          <w:lang w:val="fr-FR"/>
        </w:rPr>
        <w:t>la Plateforme</w:t>
      </w:r>
      <w:r w:rsidR="002A2213" w:rsidRPr="00EE19C3">
        <w:rPr>
          <w:lang w:val="fr-FR"/>
        </w:rPr>
        <w:t xml:space="preserve"> par les membres de celle-ci et d’autres contributeurs;</w:t>
      </w:r>
    </w:p>
    <w:p w:rsidR="00510F92" w:rsidRPr="00EE19C3" w:rsidRDefault="002A2213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lang w:val="fr-FR"/>
        </w:rPr>
        <w:t xml:space="preserve"> </w:t>
      </w:r>
      <w:r w:rsidRPr="00EE19C3">
        <w:rPr>
          <w:lang w:val="fr-FR"/>
        </w:rPr>
        <w:tab/>
        <w:t>d)</w:t>
      </w:r>
      <w:r w:rsidRPr="00EE19C3">
        <w:rPr>
          <w:lang w:val="fr-FR"/>
        </w:rPr>
        <w:tab/>
      </w:r>
      <w:r w:rsidR="0052360F" w:rsidRPr="00EE19C3">
        <w:rPr>
          <w:lang w:val="fr-FR"/>
        </w:rPr>
        <w:t>Les contributions en nature apportées par les membres et les observateurs de la Plateforme, comme l’appui aux organes subsidiaires de l</w:t>
      </w:r>
      <w:r w:rsidR="003E6DD9" w:rsidRPr="00EE19C3">
        <w:rPr>
          <w:lang w:val="fr-FR"/>
        </w:rPr>
        <w:t>a Plateforme, ou</w:t>
      </w:r>
      <w:r w:rsidR="0052360F" w:rsidRPr="00EE19C3">
        <w:rPr>
          <w:lang w:val="fr-FR"/>
        </w:rPr>
        <w:t xml:space="preserve"> dans les domaines des publications, de la traduction, des réunions, des ateliers, etc.</w:t>
      </w:r>
    </w:p>
    <w:p w:rsidR="00524C2D" w:rsidRPr="00EE19C3" w:rsidRDefault="00151516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  <w:t>e)</w:t>
      </w:r>
      <w:r w:rsidRPr="00EE19C3">
        <w:rPr>
          <w:rFonts w:cs="Calibri"/>
          <w:lang w:val="fr-FR"/>
        </w:rPr>
        <w:tab/>
        <w:t>Le solde non engagé des crédit</w:t>
      </w:r>
      <w:r w:rsidR="00405067" w:rsidRPr="00EE19C3">
        <w:rPr>
          <w:rFonts w:cs="Calibri"/>
          <w:lang w:val="fr-FR"/>
        </w:rPr>
        <w:t>s ouverts</w:t>
      </w:r>
      <w:r w:rsidRPr="00EE19C3">
        <w:rPr>
          <w:rFonts w:cs="Calibri"/>
          <w:lang w:val="fr-FR"/>
        </w:rPr>
        <w:t xml:space="preserve"> </w:t>
      </w:r>
      <w:r w:rsidR="00DE3E30" w:rsidRPr="00EE19C3">
        <w:rPr>
          <w:rFonts w:cs="Calibri"/>
          <w:lang w:val="fr-FR"/>
        </w:rPr>
        <w:t xml:space="preserve">pour </w:t>
      </w:r>
      <w:r w:rsidRPr="00EE19C3">
        <w:rPr>
          <w:rFonts w:cs="Calibri"/>
          <w:lang w:val="fr-FR"/>
        </w:rPr>
        <w:t>des exercices précédents.</w:t>
      </w:r>
    </w:p>
    <w:p w:rsidR="00151516" w:rsidRPr="00EE19C3" w:rsidRDefault="00151516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14</w:t>
      </w:r>
    </w:p>
    <w:p w:rsidR="00151516" w:rsidRPr="00EE19C3" w:rsidRDefault="00072B9F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  <w:t xml:space="preserve">Toutes les contributions en espèces sont </w:t>
      </w:r>
      <w:r w:rsidR="0024626F" w:rsidRPr="00EE19C3">
        <w:rPr>
          <w:rFonts w:cs="Calibri"/>
          <w:lang w:val="fr-FR"/>
        </w:rPr>
        <w:t>versées</w:t>
      </w:r>
      <w:r w:rsidRPr="00EE19C3">
        <w:rPr>
          <w:rFonts w:cs="Calibri"/>
          <w:lang w:val="fr-FR"/>
        </w:rPr>
        <w:t xml:space="preserve"> en devises convertibles sur le compte bancaire </w:t>
      </w:r>
      <w:r w:rsidR="0024626F" w:rsidRPr="00EE19C3">
        <w:rPr>
          <w:rFonts w:cs="Calibri"/>
          <w:lang w:val="fr-FR"/>
        </w:rPr>
        <w:t xml:space="preserve">indiqué par le </w:t>
      </w:r>
      <w:r w:rsidR="00405067" w:rsidRPr="00EE19C3">
        <w:rPr>
          <w:rFonts w:cs="Calibri"/>
          <w:lang w:val="fr-FR"/>
        </w:rPr>
        <w:t xml:space="preserve">[PNUE] </w:t>
      </w:r>
      <w:r w:rsidR="00355F2A" w:rsidRPr="00EE19C3">
        <w:rPr>
          <w:lang w:val="fr-FR"/>
        </w:rPr>
        <w:t>[</w:t>
      </w:r>
      <w:r w:rsidR="00355F2A" w:rsidRPr="00EE19C3">
        <w:rPr>
          <w:bCs/>
          <w:lang w:val="fr-FR"/>
        </w:rPr>
        <w:t>Bureau des fonds d’affectation spéciale pluripartenaires</w:t>
      </w:r>
      <w:r w:rsidR="00355F2A" w:rsidRPr="00EE19C3">
        <w:rPr>
          <w:lang w:val="fr-FR"/>
        </w:rPr>
        <w:t xml:space="preserve"> du </w:t>
      </w:r>
      <w:r w:rsidR="00405067" w:rsidRPr="00EE19C3">
        <w:rPr>
          <w:lang w:val="fr-FR"/>
        </w:rPr>
        <w:t>PNUD]</w:t>
      </w:r>
      <w:r w:rsidRPr="00EE19C3">
        <w:rPr>
          <w:rFonts w:cs="Calibri"/>
          <w:lang w:val="fr-FR"/>
        </w:rPr>
        <w:t>.</w:t>
      </w:r>
    </w:p>
    <w:p w:rsidR="00405067" w:rsidRPr="00EE19C3" w:rsidRDefault="00405067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</w:p>
    <w:p w:rsidR="00405067" w:rsidRPr="00EE19C3" w:rsidRDefault="00405067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</w:p>
    <w:p w:rsidR="004F41AA" w:rsidRPr="00EE19C3" w:rsidRDefault="004F41AA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lastRenderedPageBreak/>
        <w:t>Règle 15</w:t>
      </w:r>
    </w:p>
    <w:p w:rsidR="004F41AA" w:rsidRPr="00EE19C3" w:rsidRDefault="004F41AA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  <w:t xml:space="preserve">Le Secrétaire </w:t>
      </w:r>
      <w:r w:rsidR="00405067" w:rsidRPr="00EE19C3">
        <w:rPr>
          <w:rFonts w:cs="Calibri"/>
          <w:lang w:val="fr-FR"/>
        </w:rPr>
        <w:t xml:space="preserve">accuse réception sans retard de toutes les annonces de </w:t>
      </w:r>
      <w:r w:rsidRPr="00EE19C3">
        <w:rPr>
          <w:rFonts w:cs="Calibri"/>
          <w:lang w:val="fr-FR"/>
        </w:rPr>
        <w:t xml:space="preserve">contributions </w:t>
      </w:r>
      <w:r w:rsidR="00405067" w:rsidRPr="00EE19C3">
        <w:rPr>
          <w:rFonts w:cs="Calibri"/>
          <w:lang w:val="fr-FR"/>
        </w:rPr>
        <w:t xml:space="preserve">et </w:t>
      </w:r>
      <w:r w:rsidR="00DE3E30" w:rsidRPr="00EE19C3">
        <w:rPr>
          <w:rFonts w:cs="Calibri"/>
          <w:lang w:val="fr-FR"/>
        </w:rPr>
        <w:t xml:space="preserve">de </w:t>
      </w:r>
      <w:r w:rsidR="00405067" w:rsidRPr="00EE19C3">
        <w:rPr>
          <w:rFonts w:cs="Calibri"/>
          <w:lang w:val="fr-FR"/>
        </w:rPr>
        <w:t xml:space="preserve">toutes les contributions acquittées </w:t>
      </w:r>
      <w:r w:rsidRPr="00EE19C3">
        <w:rPr>
          <w:rFonts w:cs="Calibri"/>
          <w:lang w:val="fr-FR"/>
        </w:rPr>
        <w:t>et</w:t>
      </w:r>
      <w:r w:rsidR="00095161" w:rsidRPr="00EE19C3">
        <w:rPr>
          <w:rFonts w:cs="Calibri"/>
          <w:lang w:val="fr-FR"/>
        </w:rPr>
        <w:t xml:space="preserve"> informe la Plénière, à chaque session, </w:t>
      </w:r>
      <w:r w:rsidRPr="00EE19C3">
        <w:rPr>
          <w:rFonts w:cs="Calibri"/>
          <w:lang w:val="fr-FR"/>
        </w:rPr>
        <w:t xml:space="preserve">de l’état des contributions </w:t>
      </w:r>
      <w:r w:rsidR="00405067" w:rsidRPr="00EE19C3">
        <w:rPr>
          <w:rFonts w:cs="Calibri"/>
          <w:lang w:val="fr-FR"/>
        </w:rPr>
        <w:t xml:space="preserve">annoncées et acquittées </w:t>
      </w:r>
      <w:r w:rsidR="00095161" w:rsidRPr="00EE19C3">
        <w:rPr>
          <w:rFonts w:cs="Calibri"/>
          <w:lang w:val="fr-FR"/>
        </w:rPr>
        <w:t xml:space="preserve">et versées </w:t>
      </w:r>
      <w:r w:rsidRPr="00EE19C3">
        <w:rPr>
          <w:rFonts w:cs="Calibri"/>
          <w:lang w:val="fr-FR"/>
        </w:rPr>
        <w:t xml:space="preserve">et des dépenses. Dans son rapport, il fait </w:t>
      </w:r>
      <w:r w:rsidR="00095161" w:rsidRPr="00EE19C3">
        <w:rPr>
          <w:rFonts w:cs="Calibri"/>
          <w:lang w:val="fr-FR"/>
        </w:rPr>
        <w:t>explicitement</w:t>
      </w:r>
      <w:r w:rsidRPr="00EE19C3">
        <w:rPr>
          <w:rFonts w:cs="Calibri"/>
          <w:lang w:val="fr-FR"/>
        </w:rPr>
        <w:t xml:space="preserve"> </w:t>
      </w:r>
      <w:r w:rsidR="002D2C76" w:rsidRPr="00EE19C3">
        <w:rPr>
          <w:rFonts w:cs="Calibri"/>
          <w:lang w:val="fr-FR"/>
        </w:rPr>
        <w:t>mention</w:t>
      </w:r>
      <w:r w:rsidRPr="00EE19C3">
        <w:rPr>
          <w:rFonts w:cs="Calibri"/>
          <w:lang w:val="fr-FR"/>
        </w:rPr>
        <w:t xml:space="preserve"> des contributions en nature</w:t>
      </w:r>
      <w:r w:rsidR="002D2C76" w:rsidRPr="00EE19C3">
        <w:rPr>
          <w:rFonts w:cs="Calibri"/>
          <w:lang w:val="fr-FR"/>
        </w:rPr>
        <w:t>,</w:t>
      </w:r>
      <w:r w:rsidRPr="00EE19C3">
        <w:rPr>
          <w:rFonts w:cs="Calibri"/>
          <w:lang w:val="fr-FR"/>
        </w:rPr>
        <w:t xml:space="preserve"> </w:t>
      </w:r>
      <w:r w:rsidR="002D2C76" w:rsidRPr="00EE19C3">
        <w:rPr>
          <w:rFonts w:cs="Calibri"/>
          <w:lang w:val="fr-FR"/>
        </w:rPr>
        <w:t>qu’il</w:t>
      </w:r>
      <w:r w:rsidRPr="00EE19C3">
        <w:rPr>
          <w:rFonts w:cs="Calibri"/>
          <w:lang w:val="fr-FR"/>
        </w:rPr>
        <w:t xml:space="preserve"> chiffre dans la mesure </w:t>
      </w:r>
      <w:r w:rsidR="002D2C76" w:rsidRPr="00EE19C3">
        <w:rPr>
          <w:rFonts w:cs="Calibri"/>
          <w:lang w:val="fr-FR"/>
        </w:rPr>
        <w:t xml:space="preserve">où </w:t>
      </w:r>
      <w:r w:rsidR="00FE66D7" w:rsidRPr="00EE19C3">
        <w:rPr>
          <w:rFonts w:cs="Calibri"/>
          <w:lang w:val="fr-FR"/>
        </w:rPr>
        <w:t>c</w:t>
      </w:r>
      <w:r w:rsidR="002D2C76" w:rsidRPr="00EE19C3">
        <w:rPr>
          <w:rFonts w:cs="Calibri"/>
          <w:lang w:val="fr-FR"/>
        </w:rPr>
        <w:t>elles</w:t>
      </w:r>
      <w:r w:rsidR="00FE66D7" w:rsidRPr="00EE19C3">
        <w:rPr>
          <w:rFonts w:cs="Calibri"/>
          <w:lang w:val="fr-FR"/>
        </w:rPr>
        <w:t>-ci</w:t>
      </w:r>
      <w:r w:rsidR="002D2C76" w:rsidRPr="00EE19C3">
        <w:rPr>
          <w:rFonts w:cs="Calibri"/>
          <w:lang w:val="fr-FR"/>
        </w:rPr>
        <w:t xml:space="preserve"> peuvent être mesurées de manière fiable.</w:t>
      </w:r>
    </w:p>
    <w:p w:rsidR="00E907F1" w:rsidRPr="00EE19C3" w:rsidRDefault="00FE66D7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Fonds de roulement</w:t>
      </w:r>
    </w:p>
    <w:p w:rsidR="00E907F1" w:rsidRPr="00EE19C3" w:rsidRDefault="00E907F1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16</w:t>
      </w:r>
    </w:p>
    <w:p w:rsidR="00E907F1" w:rsidRPr="00EE19C3" w:rsidRDefault="0007242F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  <w:t xml:space="preserve">Le Fonds d’affectation spéciale </w:t>
      </w:r>
      <w:r w:rsidR="00DE3E30" w:rsidRPr="00EE19C3">
        <w:rPr>
          <w:rFonts w:cs="Calibri"/>
          <w:lang w:val="fr-FR"/>
        </w:rPr>
        <w:t xml:space="preserve">pour </w:t>
      </w:r>
      <w:r w:rsidRPr="00EE19C3">
        <w:rPr>
          <w:rFonts w:cs="Calibri"/>
          <w:lang w:val="fr-FR"/>
        </w:rPr>
        <w:t xml:space="preserve">la Plateforme comprend </w:t>
      </w:r>
      <w:r w:rsidR="00FE66D7" w:rsidRPr="00EE19C3">
        <w:rPr>
          <w:rFonts w:cs="Calibri"/>
          <w:lang w:val="fr-FR"/>
        </w:rPr>
        <w:t>un fonds de roulement</w:t>
      </w:r>
      <w:r w:rsidRPr="00EE19C3">
        <w:rPr>
          <w:rFonts w:cs="Calibri"/>
          <w:lang w:val="fr-FR"/>
        </w:rPr>
        <w:t xml:space="preserve"> </w:t>
      </w:r>
      <w:r w:rsidRPr="00EE19C3">
        <w:rPr>
          <w:lang w:val="fr-FR"/>
        </w:rPr>
        <w:t>[</w:t>
      </w:r>
      <w:r w:rsidRPr="00EE19C3">
        <w:rPr>
          <w:rFonts w:cs="Calibri"/>
          <w:lang w:val="fr-FR"/>
        </w:rPr>
        <w:t>dont la Plénière fixe périodiquement le niveau par consensus</w:t>
      </w:r>
      <w:r w:rsidR="00BD7D2A" w:rsidRPr="00EE19C3">
        <w:rPr>
          <w:lang w:val="fr-FR"/>
        </w:rPr>
        <w:t>]</w:t>
      </w:r>
      <w:r w:rsidRPr="00EE19C3">
        <w:rPr>
          <w:rFonts w:cs="Calibri"/>
          <w:lang w:val="fr-FR"/>
        </w:rPr>
        <w:t xml:space="preserve"> </w:t>
      </w:r>
      <w:r w:rsidRPr="00EE19C3">
        <w:rPr>
          <w:lang w:val="fr-FR"/>
        </w:rPr>
        <w:t xml:space="preserve">[d’un montant d’un million </w:t>
      </w:r>
      <w:r w:rsidR="00BD7D2A" w:rsidRPr="00EE19C3">
        <w:rPr>
          <w:lang w:val="fr-FR"/>
        </w:rPr>
        <w:t>[</w:t>
      </w:r>
      <w:r w:rsidRPr="00EE19C3">
        <w:rPr>
          <w:lang w:val="fr-FR"/>
        </w:rPr>
        <w:t xml:space="preserve">de dollars </w:t>
      </w:r>
      <w:r w:rsidR="00FE66D7" w:rsidRPr="00EE19C3">
        <w:rPr>
          <w:lang w:val="fr-FR"/>
        </w:rPr>
        <w:t>des États-Unis</w:t>
      </w:r>
      <w:r w:rsidRPr="00EE19C3">
        <w:rPr>
          <w:lang w:val="fr-FR"/>
        </w:rPr>
        <w:t>] [d’euros]</w:t>
      </w:r>
      <w:r w:rsidR="00BD7D2A" w:rsidRPr="00EE19C3">
        <w:rPr>
          <w:lang w:val="fr-FR"/>
        </w:rPr>
        <w:t>].</w:t>
      </w:r>
      <w:r w:rsidR="004A31F3" w:rsidRPr="00EE19C3">
        <w:rPr>
          <w:lang w:val="fr-FR"/>
        </w:rPr>
        <w:t xml:space="preserve"> Le fonds de roulement a pour objet de garantir la continuité des opérations en cas de difficultés de trésorerie préalables à l’encaissement des contributions.</w:t>
      </w:r>
      <w:r w:rsidR="004A31F3" w:rsidRPr="00EE19C3">
        <w:rPr>
          <w:rFonts w:ascii="Times" w:eastAsia="Calibri" w:hAnsi="Times" w:cs="Times"/>
          <w:sz w:val="32"/>
          <w:szCs w:val="32"/>
          <w:lang w:val="fr-FR"/>
        </w:rPr>
        <w:t xml:space="preserve"> </w:t>
      </w:r>
      <w:r w:rsidR="008560BD" w:rsidRPr="00EE19C3">
        <w:rPr>
          <w:lang w:val="fr-FR"/>
        </w:rPr>
        <w:t>Tout</w:t>
      </w:r>
      <w:r w:rsidR="004A31F3" w:rsidRPr="00EE19C3">
        <w:rPr>
          <w:lang w:val="fr-FR"/>
        </w:rPr>
        <w:t xml:space="preserve"> prélèvement </w:t>
      </w:r>
      <w:r w:rsidR="008560BD" w:rsidRPr="00EE19C3">
        <w:rPr>
          <w:lang w:val="fr-FR"/>
        </w:rPr>
        <w:t>sur le fonds de roulement</w:t>
      </w:r>
      <w:r w:rsidR="004A31F3" w:rsidRPr="00EE19C3">
        <w:rPr>
          <w:lang w:val="fr-FR"/>
        </w:rPr>
        <w:t xml:space="preserve"> est reconstitué dès que possible au moyen des contributions.</w:t>
      </w:r>
    </w:p>
    <w:p w:rsidR="002D2C76" w:rsidRPr="00EE19C3" w:rsidRDefault="00362A36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Comptes et audits</w:t>
      </w:r>
    </w:p>
    <w:p w:rsidR="00362A36" w:rsidRPr="00EE19C3" w:rsidRDefault="00362A36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17</w:t>
      </w:r>
    </w:p>
    <w:p w:rsidR="00362A36" w:rsidRPr="00EE19C3" w:rsidRDefault="003A3B47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</w:r>
      <w:r w:rsidR="00362A36" w:rsidRPr="00EE19C3">
        <w:rPr>
          <w:rFonts w:cs="Calibri"/>
          <w:lang w:val="fr-FR"/>
        </w:rPr>
        <w:t xml:space="preserve">Les états financiers du Fonds d’affectation spéciale </w:t>
      </w:r>
      <w:r w:rsidR="00DE3E30" w:rsidRPr="00EE19C3">
        <w:rPr>
          <w:rFonts w:cs="Calibri"/>
          <w:lang w:val="fr-FR"/>
        </w:rPr>
        <w:t xml:space="preserve">pour </w:t>
      </w:r>
      <w:r w:rsidR="00362A36" w:rsidRPr="00EE19C3">
        <w:rPr>
          <w:rFonts w:cs="Calibri"/>
          <w:lang w:val="fr-FR"/>
        </w:rPr>
        <w:t xml:space="preserve">la Plateforme sont établis conformément aux </w:t>
      </w:r>
      <w:r w:rsidRPr="00EE19C3">
        <w:rPr>
          <w:rFonts w:cs="Calibri"/>
          <w:lang w:val="fr-FR"/>
        </w:rPr>
        <w:t xml:space="preserve">normes comptables internationales pour le secteur public (IPSAS) </w:t>
      </w:r>
      <w:r w:rsidR="00FE66D7" w:rsidRPr="00EE19C3">
        <w:rPr>
          <w:rFonts w:cs="Calibri"/>
          <w:lang w:val="fr-FR"/>
        </w:rPr>
        <w:t xml:space="preserve">et </w:t>
      </w:r>
      <w:r w:rsidR="00BD50F5" w:rsidRPr="00EE19C3">
        <w:rPr>
          <w:rFonts w:cs="Calibri"/>
          <w:lang w:val="fr-FR"/>
        </w:rPr>
        <w:t>aux norm</w:t>
      </w:r>
      <w:r w:rsidR="00FE66D7" w:rsidRPr="00EE19C3">
        <w:rPr>
          <w:rFonts w:cs="Calibri"/>
          <w:lang w:val="fr-FR"/>
        </w:rPr>
        <w:t>e</w:t>
      </w:r>
      <w:r w:rsidR="00BD50F5" w:rsidRPr="00EE19C3">
        <w:rPr>
          <w:rFonts w:cs="Calibri"/>
          <w:lang w:val="fr-FR"/>
        </w:rPr>
        <w:t xml:space="preserve">s </w:t>
      </w:r>
      <w:r w:rsidR="00FE66D7" w:rsidRPr="00EE19C3">
        <w:rPr>
          <w:rFonts w:cs="Calibri"/>
          <w:lang w:val="fr-FR"/>
        </w:rPr>
        <w:t xml:space="preserve">pertinentes </w:t>
      </w:r>
      <w:r w:rsidR="00362A36" w:rsidRPr="00EE19C3">
        <w:rPr>
          <w:rFonts w:cs="Calibri"/>
          <w:lang w:val="fr-FR"/>
        </w:rPr>
        <w:t xml:space="preserve">appliquées par </w:t>
      </w:r>
      <w:r w:rsidR="00BD50F5" w:rsidRPr="00EE19C3">
        <w:rPr>
          <w:rFonts w:cs="Calibri"/>
          <w:lang w:val="fr-FR"/>
        </w:rPr>
        <w:t xml:space="preserve">le </w:t>
      </w:r>
      <w:r w:rsidR="00782E62" w:rsidRPr="00EE19C3">
        <w:rPr>
          <w:rFonts w:cs="Calibri"/>
          <w:lang w:val="fr-FR"/>
        </w:rPr>
        <w:t xml:space="preserve">[PNUE] </w:t>
      </w:r>
      <w:r w:rsidR="00FE66D7" w:rsidRPr="00EE19C3">
        <w:rPr>
          <w:lang w:val="fr-FR"/>
        </w:rPr>
        <w:t>[</w:t>
      </w:r>
      <w:r w:rsidR="00FE66D7" w:rsidRPr="00EE19C3">
        <w:rPr>
          <w:bCs/>
          <w:lang w:val="fr-FR"/>
        </w:rPr>
        <w:t>Bureau des fonds d’affectation spéciale pluripartenaires</w:t>
      </w:r>
      <w:r w:rsidR="00FE66D7" w:rsidRPr="00EE19C3">
        <w:rPr>
          <w:lang w:val="fr-FR"/>
        </w:rPr>
        <w:t xml:space="preserve"> du</w:t>
      </w:r>
      <w:r w:rsidR="00782E62" w:rsidRPr="00EE19C3">
        <w:rPr>
          <w:lang w:val="fr-FR"/>
        </w:rPr>
        <w:t xml:space="preserve"> </w:t>
      </w:r>
      <w:r w:rsidR="00FE66D7" w:rsidRPr="00EE19C3">
        <w:rPr>
          <w:lang w:val="fr-FR"/>
        </w:rPr>
        <w:t xml:space="preserve">PNUD] </w:t>
      </w:r>
      <w:r w:rsidR="008C500A" w:rsidRPr="00EE19C3">
        <w:rPr>
          <w:lang w:val="fr-FR"/>
        </w:rPr>
        <w:t>et f</w:t>
      </w:r>
      <w:r w:rsidR="00FE66D7" w:rsidRPr="00EE19C3">
        <w:rPr>
          <w:lang w:val="fr-FR"/>
        </w:rPr>
        <w:t xml:space="preserve">ont l’objet d’audits internes et externes, conformément aux règles du </w:t>
      </w:r>
      <w:r w:rsidR="00782E62" w:rsidRPr="00EE19C3">
        <w:rPr>
          <w:lang w:val="fr-FR"/>
        </w:rPr>
        <w:t xml:space="preserve">[PNUE] </w:t>
      </w:r>
      <w:r w:rsidR="004B2005" w:rsidRPr="00EE19C3">
        <w:rPr>
          <w:lang w:val="fr-FR"/>
        </w:rPr>
        <w:t>[</w:t>
      </w:r>
      <w:r w:rsidR="00FE66D7" w:rsidRPr="00EE19C3">
        <w:rPr>
          <w:bCs/>
          <w:lang w:val="fr-FR"/>
        </w:rPr>
        <w:t>Bureau des fonds d’affectation spéciale pluripartenaires</w:t>
      </w:r>
      <w:r w:rsidR="00FE66D7" w:rsidRPr="00EE19C3">
        <w:rPr>
          <w:lang w:val="fr-FR"/>
        </w:rPr>
        <w:t xml:space="preserve"> du PNUD]. </w:t>
      </w:r>
      <w:r w:rsidR="00CA1C23" w:rsidRPr="00EE19C3">
        <w:rPr>
          <w:rFonts w:cs="Calibri"/>
          <w:lang w:val="fr-FR"/>
        </w:rPr>
        <w:t>La responsabilité et l’obligation redditionnelle pour les rapports financi</w:t>
      </w:r>
      <w:r w:rsidR="008C500A" w:rsidRPr="00EE19C3">
        <w:rPr>
          <w:rFonts w:cs="Calibri"/>
          <w:lang w:val="fr-FR"/>
        </w:rPr>
        <w:t>ers inco</w:t>
      </w:r>
      <w:r w:rsidR="00CA1C23" w:rsidRPr="00EE19C3">
        <w:rPr>
          <w:rFonts w:cs="Calibri"/>
          <w:lang w:val="fr-FR"/>
        </w:rPr>
        <w:t xml:space="preserve">mbent au </w:t>
      </w:r>
      <w:r w:rsidR="00782E62" w:rsidRPr="00EE19C3">
        <w:rPr>
          <w:rFonts w:cs="Calibri"/>
          <w:lang w:val="fr-FR"/>
        </w:rPr>
        <w:t xml:space="preserve">[PNUE] </w:t>
      </w:r>
      <w:r w:rsidR="00BE224B" w:rsidRPr="00EE19C3">
        <w:rPr>
          <w:lang w:val="fr-FR"/>
        </w:rPr>
        <w:t>[</w:t>
      </w:r>
      <w:r w:rsidR="00BE224B" w:rsidRPr="00EE19C3">
        <w:rPr>
          <w:bCs/>
          <w:lang w:val="fr-FR"/>
        </w:rPr>
        <w:t>Bureau des fonds d’affectation spéciale pluripartenaires</w:t>
      </w:r>
      <w:r w:rsidR="00BE224B" w:rsidRPr="00EE19C3">
        <w:rPr>
          <w:lang w:val="fr-FR"/>
        </w:rPr>
        <w:t xml:space="preserve"> du PNUD</w:t>
      </w:r>
      <w:r w:rsidR="00CA1C23" w:rsidRPr="00EE19C3">
        <w:rPr>
          <w:lang w:val="fr-FR"/>
        </w:rPr>
        <w:t>]</w:t>
      </w:r>
      <w:r w:rsidR="00CA1C23" w:rsidRPr="00EE19C3">
        <w:rPr>
          <w:rFonts w:cs="Calibri"/>
          <w:lang w:val="fr-FR"/>
        </w:rPr>
        <w:t>.</w:t>
      </w:r>
    </w:p>
    <w:p w:rsidR="002C70D1" w:rsidRPr="00EE19C3" w:rsidRDefault="002C70D1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 xml:space="preserve">Dispositions </w:t>
      </w:r>
      <w:r w:rsidR="00346696" w:rsidRPr="00EE19C3">
        <w:rPr>
          <w:b/>
          <w:sz w:val="24"/>
          <w:szCs w:val="24"/>
          <w:lang w:val="fr-FR"/>
        </w:rPr>
        <w:t>générales</w:t>
      </w:r>
    </w:p>
    <w:p w:rsidR="002C70D1" w:rsidRPr="00EE19C3" w:rsidRDefault="002C70D1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18</w:t>
      </w:r>
    </w:p>
    <w:p w:rsidR="002C70D1" w:rsidRPr="00EE19C3" w:rsidRDefault="002C70D1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  <w:t xml:space="preserve">S’il est décidé de clore le Fonds d’affectation </w:t>
      </w:r>
      <w:r w:rsidR="00901C7A" w:rsidRPr="00EE19C3">
        <w:rPr>
          <w:rFonts w:cs="Calibri"/>
          <w:lang w:val="fr-FR"/>
        </w:rPr>
        <w:t>spéciale</w:t>
      </w:r>
      <w:r w:rsidRPr="00EE19C3">
        <w:rPr>
          <w:rFonts w:cs="Calibri"/>
          <w:lang w:val="fr-FR"/>
        </w:rPr>
        <w:t xml:space="preserve"> </w:t>
      </w:r>
      <w:r w:rsidR="00782E62" w:rsidRPr="00EE19C3">
        <w:rPr>
          <w:rFonts w:cs="Calibri"/>
          <w:lang w:val="fr-FR"/>
        </w:rPr>
        <w:t xml:space="preserve">pour </w:t>
      </w:r>
      <w:r w:rsidRPr="00EE19C3">
        <w:rPr>
          <w:rFonts w:cs="Calibri"/>
          <w:lang w:val="fr-FR"/>
        </w:rPr>
        <w:t xml:space="preserve">la Plateforme, les membres en sont informés </w:t>
      </w:r>
      <w:r w:rsidR="00782E62" w:rsidRPr="00EE19C3">
        <w:rPr>
          <w:rFonts w:cs="Calibri"/>
          <w:lang w:val="fr-FR"/>
        </w:rPr>
        <w:t xml:space="preserve">au moins </w:t>
      </w:r>
      <w:r w:rsidRPr="00EE19C3">
        <w:rPr>
          <w:rFonts w:cs="Calibri"/>
          <w:lang w:val="fr-FR"/>
        </w:rPr>
        <w:t xml:space="preserve">six mois avant la date effective de </w:t>
      </w:r>
      <w:r w:rsidR="00901C7A" w:rsidRPr="00EE19C3">
        <w:rPr>
          <w:rFonts w:cs="Calibri"/>
          <w:lang w:val="fr-FR"/>
        </w:rPr>
        <w:t>clôture</w:t>
      </w:r>
      <w:r w:rsidRPr="00EE19C3">
        <w:rPr>
          <w:rFonts w:cs="Calibri"/>
          <w:lang w:val="fr-FR"/>
        </w:rPr>
        <w:t xml:space="preserve">. La </w:t>
      </w:r>
      <w:r w:rsidR="00901C7A" w:rsidRPr="00EE19C3">
        <w:rPr>
          <w:rFonts w:cs="Calibri"/>
          <w:lang w:val="fr-FR"/>
        </w:rPr>
        <w:t>Plénière</w:t>
      </w:r>
      <w:r w:rsidRPr="00EE19C3">
        <w:rPr>
          <w:rFonts w:cs="Calibri"/>
          <w:lang w:val="fr-FR"/>
        </w:rPr>
        <w:t xml:space="preserve">, en consultation avec le </w:t>
      </w:r>
      <w:r w:rsidR="00782E62" w:rsidRPr="00EE19C3">
        <w:rPr>
          <w:rFonts w:cs="Calibri"/>
          <w:lang w:val="fr-FR"/>
        </w:rPr>
        <w:t xml:space="preserve">[PNUE] </w:t>
      </w:r>
      <w:r w:rsidR="004B2005" w:rsidRPr="00EE19C3">
        <w:rPr>
          <w:lang w:val="fr-FR"/>
        </w:rPr>
        <w:t>[</w:t>
      </w:r>
      <w:r w:rsidRPr="00EE19C3">
        <w:rPr>
          <w:bCs/>
          <w:lang w:val="fr-FR"/>
        </w:rPr>
        <w:t xml:space="preserve">Bureau </w:t>
      </w:r>
      <w:r w:rsidR="004B2005" w:rsidRPr="00EE19C3">
        <w:rPr>
          <w:bCs/>
          <w:lang w:val="fr-FR"/>
        </w:rPr>
        <w:t xml:space="preserve">des fonds d’affectation spéciale </w:t>
      </w:r>
      <w:r w:rsidRPr="00EE19C3">
        <w:rPr>
          <w:bCs/>
          <w:lang w:val="fr-FR"/>
        </w:rPr>
        <w:t>pluripartenaires</w:t>
      </w:r>
      <w:r w:rsidR="004B2005" w:rsidRPr="00EE19C3">
        <w:rPr>
          <w:lang w:val="fr-FR"/>
        </w:rPr>
        <w:t xml:space="preserve"> du </w:t>
      </w:r>
      <w:r w:rsidRPr="00EE19C3">
        <w:rPr>
          <w:lang w:val="fr-FR"/>
        </w:rPr>
        <w:t>PNUD]</w:t>
      </w:r>
      <w:r w:rsidRPr="00EE19C3">
        <w:rPr>
          <w:rFonts w:cs="Calibri"/>
          <w:lang w:val="fr-FR"/>
        </w:rPr>
        <w:t>, décide de la répartition de tout solde non engagé, une fois que toutes les dépenses de liquidation ont été</w:t>
      </w:r>
      <w:r w:rsidR="00782E62" w:rsidRPr="00EE19C3">
        <w:rPr>
          <w:rFonts w:cs="Calibri"/>
          <w:lang w:val="fr-FR"/>
        </w:rPr>
        <w:t xml:space="preserve"> réglées</w:t>
      </w:r>
      <w:r w:rsidRPr="00EE19C3">
        <w:rPr>
          <w:rFonts w:cs="Calibri"/>
          <w:lang w:val="fr-FR"/>
        </w:rPr>
        <w:t>.</w:t>
      </w:r>
    </w:p>
    <w:p w:rsidR="00451DD6" w:rsidRPr="00EE19C3" w:rsidRDefault="00451DD6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19</w:t>
      </w:r>
    </w:p>
    <w:p w:rsidR="00901C7A" w:rsidRPr="00EE19C3" w:rsidRDefault="00901C7A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ab/>
        <w:t xml:space="preserve">S’il est décidé de dissoudre le </w:t>
      </w:r>
      <w:r w:rsidR="00782E62" w:rsidRPr="00EE19C3">
        <w:rPr>
          <w:rFonts w:cs="Calibri"/>
          <w:lang w:val="fr-FR"/>
        </w:rPr>
        <w:t>s</w:t>
      </w:r>
      <w:r w:rsidRPr="00EE19C3">
        <w:rPr>
          <w:rFonts w:cs="Calibri"/>
          <w:lang w:val="fr-FR"/>
        </w:rPr>
        <w:t xml:space="preserve">ecrétariat de la Plateforme, l’institution en charge du </w:t>
      </w:r>
      <w:r w:rsidR="00782E62" w:rsidRPr="00EE19C3">
        <w:rPr>
          <w:rFonts w:cs="Calibri"/>
          <w:lang w:val="fr-FR"/>
        </w:rPr>
        <w:t>s</w:t>
      </w:r>
      <w:r w:rsidRPr="00EE19C3">
        <w:rPr>
          <w:rFonts w:cs="Calibri"/>
          <w:lang w:val="fr-FR"/>
        </w:rPr>
        <w:t>ecrétariat en est informée un an au moins avant la date effective de la dissolution.</w:t>
      </w:r>
    </w:p>
    <w:p w:rsidR="00901C7A" w:rsidRPr="00EE19C3" w:rsidRDefault="00901C7A" w:rsidP="00451DD6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80"/>
        <w:ind w:left="1247"/>
        <w:rPr>
          <w:b/>
          <w:sz w:val="24"/>
          <w:szCs w:val="24"/>
          <w:lang w:val="fr-FR"/>
        </w:rPr>
      </w:pPr>
      <w:r w:rsidRPr="00EE19C3">
        <w:rPr>
          <w:b/>
          <w:sz w:val="24"/>
          <w:szCs w:val="24"/>
          <w:lang w:val="fr-FR"/>
        </w:rPr>
        <w:t>Règle 20</w:t>
      </w:r>
    </w:p>
    <w:p w:rsidR="00901C7A" w:rsidRPr="00EE19C3" w:rsidRDefault="00901C7A" w:rsidP="00FD788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  <w:lang w:val="fr-FR"/>
        </w:rPr>
      </w:pPr>
      <w:r w:rsidRPr="00EE19C3">
        <w:rPr>
          <w:rFonts w:cs="Calibri"/>
          <w:lang w:val="fr-FR"/>
        </w:rPr>
        <w:t>Toute révision des présentes procédures est adoptée par la Plénière par consensus.</w:t>
      </w:r>
    </w:p>
    <w:p w:rsidR="000A7562" w:rsidRPr="00EE19C3" w:rsidRDefault="000A7562" w:rsidP="00D650CD">
      <w:pPr>
        <w:pStyle w:val="Normal-pool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3237"/>
        <w:gridCol w:w="3238"/>
      </w:tblGrid>
      <w:tr w:rsidR="000A7562" w:rsidRPr="00EE19C3" w:rsidTr="00E863CA">
        <w:tc>
          <w:tcPr>
            <w:tcW w:w="3237" w:type="dxa"/>
          </w:tcPr>
          <w:p w:rsidR="000A7562" w:rsidRPr="00EE19C3" w:rsidRDefault="000A7562" w:rsidP="00D650CD">
            <w:pPr>
              <w:pStyle w:val="Normal-pool"/>
              <w:rPr>
                <w:lang w:val="fr-FR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0A7562" w:rsidRPr="00EE19C3" w:rsidRDefault="000A7562" w:rsidP="00D650CD">
            <w:pPr>
              <w:pStyle w:val="Normal-pool"/>
              <w:rPr>
                <w:lang w:val="fr-FR"/>
              </w:rPr>
            </w:pPr>
          </w:p>
        </w:tc>
        <w:tc>
          <w:tcPr>
            <w:tcW w:w="3238" w:type="dxa"/>
          </w:tcPr>
          <w:p w:rsidR="000A7562" w:rsidRPr="00EE19C3" w:rsidRDefault="000A7562" w:rsidP="00D650CD">
            <w:pPr>
              <w:pStyle w:val="Normal-pool"/>
              <w:rPr>
                <w:lang w:val="fr-FR"/>
              </w:rPr>
            </w:pPr>
          </w:p>
        </w:tc>
      </w:tr>
    </w:tbl>
    <w:p w:rsidR="000A7562" w:rsidRPr="00EE19C3" w:rsidRDefault="009B1C26" w:rsidP="00D650CD">
      <w:pPr>
        <w:pStyle w:val="Normal-pool"/>
        <w:rPr>
          <w:lang w:val="fr-FR"/>
        </w:rPr>
      </w:pPr>
      <w:r w:rsidRPr="00EE19C3">
        <w:rPr>
          <w:lang w:val="fr-FR"/>
        </w:rPr>
        <w:tab/>
      </w:r>
    </w:p>
    <w:sectPr w:rsidR="000A7562" w:rsidRPr="00EE19C3" w:rsidSect="008965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EB" w:rsidRDefault="00DD61EB" w:rsidP="000A7562">
      <w:r>
        <w:separator/>
      </w:r>
    </w:p>
  </w:endnote>
  <w:endnote w:type="continuationSeparator" w:id="0">
    <w:p w:rsidR="00DD61EB" w:rsidRDefault="00DD61EB" w:rsidP="000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67" w:rsidRPr="00896512" w:rsidRDefault="00405067">
    <w:pPr>
      <w:pStyle w:val="Footer"/>
      <w:rPr>
        <w:b/>
        <w:szCs w:val="18"/>
      </w:rPr>
    </w:pPr>
    <w:r w:rsidRPr="00896512">
      <w:rPr>
        <w:b/>
        <w:szCs w:val="18"/>
      </w:rPr>
      <w:fldChar w:fldCharType="begin"/>
    </w:r>
    <w:r w:rsidRPr="00896512">
      <w:rPr>
        <w:b/>
        <w:szCs w:val="18"/>
      </w:rPr>
      <w:instrText xml:space="preserve"> PAGE   \* MERGEFORMAT </w:instrText>
    </w:r>
    <w:r w:rsidRPr="00896512">
      <w:rPr>
        <w:b/>
        <w:szCs w:val="18"/>
      </w:rPr>
      <w:fldChar w:fldCharType="separate"/>
    </w:r>
    <w:r w:rsidR="000C6002">
      <w:rPr>
        <w:b/>
        <w:noProof/>
        <w:szCs w:val="18"/>
      </w:rPr>
      <w:t>4</w:t>
    </w:r>
    <w:r w:rsidRPr="00896512">
      <w:rPr>
        <w:b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67" w:rsidRPr="00896512" w:rsidRDefault="00405067" w:rsidP="00896512">
    <w:pPr>
      <w:pStyle w:val="Footer"/>
      <w:jc w:val="right"/>
      <w:rPr>
        <w:b/>
      </w:rPr>
    </w:pPr>
    <w:r w:rsidRPr="00896512">
      <w:rPr>
        <w:b/>
      </w:rPr>
      <w:fldChar w:fldCharType="begin"/>
    </w:r>
    <w:r w:rsidRPr="00896512">
      <w:rPr>
        <w:b/>
      </w:rPr>
      <w:instrText xml:space="preserve"> PAGE   \* MERGEFORMAT </w:instrText>
    </w:r>
    <w:r w:rsidRPr="00896512">
      <w:rPr>
        <w:b/>
      </w:rPr>
      <w:fldChar w:fldCharType="separate"/>
    </w:r>
    <w:r w:rsidR="000C6002">
      <w:rPr>
        <w:b/>
        <w:noProof/>
      </w:rPr>
      <w:t>3</w:t>
    </w:r>
    <w:r w:rsidRPr="00896512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67" w:rsidRDefault="00405067" w:rsidP="00901758">
    <w:pPr>
      <w:pStyle w:val="Footer"/>
      <w:tabs>
        <w:tab w:val="clear" w:pos="4320"/>
        <w:tab w:val="clear" w:pos="8640"/>
        <w:tab w:val="left" w:pos="624"/>
      </w:tabs>
    </w:pPr>
    <w:r>
      <w:t>K1353204</w:t>
    </w:r>
    <w:r>
      <w:tab/>
      <w:t>081013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EB" w:rsidRDefault="00DD61EB" w:rsidP="00D650CD">
      <w:pPr>
        <w:spacing w:after="120"/>
        <w:ind w:left="624"/>
      </w:pPr>
      <w:r>
        <w:separator/>
      </w:r>
    </w:p>
  </w:footnote>
  <w:footnote w:type="continuationSeparator" w:id="0">
    <w:p w:rsidR="00DD61EB" w:rsidRDefault="00DD61EB" w:rsidP="000A7562">
      <w:r>
        <w:continuationSeparator/>
      </w:r>
    </w:p>
  </w:footnote>
  <w:footnote w:id="1">
    <w:p w:rsidR="00405067" w:rsidRPr="00384CD9" w:rsidRDefault="00405067" w:rsidP="000A7562">
      <w:pPr>
        <w:pStyle w:val="FootnoteText"/>
        <w:rPr>
          <w:szCs w:val="18"/>
          <w:lang w:val="fr-FR"/>
        </w:rPr>
      </w:pPr>
      <w:r w:rsidRPr="00D650CD">
        <w:rPr>
          <w:rStyle w:val="FootnoteReference"/>
          <w:sz w:val="18"/>
        </w:rPr>
        <w:sym w:font="Symbol" w:char="F02A"/>
      </w:r>
      <w:r w:rsidRPr="00D650CD">
        <w:rPr>
          <w:szCs w:val="18"/>
        </w:rPr>
        <w:t xml:space="preserve"> IPBES/</w:t>
      </w:r>
      <w:r w:rsidRPr="00D650CD">
        <w:rPr>
          <w:szCs w:val="18"/>
          <w:lang w:eastAsia="ja-JP"/>
        </w:rPr>
        <w:t>2/1.</w:t>
      </w:r>
    </w:p>
  </w:footnote>
  <w:footnote w:id="2">
    <w:p w:rsidR="00405067" w:rsidRPr="002D2C76" w:rsidRDefault="00405067">
      <w:pPr>
        <w:pStyle w:val="FootnoteText"/>
      </w:pPr>
      <w:r w:rsidRPr="002D2C76">
        <w:rPr>
          <w:rStyle w:val="FootnoteReference"/>
        </w:rPr>
        <w:footnoteRef/>
      </w:r>
      <w:r w:rsidRPr="002D2C76">
        <w:t xml:space="preserve"> Insérer, le cas échéant, l’intitulé des autres </w:t>
      </w:r>
      <w:r>
        <w:t>postes détachés auprès du s</w:t>
      </w:r>
      <w:r w:rsidRPr="002D2C76">
        <w:t>ecrétariat de la Plateforme.</w:t>
      </w:r>
    </w:p>
  </w:footnote>
  <w:footnote w:id="3">
    <w:p w:rsidR="00405067" w:rsidRPr="002D2C76" w:rsidRDefault="00405067">
      <w:pPr>
        <w:pStyle w:val="FootnoteText"/>
      </w:pPr>
      <w:r w:rsidRPr="002D2C76">
        <w:rPr>
          <w:rStyle w:val="FootnoteReference"/>
        </w:rPr>
        <w:footnoteRef/>
      </w:r>
      <w:r w:rsidRPr="002D2C76">
        <w:t xml:space="preserve"> Insérer les noms des institutions </w:t>
      </w:r>
      <w:r>
        <w:t>et/</w:t>
      </w:r>
      <w:r w:rsidRPr="002D2C76">
        <w:t xml:space="preserve">ou gouvernements qui </w:t>
      </w:r>
      <w:r>
        <w:t>fournissent</w:t>
      </w:r>
      <w:r w:rsidRPr="002D2C76">
        <w:t xml:space="preserve"> les </w:t>
      </w:r>
      <w:r>
        <w:t xml:space="preserve">autres </w:t>
      </w:r>
      <w:r w:rsidRPr="002D2C76">
        <w:t xml:space="preserve">postes </w:t>
      </w:r>
      <w:r>
        <w:t>concernés au s</w:t>
      </w:r>
      <w:r w:rsidRPr="002D2C76">
        <w:t xml:space="preserve">ecrétariat de </w:t>
      </w:r>
      <w:r>
        <w:t>la Plateforme</w:t>
      </w:r>
      <w:r w:rsidRPr="002D2C7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67" w:rsidRPr="000A7562" w:rsidRDefault="00405067">
    <w:pPr>
      <w:pStyle w:val="Header"/>
      <w:rPr>
        <w:szCs w:val="18"/>
      </w:rPr>
    </w:pPr>
    <w:r w:rsidRPr="000A7562">
      <w:rPr>
        <w:szCs w:val="18"/>
      </w:rPr>
      <w:t>IPBES</w:t>
    </w:r>
    <w:r>
      <w:rPr>
        <w:szCs w:val="18"/>
        <w:lang w:eastAsia="ja-JP"/>
      </w:rPr>
      <w:t>/2/7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67" w:rsidRPr="00901758" w:rsidRDefault="00405067" w:rsidP="00901758">
    <w:pPr>
      <w:pStyle w:val="Header"/>
      <w:jc w:val="right"/>
      <w:rPr>
        <w:szCs w:val="18"/>
      </w:rPr>
    </w:pPr>
    <w:r w:rsidRPr="000A7562">
      <w:rPr>
        <w:szCs w:val="18"/>
      </w:rPr>
      <w:t>IPBES</w:t>
    </w:r>
    <w:r>
      <w:rPr>
        <w:szCs w:val="18"/>
        <w:lang w:eastAsia="ja-JP"/>
      </w:rPr>
      <w:t>/2/7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67" w:rsidRDefault="00405067" w:rsidP="0089651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6EF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13C5C"/>
    <w:multiLevelType w:val="hybridMultilevel"/>
    <w:tmpl w:val="B57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0EE5"/>
    <w:multiLevelType w:val="hybridMultilevel"/>
    <w:tmpl w:val="2864F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5B21D1"/>
    <w:multiLevelType w:val="hybridMultilevel"/>
    <w:tmpl w:val="A3BE4A60"/>
    <w:lvl w:ilvl="0" w:tplc="D7AED58A">
      <w:start w:val="1"/>
      <w:numFmt w:val="lowerLetter"/>
      <w:lvlText w:val="%1)"/>
      <w:lvlJc w:val="left"/>
      <w:pPr>
        <w:ind w:left="238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7" w:hanging="360"/>
      </w:pPr>
    </w:lvl>
    <w:lvl w:ilvl="2" w:tplc="0409001B" w:tentative="1">
      <w:start w:val="1"/>
      <w:numFmt w:val="lowerRoman"/>
      <w:lvlText w:val="%3."/>
      <w:lvlJc w:val="right"/>
      <w:pPr>
        <w:ind w:left="3627" w:hanging="180"/>
      </w:pPr>
    </w:lvl>
    <w:lvl w:ilvl="3" w:tplc="0409000F" w:tentative="1">
      <w:start w:val="1"/>
      <w:numFmt w:val="decimal"/>
      <w:lvlText w:val="%4."/>
      <w:lvlJc w:val="left"/>
      <w:pPr>
        <w:ind w:left="4347" w:hanging="360"/>
      </w:pPr>
    </w:lvl>
    <w:lvl w:ilvl="4" w:tplc="04090019" w:tentative="1">
      <w:start w:val="1"/>
      <w:numFmt w:val="lowerLetter"/>
      <w:lvlText w:val="%5."/>
      <w:lvlJc w:val="left"/>
      <w:pPr>
        <w:ind w:left="5067" w:hanging="360"/>
      </w:pPr>
    </w:lvl>
    <w:lvl w:ilvl="5" w:tplc="0409001B" w:tentative="1">
      <w:start w:val="1"/>
      <w:numFmt w:val="lowerRoman"/>
      <w:lvlText w:val="%6."/>
      <w:lvlJc w:val="right"/>
      <w:pPr>
        <w:ind w:left="5787" w:hanging="180"/>
      </w:pPr>
    </w:lvl>
    <w:lvl w:ilvl="6" w:tplc="0409000F" w:tentative="1">
      <w:start w:val="1"/>
      <w:numFmt w:val="decimal"/>
      <w:lvlText w:val="%7."/>
      <w:lvlJc w:val="left"/>
      <w:pPr>
        <w:ind w:left="6507" w:hanging="360"/>
      </w:pPr>
    </w:lvl>
    <w:lvl w:ilvl="7" w:tplc="04090019" w:tentative="1">
      <w:start w:val="1"/>
      <w:numFmt w:val="lowerLetter"/>
      <w:lvlText w:val="%8."/>
      <w:lvlJc w:val="left"/>
      <w:pPr>
        <w:ind w:left="7227" w:hanging="360"/>
      </w:pPr>
    </w:lvl>
    <w:lvl w:ilvl="8" w:tplc="040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6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>
    <w:nsid w:val="62291BF8"/>
    <w:multiLevelType w:val="multilevel"/>
    <w:tmpl w:val="F4ACF36E"/>
    <w:numStyleLink w:val="Normallist"/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62"/>
    <w:rsid w:val="00005783"/>
    <w:rsid w:val="00011C9F"/>
    <w:rsid w:val="00017C9E"/>
    <w:rsid w:val="000368B6"/>
    <w:rsid w:val="00053C64"/>
    <w:rsid w:val="0006160B"/>
    <w:rsid w:val="00063CBC"/>
    <w:rsid w:val="00070C08"/>
    <w:rsid w:val="0007242F"/>
    <w:rsid w:val="00072B9F"/>
    <w:rsid w:val="00091D4B"/>
    <w:rsid w:val="00095161"/>
    <w:rsid w:val="000A45F9"/>
    <w:rsid w:val="000A7562"/>
    <w:rsid w:val="000B7CDC"/>
    <w:rsid w:val="000C6002"/>
    <w:rsid w:val="000F30FD"/>
    <w:rsid w:val="000F7034"/>
    <w:rsid w:val="00111487"/>
    <w:rsid w:val="00117052"/>
    <w:rsid w:val="001210A9"/>
    <w:rsid w:val="00151516"/>
    <w:rsid w:val="00157639"/>
    <w:rsid w:val="00172CC5"/>
    <w:rsid w:val="00180E96"/>
    <w:rsid w:val="001C1DDD"/>
    <w:rsid w:val="001C5E56"/>
    <w:rsid w:val="001E291A"/>
    <w:rsid w:val="001F2E68"/>
    <w:rsid w:val="001F6691"/>
    <w:rsid w:val="001F7E2D"/>
    <w:rsid w:val="00203070"/>
    <w:rsid w:val="00207780"/>
    <w:rsid w:val="00240259"/>
    <w:rsid w:val="0024626F"/>
    <w:rsid w:val="00246E85"/>
    <w:rsid w:val="0024785C"/>
    <w:rsid w:val="00253717"/>
    <w:rsid w:val="00267A16"/>
    <w:rsid w:val="0027154C"/>
    <w:rsid w:val="0027208A"/>
    <w:rsid w:val="00283688"/>
    <w:rsid w:val="002863FB"/>
    <w:rsid w:val="002A2213"/>
    <w:rsid w:val="002C5E71"/>
    <w:rsid w:val="002C70D1"/>
    <w:rsid w:val="002D0F0E"/>
    <w:rsid w:val="002D12A8"/>
    <w:rsid w:val="002D2C76"/>
    <w:rsid w:val="002F3599"/>
    <w:rsid w:val="002F3B23"/>
    <w:rsid w:val="002F55E3"/>
    <w:rsid w:val="00301E50"/>
    <w:rsid w:val="00302001"/>
    <w:rsid w:val="0031022F"/>
    <w:rsid w:val="00312C1E"/>
    <w:rsid w:val="00315841"/>
    <w:rsid w:val="0031744A"/>
    <w:rsid w:val="00323164"/>
    <w:rsid w:val="00324A4B"/>
    <w:rsid w:val="00346696"/>
    <w:rsid w:val="00351DBD"/>
    <w:rsid w:val="00354BDB"/>
    <w:rsid w:val="00355F2A"/>
    <w:rsid w:val="003629D0"/>
    <w:rsid w:val="00362A36"/>
    <w:rsid w:val="00384CD9"/>
    <w:rsid w:val="00385651"/>
    <w:rsid w:val="003A3B47"/>
    <w:rsid w:val="003B2B4B"/>
    <w:rsid w:val="003C18C6"/>
    <w:rsid w:val="003C585C"/>
    <w:rsid w:val="003E6DD9"/>
    <w:rsid w:val="003E76F0"/>
    <w:rsid w:val="00405067"/>
    <w:rsid w:val="00407AED"/>
    <w:rsid w:val="00427B67"/>
    <w:rsid w:val="004368B0"/>
    <w:rsid w:val="00440599"/>
    <w:rsid w:val="00441480"/>
    <w:rsid w:val="00444484"/>
    <w:rsid w:val="00450B7A"/>
    <w:rsid w:val="00451DD6"/>
    <w:rsid w:val="00467E7E"/>
    <w:rsid w:val="00471C85"/>
    <w:rsid w:val="00471DDC"/>
    <w:rsid w:val="00473B66"/>
    <w:rsid w:val="0048694B"/>
    <w:rsid w:val="004930B7"/>
    <w:rsid w:val="004A31F3"/>
    <w:rsid w:val="004A36F0"/>
    <w:rsid w:val="004B2005"/>
    <w:rsid w:val="004C5FE6"/>
    <w:rsid w:val="004D600E"/>
    <w:rsid w:val="004E7321"/>
    <w:rsid w:val="004F0BA2"/>
    <w:rsid w:val="004F41AA"/>
    <w:rsid w:val="004F492C"/>
    <w:rsid w:val="005074D5"/>
    <w:rsid w:val="00507914"/>
    <w:rsid w:val="00510F92"/>
    <w:rsid w:val="0052360F"/>
    <w:rsid w:val="00524C2D"/>
    <w:rsid w:val="00526892"/>
    <w:rsid w:val="00530DAA"/>
    <w:rsid w:val="00531543"/>
    <w:rsid w:val="0054339B"/>
    <w:rsid w:val="005534CC"/>
    <w:rsid w:val="00562CFE"/>
    <w:rsid w:val="005818CC"/>
    <w:rsid w:val="005943B1"/>
    <w:rsid w:val="005A66F6"/>
    <w:rsid w:val="005B2E83"/>
    <w:rsid w:val="005B3257"/>
    <w:rsid w:val="005D7F6C"/>
    <w:rsid w:val="006206DA"/>
    <w:rsid w:val="006230CB"/>
    <w:rsid w:val="00626212"/>
    <w:rsid w:val="00627EF6"/>
    <w:rsid w:val="00631ECE"/>
    <w:rsid w:val="00632100"/>
    <w:rsid w:val="00633DC8"/>
    <w:rsid w:val="00634BEB"/>
    <w:rsid w:val="006364E8"/>
    <w:rsid w:val="00647FE7"/>
    <w:rsid w:val="006539EC"/>
    <w:rsid w:val="00654D41"/>
    <w:rsid w:val="00655818"/>
    <w:rsid w:val="00677642"/>
    <w:rsid w:val="00680249"/>
    <w:rsid w:val="00682FE8"/>
    <w:rsid w:val="006B34F2"/>
    <w:rsid w:val="006D2D9F"/>
    <w:rsid w:val="006D7D2F"/>
    <w:rsid w:val="006E5A69"/>
    <w:rsid w:val="006E7930"/>
    <w:rsid w:val="007025F9"/>
    <w:rsid w:val="00713561"/>
    <w:rsid w:val="00725ECA"/>
    <w:rsid w:val="00741683"/>
    <w:rsid w:val="00752166"/>
    <w:rsid w:val="007525B0"/>
    <w:rsid w:val="00766558"/>
    <w:rsid w:val="00773C5E"/>
    <w:rsid w:val="00782E62"/>
    <w:rsid w:val="00787076"/>
    <w:rsid w:val="007873F6"/>
    <w:rsid w:val="00787C67"/>
    <w:rsid w:val="00793CCC"/>
    <w:rsid w:val="007A073A"/>
    <w:rsid w:val="007A2C8F"/>
    <w:rsid w:val="007B17E9"/>
    <w:rsid w:val="007B3E21"/>
    <w:rsid w:val="007B71CD"/>
    <w:rsid w:val="007C2B19"/>
    <w:rsid w:val="007D6772"/>
    <w:rsid w:val="007F1F4B"/>
    <w:rsid w:val="00831447"/>
    <w:rsid w:val="008334EC"/>
    <w:rsid w:val="008346D3"/>
    <w:rsid w:val="008370D2"/>
    <w:rsid w:val="00843540"/>
    <w:rsid w:val="008452C3"/>
    <w:rsid w:val="008560BD"/>
    <w:rsid w:val="00863B6B"/>
    <w:rsid w:val="00881CFA"/>
    <w:rsid w:val="00896001"/>
    <w:rsid w:val="00896512"/>
    <w:rsid w:val="008A3671"/>
    <w:rsid w:val="008B0C31"/>
    <w:rsid w:val="008B67C3"/>
    <w:rsid w:val="008C500A"/>
    <w:rsid w:val="008D10EE"/>
    <w:rsid w:val="008E7B8F"/>
    <w:rsid w:val="008F53EC"/>
    <w:rsid w:val="00901758"/>
    <w:rsid w:val="00901C7A"/>
    <w:rsid w:val="00902424"/>
    <w:rsid w:val="009027FC"/>
    <w:rsid w:val="0090799A"/>
    <w:rsid w:val="00916EFE"/>
    <w:rsid w:val="0093354E"/>
    <w:rsid w:val="009401F5"/>
    <w:rsid w:val="00943A04"/>
    <w:rsid w:val="009508F9"/>
    <w:rsid w:val="009565EB"/>
    <w:rsid w:val="00961E44"/>
    <w:rsid w:val="0098191C"/>
    <w:rsid w:val="009A2416"/>
    <w:rsid w:val="009B1C26"/>
    <w:rsid w:val="009B4AFE"/>
    <w:rsid w:val="009B6640"/>
    <w:rsid w:val="009D1CA4"/>
    <w:rsid w:val="009D2EE2"/>
    <w:rsid w:val="009D3F46"/>
    <w:rsid w:val="009D4D3C"/>
    <w:rsid w:val="009E0C24"/>
    <w:rsid w:val="00A00D38"/>
    <w:rsid w:val="00A55956"/>
    <w:rsid w:val="00A61D9E"/>
    <w:rsid w:val="00A7237F"/>
    <w:rsid w:val="00A942CC"/>
    <w:rsid w:val="00AA21B9"/>
    <w:rsid w:val="00AA24F1"/>
    <w:rsid w:val="00AB7BF4"/>
    <w:rsid w:val="00AC1193"/>
    <w:rsid w:val="00AC3573"/>
    <w:rsid w:val="00AC5AB9"/>
    <w:rsid w:val="00AC6730"/>
    <w:rsid w:val="00AD10C7"/>
    <w:rsid w:val="00AD1C53"/>
    <w:rsid w:val="00AF55C7"/>
    <w:rsid w:val="00AF5749"/>
    <w:rsid w:val="00AF63E2"/>
    <w:rsid w:val="00B0209C"/>
    <w:rsid w:val="00B1732F"/>
    <w:rsid w:val="00B2527F"/>
    <w:rsid w:val="00B40129"/>
    <w:rsid w:val="00B54516"/>
    <w:rsid w:val="00B55D0B"/>
    <w:rsid w:val="00B646EA"/>
    <w:rsid w:val="00B75766"/>
    <w:rsid w:val="00B843AA"/>
    <w:rsid w:val="00B85BD2"/>
    <w:rsid w:val="00B85C0D"/>
    <w:rsid w:val="00B90BCB"/>
    <w:rsid w:val="00B94524"/>
    <w:rsid w:val="00BA39B4"/>
    <w:rsid w:val="00BC0DEB"/>
    <w:rsid w:val="00BD3CF7"/>
    <w:rsid w:val="00BD3EA0"/>
    <w:rsid w:val="00BD50F5"/>
    <w:rsid w:val="00BD7D2A"/>
    <w:rsid w:val="00BE224B"/>
    <w:rsid w:val="00BE23E8"/>
    <w:rsid w:val="00C15AAE"/>
    <w:rsid w:val="00C2534F"/>
    <w:rsid w:val="00C321AA"/>
    <w:rsid w:val="00C34E2D"/>
    <w:rsid w:val="00C4724B"/>
    <w:rsid w:val="00C545C6"/>
    <w:rsid w:val="00C57AF4"/>
    <w:rsid w:val="00C70F15"/>
    <w:rsid w:val="00C7622D"/>
    <w:rsid w:val="00CA1C23"/>
    <w:rsid w:val="00CA5FC2"/>
    <w:rsid w:val="00CA736B"/>
    <w:rsid w:val="00CB069E"/>
    <w:rsid w:val="00CB3237"/>
    <w:rsid w:val="00CB554F"/>
    <w:rsid w:val="00CC0E9D"/>
    <w:rsid w:val="00CC2751"/>
    <w:rsid w:val="00CD3C21"/>
    <w:rsid w:val="00CD639A"/>
    <w:rsid w:val="00CE2331"/>
    <w:rsid w:val="00CF7116"/>
    <w:rsid w:val="00D028F9"/>
    <w:rsid w:val="00D26C4B"/>
    <w:rsid w:val="00D2794D"/>
    <w:rsid w:val="00D40ECF"/>
    <w:rsid w:val="00D55E8F"/>
    <w:rsid w:val="00D650CD"/>
    <w:rsid w:val="00D70C4A"/>
    <w:rsid w:val="00D70E44"/>
    <w:rsid w:val="00D712AD"/>
    <w:rsid w:val="00D84F3A"/>
    <w:rsid w:val="00D94EB9"/>
    <w:rsid w:val="00D961F6"/>
    <w:rsid w:val="00DB10E7"/>
    <w:rsid w:val="00DC4836"/>
    <w:rsid w:val="00DD0815"/>
    <w:rsid w:val="00DD08E8"/>
    <w:rsid w:val="00DD1A69"/>
    <w:rsid w:val="00DD3118"/>
    <w:rsid w:val="00DD61EB"/>
    <w:rsid w:val="00DE3E30"/>
    <w:rsid w:val="00DF1D16"/>
    <w:rsid w:val="00E00D64"/>
    <w:rsid w:val="00E03F26"/>
    <w:rsid w:val="00E06785"/>
    <w:rsid w:val="00E07047"/>
    <w:rsid w:val="00E079C1"/>
    <w:rsid w:val="00E128C5"/>
    <w:rsid w:val="00E51741"/>
    <w:rsid w:val="00E543E5"/>
    <w:rsid w:val="00E65C86"/>
    <w:rsid w:val="00E7623E"/>
    <w:rsid w:val="00E863CA"/>
    <w:rsid w:val="00E871E5"/>
    <w:rsid w:val="00E907F1"/>
    <w:rsid w:val="00E91A98"/>
    <w:rsid w:val="00E94A43"/>
    <w:rsid w:val="00EA1A38"/>
    <w:rsid w:val="00EB4011"/>
    <w:rsid w:val="00EC4FC0"/>
    <w:rsid w:val="00ED5135"/>
    <w:rsid w:val="00EE057F"/>
    <w:rsid w:val="00EE19C3"/>
    <w:rsid w:val="00EE3A36"/>
    <w:rsid w:val="00EE663C"/>
    <w:rsid w:val="00F01039"/>
    <w:rsid w:val="00F0380D"/>
    <w:rsid w:val="00F05BD5"/>
    <w:rsid w:val="00F07055"/>
    <w:rsid w:val="00F17BAA"/>
    <w:rsid w:val="00F3048D"/>
    <w:rsid w:val="00F31107"/>
    <w:rsid w:val="00F31146"/>
    <w:rsid w:val="00F73FA4"/>
    <w:rsid w:val="00F95743"/>
    <w:rsid w:val="00FB3A9B"/>
    <w:rsid w:val="00FC085B"/>
    <w:rsid w:val="00FC28D5"/>
    <w:rsid w:val="00FC7048"/>
    <w:rsid w:val="00FD3911"/>
    <w:rsid w:val="00FD788E"/>
    <w:rsid w:val="00FE2063"/>
    <w:rsid w:val="00FE61FB"/>
    <w:rsid w:val="00FE66D7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footnote reference" w:semiHidden="1" w:unhideWhenUsed="1"/>
    <w:lsdException w:name="annotation reference" w:uiPriority="99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562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FB3A9B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FB3A9B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FB3A9B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FB3A9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3A9B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B3A9B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FB3A9B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FB3A9B"/>
    <w:pPr>
      <w:keepNext/>
      <w:widowControl w:val="0"/>
      <w:numPr>
        <w:numId w:val="5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FB3A9B"/>
    <w:pPr>
      <w:keepNext/>
      <w:widowControl w:val="0"/>
      <w:numPr>
        <w:numId w:val="6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Table">
    <w:name w:val="AA_Table"/>
    <w:basedOn w:val="TableNormal"/>
    <w:semiHidden/>
    <w:rsid w:val="00FB3A9B"/>
    <w:rPr>
      <w:rFonts w:eastAsia="Times New Roman"/>
      <w:lang w:val="fr-FR" w:eastAsia="fr-FR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autoRedefine/>
    <w:semiHidden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FB3A9B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FB3A9B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rsid w:val="00FB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rsid w:val="00FB3A9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rsid w:val="00FB3A9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uiPriority w:val="99"/>
    <w:rsid w:val="00FB3A9B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link w:val="Footer"/>
    <w:uiPriority w:val="99"/>
    <w:rsid w:val="00FB3A9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ooterpool">
    <w:name w:val="Footer_pool"/>
    <w:basedOn w:val="Normal"/>
    <w:next w:val="Normal"/>
    <w:semiHidden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table" w:customStyle="1" w:styleId="Footertable">
    <w:name w:val="Footer_table"/>
    <w:basedOn w:val="TableNormal"/>
    <w:semiHidden/>
    <w:rsid w:val="00FB3A9B"/>
    <w:rPr>
      <w:rFonts w:ascii="Arial" w:eastAsia="Times New Roman" w:hAnsi="Arial"/>
      <w:sz w:val="16"/>
      <w:lang w:val="fr-FR" w:eastAsia="fr-FR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en-GB"/>
    </w:rPr>
  </w:style>
  <w:style w:type="paragraph" w:customStyle="1" w:styleId="Footer-pool">
    <w:name w:val="Footer-pool"/>
    <w:basedOn w:val="Normal-pool"/>
    <w:next w:val="Normal-pool"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semiHidden/>
    <w:rsid w:val="00FB3A9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FB3A9B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semiHidden/>
    <w:rsid w:val="00FB3A9B"/>
    <w:rPr>
      <w:rFonts w:ascii="Times New Roman" w:eastAsia="Times New Roman" w:hAnsi="Times New Roman" w:cs="Times New Roman"/>
      <w:sz w:val="18"/>
      <w:szCs w:val="20"/>
      <w:lang w:val="fr-CA"/>
    </w:rPr>
  </w:style>
  <w:style w:type="paragraph" w:styleId="Header">
    <w:name w:val="header"/>
    <w:aliases w:val="EthylHeader"/>
    <w:basedOn w:val="Normal"/>
    <w:link w:val="HeaderChar"/>
    <w:uiPriority w:val="99"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aliases w:val="EthylHeader Char"/>
    <w:link w:val="Header"/>
    <w:uiPriority w:val="99"/>
    <w:rsid w:val="00FB3A9B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pool">
    <w:name w:val="Header_pool"/>
    <w:basedOn w:val="Normal"/>
    <w:next w:val="Normal"/>
    <w:semiHidden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FB3A9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rsid w:val="00FB3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FB3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link w:val="Heading6"/>
    <w:rsid w:val="00FB3A9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link w:val="Heading7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link w:val="Heading8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link w:val="Heading9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Hyperlink">
    <w:name w:val="Hyperlink"/>
    <w:semiHidden/>
    <w:rsid w:val="00FB3A9B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FB3A9B"/>
    <w:pPr>
      <w:numPr>
        <w:numId w:val="3"/>
      </w:numPr>
    </w:pPr>
  </w:style>
  <w:style w:type="paragraph" w:customStyle="1" w:styleId="NormalNonumber">
    <w:name w:val="Normal_No_number"/>
    <w:basedOn w:val="Normalpool"/>
    <w:rsid w:val="00FB3A9B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E863CA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</w:pPr>
  </w:style>
  <w:style w:type="character" w:styleId="PageNumber">
    <w:name w:val="page number"/>
    <w:semiHidden/>
    <w:rsid w:val="00FB3A9B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FB3A9B"/>
    <w:pPr>
      <w:ind w:left="1814" w:hanging="567"/>
    </w:pPr>
  </w:style>
  <w:style w:type="table" w:customStyle="1" w:styleId="Tabledocright">
    <w:name w:val="Table_doc_right"/>
    <w:basedOn w:val="TableNormal"/>
    <w:rsid w:val="00FB3A9B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rsid w:val="00FB3A9B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FB3A9B"/>
    <w:rPr>
      <w:bCs w:val="0"/>
    </w:rPr>
  </w:style>
  <w:style w:type="paragraph" w:styleId="TOC1">
    <w:name w:val="toc 1"/>
    <w:basedOn w:val="Normalpool"/>
    <w:next w:val="Normalpool"/>
    <w:rsid w:val="00FB3A9B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FB3A9B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FB3A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3A9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3A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3A9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3A9B"/>
    <w:pPr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FB3A9B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FB3A9B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Normal-poolChar">
    <w:name w:val="Normal-pool Char"/>
    <w:link w:val="Normal-pool"/>
    <w:rsid w:val="000A7562"/>
    <w:rPr>
      <w:rFonts w:eastAsia="Times New Roman"/>
      <w:lang w:val="en-GB"/>
    </w:rPr>
  </w:style>
  <w:style w:type="paragraph" w:styleId="ColorfulList-Accent1">
    <w:name w:val="Colorful List Accent 1"/>
    <w:basedOn w:val="Normal"/>
    <w:uiPriority w:val="34"/>
    <w:qFormat/>
    <w:rsid w:val="000A7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A7562"/>
    <w:rPr>
      <w:sz w:val="16"/>
      <w:szCs w:val="16"/>
    </w:rPr>
  </w:style>
  <w:style w:type="character" w:customStyle="1" w:styleId="NormalnumberChar">
    <w:name w:val="Normal_number Char"/>
    <w:link w:val="Normalnumber"/>
    <w:locked/>
    <w:rsid w:val="00E863CA"/>
    <w:rPr>
      <w:rFonts w:eastAsia="Times New Roman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footnote reference" w:semiHidden="1" w:unhideWhenUsed="1"/>
    <w:lsdException w:name="annotation reference" w:uiPriority="99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562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FB3A9B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FB3A9B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FB3A9B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FB3A9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3A9B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B3A9B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FB3A9B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FB3A9B"/>
    <w:pPr>
      <w:keepNext/>
      <w:widowControl w:val="0"/>
      <w:numPr>
        <w:numId w:val="5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FB3A9B"/>
    <w:pPr>
      <w:keepNext/>
      <w:widowControl w:val="0"/>
      <w:numPr>
        <w:numId w:val="6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Table">
    <w:name w:val="AA_Table"/>
    <w:basedOn w:val="TableNormal"/>
    <w:semiHidden/>
    <w:rsid w:val="00FB3A9B"/>
    <w:rPr>
      <w:rFonts w:eastAsia="Times New Roman"/>
      <w:lang w:val="fr-FR" w:eastAsia="fr-FR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autoRedefine/>
    <w:semiHidden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FB3A9B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FB3A9B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rsid w:val="00FB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rsid w:val="00FB3A9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rsid w:val="00FB3A9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uiPriority w:val="99"/>
    <w:rsid w:val="00FB3A9B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link w:val="Footer"/>
    <w:uiPriority w:val="99"/>
    <w:rsid w:val="00FB3A9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ooterpool">
    <w:name w:val="Footer_pool"/>
    <w:basedOn w:val="Normal"/>
    <w:next w:val="Normal"/>
    <w:semiHidden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table" w:customStyle="1" w:styleId="Footertable">
    <w:name w:val="Footer_table"/>
    <w:basedOn w:val="TableNormal"/>
    <w:semiHidden/>
    <w:rsid w:val="00FB3A9B"/>
    <w:rPr>
      <w:rFonts w:ascii="Arial" w:eastAsia="Times New Roman" w:hAnsi="Arial"/>
      <w:sz w:val="16"/>
      <w:lang w:val="fr-FR" w:eastAsia="fr-FR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en-GB"/>
    </w:rPr>
  </w:style>
  <w:style w:type="paragraph" w:customStyle="1" w:styleId="Footer-pool">
    <w:name w:val="Footer-pool"/>
    <w:basedOn w:val="Normal-pool"/>
    <w:next w:val="Normal-pool"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semiHidden/>
    <w:rsid w:val="00FB3A9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FB3A9B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semiHidden/>
    <w:rsid w:val="00FB3A9B"/>
    <w:rPr>
      <w:rFonts w:ascii="Times New Roman" w:eastAsia="Times New Roman" w:hAnsi="Times New Roman" w:cs="Times New Roman"/>
      <w:sz w:val="18"/>
      <w:szCs w:val="20"/>
      <w:lang w:val="fr-CA"/>
    </w:rPr>
  </w:style>
  <w:style w:type="paragraph" w:styleId="Header">
    <w:name w:val="header"/>
    <w:aliases w:val="EthylHeader"/>
    <w:basedOn w:val="Normal"/>
    <w:link w:val="HeaderChar"/>
    <w:uiPriority w:val="99"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aliases w:val="EthylHeader Char"/>
    <w:link w:val="Header"/>
    <w:uiPriority w:val="99"/>
    <w:rsid w:val="00FB3A9B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pool">
    <w:name w:val="Header_pool"/>
    <w:basedOn w:val="Normal"/>
    <w:next w:val="Normal"/>
    <w:semiHidden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FB3A9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rsid w:val="00FB3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FB3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link w:val="Heading6"/>
    <w:rsid w:val="00FB3A9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link w:val="Heading7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link w:val="Heading8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link w:val="Heading9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Hyperlink">
    <w:name w:val="Hyperlink"/>
    <w:semiHidden/>
    <w:rsid w:val="00FB3A9B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FB3A9B"/>
    <w:pPr>
      <w:numPr>
        <w:numId w:val="3"/>
      </w:numPr>
    </w:pPr>
  </w:style>
  <w:style w:type="paragraph" w:customStyle="1" w:styleId="NormalNonumber">
    <w:name w:val="Normal_No_number"/>
    <w:basedOn w:val="Normalpool"/>
    <w:rsid w:val="00FB3A9B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E863CA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</w:pPr>
  </w:style>
  <w:style w:type="character" w:styleId="PageNumber">
    <w:name w:val="page number"/>
    <w:semiHidden/>
    <w:rsid w:val="00FB3A9B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FB3A9B"/>
    <w:pPr>
      <w:ind w:left="1814" w:hanging="567"/>
    </w:pPr>
  </w:style>
  <w:style w:type="table" w:customStyle="1" w:styleId="Tabledocright">
    <w:name w:val="Table_doc_right"/>
    <w:basedOn w:val="TableNormal"/>
    <w:rsid w:val="00FB3A9B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rsid w:val="00FB3A9B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FB3A9B"/>
    <w:rPr>
      <w:bCs w:val="0"/>
    </w:rPr>
  </w:style>
  <w:style w:type="paragraph" w:styleId="TOC1">
    <w:name w:val="toc 1"/>
    <w:basedOn w:val="Normalpool"/>
    <w:next w:val="Normalpool"/>
    <w:rsid w:val="00FB3A9B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FB3A9B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FB3A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3A9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3A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3A9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3A9B"/>
    <w:pPr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FB3A9B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FB3A9B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Normal-poolChar">
    <w:name w:val="Normal-pool Char"/>
    <w:link w:val="Normal-pool"/>
    <w:rsid w:val="000A7562"/>
    <w:rPr>
      <w:rFonts w:eastAsia="Times New Roman"/>
      <w:lang w:val="en-GB"/>
    </w:rPr>
  </w:style>
  <w:style w:type="paragraph" w:styleId="ColorfulList-Accent1">
    <w:name w:val="Colorful List Accent 1"/>
    <w:basedOn w:val="Normal"/>
    <w:uiPriority w:val="34"/>
    <w:qFormat/>
    <w:rsid w:val="000A7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A7562"/>
    <w:rPr>
      <w:sz w:val="16"/>
      <w:szCs w:val="16"/>
    </w:rPr>
  </w:style>
  <w:style w:type="character" w:customStyle="1" w:styleId="NormalnumberChar">
    <w:name w:val="Normal_number Char"/>
    <w:link w:val="Normalnumber"/>
    <w:locked/>
    <w:rsid w:val="00E863CA"/>
    <w:rPr>
      <w:rFonts w:eastAsia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4E2C-A1A6-4306-9278-36AB043C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Mwanza</dc:creator>
  <cp:lastModifiedBy>Rohan Shanbhag</cp:lastModifiedBy>
  <cp:revision>2</cp:revision>
  <cp:lastPrinted>2013-10-08T11:40:00Z</cp:lastPrinted>
  <dcterms:created xsi:type="dcterms:W3CDTF">2013-10-29T13:45:00Z</dcterms:created>
  <dcterms:modified xsi:type="dcterms:W3CDTF">2013-10-29T13:45:00Z</dcterms:modified>
</cp:coreProperties>
</file>