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F2B9" w14:textId="77777777" w:rsidR="00B27589" w:rsidRPr="00F7112E" w:rsidRDefault="00B27589" w:rsidP="003805DB">
      <w:pPr>
        <w:pStyle w:val="Normal-pool"/>
        <w:tabs>
          <w:tab w:val="left" w:pos="3240"/>
        </w:tabs>
        <w:rPr>
          <w:lang w:val="fr-FR"/>
        </w:rPr>
      </w:pPr>
      <w:bookmarkStart w:id="0" w:name="_GoBack"/>
      <w:bookmarkEnd w:id="0"/>
    </w:p>
    <w:tbl>
      <w:tblPr>
        <w:tblW w:w="5176" w:type="pct"/>
        <w:jc w:val="right"/>
        <w:tblLayout w:type="fixed"/>
        <w:tblLook w:val="0000" w:firstRow="0" w:lastRow="0" w:firstColumn="0" w:lastColumn="0" w:noHBand="0" w:noVBand="0"/>
      </w:tblPr>
      <w:tblGrid>
        <w:gridCol w:w="1488"/>
        <w:gridCol w:w="474"/>
        <w:gridCol w:w="498"/>
        <w:gridCol w:w="834"/>
        <w:gridCol w:w="971"/>
        <w:gridCol w:w="2680"/>
        <w:gridCol w:w="710"/>
        <w:gridCol w:w="548"/>
        <w:gridCol w:w="1627"/>
      </w:tblGrid>
      <w:tr w:rsidR="00396929" w:rsidRPr="000E681F" w14:paraId="03107217" w14:textId="77777777" w:rsidTr="00B76BAD">
        <w:trPr>
          <w:cantSplit/>
          <w:trHeight w:val="1079"/>
          <w:jc w:val="right"/>
        </w:trPr>
        <w:tc>
          <w:tcPr>
            <w:tcW w:w="1488" w:type="dxa"/>
          </w:tcPr>
          <w:p w14:paraId="74801AD7" w14:textId="77777777" w:rsidR="00396929" w:rsidRPr="000E681F" w:rsidRDefault="00396929" w:rsidP="002069EA">
            <w:pPr>
              <w:pStyle w:val="Normal-pool"/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</w:pPr>
            <w:r w:rsidRPr="000E681F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t>NATIONS</w:t>
            </w:r>
          </w:p>
          <w:p w14:paraId="43289B2B" w14:textId="71928F68" w:rsidR="00D0668E" w:rsidRPr="000E681F" w:rsidRDefault="00D0668E" w:rsidP="002069EA">
            <w:pPr>
              <w:pStyle w:val="Normal-pool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r w:rsidRPr="000E681F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t>UNIES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07D5930C" w14:textId="77777777" w:rsidR="00396929" w:rsidRPr="000E681F" w:rsidRDefault="00396929" w:rsidP="002069EA">
            <w:pPr>
              <w:pStyle w:val="Normal-pool"/>
              <w:ind w:left="-108"/>
              <w:jc w:val="both"/>
              <w:rPr>
                <w:lang w:val="fr-FR"/>
              </w:rPr>
            </w:pPr>
            <w:r w:rsidRPr="000E681F">
              <w:rPr>
                <w:noProof/>
                <w:lang w:val="fr-FR" w:eastAsia="fr-FR"/>
              </w:rPr>
              <w:drawing>
                <wp:inline distT="0" distB="0" distL="0" distR="0" wp14:anchorId="1C01F9CF" wp14:editId="12D92E34">
                  <wp:extent cx="539115" cy="470535"/>
                  <wp:effectExtent l="0" t="0" r="0" b="0"/>
                  <wp:docPr id="11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left w:val="nil"/>
            </w:tcBorders>
            <w:vAlign w:val="center"/>
          </w:tcPr>
          <w:p w14:paraId="2776DF58" w14:textId="641FBD48" w:rsidR="00396929" w:rsidRPr="000E681F" w:rsidRDefault="00A86B75" w:rsidP="002069EA">
            <w:pPr>
              <w:pStyle w:val="Normal-pool"/>
              <w:ind w:left="-108"/>
              <w:rPr>
                <w:lang w:val="fr-FR"/>
              </w:rPr>
            </w:pPr>
            <w:r w:rsidRPr="008C07DF">
              <w:rPr>
                <w:noProof/>
                <w:lang w:val="fr-FR" w:eastAsia="fr-FR"/>
              </w:rPr>
              <w:drawing>
                <wp:inline distT="0" distB="0" distL="0" distR="0" wp14:anchorId="30AD5730" wp14:editId="04F692B9">
                  <wp:extent cx="362710" cy="47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nil"/>
            </w:tcBorders>
            <w:vAlign w:val="center"/>
          </w:tcPr>
          <w:p w14:paraId="1662FE59" w14:textId="77777777" w:rsidR="00396929" w:rsidRPr="000E681F" w:rsidRDefault="00396929" w:rsidP="002069EA">
            <w:pPr>
              <w:pStyle w:val="Normal-pool"/>
              <w:ind w:left="-108"/>
              <w:rPr>
                <w:lang w:val="fr-FR"/>
              </w:rPr>
            </w:pPr>
            <w:r w:rsidRPr="000E681F">
              <w:rPr>
                <w:noProof/>
                <w:lang w:val="fr-FR" w:eastAsia="fr-FR"/>
              </w:rPr>
              <w:drawing>
                <wp:inline distT="0" distB="0" distL="0" distR="0" wp14:anchorId="38C77966" wp14:editId="57891798">
                  <wp:extent cx="573405" cy="477520"/>
                  <wp:effectExtent l="0" t="0" r="0" b="0"/>
                  <wp:docPr id="8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left w:val="nil"/>
            </w:tcBorders>
            <w:vAlign w:val="center"/>
          </w:tcPr>
          <w:p w14:paraId="6EC46BD4" w14:textId="482F094D" w:rsidR="00396929" w:rsidRPr="000E681F" w:rsidRDefault="00A86B75" w:rsidP="002069EA">
            <w:pPr>
              <w:pStyle w:val="Normal-pool"/>
              <w:ind w:left="-108"/>
              <w:rPr>
                <w:lang w:val="fr-FR"/>
              </w:rPr>
            </w:pPr>
            <w:r w:rsidRPr="008C07DF">
              <w:rPr>
                <w:noProof/>
                <w:lang w:val="fr-FR" w:eastAsia="fr-FR"/>
              </w:rPr>
              <w:drawing>
                <wp:inline distT="0" distB="0" distL="0" distR="0" wp14:anchorId="4F849B8C" wp14:editId="2D503C20">
                  <wp:extent cx="1653236" cy="355488"/>
                  <wp:effectExtent l="0" t="0" r="4445" b="6985"/>
                  <wp:docPr id="6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00699982" w14:textId="77777777" w:rsidR="00396929" w:rsidRPr="000E681F" w:rsidRDefault="00396929" w:rsidP="002069EA">
            <w:pPr>
              <w:pStyle w:val="Normal-pool"/>
              <w:rPr>
                <w:lang w:val="fr-FR"/>
              </w:rPr>
            </w:pPr>
            <w:r w:rsidRPr="000E681F">
              <w:rPr>
                <w:noProof/>
                <w:lang w:val="fr-FR" w:eastAsia="fr-FR"/>
              </w:rPr>
              <w:drawing>
                <wp:inline distT="0" distB="0" distL="0" distR="0" wp14:anchorId="07135A44" wp14:editId="0C7A962F">
                  <wp:extent cx="286385" cy="559435"/>
                  <wp:effectExtent l="0" t="0" r="0" b="0"/>
                  <wp:docPr id="3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nil"/>
            </w:tcBorders>
            <w:vAlign w:val="center"/>
          </w:tcPr>
          <w:p w14:paraId="6E32BC82" w14:textId="77777777" w:rsidR="00396929" w:rsidRPr="000E681F" w:rsidRDefault="00396929" w:rsidP="002069EA">
            <w:pPr>
              <w:pStyle w:val="Normal-pool"/>
              <w:rPr>
                <w:lang w:val="fr-FR"/>
              </w:rPr>
            </w:pPr>
          </w:p>
        </w:tc>
        <w:tc>
          <w:tcPr>
            <w:tcW w:w="1627" w:type="dxa"/>
          </w:tcPr>
          <w:p w14:paraId="2B76AE7B" w14:textId="77777777" w:rsidR="00396929" w:rsidRPr="000E681F" w:rsidRDefault="00396929" w:rsidP="002069EA">
            <w:pPr>
              <w:pStyle w:val="Normal-pool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0E681F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396929" w:rsidRPr="000E681F" w14:paraId="1E9A5538" w14:textId="77777777" w:rsidTr="00B76BAD">
        <w:trPr>
          <w:cantSplit/>
          <w:trHeight w:val="282"/>
          <w:jc w:val="right"/>
        </w:trPr>
        <w:tc>
          <w:tcPr>
            <w:tcW w:w="1488" w:type="dxa"/>
            <w:tcBorders>
              <w:bottom w:val="single" w:sz="2" w:space="0" w:color="auto"/>
            </w:tcBorders>
          </w:tcPr>
          <w:p w14:paraId="28F581D2" w14:textId="77777777" w:rsidR="00396929" w:rsidRPr="000E681F" w:rsidRDefault="00396929" w:rsidP="002069EA">
            <w:pPr>
              <w:pStyle w:val="Normal-pool"/>
              <w:rPr>
                <w:noProof/>
                <w:lang w:val="fr-FR"/>
              </w:rPr>
            </w:pPr>
          </w:p>
        </w:tc>
        <w:tc>
          <w:tcPr>
            <w:tcW w:w="6167" w:type="dxa"/>
            <w:gridSpan w:val="6"/>
            <w:tcBorders>
              <w:bottom w:val="single" w:sz="2" w:space="0" w:color="auto"/>
            </w:tcBorders>
          </w:tcPr>
          <w:p w14:paraId="6D82283C" w14:textId="77777777" w:rsidR="00396929" w:rsidRPr="000E681F" w:rsidRDefault="00396929" w:rsidP="002069EA">
            <w:pPr>
              <w:pStyle w:val="Normal-pool"/>
              <w:rPr>
                <w:sz w:val="24"/>
                <w:szCs w:val="24"/>
                <w:lang w:val="fr-FR"/>
              </w:rPr>
            </w:pPr>
          </w:p>
        </w:tc>
        <w:tc>
          <w:tcPr>
            <w:tcW w:w="2175" w:type="dxa"/>
            <w:gridSpan w:val="2"/>
            <w:tcBorders>
              <w:bottom w:val="single" w:sz="2" w:space="0" w:color="auto"/>
            </w:tcBorders>
          </w:tcPr>
          <w:p w14:paraId="354E7990" w14:textId="65E86914" w:rsidR="00396929" w:rsidRPr="000E681F" w:rsidRDefault="00396929" w:rsidP="002069EA">
            <w:pPr>
              <w:pStyle w:val="Normal-pool"/>
              <w:rPr>
                <w:sz w:val="24"/>
                <w:szCs w:val="24"/>
                <w:lang w:val="fr-FR"/>
              </w:rPr>
            </w:pPr>
            <w:r w:rsidRPr="000E681F">
              <w:rPr>
                <w:b/>
                <w:sz w:val="24"/>
                <w:szCs w:val="24"/>
                <w:lang w:val="fr-FR"/>
              </w:rPr>
              <w:t>IPBES</w:t>
            </w:r>
            <w:r w:rsidRPr="000E681F">
              <w:rPr>
                <w:lang w:val="fr-FR"/>
              </w:rPr>
              <w:t>/</w:t>
            </w:r>
            <w:r w:rsidR="005F06C5" w:rsidRPr="000E681F">
              <w:rPr>
                <w:lang w:val="fr-FR"/>
              </w:rPr>
              <w:t>7</w:t>
            </w:r>
            <w:r w:rsidRPr="000E681F">
              <w:rPr>
                <w:lang w:val="fr-FR"/>
              </w:rPr>
              <w:t>/</w:t>
            </w:r>
            <w:r w:rsidR="005537BD" w:rsidRPr="000E681F">
              <w:rPr>
                <w:lang w:val="fr-FR"/>
              </w:rPr>
              <w:t>2</w:t>
            </w:r>
          </w:p>
        </w:tc>
      </w:tr>
      <w:tr w:rsidR="00396929" w:rsidRPr="00EC5E19" w14:paraId="44558741" w14:textId="77777777" w:rsidTr="00B76BAD">
        <w:trPr>
          <w:cantSplit/>
          <w:trHeight w:val="1433"/>
          <w:jc w:val="right"/>
        </w:trPr>
        <w:tc>
          <w:tcPr>
            <w:tcW w:w="1962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1C3F8E6" w14:textId="77777777" w:rsidR="00396929" w:rsidRPr="000E681F" w:rsidRDefault="00396929" w:rsidP="002069EA">
            <w:pPr>
              <w:pStyle w:val="Normal-pool"/>
              <w:spacing w:before="240" w:after="240"/>
              <w:rPr>
                <w:sz w:val="28"/>
                <w:szCs w:val="28"/>
                <w:lang w:val="fr-FR"/>
              </w:rPr>
            </w:pPr>
            <w:r w:rsidRPr="000E681F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55E03462" wp14:editId="15466CFE">
                  <wp:extent cx="1112520" cy="5187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63041D4" w14:textId="25A45AC2" w:rsidR="00396929" w:rsidRPr="000E681F" w:rsidRDefault="00312440" w:rsidP="002069EA">
            <w:pPr>
              <w:pStyle w:val="Normal-pool"/>
              <w:spacing w:before="120" w:after="240"/>
              <w:rPr>
                <w:rFonts w:ascii="Arial" w:hAnsi="Arial" w:cs="Arial"/>
                <w:b/>
                <w:lang w:val="fr-FR"/>
              </w:rPr>
            </w:pPr>
            <w:r w:rsidRPr="000E681F">
              <w:rPr>
                <w:rFonts w:ascii="Arial" w:hAnsi="Arial" w:cs="Arial"/>
                <w:b/>
                <w:sz w:val="28"/>
                <w:szCs w:val="28"/>
                <w:lang w:val="fr-FR"/>
              </w:rPr>
              <w:t>Plateforme intergouvernementale scientifique et politique sur la biodiversité et les services écosystémique</w:t>
            </w:r>
            <w:r w:rsidR="00396929" w:rsidRPr="000E681F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45A5DA6" w14:textId="6F7AE23E" w:rsidR="00396929" w:rsidRPr="000E681F" w:rsidRDefault="00396929" w:rsidP="0022577D">
            <w:pPr>
              <w:pStyle w:val="Normal-pool"/>
              <w:spacing w:before="120"/>
              <w:rPr>
                <w:lang w:val="fr-FR"/>
              </w:rPr>
            </w:pPr>
            <w:r w:rsidRPr="000E681F">
              <w:rPr>
                <w:lang w:val="fr-FR"/>
              </w:rPr>
              <w:t>Distr</w:t>
            </w:r>
            <w:r w:rsidR="0022577D" w:rsidRPr="000E681F">
              <w:rPr>
                <w:lang w:val="fr-FR"/>
              </w:rPr>
              <w:t>.</w:t>
            </w:r>
            <w:r w:rsidR="00B76BAD">
              <w:rPr>
                <w:lang w:val="fr-FR"/>
              </w:rPr>
              <w:t> </w:t>
            </w:r>
            <w:r w:rsidR="00EE0F04" w:rsidRPr="000E681F">
              <w:rPr>
                <w:lang w:val="fr-FR"/>
              </w:rPr>
              <w:t>géné</w:t>
            </w:r>
            <w:r w:rsidRPr="000E681F">
              <w:rPr>
                <w:lang w:val="fr-FR"/>
              </w:rPr>
              <w:t>ral</w:t>
            </w:r>
            <w:r w:rsidR="00EE0F04" w:rsidRPr="000E681F">
              <w:rPr>
                <w:lang w:val="fr-FR"/>
              </w:rPr>
              <w:t>e</w:t>
            </w:r>
            <w:r w:rsidR="005F06C5" w:rsidRPr="000E681F">
              <w:rPr>
                <w:lang w:val="fr-FR"/>
              </w:rPr>
              <w:t xml:space="preserve"> </w:t>
            </w:r>
            <w:r w:rsidRPr="000E681F">
              <w:rPr>
                <w:lang w:val="fr-FR"/>
              </w:rPr>
              <w:br/>
            </w:r>
            <w:r w:rsidR="00910ACC">
              <w:rPr>
                <w:lang w:val="fr-FR"/>
              </w:rPr>
              <w:t>5</w:t>
            </w:r>
            <w:r w:rsidR="00EE0F04" w:rsidRPr="000E681F">
              <w:rPr>
                <w:lang w:val="fr-FR"/>
              </w:rPr>
              <w:t> </w:t>
            </w:r>
            <w:r w:rsidR="00910ACC">
              <w:rPr>
                <w:lang w:val="fr-FR"/>
              </w:rPr>
              <w:t>mars</w:t>
            </w:r>
            <w:r w:rsidRPr="000E681F">
              <w:rPr>
                <w:lang w:val="fr-FR"/>
              </w:rPr>
              <w:t xml:space="preserve"> </w:t>
            </w:r>
            <w:r w:rsidR="005F06C5" w:rsidRPr="000E681F">
              <w:rPr>
                <w:lang w:val="fr-FR"/>
              </w:rPr>
              <w:t>201</w:t>
            </w:r>
            <w:r w:rsidR="00910ACC">
              <w:rPr>
                <w:lang w:val="fr-FR"/>
              </w:rPr>
              <w:t>9</w:t>
            </w:r>
          </w:p>
          <w:p w14:paraId="09C7780F" w14:textId="42CE11A7" w:rsidR="00396929" w:rsidRPr="000E681F" w:rsidRDefault="00EE0F04" w:rsidP="0022577D">
            <w:pPr>
              <w:pStyle w:val="Normal-pool"/>
              <w:spacing w:before="120"/>
              <w:rPr>
                <w:lang w:val="fr-FR"/>
              </w:rPr>
            </w:pPr>
            <w:r w:rsidRPr="000E681F">
              <w:rPr>
                <w:lang w:val="fr-FR"/>
              </w:rPr>
              <w:t>Français</w:t>
            </w:r>
            <w:r w:rsidR="0022577D" w:rsidRPr="000E681F">
              <w:rPr>
                <w:lang w:val="fr-FR"/>
              </w:rPr>
              <w:br/>
            </w:r>
            <w:r w:rsidRPr="000E681F">
              <w:rPr>
                <w:lang w:val="fr-FR"/>
              </w:rPr>
              <w:t>Original : anglais</w:t>
            </w:r>
          </w:p>
        </w:tc>
      </w:tr>
    </w:tbl>
    <w:p w14:paraId="12DFA66B" w14:textId="3AED9938" w:rsidR="006B419F" w:rsidRPr="008C07DF" w:rsidRDefault="006B419F" w:rsidP="00B76BAD">
      <w:pPr>
        <w:pStyle w:val="AATitle"/>
        <w:ind w:right="4160"/>
        <w:rPr>
          <w:lang w:val="fr-FR"/>
        </w:rPr>
      </w:pPr>
      <w:r w:rsidRPr="008C07DF">
        <w:rPr>
          <w:lang w:val="fr-FR"/>
        </w:rPr>
        <w:t>Plénière de la Plateforme inter</w:t>
      </w:r>
      <w:r w:rsidR="00B76BAD">
        <w:rPr>
          <w:lang w:val="fr-FR"/>
        </w:rPr>
        <w:t>gouvernementale scientifique et </w:t>
      </w:r>
      <w:r w:rsidRPr="008C07DF">
        <w:rPr>
          <w:lang w:val="fr-FR"/>
        </w:rPr>
        <w:t>politique sur la biodiversité et les services écosystémiques</w:t>
      </w:r>
    </w:p>
    <w:p w14:paraId="29000C12" w14:textId="77777777" w:rsidR="006B419F" w:rsidRPr="008C07DF" w:rsidRDefault="006B419F" w:rsidP="00B76BAD">
      <w:pPr>
        <w:pStyle w:val="AATitle"/>
        <w:ind w:right="4160"/>
        <w:rPr>
          <w:lang w:val="fr-FR"/>
        </w:rPr>
      </w:pPr>
      <w:r>
        <w:rPr>
          <w:lang w:val="fr-FR"/>
        </w:rPr>
        <w:t xml:space="preserve">Septième </w:t>
      </w:r>
      <w:r w:rsidRPr="008C07DF">
        <w:rPr>
          <w:lang w:val="fr-FR"/>
        </w:rPr>
        <w:t>session</w:t>
      </w:r>
    </w:p>
    <w:p w14:paraId="01DBE709" w14:textId="75B00608" w:rsidR="006B419F" w:rsidRPr="008C07DF" w:rsidRDefault="00F41BE1" w:rsidP="00B76BAD">
      <w:pPr>
        <w:pStyle w:val="AATitle"/>
        <w:ind w:right="4160"/>
        <w:rPr>
          <w:b w:val="0"/>
          <w:lang w:val="fr-FR" w:eastAsia="ja-JP"/>
        </w:rPr>
      </w:pPr>
      <w:r>
        <w:rPr>
          <w:b w:val="0"/>
          <w:lang w:val="fr-FR" w:eastAsia="ja-JP"/>
        </w:rPr>
        <w:t>Paris, 29 </w:t>
      </w:r>
      <w:r w:rsidR="006B419F" w:rsidRPr="00A444C1">
        <w:rPr>
          <w:b w:val="0"/>
          <w:lang w:val="fr-FR" w:eastAsia="ja-JP"/>
        </w:rPr>
        <w:t>avril – 4 mai 2019</w:t>
      </w:r>
    </w:p>
    <w:p w14:paraId="07E2EAD4" w14:textId="38F7A7E8" w:rsidR="00B2156E" w:rsidRPr="000E681F" w:rsidRDefault="00312440" w:rsidP="00B76BAD">
      <w:pPr>
        <w:pStyle w:val="AATitle"/>
        <w:ind w:right="4160"/>
        <w:rPr>
          <w:lang w:val="fr-FR"/>
        </w:rPr>
      </w:pPr>
      <w:r w:rsidRPr="000E681F">
        <w:rPr>
          <w:b w:val="0"/>
          <w:lang w:val="fr-FR"/>
        </w:rPr>
        <w:t>Point </w:t>
      </w:r>
      <w:r w:rsidR="004A0FE9" w:rsidRPr="000E681F">
        <w:rPr>
          <w:b w:val="0"/>
          <w:lang w:val="fr-FR"/>
        </w:rPr>
        <w:t>5</w:t>
      </w:r>
      <w:r w:rsidRPr="000E681F">
        <w:rPr>
          <w:b w:val="0"/>
          <w:lang w:val="fr-FR"/>
        </w:rPr>
        <w:t xml:space="preserve"> de l</w:t>
      </w:r>
      <w:r w:rsidR="00CB6448" w:rsidRPr="000E681F">
        <w:rPr>
          <w:b w:val="0"/>
          <w:lang w:val="fr-FR"/>
        </w:rPr>
        <w:t>’</w:t>
      </w:r>
      <w:r w:rsidR="00127169">
        <w:rPr>
          <w:b w:val="0"/>
          <w:lang w:val="fr-FR"/>
        </w:rPr>
        <w:t>ordre du jo</w:t>
      </w:r>
      <w:r w:rsidR="00454BB2">
        <w:rPr>
          <w:b w:val="0"/>
          <w:lang w:val="fr-FR"/>
        </w:rPr>
        <w:t>u</w:t>
      </w:r>
      <w:r w:rsidRPr="000E681F">
        <w:rPr>
          <w:b w:val="0"/>
          <w:lang w:val="fr-FR"/>
        </w:rPr>
        <w:t>r provisoire</w:t>
      </w:r>
      <w:r w:rsidR="00B2156E" w:rsidRPr="000E681F">
        <w:rPr>
          <w:b w:val="0"/>
          <w:szCs w:val="18"/>
          <w:lang w:val="fr-FR"/>
        </w:rPr>
        <w:footnoteReference w:customMarkFollows="1" w:id="1"/>
        <w:t>*</w:t>
      </w:r>
    </w:p>
    <w:p w14:paraId="53C75232" w14:textId="6BBF2C41" w:rsidR="00F56735" w:rsidRPr="000E681F" w:rsidRDefault="00312440" w:rsidP="00B76BAD">
      <w:pPr>
        <w:pStyle w:val="AATitle"/>
        <w:ind w:right="4160"/>
        <w:rPr>
          <w:lang w:val="fr-FR"/>
        </w:rPr>
      </w:pPr>
      <w:r w:rsidRPr="000E681F">
        <w:rPr>
          <w:lang w:val="fr-FR"/>
        </w:rPr>
        <w:t>Rapport d</w:t>
      </w:r>
      <w:r w:rsidR="009E29C7" w:rsidRPr="000E681F">
        <w:rPr>
          <w:lang w:val="fr-FR"/>
        </w:rPr>
        <w:t>e la Secrétaire exécutive</w:t>
      </w:r>
      <w:r w:rsidRPr="000E681F">
        <w:rPr>
          <w:lang w:val="fr-FR"/>
        </w:rPr>
        <w:t xml:space="preserve"> </w:t>
      </w:r>
      <w:r w:rsidR="00F41BE1">
        <w:rPr>
          <w:lang w:val="fr-FR"/>
        </w:rPr>
        <w:br/>
      </w:r>
      <w:r w:rsidRPr="000E681F">
        <w:rPr>
          <w:lang w:val="fr-FR"/>
        </w:rPr>
        <w:t>sur la mise en œuvre du premier programme de travail</w:t>
      </w:r>
      <w:r w:rsidR="008630DB" w:rsidRPr="000E681F">
        <w:rPr>
          <w:lang w:val="fr-FR"/>
        </w:rPr>
        <w:t xml:space="preserve"> </w:t>
      </w:r>
      <w:r w:rsidR="0009253C">
        <w:rPr>
          <w:lang w:val="fr-FR"/>
        </w:rPr>
        <w:br/>
      </w:r>
      <w:r w:rsidR="00AE5186">
        <w:rPr>
          <w:lang w:val="fr-FR"/>
        </w:rPr>
        <w:t>pour la période </w:t>
      </w:r>
      <w:r w:rsidRPr="000E681F">
        <w:rPr>
          <w:lang w:val="fr-FR"/>
        </w:rPr>
        <w:t>2014-2018</w:t>
      </w:r>
    </w:p>
    <w:p w14:paraId="38073319" w14:textId="76F88A6E" w:rsidR="002C1316" w:rsidRPr="000E681F" w:rsidRDefault="008630DB" w:rsidP="00A86B75">
      <w:pPr>
        <w:pStyle w:val="BBTitle"/>
        <w:rPr>
          <w:lang w:val="fr-FR"/>
        </w:rPr>
      </w:pPr>
      <w:r w:rsidRPr="000E681F">
        <w:rPr>
          <w:lang w:val="fr-FR"/>
        </w:rPr>
        <w:t>Mise en œuvre du premier programme de travail</w:t>
      </w:r>
    </w:p>
    <w:p w14:paraId="5A666BF6" w14:textId="5CB654F8" w:rsidR="00855F33" w:rsidRPr="000E681F" w:rsidRDefault="002C1316" w:rsidP="00A86B75">
      <w:pPr>
        <w:pStyle w:val="CH2"/>
        <w:rPr>
          <w:rFonts w:eastAsia="Gulim"/>
          <w:lang w:val="fr-FR"/>
        </w:rPr>
      </w:pPr>
      <w:r w:rsidRPr="000E681F">
        <w:rPr>
          <w:lang w:val="fr-FR"/>
        </w:rPr>
        <w:tab/>
      </w:r>
      <w:r w:rsidRPr="000E681F">
        <w:rPr>
          <w:lang w:val="fr-FR"/>
        </w:rPr>
        <w:tab/>
      </w:r>
      <w:r w:rsidR="008630DB" w:rsidRPr="000E681F">
        <w:rPr>
          <w:lang w:val="fr-FR"/>
        </w:rPr>
        <w:t>Rapport d</w:t>
      </w:r>
      <w:r w:rsidR="009E29C7" w:rsidRPr="000E681F">
        <w:rPr>
          <w:lang w:val="fr-FR"/>
        </w:rPr>
        <w:t>e la</w:t>
      </w:r>
      <w:r w:rsidR="008630DB" w:rsidRPr="000E681F">
        <w:rPr>
          <w:lang w:val="fr-FR"/>
        </w:rPr>
        <w:t xml:space="preserve"> Secrétaire exéc</w:t>
      </w:r>
      <w:r w:rsidR="009E29C7" w:rsidRPr="000E681F">
        <w:rPr>
          <w:lang w:val="fr-FR"/>
        </w:rPr>
        <w:t>utive</w:t>
      </w:r>
    </w:p>
    <w:p w14:paraId="264899E1" w14:textId="77777777" w:rsidR="00855F33" w:rsidRPr="000E681F" w:rsidRDefault="00855F33" w:rsidP="00A86B75">
      <w:pPr>
        <w:pStyle w:val="CH1"/>
        <w:rPr>
          <w:lang w:val="fr-FR"/>
        </w:rPr>
      </w:pPr>
      <w:r w:rsidRPr="000E681F">
        <w:rPr>
          <w:lang w:val="fr-FR"/>
        </w:rPr>
        <w:tab/>
      </w:r>
      <w:r w:rsidRPr="000E681F">
        <w:rPr>
          <w:lang w:val="fr-FR"/>
        </w:rPr>
        <w:tab/>
        <w:t>Introduction</w:t>
      </w:r>
    </w:p>
    <w:p w14:paraId="46A9A893" w14:textId="01757942" w:rsidR="00A07F87" w:rsidRPr="000E681F" w:rsidRDefault="008D3B27" w:rsidP="00A86B75">
      <w:pPr>
        <w:pStyle w:val="Normalnumber"/>
        <w:rPr>
          <w:lang w:val="fr-FR"/>
        </w:rPr>
      </w:pPr>
      <w:r w:rsidRPr="000E681F">
        <w:rPr>
          <w:lang w:val="fr-FR"/>
        </w:rPr>
        <w:t>P</w:t>
      </w:r>
      <w:r w:rsidR="00A07F87" w:rsidRPr="000E681F">
        <w:rPr>
          <w:lang w:val="fr-FR"/>
        </w:rPr>
        <w:t>ar</w:t>
      </w:r>
      <w:r w:rsidR="00D60FEB" w:rsidRPr="000E681F">
        <w:rPr>
          <w:lang w:val="fr-FR"/>
        </w:rPr>
        <w:t xml:space="preserve"> sa</w:t>
      </w:r>
      <w:r w:rsidR="007817A5" w:rsidRPr="000E681F">
        <w:rPr>
          <w:lang w:val="fr-FR"/>
        </w:rPr>
        <w:t xml:space="preserve"> </w:t>
      </w:r>
      <w:r w:rsidR="00A07F87" w:rsidRPr="000E681F">
        <w:rPr>
          <w:lang w:val="fr-FR"/>
        </w:rPr>
        <w:t>dé</w:t>
      </w:r>
      <w:r w:rsidR="00D60FEB" w:rsidRPr="000E681F">
        <w:rPr>
          <w:lang w:val="fr-FR"/>
        </w:rPr>
        <w:t>cision</w:t>
      </w:r>
      <w:r w:rsidR="00A07F87" w:rsidRPr="000E681F">
        <w:rPr>
          <w:lang w:val="fr-FR"/>
        </w:rPr>
        <w:t> </w:t>
      </w:r>
      <w:r w:rsidR="007817A5" w:rsidRPr="000E681F">
        <w:rPr>
          <w:lang w:val="fr-FR"/>
        </w:rPr>
        <w:t xml:space="preserve">IPBES-2/5, </w:t>
      </w:r>
      <w:r w:rsidR="00D60FEB" w:rsidRPr="000E681F">
        <w:rPr>
          <w:lang w:val="fr-FR"/>
        </w:rPr>
        <w:t xml:space="preserve">la </w:t>
      </w:r>
      <w:r w:rsidR="009E29C7" w:rsidRPr="000E681F">
        <w:rPr>
          <w:lang w:val="fr-FR"/>
        </w:rPr>
        <w:t>Plénière de la Plateforme inter</w:t>
      </w:r>
      <w:r w:rsidR="005E7BA5">
        <w:rPr>
          <w:lang w:val="fr-FR"/>
        </w:rPr>
        <w:t>gouvernementale scientifique et </w:t>
      </w:r>
      <w:r w:rsidR="009E29C7" w:rsidRPr="000E681F">
        <w:rPr>
          <w:lang w:val="fr-FR"/>
        </w:rPr>
        <w:t>politique sur la biodiversité et les services écosystémiques</w:t>
      </w:r>
      <w:r w:rsidR="00A07F87" w:rsidRPr="000E681F">
        <w:rPr>
          <w:lang w:val="fr-FR"/>
        </w:rPr>
        <w:t xml:space="preserve"> </w:t>
      </w:r>
      <w:r w:rsidR="009E29C7" w:rsidRPr="000E681F">
        <w:rPr>
          <w:lang w:val="fr-FR"/>
        </w:rPr>
        <w:t>(</w:t>
      </w:r>
      <w:r w:rsidR="00A07F87" w:rsidRPr="000E681F">
        <w:rPr>
          <w:lang w:val="fr-FR"/>
        </w:rPr>
        <w:t xml:space="preserve">ci-après, </w:t>
      </w:r>
      <w:r w:rsidR="009E29C7" w:rsidRPr="000E681F">
        <w:rPr>
          <w:lang w:val="fr-FR"/>
        </w:rPr>
        <w:t>la «</w:t>
      </w:r>
      <w:r w:rsidRPr="000E681F">
        <w:rPr>
          <w:lang w:val="fr-FR"/>
        </w:rPr>
        <w:t> Plateforme </w:t>
      </w:r>
      <w:r w:rsidR="009E29C7" w:rsidRPr="000E681F">
        <w:rPr>
          <w:lang w:val="fr-FR"/>
        </w:rPr>
        <w:t>»)</w:t>
      </w:r>
      <w:r w:rsidR="00A07F87" w:rsidRPr="000E681F">
        <w:rPr>
          <w:lang w:val="fr-FR"/>
        </w:rPr>
        <w:t xml:space="preserve"> a</w:t>
      </w:r>
      <w:r w:rsidR="004A64E7" w:rsidRPr="000E681F">
        <w:rPr>
          <w:lang w:val="fr-FR"/>
        </w:rPr>
        <w:t xml:space="preserve"> adopté</w:t>
      </w:r>
      <w:r w:rsidR="005E7BA5">
        <w:rPr>
          <w:lang w:val="fr-FR"/>
        </w:rPr>
        <w:t xml:space="preserve"> un </w:t>
      </w:r>
      <w:r w:rsidRPr="000E681F">
        <w:rPr>
          <w:lang w:val="fr-FR"/>
        </w:rPr>
        <w:t xml:space="preserve">premier </w:t>
      </w:r>
      <w:r w:rsidR="00A07F87" w:rsidRPr="000E681F">
        <w:rPr>
          <w:lang w:val="fr-FR"/>
        </w:rPr>
        <w:t xml:space="preserve">programme de travail ambitieux </w:t>
      </w:r>
      <w:r w:rsidR="005334B1" w:rsidRPr="000E681F">
        <w:rPr>
          <w:lang w:val="fr-FR"/>
        </w:rPr>
        <w:t>définiss</w:t>
      </w:r>
      <w:r w:rsidR="00A07F87" w:rsidRPr="000E681F">
        <w:rPr>
          <w:lang w:val="fr-FR"/>
        </w:rPr>
        <w:t xml:space="preserve">ant </w:t>
      </w:r>
      <w:r w:rsidR="005334B1" w:rsidRPr="000E681F">
        <w:rPr>
          <w:lang w:val="fr-FR"/>
        </w:rPr>
        <w:t>une série de produits livr</w:t>
      </w:r>
      <w:r w:rsidR="00D955B0">
        <w:rPr>
          <w:lang w:val="fr-FR"/>
        </w:rPr>
        <w:t>ables</w:t>
      </w:r>
      <w:r w:rsidR="005334B1" w:rsidRPr="000E681F">
        <w:rPr>
          <w:lang w:val="fr-FR"/>
        </w:rPr>
        <w:t xml:space="preserve"> </w:t>
      </w:r>
      <w:r w:rsidR="00A07F87" w:rsidRPr="000E681F">
        <w:rPr>
          <w:lang w:val="fr-FR"/>
        </w:rPr>
        <w:t>pour la</w:t>
      </w:r>
      <w:r w:rsidR="00AE5186">
        <w:rPr>
          <w:lang w:val="fr-FR"/>
        </w:rPr>
        <w:t xml:space="preserve"> période </w:t>
      </w:r>
      <w:r w:rsidR="005334B1" w:rsidRPr="000E681F">
        <w:rPr>
          <w:lang w:val="fr-FR"/>
        </w:rPr>
        <w:t>2014</w:t>
      </w:r>
      <w:r w:rsidR="005334B1" w:rsidRPr="000E681F">
        <w:rPr>
          <w:lang w:val="fr-FR"/>
        </w:rPr>
        <w:noBreakHyphen/>
      </w:r>
      <w:r w:rsidR="00A07F87" w:rsidRPr="000E681F">
        <w:rPr>
          <w:lang w:val="fr-FR"/>
        </w:rPr>
        <w:t>2018, étant entendu que les activités</w:t>
      </w:r>
      <w:r w:rsidR="004A64E7" w:rsidRPr="000E681F">
        <w:rPr>
          <w:lang w:val="fr-FR"/>
        </w:rPr>
        <w:t xml:space="preserve"> correspondant aux différents produits</w:t>
      </w:r>
      <w:r w:rsidR="00EE0E63" w:rsidRPr="000E681F">
        <w:rPr>
          <w:lang w:val="fr-FR"/>
        </w:rPr>
        <w:t xml:space="preserve"> </w:t>
      </w:r>
      <w:r w:rsidR="004A64E7" w:rsidRPr="000E681F">
        <w:rPr>
          <w:lang w:val="fr-FR"/>
        </w:rPr>
        <w:t xml:space="preserve">seraient </w:t>
      </w:r>
      <w:r w:rsidR="00EE0E63" w:rsidRPr="000E681F">
        <w:rPr>
          <w:lang w:val="fr-FR"/>
        </w:rPr>
        <w:t>engagé</w:t>
      </w:r>
      <w:r w:rsidR="00C573A9" w:rsidRPr="000E681F">
        <w:rPr>
          <w:lang w:val="fr-FR"/>
        </w:rPr>
        <w:t>e</w:t>
      </w:r>
      <w:r w:rsidR="00EE0E63" w:rsidRPr="000E681F">
        <w:rPr>
          <w:lang w:val="fr-FR"/>
        </w:rPr>
        <w:t>s</w:t>
      </w:r>
      <w:r w:rsidR="004A64E7" w:rsidRPr="000E681F">
        <w:rPr>
          <w:lang w:val="fr-FR"/>
        </w:rPr>
        <w:t xml:space="preserve"> sur décision </w:t>
      </w:r>
      <w:r w:rsidR="00A07F87" w:rsidRPr="000E681F">
        <w:rPr>
          <w:lang w:val="fr-FR"/>
        </w:rPr>
        <w:t>de la Plénière, conformément aux procédures d</w:t>
      </w:r>
      <w:r w:rsidR="00CB6448" w:rsidRPr="000E681F">
        <w:rPr>
          <w:lang w:val="fr-FR"/>
        </w:rPr>
        <w:t>’</w:t>
      </w:r>
      <w:r w:rsidR="00A07F87" w:rsidRPr="000E681F">
        <w:rPr>
          <w:lang w:val="fr-FR"/>
        </w:rPr>
        <w:t xml:space="preserve">établissement </w:t>
      </w:r>
      <w:r w:rsidR="00EE0E63" w:rsidRPr="000E681F">
        <w:rPr>
          <w:lang w:val="fr-FR"/>
        </w:rPr>
        <w:t xml:space="preserve">des </w:t>
      </w:r>
      <w:r w:rsidR="00A07F87" w:rsidRPr="000E681F">
        <w:rPr>
          <w:lang w:val="fr-FR"/>
        </w:rPr>
        <w:t xml:space="preserve">produits </w:t>
      </w:r>
      <w:r w:rsidR="00B03ED9" w:rsidRPr="000E681F">
        <w:rPr>
          <w:lang w:val="fr-FR"/>
        </w:rPr>
        <w:t>(décision </w:t>
      </w:r>
      <w:r w:rsidR="00E67B17" w:rsidRPr="000E681F">
        <w:rPr>
          <w:lang w:val="fr-FR"/>
        </w:rPr>
        <w:t>IPBES-3/3, annexe </w:t>
      </w:r>
      <w:r w:rsidR="00A07F87" w:rsidRPr="000E681F">
        <w:rPr>
          <w:lang w:val="fr-FR"/>
        </w:rPr>
        <w:t>I).</w:t>
      </w:r>
      <w:r w:rsidR="00DF5190">
        <w:rPr>
          <w:lang w:val="fr-FR"/>
        </w:rPr>
        <w:t xml:space="preserve"> </w:t>
      </w:r>
    </w:p>
    <w:p w14:paraId="4F652E78" w14:textId="68438743" w:rsidR="003B25BA" w:rsidRPr="000E681F" w:rsidRDefault="001B3EA5" w:rsidP="00A86B75">
      <w:pPr>
        <w:pStyle w:val="Normalnumber"/>
        <w:rPr>
          <w:lang w:val="fr-FR"/>
        </w:rPr>
      </w:pPr>
      <w:r w:rsidRPr="000E681F">
        <w:rPr>
          <w:lang w:val="fr-FR"/>
        </w:rPr>
        <w:t>Dans</w:t>
      </w:r>
      <w:r w:rsidR="003B25BA" w:rsidRPr="000E681F">
        <w:rPr>
          <w:lang w:val="fr-FR"/>
        </w:rPr>
        <w:t xml:space="preserve"> ses dé</w:t>
      </w:r>
      <w:r w:rsidR="00855F33" w:rsidRPr="000E681F">
        <w:rPr>
          <w:lang w:val="fr-FR"/>
        </w:rPr>
        <w:t>c</w:t>
      </w:r>
      <w:r w:rsidRPr="000E681F">
        <w:rPr>
          <w:lang w:val="fr-FR"/>
        </w:rPr>
        <w:t>isions </w:t>
      </w:r>
      <w:r w:rsidR="00886752" w:rsidRPr="000E681F">
        <w:rPr>
          <w:lang w:val="fr-FR"/>
        </w:rPr>
        <w:t xml:space="preserve">IPBES-3/1, IPBES-4/1, </w:t>
      </w:r>
      <w:r w:rsidR="00855F33" w:rsidRPr="000E681F">
        <w:rPr>
          <w:lang w:val="fr-FR"/>
        </w:rPr>
        <w:t>IPBES-5/1</w:t>
      </w:r>
      <w:r w:rsidR="006744B2" w:rsidRPr="000E681F">
        <w:rPr>
          <w:lang w:val="fr-FR"/>
        </w:rPr>
        <w:t xml:space="preserve"> </w:t>
      </w:r>
      <w:r w:rsidR="003B25BA" w:rsidRPr="000E681F">
        <w:rPr>
          <w:lang w:val="fr-FR"/>
        </w:rPr>
        <w:t>et</w:t>
      </w:r>
      <w:r w:rsidR="006744B2" w:rsidRPr="000E681F">
        <w:rPr>
          <w:lang w:val="fr-FR"/>
        </w:rPr>
        <w:t xml:space="preserve"> IPBES-6/1</w:t>
      </w:r>
      <w:r w:rsidR="00855F33" w:rsidRPr="000E681F">
        <w:rPr>
          <w:lang w:val="fr-FR"/>
        </w:rPr>
        <w:t xml:space="preserve">, </w:t>
      </w:r>
      <w:r w:rsidR="003B25BA" w:rsidRPr="000E681F">
        <w:rPr>
          <w:lang w:val="fr-FR"/>
        </w:rPr>
        <w:t xml:space="preserve">la Plénière a </w:t>
      </w:r>
      <w:r w:rsidRPr="000E681F">
        <w:rPr>
          <w:lang w:val="fr-FR"/>
        </w:rPr>
        <w:t>fourni</w:t>
      </w:r>
      <w:r w:rsidR="005E7BA5">
        <w:rPr>
          <w:lang w:val="fr-FR"/>
        </w:rPr>
        <w:t xml:space="preserve"> des </w:t>
      </w:r>
      <w:r w:rsidR="003B25BA" w:rsidRPr="000E681F">
        <w:rPr>
          <w:lang w:val="fr-FR"/>
        </w:rPr>
        <w:t xml:space="preserve">orientations supplémentaires concernant la </w:t>
      </w:r>
      <w:r w:rsidR="00122EE7">
        <w:rPr>
          <w:lang w:val="fr-FR"/>
        </w:rPr>
        <w:t>produc</w:t>
      </w:r>
      <w:r w:rsidR="00153838">
        <w:rPr>
          <w:lang w:val="fr-FR"/>
        </w:rPr>
        <w:t>tion</w:t>
      </w:r>
      <w:r w:rsidRPr="000E681F">
        <w:rPr>
          <w:lang w:val="fr-FR"/>
        </w:rPr>
        <w:t xml:space="preserve"> </w:t>
      </w:r>
      <w:r w:rsidR="003B25BA" w:rsidRPr="000E681F">
        <w:rPr>
          <w:lang w:val="fr-FR"/>
        </w:rPr>
        <w:t xml:space="preserve">de tous les </w:t>
      </w:r>
      <w:r w:rsidR="00122EE7">
        <w:rPr>
          <w:lang w:val="fr-FR"/>
        </w:rPr>
        <w:t>résultats attendus</w:t>
      </w:r>
      <w:r w:rsidR="003B25BA" w:rsidRPr="000E681F">
        <w:rPr>
          <w:lang w:val="fr-FR"/>
        </w:rPr>
        <w:t xml:space="preserve">. </w:t>
      </w:r>
      <w:r w:rsidR="005E7BA5">
        <w:rPr>
          <w:lang w:val="fr-FR"/>
        </w:rPr>
        <w:t>Par sa </w:t>
      </w:r>
      <w:r w:rsidRPr="000E681F">
        <w:rPr>
          <w:lang w:val="fr-FR"/>
        </w:rPr>
        <w:t>décision </w:t>
      </w:r>
      <w:r w:rsidR="003B25BA" w:rsidRPr="000E681F">
        <w:rPr>
          <w:lang w:val="fr-FR"/>
        </w:rPr>
        <w:t xml:space="preserve">IPBES-4/1, </w:t>
      </w:r>
      <w:r w:rsidR="00153838">
        <w:rPr>
          <w:lang w:val="fr-FR"/>
        </w:rPr>
        <w:t>elle</w:t>
      </w:r>
      <w:r w:rsidR="003B25BA" w:rsidRPr="000E681F">
        <w:rPr>
          <w:lang w:val="fr-FR"/>
        </w:rPr>
        <w:t xml:space="preserve"> a approuvé </w:t>
      </w:r>
      <w:r w:rsidRPr="000E681F">
        <w:rPr>
          <w:lang w:val="fr-FR"/>
        </w:rPr>
        <w:t>la réalisation d</w:t>
      </w:r>
      <w:r w:rsidR="00CB6448" w:rsidRPr="000E681F">
        <w:rPr>
          <w:lang w:val="fr-FR"/>
        </w:rPr>
        <w:t>’</w:t>
      </w:r>
      <w:r w:rsidR="003B25BA" w:rsidRPr="000E681F">
        <w:rPr>
          <w:lang w:val="fr-FR"/>
        </w:rPr>
        <w:t xml:space="preserve">une évaluation mondiale de la biodiversité et des services écosystémiques, pour examen à </w:t>
      </w:r>
      <w:r w:rsidR="005A60F5" w:rsidRPr="000E681F">
        <w:rPr>
          <w:lang w:val="fr-FR"/>
        </w:rPr>
        <w:t>sa</w:t>
      </w:r>
      <w:r w:rsidR="003B25BA" w:rsidRPr="000E681F">
        <w:rPr>
          <w:lang w:val="fr-FR"/>
        </w:rPr>
        <w:t xml:space="preserve"> septième session.</w:t>
      </w:r>
    </w:p>
    <w:p w14:paraId="363BEC92" w14:textId="613CB04E" w:rsidR="00855F33" w:rsidRPr="000E681F" w:rsidRDefault="005A60F5" w:rsidP="00A86B75">
      <w:pPr>
        <w:pStyle w:val="Normalnumber"/>
        <w:rPr>
          <w:lang w:val="fr-FR"/>
        </w:rPr>
      </w:pPr>
      <w:r w:rsidRPr="000E681F">
        <w:rPr>
          <w:lang w:val="fr-FR"/>
        </w:rPr>
        <w:t xml:space="preserve">Le présent rapport a été établi par </w:t>
      </w:r>
      <w:r w:rsidR="00F659E0" w:rsidRPr="000E681F">
        <w:rPr>
          <w:lang w:val="fr-FR"/>
        </w:rPr>
        <w:t>la Secrétaire exécutive</w:t>
      </w:r>
      <w:r w:rsidRPr="000E681F">
        <w:rPr>
          <w:lang w:val="fr-FR"/>
        </w:rPr>
        <w:t>, en consultation avec le Bureau et le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experts multidisciplinaire, pour faciliter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examen des progrès </w:t>
      </w:r>
      <w:r w:rsidR="00705074" w:rsidRPr="000E681F">
        <w:rPr>
          <w:lang w:val="fr-FR"/>
        </w:rPr>
        <w:t>accomplis</w:t>
      </w:r>
      <w:r w:rsidRPr="000E681F">
        <w:rPr>
          <w:lang w:val="fr-FR"/>
        </w:rPr>
        <w:t xml:space="preserve"> dans la mise en œuvre du programme de travail. </w:t>
      </w:r>
      <w:r w:rsidR="00C60DBA" w:rsidRPr="000E681F">
        <w:rPr>
          <w:lang w:val="fr-FR"/>
        </w:rPr>
        <w:t>Aux fins de ce</w:t>
      </w:r>
      <w:r w:rsidRPr="000E681F">
        <w:rPr>
          <w:lang w:val="fr-FR"/>
        </w:rPr>
        <w:t xml:space="preserve">t examen, </w:t>
      </w:r>
      <w:r w:rsidR="00705074" w:rsidRPr="000E681F">
        <w:rPr>
          <w:lang w:val="fr-FR"/>
        </w:rPr>
        <w:t>le rapport</w:t>
      </w:r>
      <w:r w:rsidRPr="000E681F">
        <w:rPr>
          <w:lang w:val="fr-FR"/>
        </w:rPr>
        <w:t xml:space="preserve"> fournit des informations sur les points suivants </w:t>
      </w:r>
      <w:r w:rsidR="00855F33" w:rsidRPr="000E681F">
        <w:rPr>
          <w:lang w:val="fr-FR"/>
        </w:rPr>
        <w:t>:</w:t>
      </w:r>
    </w:p>
    <w:p w14:paraId="33EF7C0D" w14:textId="76170CA8" w:rsidR="00855F33" w:rsidRPr="00EC5E19" w:rsidRDefault="005A60F5" w:rsidP="00554EB9">
      <w:pPr>
        <w:pStyle w:val="Normalnumber"/>
        <w:numPr>
          <w:ilvl w:val="1"/>
          <w:numId w:val="4"/>
        </w:numPr>
        <w:rPr>
          <w:lang w:val="fr-FR"/>
        </w:rPr>
      </w:pPr>
      <w:r w:rsidRPr="00EC5E19">
        <w:rPr>
          <w:lang w:val="fr-FR"/>
        </w:rPr>
        <w:t xml:space="preserve">Les progrès accomplis en 2018 dans la réalisation des produits inscrits au programme de travail </w:t>
      </w:r>
      <w:r w:rsidR="00705074" w:rsidRPr="00EC5E19">
        <w:rPr>
          <w:lang w:val="fr-FR"/>
        </w:rPr>
        <w:t>pour</w:t>
      </w:r>
      <w:r w:rsidRPr="00EC5E19">
        <w:rPr>
          <w:lang w:val="fr-FR"/>
        </w:rPr>
        <w:t xml:space="preserve"> la période 2014</w:t>
      </w:r>
      <w:r w:rsidR="005E7BA5" w:rsidRPr="000E681F">
        <w:rPr>
          <w:lang w:val="fr-FR"/>
        </w:rPr>
        <w:noBreakHyphen/>
      </w:r>
      <w:r w:rsidRPr="00EC5E19">
        <w:rPr>
          <w:lang w:val="fr-FR"/>
        </w:rPr>
        <w:t>2018</w:t>
      </w:r>
      <w:r w:rsidR="000F2038" w:rsidRPr="00EC5E19">
        <w:rPr>
          <w:lang w:val="fr-FR"/>
        </w:rPr>
        <w:t>, initiée</w:t>
      </w:r>
      <w:r w:rsidR="00D248C1" w:rsidRPr="00EC5E19">
        <w:rPr>
          <w:lang w:val="fr-FR"/>
        </w:rPr>
        <w:t xml:space="preserve"> par les</w:t>
      </w:r>
      <w:r w:rsidRPr="00EC5E19">
        <w:rPr>
          <w:lang w:val="fr-FR"/>
        </w:rPr>
        <w:t xml:space="preserve"> décisions</w:t>
      </w:r>
      <w:r w:rsidR="00D248C1" w:rsidRPr="00EC5E19">
        <w:rPr>
          <w:lang w:val="fr-FR"/>
        </w:rPr>
        <w:t> </w:t>
      </w:r>
      <w:r w:rsidR="000F2038" w:rsidRPr="00EC5E19">
        <w:rPr>
          <w:lang w:val="fr-FR"/>
        </w:rPr>
        <w:t>IPBES-2/5, IPBES-3/1,</w:t>
      </w:r>
      <w:r w:rsidR="00EC5E19" w:rsidRPr="00EC5E19">
        <w:rPr>
          <w:lang w:val="fr-FR"/>
        </w:rPr>
        <w:t xml:space="preserve"> </w:t>
      </w:r>
      <w:r w:rsidR="00855F33" w:rsidRPr="00EC5E19">
        <w:rPr>
          <w:lang w:val="fr-FR"/>
        </w:rPr>
        <w:t>IPBES-4/1</w:t>
      </w:r>
      <w:r w:rsidR="002255A8" w:rsidRPr="00EC5E19">
        <w:rPr>
          <w:lang w:val="fr-FR"/>
        </w:rPr>
        <w:t>,</w:t>
      </w:r>
      <w:r w:rsidR="00855F33" w:rsidRPr="00EC5E19">
        <w:rPr>
          <w:lang w:val="fr-FR"/>
        </w:rPr>
        <w:t xml:space="preserve"> </w:t>
      </w:r>
      <w:r w:rsidR="00EC5E19">
        <w:rPr>
          <w:lang w:val="fr-FR"/>
        </w:rPr>
        <w:br/>
      </w:r>
      <w:r w:rsidR="00855F33" w:rsidRPr="00EC5E19">
        <w:rPr>
          <w:lang w:val="fr-FR"/>
        </w:rPr>
        <w:t>IPBES-5/1</w:t>
      </w:r>
      <w:r w:rsidRPr="00EC5E19">
        <w:rPr>
          <w:lang w:val="fr-FR"/>
        </w:rPr>
        <w:t xml:space="preserve"> et</w:t>
      </w:r>
      <w:r w:rsidR="00154CA8" w:rsidRPr="00EC5E19">
        <w:rPr>
          <w:lang w:val="fr-FR"/>
        </w:rPr>
        <w:t xml:space="preserve"> IPBES-6/1</w:t>
      </w:r>
      <w:r w:rsidRPr="00EC5E19">
        <w:rPr>
          <w:lang w:val="fr-FR"/>
        </w:rPr>
        <w:t> </w:t>
      </w:r>
      <w:r w:rsidR="00855F33" w:rsidRPr="00EC5E19">
        <w:rPr>
          <w:lang w:val="fr-FR"/>
        </w:rPr>
        <w:t>;</w:t>
      </w:r>
    </w:p>
    <w:p w14:paraId="0576BE7E" w14:textId="63B02B68" w:rsidR="00855F33" w:rsidRPr="000E681F" w:rsidRDefault="004A64E7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Le recrutement de fonctionnaires au secrétariat en 2018</w:t>
      </w:r>
      <w:r w:rsidR="00855F33" w:rsidRPr="000E681F">
        <w:rPr>
          <w:lang w:val="fr-FR"/>
        </w:rPr>
        <w:t>.</w:t>
      </w:r>
    </w:p>
    <w:p w14:paraId="37768AFE" w14:textId="2172923E" w:rsidR="00855F33" w:rsidRPr="000E681F" w:rsidRDefault="00855F33" w:rsidP="00A86B75">
      <w:pPr>
        <w:pStyle w:val="CH1"/>
        <w:rPr>
          <w:lang w:val="fr-FR"/>
        </w:rPr>
      </w:pPr>
      <w:r w:rsidRPr="000E681F">
        <w:rPr>
          <w:lang w:val="fr-FR"/>
        </w:rPr>
        <w:tab/>
        <w:t>I.</w:t>
      </w:r>
      <w:r w:rsidRPr="000E681F">
        <w:rPr>
          <w:lang w:val="fr-FR"/>
        </w:rPr>
        <w:tab/>
      </w:r>
      <w:r w:rsidR="00747D92" w:rsidRPr="000E681F">
        <w:rPr>
          <w:lang w:val="fr-FR"/>
        </w:rPr>
        <w:t>Progrès accomplis dans l</w:t>
      </w:r>
      <w:r w:rsidR="00CB6448" w:rsidRPr="000E681F">
        <w:rPr>
          <w:lang w:val="fr-FR"/>
        </w:rPr>
        <w:t>’</w:t>
      </w:r>
      <w:r w:rsidR="00747D92" w:rsidRPr="000E681F">
        <w:rPr>
          <w:lang w:val="fr-FR"/>
        </w:rPr>
        <w:t>applica</w:t>
      </w:r>
      <w:r w:rsidR="00F41BE1">
        <w:rPr>
          <w:lang w:val="fr-FR"/>
        </w:rPr>
        <w:t>tion des décisions relatives au </w:t>
      </w:r>
      <w:r w:rsidR="00747D92" w:rsidRPr="000E681F">
        <w:rPr>
          <w:lang w:val="fr-FR"/>
        </w:rPr>
        <w:t>premier p</w:t>
      </w:r>
      <w:r w:rsidR="00E84442" w:rsidRPr="000E681F">
        <w:rPr>
          <w:lang w:val="fr-FR"/>
        </w:rPr>
        <w:t>rogramme de travail</w:t>
      </w:r>
    </w:p>
    <w:p w14:paraId="77B46851" w14:textId="134BBDE8" w:rsidR="004A48A0" w:rsidRPr="000E681F" w:rsidRDefault="004D0ACE" w:rsidP="00A86B75">
      <w:pPr>
        <w:pStyle w:val="Normalnumber"/>
        <w:rPr>
          <w:lang w:val="fr-FR"/>
        </w:rPr>
      </w:pPr>
      <w:bookmarkStart w:id="1" w:name="_Hlk499034317"/>
      <w:bookmarkStart w:id="2" w:name="_Hlk498357772"/>
      <w:r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 mondiale de la biodiversité et des services écosystémiques mar</w:t>
      </w:r>
      <w:r w:rsidR="00E933A0" w:rsidRPr="000E681F">
        <w:rPr>
          <w:lang w:val="fr-FR"/>
        </w:rPr>
        <w:t xml:space="preserve">quera </w:t>
      </w:r>
      <w:r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aboutissement du premier programme de travail de la Plateforme. Ce produit </w:t>
      </w:r>
      <w:r w:rsidR="004767D9">
        <w:rPr>
          <w:lang w:val="fr-FR"/>
        </w:rPr>
        <w:t>phare</w:t>
      </w:r>
      <w:r w:rsidRPr="000E681F">
        <w:rPr>
          <w:lang w:val="fr-FR"/>
        </w:rPr>
        <w:t xml:space="preserve"> </w:t>
      </w:r>
      <w:r w:rsidR="004767D9">
        <w:rPr>
          <w:lang w:val="fr-FR"/>
        </w:rPr>
        <w:t xml:space="preserve">qui a occupé </w:t>
      </w:r>
      <w:r w:rsidRPr="000E681F">
        <w:rPr>
          <w:lang w:val="fr-FR"/>
        </w:rPr>
        <w:t>quelque 400 experts</w:t>
      </w:r>
      <w:r w:rsidRPr="000E681F">
        <w:rPr>
          <w:vertAlign w:val="superscript"/>
          <w:lang w:val="fr-FR"/>
        </w:rPr>
        <w:footnoteReference w:id="2"/>
      </w:r>
      <w:r w:rsidR="004767D9" w:rsidRPr="004767D9">
        <w:rPr>
          <w:rFonts w:ascii="Calibri" w:eastAsia="MS Mincho" w:hAnsi="Calibri"/>
          <w:sz w:val="22"/>
          <w:szCs w:val="22"/>
          <w:lang w:val="fr-FR"/>
        </w:rPr>
        <w:t xml:space="preserve"> </w:t>
      </w:r>
      <w:r w:rsidR="004767D9" w:rsidRPr="004767D9">
        <w:rPr>
          <w:lang w:val="fr-FR"/>
        </w:rPr>
        <w:t>pendant trois ans</w:t>
      </w:r>
      <w:r w:rsidRPr="000E681F">
        <w:rPr>
          <w:lang w:val="fr-FR"/>
        </w:rPr>
        <w:t xml:space="preserve"> ser</w:t>
      </w:r>
      <w:r w:rsidR="003E7106">
        <w:rPr>
          <w:lang w:val="fr-FR"/>
        </w:rPr>
        <w:t>a</w:t>
      </w:r>
      <w:r w:rsidR="004767D9">
        <w:rPr>
          <w:lang w:val="fr-FR"/>
        </w:rPr>
        <w:t>,</w:t>
      </w:r>
      <w:r w:rsidRPr="000E681F">
        <w:rPr>
          <w:lang w:val="fr-FR"/>
        </w:rPr>
        <w:t xml:space="preserve"> </w:t>
      </w:r>
      <w:r w:rsidR="004767D9" w:rsidRPr="004767D9">
        <w:rPr>
          <w:lang w:val="fr-FR"/>
        </w:rPr>
        <w:t xml:space="preserve">avec les quatre évaluations régionales de la biodiversité et </w:t>
      </w:r>
      <w:r w:rsidR="004767D9" w:rsidRPr="004767D9">
        <w:rPr>
          <w:lang w:val="fr-FR"/>
        </w:rPr>
        <w:lastRenderedPageBreak/>
        <w:t>des services écosystémiques et l’évaluation de la dégradation et de la restauration des terres</w:t>
      </w:r>
      <w:r w:rsidR="004767D9">
        <w:rPr>
          <w:lang w:val="fr-FR"/>
        </w:rPr>
        <w:t>,</w:t>
      </w:r>
      <w:r w:rsidR="004767D9" w:rsidRPr="004767D9">
        <w:rPr>
          <w:lang w:val="fr-FR"/>
        </w:rPr>
        <w:t xml:space="preserve"> </w:t>
      </w:r>
      <w:r w:rsidR="007718FC">
        <w:rPr>
          <w:lang w:val="fr-FR"/>
        </w:rPr>
        <w:t>un des points de départ de</w:t>
      </w:r>
      <w:r w:rsidRPr="000E681F">
        <w:rPr>
          <w:lang w:val="fr-FR"/>
        </w:rPr>
        <w:t xml:space="preserve"> </w:t>
      </w:r>
      <w:r w:rsidR="00E933A0"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="00E933A0" w:rsidRPr="000E681F">
        <w:rPr>
          <w:lang w:val="fr-FR"/>
        </w:rPr>
        <w:t>examen</w:t>
      </w:r>
      <w:r w:rsidRPr="000E681F">
        <w:rPr>
          <w:lang w:val="fr-FR"/>
        </w:rPr>
        <w:t xml:space="preserve"> du cadre mon</w:t>
      </w:r>
      <w:r w:rsidR="00E933A0" w:rsidRPr="000E681F">
        <w:rPr>
          <w:lang w:val="fr-FR"/>
        </w:rPr>
        <w:t xml:space="preserve">dial pour la biodiversité </w:t>
      </w:r>
      <w:r w:rsidR="007718FC">
        <w:rPr>
          <w:lang w:val="fr-FR"/>
        </w:rPr>
        <w:t>pour l’</w:t>
      </w:r>
      <w:r w:rsidR="00E933A0" w:rsidRPr="000E681F">
        <w:rPr>
          <w:lang w:val="fr-FR"/>
        </w:rPr>
        <w:t>après </w:t>
      </w:r>
      <w:r w:rsidRPr="000E681F">
        <w:rPr>
          <w:lang w:val="fr-FR"/>
        </w:rPr>
        <w:t>2020 dans le contexte</w:t>
      </w:r>
      <w:r w:rsidR="00E933A0" w:rsidRPr="000E681F">
        <w:rPr>
          <w:lang w:val="fr-FR"/>
        </w:rPr>
        <w:t xml:space="preserve"> plus large</w:t>
      </w:r>
      <w:r w:rsidRPr="000E681F">
        <w:rPr>
          <w:lang w:val="fr-FR"/>
        </w:rPr>
        <w:t xml:space="preserve"> du Programme de développement durable à l</w:t>
      </w:r>
      <w:r w:rsidR="00CB6448" w:rsidRPr="000E681F">
        <w:rPr>
          <w:lang w:val="fr-FR"/>
        </w:rPr>
        <w:t>’</w:t>
      </w:r>
      <w:r w:rsidR="00301325" w:rsidRPr="000E681F">
        <w:rPr>
          <w:lang w:val="fr-FR"/>
        </w:rPr>
        <w:t>horizon </w:t>
      </w:r>
      <w:r w:rsidRPr="000E681F">
        <w:rPr>
          <w:lang w:val="fr-FR"/>
        </w:rPr>
        <w:t>2030</w:t>
      </w:r>
      <w:r w:rsidR="00E933A0" w:rsidRPr="000E681F">
        <w:rPr>
          <w:lang w:val="fr-FR"/>
        </w:rPr>
        <w:t>, conjointement</w:t>
      </w:r>
      <w:r w:rsidR="00491D1C" w:rsidRPr="000E681F">
        <w:rPr>
          <w:lang w:val="fr-FR"/>
        </w:rPr>
        <w:t>.</w:t>
      </w:r>
    </w:p>
    <w:p w14:paraId="40079266" w14:textId="30C061C4" w:rsidR="000D5467" w:rsidRPr="000E681F" w:rsidRDefault="00FD68FE" w:rsidP="00A86B75">
      <w:pPr>
        <w:pStyle w:val="Normalnumber"/>
        <w:rPr>
          <w:lang w:val="fr-FR"/>
        </w:rPr>
      </w:pPr>
      <w:r w:rsidRPr="000E681F">
        <w:rPr>
          <w:lang w:val="fr-FR"/>
        </w:rPr>
        <w:t>En seulement cinq </w:t>
      </w:r>
      <w:r w:rsidR="000D5467" w:rsidRPr="000E681F">
        <w:rPr>
          <w:lang w:val="fr-FR"/>
        </w:rPr>
        <w:t>ans, la Plateforme est parvenue à s</w:t>
      </w:r>
      <w:r w:rsidR="00CB6448" w:rsidRPr="000E681F">
        <w:rPr>
          <w:lang w:val="fr-FR"/>
        </w:rPr>
        <w:t>’</w:t>
      </w:r>
      <w:r w:rsidR="000D5467" w:rsidRPr="000E681F">
        <w:rPr>
          <w:lang w:val="fr-FR"/>
        </w:rPr>
        <w:t>imposer</w:t>
      </w:r>
      <w:r w:rsidRPr="000E681F">
        <w:rPr>
          <w:lang w:val="fr-FR"/>
        </w:rPr>
        <w:t xml:space="preserve"> comme</w:t>
      </w:r>
      <w:r w:rsidR="000D5467" w:rsidRPr="000E681F">
        <w:rPr>
          <w:lang w:val="fr-FR"/>
        </w:rPr>
        <w:t xml:space="preserve"> source majeure </w:t>
      </w:r>
      <w:r w:rsidRPr="000E681F">
        <w:rPr>
          <w:lang w:val="fr-FR"/>
        </w:rPr>
        <w:t xml:space="preserve">de connaissances crédibles </w:t>
      </w:r>
      <w:r w:rsidR="007718FC">
        <w:rPr>
          <w:lang w:val="fr-FR"/>
        </w:rPr>
        <w:t>à l’appui de</w:t>
      </w:r>
      <w:r w:rsidRPr="000E681F">
        <w:rPr>
          <w:lang w:val="fr-FR"/>
        </w:rPr>
        <w:t xml:space="preserve"> la prise de décisions.</w:t>
      </w:r>
      <w:r w:rsidR="00E126B8" w:rsidRPr="000E681F">
        <w:rPr>
          <w:lang w:val="fr-FR"/>
        </w:rPr>
        <w:t xml:space="preserve"> Les évaluations régionales et l</w:t>
      </w:r>
      <w:r w:rsidR="00CB6448" w:rsidRPr="000E681F">
        <w:rPr>
          <w:lang w:val="fr-FR"/>
        </w:rPr>
        <w:t>’</w:t>
      </w:r>
      <w:r w:rsidR="00E126B8" w:rsidRPr="000E681F">
        <w:rPr>
          <w:lang w:val="fr-FR"/>
        </w:rPr>
        <w:t>évaluation de la dégradation et de la restauration des terres, ainsi que l</w:t>
      </w:r>
      <w:r w:rsidR="00CB6448" w:rsidRPr="000E681F">
        <w:rPr>
          <w:lang w:val="fr-FR"/>
        </w:rPr>
        <w:t>’</w:t>
      </w:r>
      <w:r w:rsidR="00E126B8" w:rsidRPr="000E681F">
        <w:rPr>
          <w:lang w:val="fr-FR"/>
        </w:rPr>
        <w:t>évaluation de la pollinisation et l</w:t>
      </w:r>
      <w:r w:rsidR="00CB6448" w:rsidRPr="000E681F">
        <w:rPr>
          <w:lang w:val="fr-FR"/>
        </w:rPr>
        <w:t>’</w:t>
      </w:r>
      <w:r w:rsidR="00E126B8" w:rsidRPr="000E681F">
        <w:rPr>
          <w:lang w:val="fr-FR"/>
        </w:rPr>
        <w:t xml:space="preserve">évaluation des scénarios et des modèles, réalisées antérieurement, </w:t>
      </w:r>
      <w:r w:rsidR="003B4FF0" w:rsidRPr="000E681F">
        <w:rPr>
          <w:lang w:val="fr-FR"/>
        </w:rPr>
        <w:t xml:space="preserve">ont </w:t>
      </w:r>
      <w:r w:rsidR="00AD0BBC">
        <w:rPr>
          <w:lang w:val="fr-FR"/>
        </w:rPr>
        <w:t>commencé à être utilisées</w:t>
      </w:r>
      <w:r w:rsidR="003B4FF0" w:rsidRPr="000E681F">
        <w:rPr>
          <w:lang w:val="fr-FR"/>
        </w:rPr>
        <w:t xml:space="preserve"> </w:t>
      </w:r>
      <w:r w:rsidR="00AD0BBC">
        <w:rPr>
          <w:lang w:val="fr-FR"/>
        </w:rPr>
        <w:t xml:space="preserve">pour éclairer </w:t>
      </w:r>
      <w:r w:rsidR="005E7BA5">
        <w:rPr>
          <w:lang w:val="fr-FR"/>
        </w:rPr>
        <w:t>la </w:t>
      </w:r>
      <w:r w:rsidR="003B4FF0" w:rsidRPr="000E681F">
        <w:rPr>
          <w:lang w:val="fr-FR"/>
        </w:rPr>
        <w:t>prise de décisions</w:t>
      </w:r>
      <w:r w:rsidR="00E126B8" w:rsidRPr="000E681F">
        <w:rPr>
          <w:lang w:val="fr-FR"/>
        </w:rPr>
        <w:t xml:space="preserve"> </w:t>
      </w:r>
      <w:r w:rsidR="003B4FF0" w:rsidRPr="000E681F">
        <w:rPr>
          <w:lang w:val="fr-FR"/>
        </w:rPr>
        <w:t>dans le cadre de plusieurs accords multilatéraux sur l</w:t>
      </w:r>
      <w:r w:rsidR="00CB6448" w:rsidRPr="000E681F">
        <w:rPr>
          <w:lang w:val="fr-FR"/>
        </w:rPr>
        <w:t>’</w:t>
      </w:r>
      <w:r w:rsidR="003B4FF0" w:rsidRPr="000E681F">
        <w:rPr>
          <w:lang w:val="fr-FR"/>
        </w:rPr>
        <w:t xml:space="preserve">environnement </w:t>
      </w:r>
      <w:r w:rsidR="005E7BA5">
        <w:rPr>
          <w:lang w:val="fr-FR"/>
        </w:rPr>
        <w:t>(voir </w:t>
      </w:r>
      <w:r w:rsidR="00E126B8" w:rsidRPr="000E681F">
        <w:rPr>
          <w:lang w:val="fr-FR"/>
        </w:rPr>
        <w:t>documents IPBES/7/INF/14 et IPBES/7/INF/15), ainsi qu</w:t>
      </w:r>
      <w:r w:rsidR="00CB6448" w:rsidRPr="000E681F">
        <w:rPr>
          <w:lang w:val="fr-FR"/>
        </w:rPr>
        <w:t>’</w:t>
      </w:r>
      <w:r w:rsidR="00E126B8" w:rsidRPr="000E681F">
        <w:rPr>
          <w:lang w:val="fr-FR"/>
        </w:rPr>
        <w:t>aux nive</w:t>
      </w:r>
      <w:r w:rsidR="005E7BA5">
        <w:rPr>
          <w:lang w:val="fr-FR"/>
        </w:rPr>
        <w:t>aux régional et national. Elles </w:t>
      </w:r>
      <w:r w:rsidR="00E126B8" w:rsidRPr="000E681F">
        <w:rPr>
          <w:lang w:val="fr-FR"/>
        </w:rPr>
        <w:t>ont également</w:t>
      </w:r>
      <w:r w:rsidR="003B4FF0" w:rsidRPr="000E681F">
        <w:rPr>
          <w:lang w:val="fr-FR"/>
        </w:rPr>
        <w:t xml:space="preserve"> suscité </w:t>
      </w:r>
      <w:r w:rsidR="00AD0BBC">
        <w:rPr>
          <w:lang w:val="fr-FR"/>
        </w:rPr>
        <w:t xml:space="preserve">un </w:t>
      </w:r>
      <w:r w:rsidR="00314701" w:rsidRPr="000E681F">
        <w:rPr>
          <w:lang w:val="fr-FR"/>
        </w:rPr>
        <w:t>intérêt</w:t>
      </w:r>
      <w:r w:rsidR="003B4FF0" w:rsidRPr="000E681F">
        <w:rPr>
          <w:lang w:val="fr-FR"/>
        </w:rPr>
        <w:t xml:space="preserve"> </w:t>
      </w:r>
      <w:r w:rsidR="00AD0BBC">
        <w:rPr>
          <w:lang w:val="fr-FR"/>
        </w:rPr>
        <w:t>considérable dans l</w:t>
      </w:r>
      <w:r w:rsidR="003B4FF0" w:rsidRPr="000E681F">
        <w:rPr>
          <w:lang w:val="fr-FR"/>
        </w:rPr>
        <w:t>es médias d</w:t>
      </w:r>
      <w:r w:rsidR="00AD0BBC">
        <w:rPr>
          <w:lang w:val="fr-FR"/>
        </w:rPr>
        <w:t>u</w:t>
      </w:r>
      <w:r w:rsidR="003B4FF0" w:rsidRPr="000E681F">
        <w:rPr>
          <w:lang w:val="fr-FR"/>
        </w:rPr>
        <w:t xml:space="preserve"> monde entier</w:t>
      </w:r>
      <w:r w:rsidR="00314701" w:rsidRPr="000E681F">
        <w:rPr>
          <w:lang w:val="fr-FR"/>
        </w:rPr>
        <w:t xml:space="preserve">, </w:t>
      </w:r>
      <w:r w:rsidR="003B4FF0" w:rsidRPr="000E681F">
        <w:rPr>
          <w:lang w:val="fr-FR"/>
        </w:rPr>
        <w:t>port</w:t>
      </w:r>
      <w:r w:rsidR="00314701" w:rsidRPr="000E681F">
        <w:rPr>
          <w:lang w:val="fr-FR"/>
        </w:rPr>
        <w:t>ant l</w:t>
      </w:r>
      <w:r w:rsidR="00CB6448" w:rsidRPr="000E681F">
        <w:rPr>
          <w:lang w:val="fr-FR"/>
        </w:rPr>
        <w:t>’</w:t>
      </w:r>
      <w:r w:rsidR="00314701" w:rsidRPr="000E681F">
        <w:rPr>
          <w:lang w:val="fr-FR"/>
        </w:rPr>
        <w:t xml:space="preserve">importance de ces questions </w:t>
      </w:r>
      <w:r w:rsidR="003B4FF0" w:rsidRPr="000E681F">
        <w:rPr>
          <w:lang w:val="fr-FR"/>
        </w:rPr>
        <w:t>à l</w:t>
      </w:r>
      <w:r w:rsidR="00CB6448" w:rsidRPr="000E681F">
        <w:rPr>
          <w:lang w:val="fr-FR"/>
        </w:rPr>
        <w:t>’</w:t>
      </w:r>
      <w:r w:rsidR="003B4FF0" w:rsidRPr="000E681F">
        <w:rPr>
          <w:lang w:val="fr-FR"/>
        </w:rPr>
        <w:t>attention du</w:t>
      </w:r>
      <w:r w:rsidR="00314701" w:rsidRPr="000E681F">
        <w:rPr>
          <w:lang w:val="fr-FR"/>
        </w:rPr>
        <w:t xml:space="preserve"> </w:t>
      </w:r>
      <w:r w:rsidR="003B4FF0" w:rsidRPr="000E681F">
        <w:rPr>
          <w:lang w:val="fr-FR"/>
        </w:rPr>
        <w:t>grand public</w:t>
      </w:r>
      <w:r w:rsidR="00314701" w:rsidRPr="000E681F">
        <w:rPr>
          <w:lang w:val="fr-FR"/>
        </w:rPr>
        <w:t xml:space="preserve">. </w:t>
      </w:r>
      <w:r w:rsidR="00FB25D2" w:rsidRPr="000E681F">
        <w:rPr>
          <w:lang w:val="fr-FR"/>
        </w:rPr>
        <w:t>S</w:t>
      </w:r>
      <w:r w:rsidR="00314701" w:rsidRPr="000E681F">
        <w:rPr>
          <w:lang w:val="fr-FR"/>
        </w:rPr>
        <w:t>ur une cou</w:t>
      </w:r>
      <w:r w:rsidR="005E7BA5">
        <w:rPr>
          <w:lang w:val="fr-FR"/>
        </w:rPr>
        <w:t>rte période, la Plateforme aura </w:t>
      </w:r>
      <w:r w:rsidR="00FB25D2" w:rsidRPr="000E681F">
        <w:rPr>
          <w:lang w:val="fr-FR"/>
        </w:rPr>
        <w:t>établi</w:t>
      </w:r>
      <w:r w:rsidR="00314701" w:rsidRPr="000E681F">
        <w:rPr>
          <w:lang w:val="fr-FR"/>
        </w:rPr>
        <w:t xml:space="preserve"> huit évaluations et </w:t>
      </w:r>
      <w:r w:rsidR="00F817FD" w:rsidRPr="000E681F">
        <w:rPr>
          <w:lang w:val="fr-FR"/>
        </w:rPr>
        <w:t>frayé de</w:t>
      </w:r>
      <w:r w:rsidR="00314701" w:rsidRPr="000E681F">
        <w:rPr>
          <w:lang w:val="fr-FR"/>
        </w:rPr>
        <w:t xml:space="preserve"> nouvelle</w:t>
      </w:r>
      <w:r w:rsidR="00F817FD" w:rsidRPr="000E681F">
        <w:rPr>
          <w:lang w:val="fr-FR"/>
        </w:rPr>
        <w:t>s</w:t>
      </w:r>
      <w:r w:rsidR="00314701" w:rsidRPr="000E681F">
        <w:rPr>
          <w:lang w:val="fr-FR"/>
        </w:rPr>
        <w:t xml:space="preserve"> voie</w:t>
      </w:r>
      <w:r w:rsidR="00F817FD" w:rsidRPr="000E681F">
        <w:rPr>
          <w:lang w:val="fr-FR"/>
        </w:rPr>
        <w:t>s grâce à ses</w:t>
      </w:r>
      <w:r w:rsidR="00204D83" w:rsidRPr="000E681F">
        <w:rPr>
          <w:lang w:val="fr-FR"/>
        </w:rPr>
        <w:t xml:space="preserve"> travaux novateurs sur les multiples valeurs de la biodiversité, sur les scénarios et les modèles et</w:t>
      </w:r>
      <w:r w:rsidR="005E7BA5">
        <w:rPr>
          <w:lang w:val="fr-FR"/>
        </w:rPr>
        <w:t xml:space="preserve"> sur son approche concernant la </w:t>
      </w:r>
      <w:r w:rsidR="00204D83" w:rsidRPr="000E681F">
        <w:rPr>
          <w:lang w:val="fr-FR"/>
        </w:rPr>
        <w:t>reconnaissance et l</w:t>
      </w:r>
      <w:r w:rsidR="00CB6448" w:rsidRPr="000E681F">
        <w:rPr>
          <w:lang w:val="fr-FR"/>
        </w:rPr>
        <w:t>’</w:t>
      </w:r>
      <w:r w:rsidR="00204D83" w:rsidRPr="000E681F">
        <w:rPr>
          <w:lang w:val="fr-FR"/>
        </w:rPr>
        <w:t>utilisation des savoirs autochtones et locaux, pour ne citer que quelques exemples.</w:t>
      </w:r>
    </w:p>
    <w:p w14:paraId="22B8EB18" w14:textId="2130CE69" w:rsidR="00F30A9B" w:rsidRPr="000E681F" w:rsidRDefault="00042F08" w:rsidP="00A86B75">
      <w:pPr>
        <w:pStyle w:val="Normalnumber"/>
        <w:rPr>
          <w:lang w:val="fr-FR"/>
        </w:rPr>
      </w:pPr>
      <w:r w:rsidRPr="000E681F">
        <w:rPr>
          <w:lang w:val="fr-FR"/>
        </w:rPr>
        <w:t>Durant la mise en œuvre du premier</w:t>
      </w:r>
      <w:r w:rsidR="00301325" w:rsidRPr="000E681F">
        <w:rPr>
          <w:lang w:val="fr-FR"/>
        </w:rPr>
        <w:t> </w:t>
      </w:r>
      <w:r w:rsidRPr="000E681F">
        <w:rPr>
          <w:lang w:val="fr-FR"/>
        </w:rPr>
        <w:t xml:space="preserve">programme de travail, </w:t>
      </w:r>
      <w:r w:rsidR="00F30A9B" w:rsidRPr="000E681F">
        <w:rPr>
          <w:lang w:val="fr-FR"/>
        </w:rPr>
        <w:t xml:space="preserve">la Plateforme a reçu le soutien enthousiaste de </w:t>
      </w:r>
      <w:r w:rsidRPr="000E681F">
        <w:rPr>
          <w:lang w:val="fr-FR"/>
        </w:rPr>
        <w:t>la communauté scientifi</w:t>
      </w:r>
      <w:r w:rsidR="00FA0FF1">
        <w:rPr>
          <w:lang w:val="fr-FR"/>
        </w:rPr>
        <w:t xml:space="preserve">que et </w:t>
      </w:r>
      <w:r w:rsidRPr="000E681F">
        <w:rPr>
          <w:lang w:val="fr-FR"/>
        </w:rPr>
        <w:t xml:space="preserve">politique </w:t>
      </w:r>
      <w:r w:rsidR="00FA0FF1">
        <w:rPr>
          <w:lang w:val="fr-FR"/>
        </w:rPr>
        <w:t xml:space="preserve">s’intéressant à </w:t>
      </w:r>
      <w:r w:rsidRPr="000E681F">
        <w:rPr>
          <w:lang w:val="fr-FR"/>
        </w:rPr>
        <w:t>la biodiversité</w:t>
      </w:r>
      <w:r w:rsidR="00F30A9B" w:rsidRPr="000E681F">
        <w:rPr>
          <w:lang w:val="fr-FR"/>
        </w:rPr>
        <w:t>, qu</w:t>
      </w:r>
      <w:r w:rsidR="00CB6448" w:rsidRPr="000E681F">
        <w:rPr>
          <w:lang w:val="fr-FR"/>
        </w:rPr>
        <w:t>’</w:t>
      </w:r>
      <w:r w:rsidR="00F30A9B" w:rsidRPr="000E681F">
        <w:rPr>
          <w:lang w:val="fr-FR"/>
        </w:rPr>
        <w:t>il s</w:t>
      </w:r>
      <w:r w:rsidR="00CB6448" w:rsidRPr="000E681F">
        <w:rPr>
          <w:lang w:val="fr-FR"/>
        </w:rPr>
        <w:t>’</w:t>
      </w:r>
      <w:r w:rsidR="005E7BA5">
        <w:rPr>
          <w:lang w:val="fr-FR"/>
        </w:rPr>
        <w:t>agisse du </w:t>
      </w:r>
      <w:r w:rsidR="00F30A9B" w:rsidRPr="000E681F">
        <w:rPr>
          <w:lang w:val="fr-FR"/>
        </w:rPr>
        <w:t>temps et des efforts consacré</w:t>
      </w:r>
      <w:r w:rsidR="00AD0BBC">
        <w:rPr>
          <w:lang w:val="fr-FR"/>
        </w:rPr>
        <w:t>s</w:t>
      </w:r>
      <w:r w:rsidR="00F30A9B" w:rsidRPr="000E681F">
        <w:rPr>
          <w:lang w:val="fr-FR"/>
        </w:rPr>
        <w:t xml:space="preserve"> </w:t>
      </w:r>
      <w:r w:rsidR="00AD0BBC">
        <w:rPr>
          <w:lang w:val="fr-FR"/>
        </w:rPr>
        <w:t>par l</w:t>
      </w:r>
      <w:r w:rsidR="00F30A9B" w:rsidRPr="000E681F">
        <w:rPr>
          <w:lang w:val="fr-FR"/>
        </w:rPr>
        <w:t>es experts choisis</w:t>
      </w:r>
      <w:r w:rsidR="00507084" w:rsidRPr="000E681F">
        <w:rPr>
          <w:lang w:val="fr-FR"/>
        </w:rPr>
        <w:t xml:space="preserve">, </w:t>
      </w:r>
      <w:r w:rsidR="00AD0BBC">
        <w:rPr>
          <w:lang w:val="fr-FR"/>
        </w:rPr>
        <w:t>l</w:t>
      </w:r>
      <w:r w:rsidR="00507084" w:rsidRPr="000E681F">
        <w:rPr>
          <w:lang w:val="fr-FR"/>
        </w:rPr>
        <w:t xml:space="preserve">es auteurs collaborateurs et </w:t>
      </w:r>
      <w:r w:rsidR="00AD0BBC">
        <w:rPr>
          <w:lang w:val="fr-FR"/>
        </w:rPr>
        <w:t>les membres des comités de lecture</w:t>
      </w:r>
      <w:r w:rsidR="00F30A9B" w:rsidRPr="000E681F">
        <w:rPr>
          <w:lang w:val="fr-FR"/>
        </w:rPr>
        <w:t xml:space="preserve">, des diverses autres contributions </w:t>
      </w:r>
      <w:r w:rsidR="00E35839">
        <w:rPr>
          <w:lang w:val="fr-FR"/>
        </w:rPr>
        <w:t xml:space="preserve">importantes </w:t>
      </w:r>
      <w:r w:rsidR="00F30A9B" w:rsidRPr="000E681F">
        <w:rPr>
          <w:lang w:val="fr-FR"/>
        </w:rPr>
        <w:t>en nature apporté</w:t>
      </w:r>
      <w:r w:rsidR="00AD0BBC">
        <w:rPr>
          <w:lang w:val="fr-FR"/>
        </w:rPr>
        <w:t xml:space="preserve">es par </w:t>
      </w:r>
      <w:r w:rsidR="00FA0FF1">
        <w:rPr>
          <w:lang w:val="fr-FR"/>
        </w:rPr>
        <w:t>l</w:t>
      </w:r>
      <w:r w:rsidR="00F30A9B" w:rsidRPr="000E681F">
        <w:rPr>
          <w:lang w:val="fr-FR"/>
        </w:rPr>
        <w:t>es gouve</w:t>
      </w:r>
      <w:r w:rsidR="006F2A04" w:rsidRPr="000E681F">
        <w:rPr>
          <w:lang w:val="fr-FR"/>
        </w:rPr>
        <w:t xml:space="preserve">rnements et </w:t>
      </w:r>
      <w:r w:rsidR="00FA0FF1">
        <w:rPr>
          <w:lang w:val="fr-FR"/>
        </w:rPr>
        <w:t>l</w:t>
      </w:r>
      <w:r w:rsidR="006F2A04" w:rsidRPr="000E681F">
        <w:rPr>
          <w:lang w:val="fr-FR"/>
        </w:rPr>
        <w:t>es organisations, ou</w:t>
      </w:r>
      <w:r w:rsidR="00F30A9B" w:rsidRPr="000E681F">
        <w:rPr>
          <w:lang w:val="fr-FR"/>
        </w:rPr>
        <w:t xml:space="preserve"> des contributions </w:t>
      </w:r>
      <w:r w:rsidR="006129A2" w:rsidRPr="000E681F">
        <w:rPr>
          <w:lang w:val="fr-FR"/>
        </w:rPr>
        <w:t>à son fonds d</w:t>
      </w:r>
      <w:r w:rsidR="00CB6448" w:rsidRPr="000E681F">
        <w:rPr>
          <w:lang w:val="fr-FR"/>
        </w:rPr>
        <w:t>’</w:t>
      </w:r>
      <w:r w:rsidR="006129A2" w:rsidRPr="000E681F">
        <w:rPr>
          <w:lang w:val="fr-FR"/>
        </w:rPr>
        <w:t>affectation spéciale</w:t>
      </w:r>
      <w:r w:rsidR="006F2A04" w:rsidRPr="000E681F">
        <w:rPr>
          <w:lang w:val="fr-FR"/>
        </w:rPr>
        <w:t xml:space="preserve"> et</w:t>
      </w:r>
      <w:r w:rsidR="006129A2" w:rsidRPr="000E681F">
        <w:rPr>
          <w:lang w:val="fr-FR"/>
        </w:rPr>
        <w:t xml:space="preserve"> de l</w:t>
      </w:r>
      <w:r w:rsidR="00CB6448" w:rsidRPr="000E681F">
        <w:rPr>
          <w:lang w:val="fr-FR"/>
        </w:rPr>
        <w:t>’</w:t>
      </w:r>
      <w:r w:rsidR="006129A2" w:rsidRPr="000E681F">
        <w:rPr>
          <w:lang w:val="fr-FR"/>
        </w:rPr>
        <w:t xml:space="preserve">appui financier à ses activités connexes </w:t>
      </w:r>
      <w:r w:rsidR="006F2A04" w:rsidRPr="000E681F">
        <w:rPr>
          <w:lang w:val="fr-FR"/>
        </w:rPr>
        <w:t>fourni</w:t>
      </w:r>
      <w:r w:rsidR="00035FB9" w:rsidRPr="000E681F">
        <w:rPr>
          <w:lang w:val="fr-FR"/>
        </w:rPr>
        <w:t>s</w:t>
      </w:r>
      <w:r w:rsidR="006129A2" w:rsidRPr="000E681F">
        <w:rPr>
          <w:lang w:val="fr-FR"/>
        </w:rPr>
        <w:t xml:space="preserve"> par </w:t>
      </w:r>
      <w:r w:rsidR="00E35839">
        <w:rPr>
          <w:lang w:val="fr-FR"/>
        </w:rPr>
        <w:t>l</w:t>
      </w:r>
      <w:r w:rsidR="006129A2" w:rsidRPr="000E681F">
        <w:rPr>
          <w:lang w:val="fr-FR"/>
        </w:rPr>
        <w:t>es membres (voir document IPBES/7/4).</w:t>
      </w:r>
    </w:p>
    <w:p w14:paraId="560918D0" w14:textId="437F15BB" w:rsidR="00F55FFB" w:rsidRPr="000E681F" w:rsidRDefault="00F55FFB" w:rsidP="00A86B75">
      <w:pPr>
        <w:pStyle w:val="Normalnumber"/>
        <w:rPr>
          <w:lang w:val="fr-FR"/>
        </w:rPr>
      </w:pPr>
      <w:r w:rsidRPr="000E681F">
        <w:rPr>
          <w:lang w:val="fr-FR"/>
        </w:rPr>
        <w:t>Le programme de travail souple de la Plateforme pour la période allant jusqu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en 2030</w:t>
      </w:r>
      <w:r w:rsidR="00082FF3" w:rsidRPr="000E681F">
        <w:rPr>
          <w:lang w:val="fr-FR"/>
        </w:rPr>
        <w:t xml:space="preserve"> bénéficiera d</w:t>
      </w:r>
      <w:r w:rsidR="00CB6448" w:rsidRPr="000E681F">
        <w:rPr>
          <w:lang w:val="fr-FR"/>
        </w:rPr>
        <w:t>’</w:t>
      </w:r>
      <w:r w:rsidR="00082FF3" w:rsidRPr="000E681F">
        <w:rPr>
          <w:lang w:val="fr-FR"/>
        </w:rPr>
        <w:t>un vaste ensemble d</w:t>
      </w:r>
      <w:r w:rsidR="00CB6448" w:rsidRPr="000E681F">
        <w:rPr>
          <w:lang w:val="fr-FR"/>
        </w:rPr>
        <w:t>’</w:t>
      </w:r>
      <w:r w:rsidR="004C0C65">
        <w:rPr>
          <w:lang w:val="fr-FR"/>
        </w:rPr>
        <w:t>acquis</w:t>
      </w:r>
      <w:r w:rsidR="00082FF3" w:rsidRPr="000E681F">
        <w:rPr>
          <w:lang w:val="fr-FR"/>
        </w:rPr>
        <w:t xml:space="preserve"> collecti</w:t>
      </w:r>
      <w:r w:rsidR="004C0C65">
        <w:rPr>
          <w:lang w:val="fr-FR"/>
        </w:rPr>
        <w:t>fs</w:t>
      </w:r>
      <w:r w:rsidR="00082FF3" w:rsidRPr="000E681F">
        <w:rPr>
          <w:lang w:val="fr-FR"/>
        </w:rPr>
        <w:t xml:space="preserve"> </w:t>
      </w:r>
      <w:r w:rsidR="004C0C65">
        <w:rPr>
          <w:lang w:val="fr-FR"/>
        </w:rPr>
        <w:t xml:space="preserve">amassés </w:t>
      </w:r>
      <w:r w:rsidR="00082FF3" w:rsidRPr="0015137E">
        <w:rPr>
          <w:lang w:val="fr-FR"/>
        </w:rPr>
        <w:t xml:space="preserve">par </w:t>
      </w:r>
      <w:r w:rsidR="006B298E">
        <w:rPr>
          <w:lang w:val="fr-FR"/>
        </w:rPr>
        <w:t>toutes l</w:t>
      </w:r>
      <w:r w:rsidR="00082FF3" w:rsidRPr="0015137E">
        <w:rPr>
          <w:lang w:val="fr-FR"/>
        </w:rPr>
        <w:t>es parties prenantes</w:t>
      </w:r>
      <w:r w:rsidR="0043566F" w:rsidRPr="0015137E">
        <w:rPr>
          <w:lang w:val="fr-FR"/>
        </w:rPr>
        <w:t xml:space="preserve"> </w:t>
      </w:r>
      <w:r w:rsidR="00082FF3" w:rsidRPr="0015137E">
        <w:rPr>
          <w:lang w:val="fr-FR"/>
        </w:rPr>
        <w:t>qui</w:t>
      </w:r>
      <w:r w:rsidR="006B298E">
        <w:rPr>
          <w:lang w:val="fr-FR"/>
        </w:rPr>
        <w:t>,</w:t>
      </w:r>
      <w:r w:rsidR="006B298E" w:rsidRPr="006B298E">
        <w:rPr>
          <w:rFonts w:ascii="Calibri" w:eastAsia="MS Mincho" w:hAnsi="Calibri"/>
          <w:sz w:val="22"/>
          <w:szCs w:val="22"/>
          <w:lang w:val="fr-FR"/>
        </w:rPr>
        <w:t xml:space="preserve"> </w:t>
      </w:r>
      <w:r w:rsidR="006B298E" w:rsidRPr="006B298E">
        <w:rPr>
          <w:lang w:val="fr-FR"/>
        </w:rPr>
        <w:t xml:space="preserve">avec l’examen interne dont la Plénière a pris note à sa sixième session et l’examen externe </w:t>
      </w:r>
      <w:r w:rsidR="006B298E">
        <w:rPr>
          <w:lang w:val="fr-FR"/>
        </w:rPr>
        <w:t xml:space="preserve">sur </w:t>
      </w:r>
      <w:r w:rsidR="005E7BA5">
        <w:rPr>
          <w:lang w:val="fr-FR"/>
        </w:rPr>
        <w:t>lequel elle se </w:t>
      </w:r>
      <w:r w:rsidR="006B298E">
        <w:rPr>
          <w:lang w:val="fr-FR"/>
        </w:rPr>
        <w:t>penchera</w:t>
      </w:r>
      <w:r w:rsidR="006B298E" w:rsidRPr="006B298E">
        <w:rPr>
          <w:lang w:val="fr-FR"/>
        </w:rPr>
        <w:t xml:space="preserve"> à la session </w:t>
      </w:r>
      <w:r w:rsidR="006B298E">
        <w:rPr>
          <w:lang w:val="fr-FR"/>
        </w:rPr>
        <w:t>actuelle,</w:t>
      </w:r>
      <w:r w:rsidR="00082FF3" w:rsidRPr="0015137E">
        <w:rPr>
          <w:lang w:val="fr-FR"/>
        </w:rPr>
        <w:t xml:space="preserve"> renforcer</w:t>
      </w:r>
      <w:r w:rsidR="006B298E">
        <w:rPr>
          <w:lang w:val="fr-FR"/>
        </w:rPr>
        <w:t>ont</w:t>
      </w:r>
      <w:r w:rsidR="00082FF3" w:rsidRPr="0015137E">
        <w:rPr>
          <w:lang w:val="fr-FR"/>
        </w:rPr>
        <w:t xml:space="preserve"> </w:t>
      </w:r>
      <w:r w:rsidR="00E9519F" w:rsidRPr="0015137E">
        <w:rPr>
          <w:lang w:val="fr-FR"/>
        </w:rPr>
        <w:t>sa conception</w:t>
      </w:r>
      <w:r w:rsidR="00825F0D" w:rsidRPr="0015137E">
        <w:rPr>
          <w:lang w:val="fr-FR"/>
        </w:rPr>
        <w:t>. Les trois </w:t>
      </w:r>
      <w:r w:rsidR="00082FF3" w:rsidRPr="0015137E">
        <w:rPr>
          <w:lang w:val="fr-FR"/>
        </w:rPr>
        <w:t>évaluations en cours, à savoir celle des valeurs et celle de l</w:t>
      </w:r>
      <w:r w:rsidR="00CB6448" w:rsidRPr="0015137E">
        <w:rPr>
          <w:lang w:val="fr-FR"/>
        </w:rPr>
        <w:t>’</w:t>
      </w:r>
      <w:r w:rsidR="00B71FCA">
        <w:rPr>
          <w:lang w:val="fr-FR"/>
        </w:rPr>
        <w:t>utilisation durable</w:t>
      </w:r>
      <w:r w:rsidR="00082FF3" w:rsidRPr="0015137E">
        <w:rPr>
          <w:lang w:val="fr-FR"/>
        </w:rPr>
        <w:t xml:space="preserve"> des espèces sauvages, </w:t>
      </w:r>
      <w:r w:rsidR="004C0C65">
        <w:rPr>
          <w:lang w:val="fr-FR"/>
        </w:rPr>
        <w:t>commenc</w:t>
      </w:r>
      <w:r w:rsidR="00883314" w:rsidRPr="0015137E">
        <w:rPr>
          <w:lang w:val="fr-FR"/>
        </w:rPr>
        <w:t>ées</w:t>
      </w:r>
      <w:r w:rsidR="00082FF3" w:rsidRPr="0015137E">
        <w:rPr>
          <w:lang w:val="fr-FR"/>
        </w:rPr>
        <w:t xml:space="preserve"> </w:t>
      </w:r>
      <w:r w:rsidR="00883314" w:rsidRPr="0015137E">
        <w:rPr>
          <w:lang w:val="fr-FR"/>
        </w:rPr>
        <w:t xml:space="preserve">en 2018, </w:t>
      </w:r>
      <w:r w:rsidR="004C0C65">
        <w:rPr>
          <w:lang w:val="fr-FR"/>
        </w:rPr>
        <w:t>et</w:t>
      </w:r>
      <w:r w:rsidR="00082FF3" w:rsidRPr="0015137E">
        <w:rPr>
          <w:lang w:val="fr-FR"/>
        </w:rPr>
        <w:t xml:space="preserve"> celle des espèces exotiques envahissantes, </w:t>
      </w:r>
      <w:r w:rsidR="004C0C65">
        <w:rPr>
          <w:lang w:val="fr-FR"/>
        </w:rPr>
        <w:t>commenc</w:t>
      </w:r>
      <w:r w:rsidR="00082FF3" w:rsidRPr="0015137E">
        <w:rPr>
          <w:lang w:val="fr-FR"/>
        </w:rPr>
        <w:t>ée</w:t>
      </w:r>
      <w:r w:rsidR="00082FF3" w:rsidRPr="000E681F">
        <w:rPr>
          <w:lang w:val="fr-FR"/>
        </w:rPr>
        <w:t xml:space="preserve"> en 2019, </w:t>
      </w:r>
      <w:r w:rsidR="004C0C65">
        <w:rPr>
          <w:lang w:val="fr-FR"/>
        </w:rPr>
        <w:t>serviront de liaison</w:t>
      </w:r>
      <w:r w:rsidR="00301325" w:rsidRPr="000E681F">
        <w:rPr>
          <w:lang w:val="fr-FR"/>
        </w:rPr>
        <w:t xml:space="preserve"> entre le premier </w:t>
      </w:r>
      <w:r w:rsidR="00117B29" w:rsidRPr="000E681F">
        <w:rPr>
          <w:lang w:val="fr-FR"/>
        </w:rPr>
        <w:t xml:space="preserve">programme de travail </w:t>
      </w:r>
      <w:r w:rsidR="00D46438" w:rsidRPr="000E681F">
        <w:rPr>
          <w:lang w:val="fr-FR"/>
        </w:rPr>
        <w:t xml:space="preserve">et le nouveau </w:t>
      </w:r>
      <w:bookmarkStart w:id="3" w:name="_Hlk2772079"/>
      <w:r w:rsidR="00D46438" w:rsidRPr="000E681F">
        <w:rPr>
          <w:lang w:val="fr-FR"/>
        </w:rPr>
        <w:t>allant jusqu</w:t>
      </w:r>
      <w:r w:rsidR="00CB6448" w:rsidRPr="000E681F">
        <w:rPr>
          <w:lang w:val="fr-FR"/>
        </w:rPr>
        <w:t>’</w:t>
      </w:r>
      <w:r w:rsidR="00D46438" w:rsidRPr="000E681F">
        <w:rPr>
          <w:lang w:val="fr-FR"/>
        </w:rPr>
        <w:t>en 2030</w:t>
      </w:r>
      <w:bookmarkEnd w:id="3"/>
      <w:r w:rsidR="00E2275E" w:rsidRPr="000E681F">
        <w:rPr>
          <w:lang w:val="fr-FR"/>
        </w:rPr>
        <w:t>.</w:t>
      </w:r>
    </w:p>
    <w:bookmarkEnd w:id="1"/>
    <w:p w14:paraId="15B571BD" w14:textId="487BE4F1" w:rsidR="003224AE" w:rsidRPr="000E681F" w:rsidRDefault="003C2C1E" w:rsidP="00A86B75">
      <w:pPr>
        <w:pStyle w:val="Normalnumber"/>
        <w:rPr>
          <w:lang w:val="fr-FR"/>
        </w:rPr>
      </w:pPr>
      <w:r w:rsidRPr="000E681F">
        <w:rPr>
          <w:lang w:val="fr-FR"/>
        </w:rPr>
        <w:t xml:space="preserve">Les groupes et équipes spéciales suivants </w:t>
      </w:r>
      <w:r w:rsidR="00165C6E">
        <w:rPr>
          <w:lang w:val="fr-FR"/>
        </w:rPr>
        <w:t>étaient en</w:t>
      </w:r>
      <w:r w:rsidRPr="000E681F">
        <w:rPr>
          <w:lang w:val="fr-FR"/>
        </w:rPr>
        <w:t xml:space="preserve"> activ</w:t>
      </w:r>
      <w:r w:rsidR="00165C6E">
        <w:rPr>
          <w:lang w:val="fr-FR"/>
        </w:rPr>
        <w:t xml:space="preserve">ité </w:t>
      </w:r>
      <w:r w:rsidRPr="000E681F">
        <w:rPr>
          <w:lang w:val="fr-FR"/>
        </w:rPr>
        <w:t>en 2018 </w:t>
      </w:r>
      <w:r w:rsidR="00006907" w:rsidRPr="000E681F">
        <w:rPr>
          <w:lang w:val="fr-FR"/>
        </w:rPr>
        <w:t xml:space="preserve">: </w:t>
      </w:r>
      <w:r w:rsidR="00301325" w:rsidRPr="000E681F">
        <w:rPr>
          <w:lang w:val="fr-FR"/>
        </w:rPr>
        <w:t>deux </w:t>
      </w:r>
      <w:r w:rsidR="00666387" w:rsidRPr="000E681F">
        <w:rPr>
          <w:lang w:val="fr-FR"/>
        </w:rPr>
        <w:t>groupes d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auteurs d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évaluations (</w:t>
      </w:r>
      <w:r w:rsidR="00165C6E">
        <w:rPr>
          <w:lang w:val="fr-FR"/>
        </w:rPr>
        <w:t>po</w:t>
      </w:r>
      <w:r w:rsidR="00666387" w:rsidRPr="000E681F">
        <w:rPr>
          <w:lang w:val="fr-FR"/>
        </w:rPr>
        <w:t>ur l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évaluation de l</w:t>
      </w:r>
      <w:r w:rsidR="00CB6448" w:rsidRPr="000E681F">
        <w:rPr>
          <w:lang w:val="fr-FR"/>
        </w:rPr>
        <w:t>’</w:t>
      </w:r>
      <w:r w:rsidR="00B71FCA">
        <w:rPr>
          <w:lang w:val="fr-FR"/>
        </w:rPr>
        <w:t>utilisation durable</w:t>
      </w:r>
      <w:r w:rsidR="00666387" w:rsidRPr="000E681F">
        <w:rPr>
          <w:lang w:val="fr-FR"/>
        </w:rPr>
        <w:t xml:space="preserve"> des espèces sauvages et l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évaluation des valeurs) constitués en 2018 ; un groupe d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experts (sur les outils et méthodes d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appui à l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élaboration des politiques) reconstitué en 2017 ; un groupe d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auteurs d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évaluations (</w:t>
      </w:r>
      <w:r w:rsidR="00165C6E">
        <w:rPr>
          <w:lang w:val="fr-FR"/>
        </w:rPr>
        <w:t>po</w:t>
      </w:r>
      <w:r w:rsidR="00666387" w:rsidRPr="000E681F">
        <w:rPr>
          <w:lang w:val="fr-FR"/>
        </w:rPr>
        <w:t>ur l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évaluation mondiale) ; un groupe d</w:t>
      </w:r>
      <w:r w:rsidR="00CB6448" w:rsidRPr="000E681F">
        <w:rPr>
          <w:lang w:val="fr-FR"/>
        </w:rPr>
        <w:t>’</w:t>
      </w:r>
      <w:r w:rsidR="00666387" w:rsidRPr="000E681F">
        <w:rPr>
          <w:lang w:val="fr-FR"/>
        </w:rPr>
        <w:t>experts (sur les scénarios et modèles) créé en 2016</w:t>
      </w:r>
      <w:r w:rsidR="00301325" w:rsidRPr="000E681F">
        <w:rPr>
          <w:lang w:val="fr-FR"/>
        </w:rPr>
        <w:t> ;</w:t>
      </w:r>
      <w:r w:rsidR="00666387" w:rsidRPr="000E681F">
        <w:rPr>
          <w:lang w:val="fr-FR"/>
        </w:rPr>
        <w:t xml:space="preserve"> et trois</w:t>
      </w:r>
      <w:r w:rsidR="00825F0D" w:rsidRPr="000E681F">
        <w:rPr>
          <w:lang w:val="fr-FR"/>
        </w:rPr>
        <w:t> </w:t>
      </w:r>
      <w:r w:rsidR="003224AE" w:rsidRPr="000E681F">
        <w:rPr>
          <w:lang w:val="fr-FR"/>
        </w:rPr>
        <w:t>équipes spéciales (sur le renforcement des capacités, les connaissances et données, et les savoirs autochtones et locaux) constituées en 2014. Au total, ce sont environ 45</w:t>
      </w:r>
      <w:r w:rsidR="00825F0D" w:rsidRPr="000E681F">
        <w:rPr>
          <w:lang w:val="fr-FR"/>
        </w:rPr>
        <w:t>0 </w:t>
      </w:r>
      <w:r w:rsidR="003224AE" w:rsidRPr="000E681F">
        <w:rPr>
          <w:lang w:val="fr-FR"/>
        </w:rPr>
        <w:t>experts qui ont contribué aux travaux de la Plateforme depuis la sixi</w:t>
      </w:r>
      <w:r w:rsidR="00825F0D" w:rsidRPr="000E681F">
        <w:rPr>
          <w:lang w:val="fr-FR"/>
        </w:rPr>
        <w:t>ème </w:t>
      </w:r>
      <w:r w:rsidR="003224AE" w:rsidRPr="000E681F">
        <w:rPr>
          <w:lang w:val="fr-FR"/>
        </w:rPr>
        <w:t>session de la Plénière, portant à 1 500 le nombre total d</w:t>
      </w:r>
      <w:r w:rsidR="00CB6448" w:rsidRPr="000E681F">
        <w:rPr>
          <w:lang w:val="fr-FR"/>
        </w:rPr>
        <w:t>’</w:t>
      </w:r>
      <w:r w:rsidR="003224AE" w:rsidRPr="000E681F">
        <w:rPr>
          <w:lang w:val="fr-FR"/>
        </w:rPr>
        <w:t>experts choisis ayant pris part aux travaux depuis le lancement de la mise en œuvre du</w:t>
      </w:r>
      <w:r w:rsidR="00301325" w:rsidRPr="000E681F">
        <w:rPr>
          <w:lang w:val="fr-FR"/>
        </w:rPr>
        <w:t xml:space="preserve"> premier </w:t>
      </w:r>
      <w:r w:rsidR="003224AE" w:rsidRPr="000E681F">
        <w:rPr>
          <w:lang w:val="fr-FR"/>
        </w:rPr>
        <w:t>programme de travail en 2014. En tout, 27</w:t>
      </w:r>
      <w:r w:rsidR="00825F0D" w:rsidRPr="000E681F">
        <w:rPr>
          <w:lang w:val="fr-FR"/>
        </w:rPr>
        <w:t> </w:t>
      </w:r>
      <w:r w:rsidR="003224AE" w:rsidRPr="000E681F">
        <w:rPr>
          <w:lang w:val="fr-FR"/>
        </w:rPr>
        <w:t>réunions d</w:t>
      </w:r>
      <w:r w:rsidR="00CB6448" w:rsidRPr="000E681F">
        <w:rPr>
          <w:lang w:val="fr-FR"/>
        </w:rPr>
        <w:t>’</w:t>
      </w:r>
      <w:r w:rsidR="003224AE" w:rsidRPr="000E681F">
        <w:rPr>
          <w:lang w:val="fr-FR"/>
        </w:rPr>
        <w:t xml:space="preserve">experts ont été organisées </w:t>
      </w:r>
      <w:r w:rsidR="00165C6E">
        <w:rPr>
          <w:lang w:val="fr-FR"/>
        </w:rPr>
        <w:t xml:space="preserve">au cours de </w:t>
      </w:r>
      <w:r w:rsidR="003224AE" w:rsidRPr="000E681F">
        <w:rPr>
          <w:lang w:val="fr-FR"/>
        </w:rPr>
        <w:t>cette période</w:t>
      </w:r>
      <w:r w:rsidR="003224AE" w:rsidRPr="000E681F">
        <w:rPr>
          <w:vertAlign w:val="superscript"/>
          <w:lang w:val="fr-FR"/>
        </w:rPr>
        <w:footnoteReference w:id="3"/>
      </w:r>
      <w:r w:rsidR="003224AE" w:rsidRPr="000E681F">
        <w:rPr>
          <w:lang w:val="fr-FR"/>
        </w:rPr>
        <w:t>. Quin</w:t>
      </w:r>
      <w:r w:rsidR="00825F0D" w:rsidRPr="000E681F">
        <w:rPr>
          <w:lang w:val="fr-FR"/>
        </w:rPr>
        <w:t>ze </w:t>
      </w:r>
      <w:r w:rsidR="003224AE" w:rsidRPr="000E681F">
        <w:rPr>
          <w:lang w:val="fr-FR"/>
        </w:rPr>
        <w:t>groupes d</w:t>
      </w:r>
      <w:r w:rsidR="00CB6448" w:rsidRPr="000E681F">
        <w:rPr>
          <w:lang w:val="fr-FR"/>
        </w:rPr>
        <w:t>’</w:t>
      </w:r>
      <w:r w:rsidR="003224AE" w:rsidRPr="000E681F">
        <w:rPr>
          <w:lang w:val="fr-FR"/>
        </w:rPr>
        <w:t>appui technique ont continué de concourir à la réalisation de différents produit</w:t>
      </w:r>
      <w:r w:rsidR="005E7BA5">
        <w:rPr>
          <w:lang w:val="fr-FR"/>
        </w:rPr>
        <w:t>s. On trouvera dans le </w:t>
      </w:r>
      <w:r w:rsidR="00825F0D" w:rsidRPr="000E681F">
        <w:rPr>
          <w:lang w:val="fr-FR"/>
        </w:rPr>
        <w:t>document </w:t>
      </w:r>
      <w:r w:rsidR="003224AE" w:rsidRPr="000E681F">
        <w:rPr>
          <w:lang w:val="fr-FR"/>
        </w:rPr>
        <w:t>IPBES/7/INF/5 de plus amples informations concernant l</w:t>
      </w:r>
      <w:r w:rsidR="00CB6448" w:rsidRPr="000E681F">
        <w:rPr>
          <w:lang w:val="fr-FR"/>
        </w:rPr>
        <w:t>’</w:t>
      </w:r>
      <w:r w:rsidR="003224AE" w:rsidRPr="000E681F">
        <w:rPr>
          <w:lang w:val="fr-FR"/>
        </w:rPr>
        <w:t>appui technique à la mise en œuvre du programme de travail.</w:t>
      </w:r>
    </w:p>
    <w:bookmarkEnd w:id="2"/>
    <w:p w14:paraId="0A493EE1" w14:textId="10F2CD7A" w:rsidR="00855F33" w:rsidRPr="000E681F" w:rsidRDefault="00825F0D" w:rsidP="00A86B75">
      <w:pPr>
        <w:pStyle w:val="Normalnumber"/>
        <w:rPr>
          <w:lang w:val="fr-FR"/>
        </w:rPr>
      </w:pPr>
      <w:r w:rsidRPr="000E681F">
        <w:rPr>
          <w:lang w:val="fr-FR"/>
        </w:rPr>
        <w:t>Les paragraphes ci-après fournissent des indications sur les efforts déployés depuis la sixième session de la Plénière dans le cadre de chacun des objectifs du programme de travail</w:t>
      </w:r>
      <w:r w:rsidR="00855F33" w:rsidRPr="000E681F">
        <w:rPr>
          <w:lang w:val="fr-FR"/>
        </w:rPr>
        <w:t>.</w:t>
      </w:r>
    </w:p>
    <w:p w14:paraId="36FDF88F" w14:textId="0EB55E9B" w:rsidR="00855F33" w:rsidRPr="000E681F" w:rsidRDefault="00855F33" w:rsidP="00A86B75">
      <w:pPr>
        <w:pStyle w:val="CH2"/>
        <w:rPr>
          <w:lang w:val="fr-FR"/>
        </w:rPr>
      </w:pPr>
      <w:r w:rsidRPr="000E681F">
        <w:rPr>
          <w:lang w:val="fr-FR"/>
        </w:rPr>
        <w:tab/>
      </w:r>
      <w:bookmarkStart w:id="4" w:name="_Hlk498356154"/>
      <w:r w:rsidR="00671C94" w:rsidRPr="000E681F">
        <w:rPr>
          <w:lang w:val="fr-FR"/>
        </w:rPr>
        <w:t>A.</w:t>
      </w:r>
      <w:r w:rsidR="00671C94" w:rsidRPr="000E681F">
        <w:rPr>
          <w:lang w:val="fr-FR"/>
        </w:rPr>
        <w:tab/>
        <w:t>Objectif 1 : Renforcer les capacités et les connaissances à l</w:t>
      </w:r>
      <w:r w:rsidR="00CB6448" w:rsidRPr="000E681F">
        <w:rPr>
          <w:lang w:val="fr-FR"/>
        </w:rPr>
        <w:t>’</w:t>
      </w:r>
      <w:r w:rsidR="00671C94" w:rsidRPr="000E681F">
        <w:rPr>
          <w:lang w:val="fr-FR"/>
        </w:rPr>
        <w:t>interface science</w:t>
      </w:r>
      <w:r w:rsidR="00671C94" w:rsidRPr="000E681F">
        <w:rPr>
          <w:lang w:val="fr-FR"/>
        </w:rPr>
        <w:noBreakHyphen/>
        <w:t>politique pour que la Plateforme puisse s</w:t>
      </w:r>
      <w:r w:rsidR="00CB6448" w:rsidRPr="000E681F">
        <w:rPr>
          <w:lang w:val="fr-FR"/>
        </w:rPr>
        <w:t>’</w:t>
      </w:r>
      <w:r w:rsidR="00F41BE1">
        <w:rPr>
          <w:lang w:val="fr-FR"/>
        </w:rPr>
        <w:t>acquitter de ses principales </w:t>
      </w:r>
      <w:r w:rsidR="00671C94" w:rsidRPr="000E681F">
        <w:rPr>
          <w:lang w:val="fr-FR"/>
        </w:rPr>
        <w:t>fonctions</w:t>
      </w:r>
    </w:p>
    <w:p w14:paraId="48354FFA" w14:textId="6110360C" w:rsidR="00855F33" w:rsidRPr="000E681F" w:rsidRDefault="00E51399" w:rsidP="00A86B75">
      <w:pPr>
        <w:pStyle w:val="Normalnumber"/>
        <w:rPr>
          <w:lang w:val="fr-FR"/>
        </w:rPr>
      </w:pPr>
      <w:r w:rsidRPr="000E681F">
        <w:rPr>
          <w:lang w:val="fr-FR"/>
        </w:rPr>
        <w:t>T</w:t>
      </w:r>
      <w:r w:rsidR="00301325" w:rsidRPr="000E681F">
        <w:rPr>
          <w:lang w:val="fr-FR"/>
        </w:rPr>
        <w:t>rois </w:t>
      </w:r>
      <w:r w:rsidR="00503AEF" w:rsidRPr="000E681F">
        <w:rPr>
          <w:lang w:val="fr-FR"/>
        </w:rPr>
        <w:t>équipes spéciales</w:t>
      </w:r>
      <w:r w:rsidRPr="000E681F">
        <w:rPr>
          <w:lang w:val="fr-FR"/>
        </w:rPr>
        <w:t>,</w:t>
      </w:r>
      <w:r w:rsidR="00503AEF" w:rsidRPr="000E681F">
        <w:rPr>
          <w:lang w:val="fr-FR"/>
        </w:rPr>
        <w:t xml:space="preserve"> secondées par des groupes d</w:t>
      </w:r>
      <w:r w:rsidR="00CB6448" w:rsidRPr="000E681F">
        <w:rPr>
          <w:lang w:val="fr-FR"/>
        </w:rPr>
        <w:t>’</w:t>
      </w:r>
      <w:r w:rsidR="00503AEF" w:rsidRPr="000E681F">
        <w:rPr>
          <w:lang w:val="fr-FR"/>
        </w:rPr>
        <w:t>appui technique</w:t>
      </w:r>
      <w:r w:rsidRPr="000E681F">
        <w:rPr>
          <w:lang w:val="fr-FR"/>
        </w:rPr>
        <w:t>,</w:t>
      </w:r>
      <w:r w:rsidR="00503AEF" w:rsidRPr="000E681F">
        <w:rPr>
          <w:lang w:val="fr-FR"/>
        </w:rPr>
        <w:t xml:space="preserve"> ont été constituées </w:t>
      </w:r>
      <w:r w:rsidR="005E7BA5">
        <w:rPr>
          <w:lang w:val="fr-FR"/>
        </w:rPr>
        <w:t>en </w:t>
      </w:r>
      <w:r w:rsidRPr="000E681F">
        <w:rPr>
          <w:lang w:val="fr-FR"/>
        </w:rPr>
        <w:t xml:space="preserve">2014 </w:t>
      </w:r>
      <w:r w:rsidR="00301325" w:rsidRPr="000E681F">
        <w:rPr>
          <w:lang w:val="fr-FR"/>
        </w:rPr>
        <w:t>au titre du premier </w:t>
      </w:r>
      <w:r w:rsidR="00503AEF" w:rsidRPr="000E681F">
        <w:rPr>
          <w:lang w:val="fr-FR"/>
        </w:rPr>
        <w:t>programme de travail. En 201</w:t>
      </w:r>
      <w:r w:rsidRPr="000E681F">
        <w:rPr>
          <w:lang w:val="fr-FR"/>
        </w:rPr>
        <w:t>8</w:t>
      </w:r>
      <w:r w:rsidR="00503AEF" w:rsidRPr="000E681F">
        <w:rPr>
          <w:lang w:val="fr-FR"/>
        </w:rPr>
        <w:t>, des progrès ont été réal</w:t>
      </w:r>
      <w:r w:rsidRPr="000E681F">
        <w:rPr>
          <w:lang w:val="fr-FR"/>
        </w:rPr>
        <w:t>isés dans les domaines suivants </w:t>
      </w:r>
      <w:r w:rsidR="00503AEF" w:rsidRPr="000E681F">
        <w:rPr>
          <w:lang w:val="fr-FR"/>
        </w:rPr>
        <w:t>:</w:t>
      </w:r>
    </w:p>
    <w:p w14:paraId="77C2EC26" w14:textId="59C207DF" w:rsidR="00943E58" w:rsidRPr="000E681F" w:rsidRDefault="009A7B4C" w:rsidP="00A86B75">
      <w:pPr>
        <w:pStyle w:val="Normalnumber"/>
        <w:numPr>
          <w:ilvl w:val="1"/>
          <w:numId w:val="4"/>
        </w:numPr>
        <w:rPr>
          <w:lang w:val="fr-FR"/>
        </w:rPr>
      </w:pPr>
      <w:bookmarkStart w:id="5" w:name="_Hlk498355465"/>
      <w:bookmarkEnd w:id="4"/>
      <w:r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équipe spéciale sur le renforcement des capacités </w:t>
      </w:r>
      <w:r w:rsidR="005E7BA5">
        <w:rPr>
          <w:lang w:val="fr-FR"/>
        </w:rPr>
        <w:t>(</w:t>
      </w:r>
      <w:r w:rsidR="00301325" w:rsidRPr="000E681F">
        <w:rPr>
          <w:lang w:val="fr-FR"/>
        </w:rPr>
        <w:t>produits </w:t>
      </w:r>
      <w:r w:rsidR="00F41BE1">
        <w:rPr>
          <w:lang w:val="fr-FR"/>
        </w:rPr>
        <w:t>1 a) et b)</w:t>
      </w:r>
      <w:r w:rsidR="005E7BA5">
        <w:rPr>
          <w:lang w:val="fr-FR"/>
        </w:rPr>
        <w:t>)</w:t>
      </w:r>
      <w:r w:rsidR="00F41BE1">
        <w:rPr>
          <w:lang w:val="fr-FR"/>
        </w:rPr>
        <w:t xml:space="preserve"> a </w:t>
      </w:r>
      <w:r w:rsidR="00461C92">
        <w:rPr>
          <w:lang w:val="fr-FR"/>
        </w:rPr>
        <w:t xml:space="preserve">fait des </w:t>
      </w:r>
      <w:r w:rsidR="00F41BE1">
        <w:rPr>
          <w:lang w:val="fr-FR"/>
        </w:rPr>
        <w:t>progr</w:t>
      </w:r>
      <w:r w:rsidR="00461C92">
        <w:rPr>
          <w:lang w:val="fr-FR"/>
        </w:rPr>
        <w:t>ès</w:t>
      </w:r>
      <w:r w:rsidR="00461C92" w:rsidRPr="00461C92">
        <w:rPr>
          <w:rFonts w:ascii="Calibri" w:eastAsia="MS Mincho" w:hAnsi="Calibri"/>
          <w:sz w:val="22"/>
          <w:szCs w:val="22"/>
          <w:lang w:val="fr-FR"/>
        </w:rPr>
        <w:t xml:space="preserve"> </w:t>
      </w:r>
      <w:r w:rsidR="00461C92" w:rsidRPr="00461C92">
        <w:rPr>
          <w:lang w:val="fr-FR"/>
        </w:rPr>
        <w:t>dans la mise en œuvre</w:t>
      </w:r>
      <w:r w:rsidR="00F41BE1">
        <w:rPr>
          <w:lang w:val="fr-FR"/>
        </w:rPr>
        <w:t>, en </w:t>
      </w:r>
      <w:r w:rsidRPr="000E681F">
        <w:rPr>
          <w:lang w:val="fr-FR"/>
        </w:rPr>
        <w:t>collaboration avec ses partenaires, du plan continu sur le renforcement des capacités, en application de la section II de la décision IPBES-6/1. Elle s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est réunie en septembre</w:t>
      </w:r>
      <w:r w:rsidR="00DA3752" w:rsidRPr="000E681F">
        <w:rPr>
          <w:lang w:val="fr-FR"/>
        </w:rPr>
        <w:t xml:space="preserve"> 2018</w:t>
      </w:r>
      <w:r w:rsidRPr="000E681F">
        <w:rPr>
          <w:lang w:val="fr-FR"/>
        </w:rPr>
        <w:t xml:space="preserve"> à</w:t>
      </w:r>
      <w:r w:rsidR="00855F33" w:rsidRPr="000E681F">
        <w:rPr>
          <w:lang w:val="fr-FR"/>
        </w:rPr>
        <w:t xml:space="preserve"> </w:t>
      </w:r>
      <w:r w:rsidR="00DA3752" w:rsidRPr="000E681F">
        <w:rPr>
          <w:lang w:val="fr-FR"/>
        </w:rPr>
        <w:t>Paris</w:t>
      </w:r>
      <w:r w:rsidR="009A48FF" w:rsidRPr="000E681F">
        <w:rPr>
          <w:lang w:val="fr-FR"/>
        </w:rPr>
        <w:t xml:space="preserve">, </w:t>
      </w:r>
      <w:r w:rsidRPr="000E681F">
        <w:rPr>
          <w:lang w:val="fr-FR"/>
        </w:rPr>
        <w:t>dans les locaux de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Organisation des Nations Unies pour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éducation, la science et la culture (UNESCO). </w:t>
      </w:r>
      <w:r w:rsidR="002437B0" w:rsidRPr="000E681F">
        <w:rPr>
          <w:lang w:val="fr-FR"/>
        </w:rPr>
        <w:t>Le programme de bourses de la Plateforme s</w:t>
      </w:r>
      <w:r w:rsidR="00CB6448" w:rsidRPr="000E681F">
        <w:rPr>
          <w:lang w:val="fr-FR"/>
        </w:rPr>
        <w:t>’</w:t>
      </w:r>
      <w:r w:rsidR="002437B0" w:rsidRPr="000E681F">
        <w:rPr>
          <w:lang w:val="fr-FR"/>
        </w:rPr>
        <w:t xml:space="preserve">est poursuivi </w:t>
      </w:r>
      <w:r w:rsidR="00B57187">
        <w:rPr>
          <w:lang w:val="fr-FR"/>
        </w:rPr>
        <w:t xml:space="preserve">et </w:t>
      </w:r>
      <w:r w:rsidR="006B1CDF">
        <w:rPr>
          <w:lang w:val="fr-FR"/>
        </w:rPr>
        <w:t>compte</w:t>
      </w:r>
      <w:r w:rsidR="00B57187">
        <w:rPr>
          <w:lang w:val="fr-FR"/>
        </w:rPr>
        <w:t xml:space="preserve"> maintenant </w:t>
      </w:r>
      <w:r w:rsidR="006B1CDF">
        <w:rPr>
          <w:lang w:val="fr-FR"/>
        </w:rPr>
        <w:t xml:space="preserve">un total de </w:t>
      </w:r>
      <w:r w:rsidR="002437B0" w:rsidRPr="000E681F">
        <w:rPr>
          <w:lang w:val="fr-FR"/>
        </w:rPr>
        <w:t>74 b</w:t>
      </w:r>
      <w:r w:rsidR="006B1CDF">
        <w:rPr>
          <w:lang w:val="fr-FR"/>
        </w:rPr>
        <w:t>énéficiaires actuels et anciens,</w:t>
      </w:r>
      <w:r w:rsidR="002437B0" w:rsidRPr="000E681F">
        <w:rPr>
          <w:lang w:val="fr-FR"/>
        </w:rPr>
        <w:t xml:space="preserve"> originaires de 53 pays</w:t>
      </w:r>
      <w:r w:rsidR="002437B0" w:rsidRPr="000E681F">
        <w:rPr>
          <w:i/>
          <w:lang w:val="fr-FR"/>
        </w:rPr>
        <w:t>.</w:t>
      </w:r>
      <w:r w:rsidR="002437B0" w:rsidRPr="000E681F">
        <w:rPr>
          <w:lang w:val="fr-FR"/>
        </w:rPr>
        <w:t xml:space="preserve"> En juin 2018, la</w:t>
      </w:r>
      <w:r w:rsidR="005E7BA5">
        <w:rPr>
          <w:lang w:val="fr-FR"/>
        </w:rPr>
        <w:t> </w:t>
      </w:r>
      <w:r w:rsidR="002437B0" w:rsidRPr="000E681F">
        <w:rPr>
          <w:lang w:val="fr-FR"/>
        </w:rPr>
        <w:t>Secrétaire exécutive a organisé à Bonn, en Allemagne, un atelier de consultation et de renforcement des capacités à l</w:t>
      </w:r>
      <w:r w:rsidR="00CB6448" w:rsidRPr="000E681F">
        <w:rPr>
          <w:lang w:val="fr-FR"/>
        </w:rPr>
        <w:t>’</w:t>
      </w:r>
      <w:r w:rsidR="002437B0" w:rsidRPr="000E681F">
        <w:rPr>
          <w:lang w:val="fr-FR"/>
        </w:rPr>
        <w:t xml:space="preserve">intention des correspondants nationaux de la Plateforme, auquel ont participé au total 53 représentants de gouvernements </w:t>
      </w:r>
      <w:r w:rsidR="00B035C9" w:rsidRPr="000E681F">
        <w:rPr>
          <w:lang w:val="fr-FR"/>
        </w:rPr>
        <w:t xml:space="preserve">issus </w:t>
      </w:r>
      <w:r w:rsidR="002437B0" w:rsidRPr="000E681F">
        <w:rPr>
          <w:lang w:val="fr-FR"/>
        </w:rPr>
        <w:t>de 49 pays</w:t>
      </w:r>
      <w:r w:rsidR="000F53CB" w:rsidRPr="000E681F">
        <w:rPr>
          <w:lang w:val="fr-FR"/>
        </w:rPr>
        <w:t xml:space="preserve">. </w:t>
      </w:r>
      <w:r w:rsidR="002437B0" w:rsidRPr="000E681F">
        <w:rPr>
          <w:lang w:val="fr-FR"/>
        </w:rPr>
        <w:t>L</w:t>
      </w:r>
      <w:r w:rsidR="00BE43CE" w:rsidRPr="000E681F">
        <w:rPr>
          <w:lang w:val="fr-FR"/>
        </w:rPr>
        <w:t>es objectifs de l</w:t>
      </w:r>
      <w:r w:rsidR="00CB6448" w:rsidRPr="000E681F">
        <w:rPr>
          <w:lang w:val="fr-FR"/>
        </w:rPr>
        <w:t>’</w:t>
      </w:r>
      <w:r w:rsidR="00BE43CE" w:rsidRPr="000E681F">
        <w:rPr>
          <w:lang w:val="fr-FR"/>
        </w:rPr>
        <w:t xml:space="preserve">atelier étaient </w:t>
      </w:r>
      <w:r w:rsidR="00B23370" w:rsidRPr="000E681F">
        <w:rPr>
          <w:lang w:val="fr-FR"/>
        </w:rPr>
        <w:t>de faciliter une participation plus importante des gouvernements</w:t>
      </w:r>
      <w:r w:rsidR="00076724" w:rsidRPr="000E681F">
        <w:rPr>
          <w:lang w:val="fr-FR"/>
        </w:rPr>
        <w:t xml:space="preserve"> à</w:t>
      </w:r>
      <w:r w:rsidR="00B23370" w:rsidRPr="000E681F">
        <w:rPr>
          <w:lang w:val="fr-FR"/>
        </w:rPr>
        <w:t xml:space="preserve"> l</w:t>
      </w:r>
      <w:r w:rsidR="00CB6448" w:rsidRPr="000E681F">
        <w:rPr>
          <w:lang w:val="fr-FR"/>
        </w:rPr>
        <w:t>’</w:t>
      </w:r>
      <w:r w:rsidR="00B23370" w:rsidRPr="000E681F">
        <w:rPr>
          <w:lang w:val="fr-FR"/>
        </w:rPr>
        <w:t xml:space="preserve">examen </w:t>
      </w:r>
      <w:r w:rsidR="0041613D" w:rsidRPr="000E681F">
        <w:rPr>
          <w:lang w:val="fr-FR"/>
        </w:rPr>
        <w:t>de la deuxième</w:t>
      </w:r>
      <w:r w:rsidR="00301325" w:rsidRPr="000E681F">
        <w:rPr>
          <w:lang w:val="fr-FR"/>
        </w:rPr>
        <w:t> </w:t>
      </w:r>
      <w:r w:rsidR="0041613D" w:rsidRPr="000E681F">
        <w:rPr>
          <w:lang w:val="fr-FR"/>
        </w:rPr>
        <w:t>version préliminaire de l</w:t>
      </w:r>
      <w:r w:rsidR="00CB6448" w:rsidRPr="000E681F">
        <w:rPr>
          <w:lang w:val="fr-FR"/>
        </w:rPr>
        <w:t>’</w:t>
      </w:r>
      <w:r w:rsidR="00B23370" w:rsidRPr="000E681F">
        <w:rPr>
          <w:lang w:val="fr-FR"/>
        </w:rPr>
        <w:t>évaluation mondiale</w:t>
      </w:r>
      <w:r w:rsidR="00B00ACC" w:rsidRPr="000E681F">
        <w:rPr>
          <w:lang w:val="fr-FR"/>
        </w:rPr>
        <w:t> </w:t>
      </w:r>
      <w:r w:rsidR="00B23370" w:rsidRPr="000E681F">
        <w:rPr>
          <w:lang w:val="fr-FR"/>
        </w:rPr>
        <w:t>; d</w:t>
      </w:r>
      <w:r w:rsidR="00CB6448" w:rsidRPr="000E681F">
        <w:rPr>
          <w:lang w:val="fr-FR"/>
        </w:rPr>
        <w:t>’</w:t>
      </w:r>
      <w:r w:rsidR="00B23370" w:rsidRPr="000E681F">
        <w:rPr>
          <w:lang w:val="fr-FR"/>
        </w:rPr>
        <w:t>approfondir les discussions sur l</w:t>
      </w:r>
      <w:r w:rsidR="00CB6448" w:rsidRPr="000E681F">
        <w:rPr>
          <w:lang w:val="fr-FR"/>
        </w:rPr>
        <w:t>’</w:t>
      </w:r>
      <w:r w:rsidR="00B23370" w:rsidRPr="000E681F">
        <w:rPr>
          <w:lang w:val="fr-FR"/>
        </w:rPr>
        <w:t>utilisation du concept de « </w:t>
      </w:r>
      <w:r w:rsidR="00495CF2">
        <w:rPr>
          <w:lang w:val="fr-FR"/>
        </w:rPr>
        <w:t>contributions de la nature aux populations</w:t>
      </w:r>
      <w:r w:rsidR="00B23370" w:rsidRPr="000E681F">
        <w:rPr>
          <w:lang w:val="fr-FR"/>
        </w:rPr>
        <w:t> » dans l</w:t>
      </w:r>
      <w:r w:rsidR="00CB6448" w:rsidRPr="000E681F">
        <w:rPr>
          <w:lang w:val="fr-FR"/>
        </w:rPr>
        <w:t>’</w:t>
      </w:r>
      <w:r w:rsidR="00B23370" w:rsidRPr="000E681F">
        <w:rPr>
          <w:lang w:val="fr-FR"/>
        </w:rPr>
        <w:t>évaluatio</w:t>
      </w:r>
      <w:r w:rsidR="00B00ACC" w:rsidRPr="000E681F">
        <w:rPr>
          <w:lang w:val="fr-FR"/>
        </w:rPr>
        <w:t>n mondiale</w:t>
      </w:r>
      <w:r w:rsidR="00943E58" w:rsidRPr="000E681F">
        <w:rPr>
          <w:lang w:val="fr-FR"/>
        </w:rPr>
        <w:t> ; et d</w:t>
      </w:r>
      <w:r w:rsidR="00CB6448" w:rsidRPr="000E681F">
        <w:rPr>
          <w:lang w:val="fr-FR"/>
        </w:rPr>
        <w:t>’</w:t>
      </w:r>
      <w:r w:rsidR="00943E58" w:rsidRPr="000E681F">
        <w:rPr>
          <w:lang w:val="fr-FR"/>
        </w:rPr>
        <w:t xml:space="preserve">organiser des consultations sur le projet de cadre stratégique pour le </w:t>
      </w:r>
      <w:r w:rsidR="007F5581" w:rsidRPr="000E681F">
        <w:rPr>
          <w:lang w:val="fr-FR"/>
        </w:rPr>
        <w:t>prochain programme de travail</w:t>
      </w:r>
      <w:r w:rsidR="00943E58" w:rsidRPr="000E681F">
        <w:rPr>
          <w:lang w:val="fr-FR"/>
        </w:rPr>
        <w:t>. Conformément à la décision IPBES-6/1 de la Plénière, l</w:t>
      </w:r>
      <w:r w:rsidR="00CB6448" w:rsidRPr="000E681F">
        <w:rPr>
          <w:lang w:val="fr-FR"/>
        </w:rPr>
        <w:t>’</w:t>
      </w:r>
      <w:r w:rsidR="00943E58" w:rsidRPr="000E681F">
        <w:rPr>
          <w:lang w:val="fr-FR"/>
        </w:rPr>
        <w:t xml:space="preserve">équipe spéciale a organisé une troisième réunion du forum sur le renforcement des capacités de la Plateforme en septembre 2018, </w:t>
      </w:r>
      <w:r w:rsidR="008428E4">
        <w:rPr>
          <w:lang w:val="fr-FR"/>
        </w:rPr>
        <w:t>immédiatement après</w:t>
      </w:r>
      <w:r w:rsidR="00943E58" w:rsidRPr="000E681F">
        <w:rPr>
          <w:lang w:val="fr-FR"/>
        </w:rPr>
        <w:t xml:space="preserve"> la réunion de l</w:t>
      </w:r>
      <w:r w:rsidR="00CB6448" w:rsidRPr="000E681F">
        <w:rPr>
          <w:lang w:val="fr-FR"/>
        </w:rPr>
        <w:t>’</w:t>
      </w:r>
      <w:r w:rsidR="00943E58" w:rsidRPr="000E681F">
        <w:rPr>
          <w:lang w:val="fr-FR"/>
        </w:rPr>
        <w:t>équipe spéciale sur le renforcement des capacités, pour améliorer encore la collaboration avec d</w:t>
      </w:r>
      <w:r w:rsidR="00CB6448" w:rsidRPr="000E681F">
        <w:rPr>
          <w:lang w:val="fr-FR"/>
        </w:rPr>
        <w:t>’</w:t>
      </w:r>
      <w:r w:rsidR="00943E58" w:rsidRPr="000E681F">
        <w:rPr>
          <w:lang w:val="fr-FR"/>
        </w:rPr>
        <w:t>autres organisations aux fins de la mise en œuvre</w:t>
      </w:r>
      <w:r w:rsidR="004D555C" w:rsidRPr="000E681F">
        <w:rPr>
          <w:lang w:val="fr-FR"/>
        </w:rPr>
        <w:t xml:space="preserve"> du plan continu </w:t>
      </w:r>
      <w:r w:rsidR="00E6528E" w:rsidRPr="000E681F">
        <w:rPr>
          <w:lang w:val="fr-FR"/>
        </w:rPr>
        <w:t>sur le</w:t>
      </w:r>
      <w:r w:rsidR="004D555C" w:rsidRPr="000E681F">
        <w:rPr>
          <w:lang w:val="fr-FR"/>
        </w:rPr>
        <w:t xml:space="preserve"> renforcement des capacités.</w:t>
      </w:r>
      <w:r w:rsidR="0030011C" w:rsidRPr="000E681F">
        <w:rPr>
          <w:lang w:val="fr-FR"/>
        </w:rPr>
        <w:t xml:space="preserve"> Parmi les 95 participants à la réunion</w:t>
      </w:r>
      <w:r w:rsidR="008428E4">
        <w:rPr>
          <w:lang w:val="fr-FR"/>
        </w:rPr>
        <w:t xml:space="preserve"> se trouvaient</w:t>
      </w:r>
      <w:r w:rsidR="0030011C" w:rsidRPr="000E681F">
        <w:rPr>
          <w:lang w:val="fr-FR"/>
        </w:rPr>
        <w:t xml:space="preserve"> notamment des organisations partenaires </w:t>
      </w:r>
      <w:r w:rsidR="00B035C9" w:rsidRPr="000E681F">
        <w:rPr>
          <w:lang w:val="fr-FR"/>
        </w:rPr>
        <w:t>actuelles et</w:t>
      </w:r>
      <w:r w:rsidR="0030011C" w:rsidRPr="000E681F">
        <w:rPr>
          <w:lang w:val="fr-FR"/>
        </w:rPr>
        <w:t xml:space="preserve"> potentielles, des membres du Bureau et du Groupe d</w:t>
      </w:r>
      <w:r w:rsidR="00CB6448" w:rsidRPr="000E681F">
        <w:rPr>
          <w:lang w:val="fr-FR"/>
        </w:rPr>
        <w:t>’</w:t>
      </w:r>
      <w:r w:rsidR="0030011C" w:rsidRPr="000E681F">
        <w:rPr>
          <w:lang w:val="fr-FR"/>
        </w:rPr>
        <w:t>experts multidisciplinaire, les équipes spéciales sur le renforcement des capacités et sur les savoirs autochtones et locaux, des représentants des peuples autochtones, des communautés locales et des plateformes natio</w:t>
      </w:r>
      <w:r w:rsidR="005E7BA5">
        <w:rPr>
          <w:lang w:val="fr-FR"/>
        </w:rPr>
        <w:t>nales, des scientifiques et des </w:t>
      </w:r>
      <w:r w:rsidR="0030011C" w:rsidRPr="000E681F">
        <w:rPr>
          <w:lang w:val="fr-FR"/>
        </w:rPr>
        <w:t>décideurs. Les travaux de l</w:t>
      </w:r>
      <w:r w:rsidR="00CB6448" w:rsidRPr="000E681F">
        <w:rPr>
          <w:lang w:val="fr-FR"/>
        </w:rPr>
        <w:t>’</w:t>
      </w:r>
      <w:r w:rsidR="0030011C" w:rsidRPr="000E681F">
        <w:rPr>
          <w:lang w:val="fr-FR"/>
        </w:rPr>
        <w:t xml:space="preserve">équipe spéciale ont continué </w:t>
      </w:r>
      <w:r w:rsidR="00E764C7">
        <w:rPr>
          <w:lang w:val="fr-FR"/>
        </w:rPr>
        <w:t>à</w:t>
      </w:r>
      <w:r w:rsidR="0030011C" w:rsidRPr="000E681F">
        <w:rPr>
          <w:lang w:val="fr-FR"/>
        </w:rPr>
        <w:t xml:space="preserve"> bénéficier d</w:t>
      </w:r>
      <w:r w:rsidR="00E2353C" w:rsidRPr="000E681F">
        <w:rPr>
          <w:lang w:val="fr-FR"/>
        </w:rPr>
        <w:t>u soutien</w:t>
      </w:r>
      <w:r w:rsidR="0030011C" w:rsidRPr="000E681F">
        <w:rPr>
          <w:lang w:val="fr-FR"/>
        </w:rPr>
        <w:t xml:space="preserve"> du groupe d</w:t>
      </w:r>
      <w:r w:rsidR="00CB6448" w:rsidRPr="000E681F">
        <w:rPr>
          <w:lang w:val="fr-FR"/>
        </w:rPr>
        <w:t>’</w:t>
      </w:r>
      <w:r w:rsidR="0030011C" w:rsidRPr="000E681F">
        <w:rPr>
          <w:lang w:val="fr-FR"/>
        </w:rPr>
        <w:t>appui technique basé à l</w:t>
      </w:r>
      <w:r w:rsidR="00CB6448" w:rsidRPr="000E681F">
        <w:rPr>
          <w:lang w:val="fr-FR"/>
        </w:rPr>
        <w:t>’</w:t>
      </w:r>
      <w:r w:rsidR="0030011C" w:rsidRPr="000E681F">
        <w:rPr>
          <w:lang w:val="fr-FR"/>
        </w:rPr>
        <w:t>Agence norvégienne pour l</w:t>
      </w:r>
      <w:r w:rsidR="00CB6448" w:rsidRPr="000E681F">
        <w:rPr>
          <w:lang w:val="fr-FR"/>
        </w:rPr>
        <w:t>’</w:t>
      </w:r>
      <w:r w:rsidR="0030011C" w:rsidRPr="000E681F">
        <w:rPr>
          <w:lang w:val="fr-FR"/>
        </w:rPr>
        <w:t>environnement à Trondheim</w:t>
      </w:r>
      <w:r w:rsidR="00E764C7">
        <w:rPr>
          <w:lang w:val="fr-FR"/>
        </w:rPr>
        <w:t xml:space="preserve"> (</w:t>
      </w:r>
      <w:r w:rsidR="0030011C" w:rsidRPr="000E681F">
        <w:rPr>
          <w:lang w:val="fr-FR"/>
        </w:rPr>
        <w:t>Norvège</w:t>
      </w:r>
      <w:r w:rsidR="00E764C7">
        <w:rPr>
          <w:lang w:val="fr-FR"/>
        </w:rPr>
        <w:t>)</w:t>
      </w:r>
      <w:r w:rsidR="0030011C" w:rsidRPr="000E681F">
        <w:rPr>
          <w:lang w:val="fr-FR"/>
        </w:rPr>
        <w:t>, grâce à la contribution en nature apportée par la Norvège. Des informations supplémentaires sur les progrès réalisés en matière de renforcement des capacités sont présentés dans</w:t>
      </w:r>
      <w:r w:rsidR="00F7112E" w:rsidRPr="000E681F">
        <w:rPr>
          <w:lang w:val="fr-FR"/>
        </w:rPr>
        <w:t xml:space="preserve"> le document </w:t>
      </w:r>
      <w:r w:rsidR="0030011C" w:rsidRPr="000E681F">
        <w:rPr>
          <w:lang w:val="fr-FR"/>
        </w:rPr>
        <w:t>IPBES/7/INF/7 ;</w:t>
      </w:r>
    </w:p>
    <w:p w14:paraId="6AD76D29" w14:textId="038903E2" w:rsidR="004017CB" w:rsidRPr="000E681F" w:rsidRDefault="001102BF" w:rsidP="00A86B75">
      <w:pPr>
        <w:pStyle w:val="Normalnumber"/>
        <w:numPr>
          <w:ilvl w:val="1"/>
          <w:numId w:val="4"/>
        </w:numPr>
        <w:rPr>
          <w:lang w:val="fr-FR"/>
        </w:rPr>
      </w:pPr>
      <w:bookmarkStart w:id="6" w:name="_Hlk499031761"/>
      <w:bookmarkEnd w:id="5"/>
      <w:r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équipe spéciale sur les systèmes de savoirs</w:t>
      </w:r>
      <w:r w:rsidR="00B7500E" w:rsidRPr="000E681F">
        <w:rPr>
          <w:lang w:val="fr-FR"/>
        </w:rPr>
        <w:t xml:space="preserve"> autochtones et locaux </w:t>
      </w:r>
      <w:r w:rsidR="005E7BA5">
        <w:rPr>
          <w:lang w:val="fr-FR"/>
        </w:rPr>
        <w:t>(</w:t>
      </w:r>
      <w:r w:rsidR="00B7500E" w:rsidRPr="000E681F">
        <w:rPr>
          <w:lang w:val="fr-FR"/>
        </w:rPr>
        <w:t>produit 1 </w:t>
      </w:r>
      <w:r w:rsidRPr="000E681F">
        <w:rPr>
          <w:lang w:val="fr-FR"/>
        </w:rPr>
        <w:t>c)</w:t>
      </w:r>
      <w:r w:rsidR="005E7BA5">
        <w:rPr>
          <w:lang w:val="fr-FR"/>
        </w:rPr>
        <w:t>)</w:t>
      </w:r>
      <w:r w:rsidRPr="000E681F">
        <w:rPr>
          <w:lang w:val="fr-FR"/>
        </w:rPr>
        <w:t xml:space="preserve"> a </w:t>
      </w:r>
      <w:r w:rsidR="00B71FCA">
        <w:rPr>
          <w:lang w:val="fr-FR"/>
        </w:rPr>
        <w:t>aidé le</w:t>
      </w:r>
      <w:r w:rsidRPr="000E681F">
        <w:rPr>
          <w:lang w:val="fr-FR"/>
        </w:rPr>
        <w:t xml:space="preserve">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experts multidisciplinaire </w:t>
      </w:r>
      <w:r w:rsidR="00B71FCA">
        <w:rPr>
          <w:lang w:val="fr-FR"/>
        </w:rPr>
        <w:t>à mettre</w:t>
      </w:r>
      <w:r w:rsidRPr="000E681F">
        <w:rPr>
          <w:lang w:val="fr-FR"/>
        </w:rPr>
        <w:t xml:space="preserve"> en œuvre </w:t>
      </w:r>
      <w:r w:rsidR="00805904" w:rsidRPr="000E681F">
        <w:rPr>
          <w:lang w:val="fr-FR"/>
        </w:rPr>
        <w:t>l</w:t>
      </w:r>
      <w:r w:rsidR="001A7B54">
        <w:rPr>
          <w:lang w:val="fr-FR"/>
        </w:rPr>
        <w:t>’appro</w:t>
      </w:r>
      <w:r w:rsidR="00805904" w:rsidRPr="000E681F">
        <w:rPr>
          <w:lang w:val="fr-FR"/>
        </w:rPr>
        <w:t>che concernant la reconnaissance et l</w:t>
      </w:r>
      <w:r w:rsidR="00CB6448" w:rsidRPr="000E681F">
        <w:rPr>
          <w:lang w:val="fr-FR"/>
        </w:rPr>
        <w:t>’</w:t>
      </w:r>
      <w:r w:rsidR="00805904" w:rsidRPr="000E681F">
        <w:rPr>
          <w:lang w:val="fr-FR"/>
        </w:rPr>
        <w:t>utilisation des savoirs autochtones et locaux</w:t>
      </w:r>
      <w:r w:rsidRPr="000E681F">
        <w:rPr>
          <w:lang w:val="fr-FR"/>
        </w:rPr>
        <w:t>, en application de la section III de la décision IPBES-5/1 et de la section III de la décision IPBES-6/1.</w:t>
      </w:r>
      <w:r w:rsidR="004017CB" w:rsidRPr="000E681F">
        <w:rPr>
          <w:lang w:val="fr-FR"/>
        </w:rPr>
        <w:t xml:space="preserve"> </w:t>
      </w:r>
      <w:r w:rsidR="00A229F2" w:rsidRPr="000E681F">
        <w:rPr>
          <w:lang w:val="fr-FR"/>
        </w:rPr>
        <w:t>Parmi les progrès réalisés dans l</w:t>
      </w:r>
      <w:r w:rsidR="004017CB" w:rsidRPr="000E681F">
        <w:rPr>
          <w:lang w:val="fr-FR"/>
        </w:rPr>
        <w:t>a mise</w:t>
      </w:r>
      <w:r w:rsidR="00DA58F0" w:rsidRPr="000E681F">
        <w:rPr>
          <w:lang w:val="fr-FR"/>
        </w:rPr>
        <w:t xml:space="preserve"> en œuvre de l</w:t>
      </w:r>
      <w:r w:rsidR="00CB6448" w:rsidRPr="000E681F">
        <w:rPr>
          <w:lang w:val="fr-FR"/>
        </w:rPr>
        <w:t>’</w:t>
      </w:r>
      <w:r w:rsidR="00DA58F0" w:rsidRPr="000E681F">
        <w:rPr>
          <w:lang w:val="fr-FR"/>
        </w:rPr>
        <w:t>approche</w:t>
      </w:r>
      <w:r w:rsidR="004017CB" w:rsidRPr="000E681F">
        <w:rPr>
          <w:lang w:val="fr-FR"/>
        </w:rPr>
        <w:t xml:space="preserve"> dans le cadre de l</w:t>
      </w:r>
      <w:r w:rsidR="00CB6448" w:rsidRPr="000E681F">
        <w:rPr>
          <w:lang w:val="fr-FR"/>
        </w:rPr>
        <w:t>’</w:t>
      </w:r>
      <w:r w:rsidR="004017CB" w:rsidRPr="000E681F">
        <w:rPr>
          <w:lang w:val="fr-FR"/>
        </w:rPr>
        <w:t>évaluation mondiale</w:t>
      </w:r>
      <w:r w:rsidR="00A229F2" w:rsidRPr="000E681F">
        <w:rPr>
          <w:lang w:val="fr-FR"/>
        </w:rPr>
        <w:t>, on notera</w:t>
      </w:r>
      <w:r w:rsidR="004017CB" w:rsidRPr="000E681F">
        <w:rPr>
          <w:lang w:val="fr-FR"/>
        </w:rPr>
        <w:t xml:space="preserve"> une déclaration en séance plénière de la dix-septième session de l</w:t>
      </w:r>
      <w:r w:rsidR="00CB6448" w:rsidRPr="000E681F">
        <w:rPr>
          <w:lang w:val="fr-FR"/>
        </w:rPr>
        <w:t>’</w:t>
      </w:r>
      <w:r w:rsidR="004017CB" w:rsidRPr="000E681F">
        <w:rPr>
          <w:lang w:val="fr-FR"/>
        </w:rPr>
        <w:t>Instance permanente sur les questions autochtones, tenue à New York du 16 au 27 avril 2018 ainsi qu</w:t>
      </w:r>
      <w:r w:rsidR="00CB6448" w:rsidRPr="000E681F">
        <w:rPr>
          <w:lang w:val="fr-FR"/>
        </w:rPr>
        <w:t>’</w:t>
      </w:r>
      <w:r w:rsidR="004017CB" w:rsidRPr="000E681F">
        <w:rPr>
          <w:lang w:val="fr-FR"/>
        </w:rPr>
        <w:t>une manifestation parallèle</w:t>
      </w:r>
      <w:r w:rsidR="00EE3CB5" w:rsidRPr="000E681F">
        <w:rPr>
          <w:lang w:val="fr-FR"/>
        </w:rPr>
        <w:t xml:space="preserve"> à celle-ci ; la participation des auteurs de l</w:t>
      </w:r>
      <w:r w:rsidR="00CB6448" w:rsidRPr="000E681F">
        <w:rPr>
          <w:lang w:val="fr-FR"/>
        </w:rPr>
        <w:t>’</w:t>
      </w:r>
      <w:r w:rsidR="00EE3CB5" w:rsidRPr="000E681F">
        <w:rPr>
          <w:lang w:val="fr-FR"/>
        </w:rPr>
        <w:t xml:space="preserve">évaluation mondiale </w:t>
      </w:r>
      <w:r w:rsidR="00E66382">
        <w:rPr>
          <w:lang w:val="fr-FR"/>
        </w:rPr>
        <w:t>à la réunion du</w:t>
      </w:r>
      <w:r w:rsidR="00E51153" w:rsidRPr="000E681F">
        <w:rPr>
          <w:lang w:val="fr-FR"/>
        </w:rPr>
        <w:t xml:space="preserve"> groupe d</w:t>
      </w:r>
      <w:r w:rsidR="00CB6448" w:rsidRPr="000E681F">
        <w:rPr>
          <w:lang w:val="fr-FR"/>
        </w:rPr>
        <w:t>’</w:t>
      </w:r>
      <w:r w:rsidR="00E51153" w:rsidRPr="000E681F">
        <w:rPr>
          <w:lang w:val="fr-FR"/>
        </w:rPr>
        <w:t>action sur les systèmes de savoirs et les indicateurs de bien-être (</w:t>
      </w:r>
      <w:r w:rsidR="00EE3CB5" w:rsidRPr="000E681F">
        <w:rPr>
          <w:i/>
          <w:lang w:val="fr-FR"/>
        </w:rPr>
        <w:t>Action Group on Knowledge Systems and Indicators of Wellbeing</w:t>
      </w:r>
      <w:r w:rsidR="00E51153" w:rsidRPr="000E681F">
        <w:rPr>
          <w:lang w:val="fr-FR"/>
        </w:rPr>
        <w:t>)</w:t>
      </w:r>
      <w:r w:rsidR="00EE3CB5" w:rsidRPr="000E681F">
        <w:rPr>
          <w:lang w:val="fr-FR"/>
        </w:rPr>
        <w:t xml:space="preserve"> </w:t>
      </w:r>
      <w:r w:rsidR="00E66382">
        <w:rPr>
          <w:lang w:val="fr-FR"/>
        </w:rPr>
        <w:t>tenue</w:t>
      </w:r>
      <w:r w:rsidR="00EE3CB5" w:rsidRPr="000E681F">
        <w:rPr>
          <w:lang w:val="fr-FR"/>
        </w:rPr>
        <w:t xml:space="preserve"> à New York les 21 et 22 avril 2018 ; un </w:t>
      </w:r>
      <w:r w:rsidR="00301325" w:rsidRPr="000E681F">
        <w:rPr>
          <w:lang w:val="fr-FR"/>
        </w:rPr>
        <w:t>« </w:t>
      </w:r>
      <w:r w:rsidR="00E51153" w:rsidRPr="000E681F">
        <w:rPr>
          <w:lang w:val="fr-FR"/>
        </w:rPr>
        <w:t>café des connaissances</w:t>
      </w:r>
      <w:r w:rsidR="00301325" w:rsidRPr="000E681F">
        <w:rPr>
          <w:lang w:val="fr-FR"/>
        </w:rPr>
        <w:t> »</w:t>
      </w:r>
      <w:r w:rsidR="00EE3CB5" w:rsidRPr="000E681F">
        <w:rPr>
          <w:lang w:val="fr-FR"/>
        </w:rPr>
        <w:t xml:space="preserve"> sur les savoirs autochtones et locaux et sur l</w:t>
      </w:r>
      <w:r w:rsidR="00CB6448" w:rsidRPr="000E681F">
        <w:rPr>
          <w:lang w:val="fr-FR"/>
        </w:rPr>
        <w:t>’</w:t>
      </w:r>
      <w:r w:rsidR="00EE3CB5" w:rsidRPr="000E681F">
        <w:rPr>
          <w:lang w:val="fr-FR"/>
        </w:rPr>
        <w:t>évaluation mondiale lors de la conférence</w:t>
      </w:r>
      <w:r w:rsidR="0052644B" w:rsidRPr="000E681F">
        <w:rPr>
          <w:lang w:val="fr-FR"/>
        </w:rPr>
        <w:t xml:space="preserve"> sur le thème </w:t>
      </w:r>
      <w:r w:rsidR="00301325" w:rsidRPr="000E681F">
        <w:rPr>
          <w:lang w:val="fr-FR"/>
        </w:rPr>
        <w:t>« </w:t>
      </w:r>
      <w:r w:rsidR="0052644B" w:rsidRPr="000E681F">
        <w:rPr>
          <w:lang w:val="fr-FR"/>
        </w:rPr>
        <w:t>Communautés, conservation et moyens de subsistance</w:t>
      </w:r>
      <w:r w:rsidR="00301325" w:rsidRPr="000E681F">
        <w:rPr>
          <w:lang w:val="fr-FR"/>
        </w:rPr>
        <w:t> »</w:t>
      </w:r>
      <w:r w:rsidR="00EE3CB5" w:rsidRPr="000E681F">
        <w:rPr>
          <w:lang w:val="fr-FR"/>
        </w:rPr>
        <w:t xml:space="preserve"> </w:t>
      </w:r>
      <w:r w:rsidR="00530858" w:rsidRPr="000E681F">
        <w:rPr>
          <w:lang w:val="fr-FR"/>
        </w:rPr>
        <w:t>organisée par l</w:t>
      </w:r>
      <w:r w:rsidR="00CB6448" w:rsidRPr="000E681F">
        <w:rPr>
          <w:lang w:val="fr-FR"/>
        </w:rPr>
        <w:t>’</w:t>
      </w:r>
      <w:r w:rsidR="00530858" w:rsidRPr="000E681F">
        <w:rPr>
          <w:lang w:val="fr-FR"/>
        </w:rPr>
        <w:t>Union internationale pour la conservation de la nature (UICN)</w:t>
      </w:r>
      <w:r w:rsidR="00EE3CB5" w:rsidRPr="000E681F">
        <w:rPr>
          <w:lang w:val="fr-FR"/>
        </w:rPr>
        <w:t xml:space="preserve"> à Halifax </w:t>
      </w:r>
      <w:r w:rsidR="00E66382">
        <w:rPr>
          <w:lang w:val="fr-FR"/>
        </w:rPr>
        <w:t>(</w:t>
      </w:r>
      <w:r w:rsidR="00EE3CB5" w:rsidRPr="000E681F">
        <w:rPr>
          <w:lang w:val="fr-FR"/>
        </w:rPr>
        <w:t>Canada</w:t>
      </w:r>
      <w:r w:rsidR="00E66382">
        <w:rPr>
          <w:lang w:val="fr-FR"/>
        </w:rPr>
        <w:t>)</w:t>
      </w:r>
      <w:r w:rsidR="00EE3CB5" w:rsidRPr="000E681F">
        <w:rPr>
          <w:lang w:val="fr-FR"/>
        </w:rPr>
        <w:t xml:space="preserve"> du 28 au 30 mai 2018 ; l</w:t>
      </w:r>
      <w:r w:rsidR="00E66382">
        <w:rPr>
          <w:lang w:val="fr-FR"/>
        </w:rPr>
        <w:t>a concertation</w:t>
      </w:r>
      <w:r w:rsidR="009D217A" w:rsidRPr="000E681F">
        <w:rPr>
          <w:lang w:val="fr-FR"/>
        </w:rPr>
        <w:t xml:space="preserve"> </w:t>
      </w:r>
      <w:r w:rsidR="00E66382" w:rsidRPr="00E66382">
        <w:rPr>
          <w:lang w:val="fr-FR"/>
        </w:rPr>
        <w:t xml:space="preserve">sur les savoirs autochtones et locaux de l’Arctique </w:t>
      </w:r>
      <w:r w:rsidR="009D217A" w:rsidRPr="000E681F">
        <w:rPr>
          <w:lang w:val="fr-FR"/>
        </w:rPr>
        <w:t>organisé</w:t>
      </w:r>
      <w:r w:rsidR="00E66382">
        <w:rPr>
          <w:lang w:val="fr-FR"/>
        </w:rPr>
        <w:t>e</w:t>
      </w:r>
      <w:r w:rsidR="009D217A" w:rsidRPr="000E681F">
        <w:rPr>
          <w:lang w:val="fr-FR"/>
        </w:rPr>
        <w:t xml:space="preserve"> par la Plateforme</w:t>
      </w:r>
      <w:r w:rsidR="00E66382">
        <w:rPr>
          <w:lang w:val="fr-FR"/>
        </w:rPr>
        <w:t>,</w:t>
      </w:r>
      <w:r w:rsidR="009D217A" w:rsidRPr="000E681F">
        <w:rPr>
          <w:lang w:val="fr-FR"/>
        </w:rPr>
        <w:t xml:space="preserve"> dans le cadre de l</w:t>
      </w:r>
      <w:r w:rsidR="00CB6448" w:rsidRPr="000E681F">
        <w:rPr>
          <w:lang w:val="fr-FR"/>
        </w:rPr>
        <w:t>’</w:t>
      </w:r>
      <w:r w:rsidR="009D217A" w:rsidRPr="000E681F">
        <w:rPr>
          <w:lang w:val="fr-FR"/>
        </w:rPr>
        <w:t>évaluation mondiale</w:t>
      </w:r>
      <w:r w:rsidR="00E66382">
        <w:rPr>
          <w:lang w:val="fr-FR"/>
        </w:rPr>
        <w:t>,</w:t>
      </w:r>
      <w:r w:rsidR="00EE3CB5" w:rsidRPr="000E681F">
        <w:rPr>
          <w:lang w:val="fr-FR"/>
        </w:rPr>
        <w:t xml:space="preserve"> du 6 au 8 juin 2018</w:t>
      </w:r>
      <w:r w:rsidR="001F0D74" w:rsidRPr="001F0D74">
        <w:rPr>
          <w:rFonts w:ascii="Calibri" w:eastAsia="MS Mincho" w:hAnsi="Calibri"/>
          <w:sz w:val="22"/>
          <w:szCs w:val="22"/>
          <w:lang w:val="fr-FR"/>
        </w:rPr>
        <w:t xml:space="preserve"> </w:t>
      </w:r>
      <w:r w:rsidR="001F0D74" w:rsidRPr="001F0D74">
        <w:rPr>
          <w:lang w:val="fr-FR"/>
        </w:rPr>
        <w:t>à Helsinki</w:t>
      </w:r>
      <w:r w:rsidR="00A17F16" w:rsidRPr="000E681F">
        <w:rPr>
          <w:lang w:val="fr-FR"/>
        </w:rPr>
        <w:t> </w:t>
      </w:r>
      <w:r w:rsidR="00EE3CB5" w:rsidRPr="000E681F">
        <w:rPr>
          <w:lang w:val="fr-FR"/>
        </w:rPr>
        <w:t>;</w:t>
      </w:r>
      <w:r w:rsidR="004802DB">
        <w:rPr>
          <w:lang w:val="fr-FR"/>
        </w:rPr>
        <w:t xml:space="preserve"> la </w:t>
      </w:r>
      <w:r w:rsidR="00A17F16" w:rsidRPr="000E681F">
        <w:rPr>
          <w:lang w:val="fr-FR"/>
        </w:rPr>
        <w:t>participation des auteurs de l</w:t>
      </w:r>
      <w:r w:rsidR="00CB6448" w:rsidRPr="000E681F">
        <w:rPr>
          <w:lang w:val="fr-FR"/>
        </w:rPr>
        <w:t>’</w:t>
      </w:r>
      <w:r w:rsidR="00A17F16" w:rsidRPr="000E681F">
        <w:rPr>
          <w:lang w:val="fr-FR"/>
        </w:rPr>
        <w:t>évaluation mondiale au seizi</w:t>
      </w:r>
      <w:r w:rsidR="00B7500E" w:rsidRPr="000E681F">
        <w:rPr>
          <w:lang w:val="fr-FR"/>
        </w:rPr>
        <w:t>ème </w:t>
      </w:r>
      <w:r w:rsidR="00A17F16" w:rsidRPr="000E681F">
        <w:rPr>
          <w:lang w:val="fr-FR"/>
        </w:rPr>
        <w:t xml:space="preserve">congrès de la </w:t>
      </w:r>
      <w:r w:rsidR="009D217A" w:rsidRPr="000E681F">
        <w:rPr>
          <w:lang w:val="fr-FR"/>
        </w:rPr>
        <w:t>Société internationale d</w:t>
      </w:r>
      <w:r w:rsidR="00CB6448" w:rsidRPr="000E681F">
        <w:rPr>
          <w:lang w:val="fr-FR"/>
        </w:rPr>
        <w:t>’</w:t>
      </w:r>
      <w:r w:rsidR="009D217A" w:rsidRPr="000E681F">
        <w:rPr>
          <w:lang w:val="fr-FR"/>
        </w:rPr>
        <w:t>ethnobiologie</w:t>
      </w:r>
      <w:r w:rsidR="00A17F16" w:rsidRPr="000E681F">
        <w:rPr>
          <w:lang w:val="fr-FR"/>
        </w:rPr>
        <w:t xml:space="preserve"> à Belém</w:t>
      </w:r>
      <w:r w:rsidR="001F0D74">
        <w:rPr>
          <w:lang w:val="fr-FR"/>
        </w:rPr>
        <w:t xml:space="preserve"> (</w:t>
      </w:r>
      <w:r w:rsidR="00A17F16" w:rsidRPr="000E681F">
        <w:rPr>
          <w:lang w:val="fr-FR"/>
        </w:rPr>
        <w:t>Brésil</w:t>
      </w:r>
      <w:r w:rsidR="001F0D74">
        <w:rPr>
          <w:lang w:val="fr-FR"/>
        </w:rPr>
        <w:t>)</w:t>
      </w:r>
      <w:r w:rsidR="00A17F16" w:rsidRPr="000E681F">
        <w:rPr>
          <w:lang w:val="fr-FR"/>
        </w:rPr>
        <w:t xml:space="preserve">, du 7 au 10 août 2018 ; </w:t>
      </w:r>
      <w:r w:rsidR="00C36781" w:rsidRPr="000E681F">
        <w:rPr>
          <w:lang w:val="fr-FR"/>
        </w:rPr>
        <w:t>et des efforts visant à encourager la participation des peuples autochtones et des communautés locales, d</w:t>
      </w:r>
      <w:r w:rsidR="00CB6448" w:rsidRPr="000E681F">
        <w:rPr>
          <w:lang w:val="fr-FR"/>
        </w:rPr>
        <w:t>’</w:t>
      </w:r>
      <w:r w:rsidR="00C36781" w:rsidRPr="000E681F">
        <w:rPr>
          <w:lang w:val="fr-FR"/>
        </w:rPr>
        <w:t>organisations des peuples autochtones et d</w:t>
      </w:r>
      <w:r w:rsidR="00CB6448" w:rsidRPr="000E681F">
        <w:rPr>
          <w:lang w:val="fr-FR"/>
        </w:rPr>
        <w:t>’</w:t>
      </w:r>
      <w:r w:rsidR="00C36781" w:rsidRPr="000E681F">
        <w:rPr>
          <w:lang w:val="fr-FR"/>
        </w:rPr>
        <w:t>experts en savoirs autochtones et locaux à l</w:t>
      </w:r>
      <w:r w:rsidR="00CB6448" w:rsidRPr="000E681F">
        <w:rPr>
          <w:lang w:val="fr-FR"/>
        </w:rPr>
        <w:t>’</w:t>
      </w:r>
      <w:r w:rsidR="00C36781" w:rsidRPr="000E681F">
        <w:rPr>
          <w:lang w:val="fr-FR"/>
        </w:rPr>
        <w:t>examen d</w:t>
      </w:r>
      <w:r w:rsidR="0041613D" w:rsidRPr="000E681F">
        <w:rPr>
          <w:lang w:val="fr-FR"/>
        </w:rPr>
        <w:t>e</w:t>
      </w:r>
      <w:r w:rsidR="00C36781" w:rsidRPr="000E681F">
        <w:rPr>
          <w:lang w:val="fr-FR"/>
        </w:rPr>
        <w:t xml:space="preserve"> </w:t>
      </w:r>
      <w:r w:rsidR="0041613D" w:rsidRPr="000E681F">
        <w:rPr>
          <w:lang w:val="fr-FR"/>
        </w:rPr>
        <w:t>la deuxième version préliminaire de l</w:t>
      </w:r>
      <w:r w:rsidR="00CB6448" w:rsidRPr="000E681F">
        <w:rPr>
          <w:lang w:val="fr-FR"/>
        </w:rPr>
        <w:t>’</w:t>
      </w:r>
      <w:r w:rsidR="0041613D" w:rsidRPr="000E681F">
        <w:rPr>
          <w:lang w:val="fr-FR"/>
        </w:rPr>
        <w:t xml:space="preserve">évaluation </w:t>
      </w:r>
      <w:r w:rsidR="00C36781" w:rsidRPr="000E681F">
        <w:rPr>
          <w:lang w:val="fr-FR"/>
        </w:rPr>
        <w:t>mondiale.</w:t>
      </w:r>
      <w:r w:rsidR="005C30FE" w:rsidRPr="000E681F">
        <w:rPr>
          <w:lang w:val="fr-FR"/>
        </w:rPr>
        <w:t xml:space="preserve"> L</w:t>
      </w:r>
      <w:r w:rsidR="00CB6448" w:rsidRPr="000E681F">
        <w:rPr>
          <w:lang w:val="fr-FR"/>
        </w:rPr>
        <w:t>’</w:t>
      </w:r>
      <w:r w:rsidR="005C30FE" w:rsidRPr="000E681F">
        <w:rPr>
          <w:lang w:val="fr-FR"/>
        </w:rPr>
        <w:t>équipe spéciale s</w:t>
      </w:r>
      <w:r w:rsidR="00CB6448" w:rsidRPr="000E681F">
        <w:rPr>
          <w:lang w:val="fr-FR"/>
        </w:rPr>
        <w:t>’</w:t>
      </w:r>
      <w:r w:rsidR="005C30FE" w:rsidRPr="000E681F">
        <w:rPr>
          <w:lang w:val="fr-FR"/>
        </w:rPr>
        <w:t>est réunie</w:t>
      </w:r>
      <w:r w:rsidR="004802DB">
        <w:rPr>
          <w:lang w:val="fr-FR"/>
        </w:rPr>
        <w:t xml:space="preserve"> à Paris en septembre 2018. Une </w:t>
      </w:r>
      <w:r w:rsidR="005C30FE" w:rsidRPr="000E681F">
        <w:rPr>
          <w:lang w:val="fr-FR"/>
        </w:rPr>
        <w:t xml:space="preserve">réunion de consultation sur le mécanisme participatif a été organisée en marge de </w:t>
      </w:r>
      <w:r w:rsidR="001F0D74">
        <w:rPr>
          <w:lang w:val="fr-FR"/>
        </w:rPr>
        <w:t>cette</w:t>
      </w:r>
      <w:r w:rsidR="005C30FE" w:rsidRPr="000E681F">
        <w:rPr>
          <w:lang w:val="fr-FR"/>
        </w:rPr>
        <w:t xml:space="preserve"> réunion. </w:t>
      </w:r>
      <w:r w:rsidR="008764B2"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="008764B2" w:rsidRPr="000E681F">
        <w:rPr>
          <w:lang w:val="fr-FR"/>
        </w:rPr>
        <w:t>équipe spéciale a élaboré un ensemble initial</w:t>
      </w:r>
      <w:r w:rsidR="00805904" w:rsidRPr="000E681F">
        <w:rPr>
          <w:lang w:val="fr-FR"/>
        </w:rPr>
        <w:t xml:space="preserve"> de documents d</w:t>
      </w:r>
      <w:r w:rsidR="00CB6448" w:rsidRPr="000E681F">
        <w:rPr>
          <w:lang w:val="fr-FR"/>
        </w:rPr>
        <w:t>’</w:t>
      </w:r>
      <w:r w:rsidR="00805904" w:rsidRPr="000E681F">
        <w:rPr>
          <w:lang w:val="fr-FR"/>
        </w:rPr>
        <w:t>orientation méthodologique</w:t>
      </w:r>
      <w:r w:rsidR="00171070" w:rsidRPr="000E681F">
        <w:rPr>
          <w:lang w:val="fr-FR"/>
        </w:rPr>
        <w:t>s</w:t>
      </w:r>
      <w:r w:rsidR="004802DB">
        <w:rPr>
          <w:lang w:val="fr-FR"/>
        </w:rPr>
        <w:t xml:space="preserve"> pour la </w:t>
      </w:r>
      <w:r w:rsidR="00805904" w:rsidRPr="000E681F">
        <w:rPr>
          <w:lang w:val="fr-FR"/>
        </w:rPr>
        <w:t>mise en œuvre de l</w:t>
      </w:r>
      <w:r w:rsidR="00CB6448" w:rsidRPr="000E681F">
        <w:rPr>
          <w:lang w:val="fr-FR"/>
        </w:rPr>
        <w:t>’</w:t>
      </w:r>
      <w:r w:rsidR="00805904" w:rsidRPr="000E681F">
        <w:rPr>
          <w:lang w:val="fr-FR"/>
        </w:rPr>
        <w:t>approche concernant la reconnaissance et l</w:t>
      </w:r>
      <w:r w:rsidR="00CB6448" w:rsidRPr="000E681F">
        <w:rPr>
          <w:lang w:val="fr-FR"/>
        </w:rPr>
        <w:t>’</w:t>
      </w:r>
      <w:r w:rsidR="00805904" w:rsidRPr="000E681F">
        <w:rPr>
          <w:lang w:val="fr-FR"/>
        </w:rPr>
        <w:t>utilisation des savoirs autochtones et locaux</w:t>
      </w:r>
      <w:r w:rsidR="00717470" w:rsidRPr="000E681F">
        <w:rPr>
          <w:lang w:val="fr-FR"/>
        </w:rPr>
        <w:t xml:space="preserve"> de la Plateforme</w:t>
      </w:r>
      <w:r w:rsidR="00805904" w:rsidRPr="000E681F">
        <w:rPr>
          <w:lang w:val="fr-FR"/>
        </w:rPr>
        <w:t xml:space="preserve">, incluant </w:t>
      </w:r>
      <w:r w:rsidR="00A229F2" w:rsidRPr="000E681F">
        <w:rPr>
          <w:lang w:val="fr-FR"/>
        </w:rPr>
        <w:t xml:space="preserve">notamment </w:t>
      </w:r>
      <w:r w:rsidR="00805904" w:rsidRPr="000E681F">
        <w:rPr>
          <w:lang w:val="fr-FR"/>
        </w:rPr>
        <w:t>des modalités de mise en place du mécanisme participatif prenant en considération chaque étape du cycle d</w:t>
      </w:r>
      <w:r w:rsidR="00CB6448" w:rsidRPr="000E681F">
        <w:rPr>
          <w:lang w:val="fr-FR"/>
        </w:rPr>
        <w:t>’</w:t>
      </w:r>
      <w:r w:rsidR="00805904" w:rsidRPr="000E681F">
        <w:rPr>
          <w:lang w:val="fr-FR"/>
        </w:rPr>
        <w:t>évaluation de la Plateforme, et a fourni des conseils concernant la future composition de l</w:t>
      </w:r>
      <w:r w:rsidR="00CB6448" w:rsidRPr="000E681F">
        <w:rPr>
          <w:lang w:val="fr-FR"/>
        </w:rPr>
        <w:t>’</w:t>
      </w:r>
      <w:r w:rsidR="00805904" w:rsidRPr="000E681F">
        <w:rPr>
          <w:lang w:val="fr-FR"/>
        </w:rPr>
        <w:t>équipe spéciale</w:t>
      </w:r>
      <w:r w:rsidR="00F41BE1">
        <w:rPr>
          <w:lang w:val="fr-FR"/>
        </w:rPr>
        <w:t>. Le </w:t>
      </w:r>
      <w:r w:rsidR="00692C39" w:rsidRPr="000E681F">
        <w:rPr>
          <w:lang w:val="fr-FR"/>
        </w:rPr>
        <w:t>groupe d</w:t>
      </w:r>
      <w:r w:rsidR="00CB6448" w:rsidRPr="000E681F">
        <w:rPr>
          <w:lang w:val="fr-FR"/>
        </w:rPr>
        <w:t>’</w:t>
      </w:r>
      <w:r w:rsidR="00692C39" w:rsidRPr="000E681F">
        <w:rPr>
          <w:lang w:val="fr-FR"/>
        </w:rPr>
        <w:t>appui technique basé au siège de l</w:t>
      </w:r>
      <w:r w:rsidR="00CB6448" w:rsidRPr="000E681F">
        <w:rPr>
          <w:lang w:val="fr-FR"/>
        </w:rPr>
        <w:t>’</w:t>
      </w:r>
      <w:r w:rsidR="00692C39" w:rsidRPr="000E681F">
        <w:rPr>
          <w:lang w:val="fr-FR"/>
        </w:rPr>
        <w:t>UNESCO a continué de concourir aux travaux effectués dans ce domaine, grâce à l</w:t>
      </w:r>
      <w:r w:rsidR="00CB6448" w:rsidRPr="000E681F">
        <w:rPr>
          <w:lang w:val="fr-FR"/>
        </w:rPr>
        <w:t>’</w:t>
      </w:r>
      <w:r w:rsidR="00692C39" w:rsidRPr="000E681F">
        <w:rPr>
          <w:lang w:val="fr-FR"/>
        </w:rPr>
        <w:t xml:space="preserve">appui en nature </w:t>
      </w:r>
      <w:r w:rsidR="00717470" w:rsidRPr="000E681F">
        <w:rPr>
          <w:lang w:val="fr-FR"/>
        </w:rPr>
        <w:t>fourni</w:t>
      </w:r>
      <w:r w:rsidR="00692C39" w:rsidRPr="000E681F">
        <w:rPr>
          <w:lang w:val="fr-FR"/>
        </w:rPr>
        <w:t xml:space="preserve"> p</w:t>
      </w:r>
      <w:r w:rsidR="00717470" w:rsidRPr="000E681F">
        <w:rPr>
          <w:lang w:val="fr-FR"/>
        </w:rPr>
        <w:t>ar cette organisation</w:t>
      </w:r>
      <w:r w:rsidR="00692C39" w:rsidRPr="000E681F">
        <w:rPr>
          <w:lang w:val="fr-FR"/>
        </w:rPr>
        <w:t>. On trouvera des informations supplémentaires dans le document sur les travaux liés aux savoirs autochtones et locaux (IPBES/7/INF/8) ;</w:t>
      </w:r>
    </w:p>
    <w:p w14:paraId="2F219619" w14:textId="51053E17" w:rsidR="004802DB" w:rsidRDefault="00B0010A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équipe spéciale sur les connaissances et les </w:t>
      </w:r>
      <w:r w:rsidR="005E7BA5">
        <w:rPr>
          <w:lang w:val="fr-FR"/>
        </w:rPr>
        <w:t>données (</w:t>
      </w:r>
      <w:r w:rsidRPr="0015137E">
        <w:rPr>
          <w:lang w:val="fr-FR"/>
        </w:rPr>
        <w:t>produits 1 d) et 4 b)</w:t>
      </w:r>
      <w:r w:rsidR="005E7BA5">
        <w:rPr>
          <w:lang w:val="fr-FR"/>
        </w:rPr>
        <w:t>)</w:t>
      </w:r>
      <w:r w:rsidRPr="0015137E">
        <w:rPr>
          <w:lang w:val="fr-FR"/>
        </w:rPr>
        <w:t xml:space="preserve"> a continué de fournir des </w:t>
      </w:r>
      <w:r w:rsidR="003A593E">
        <w:rPr>
          <w:lang w:val="fr-FR"/>
        </w:rPr>
        <w:t>avi</w:t>
      </w:r>
      <w:r w:rsidRPr="0015137E">
        <w:rPr>
          <w:lang w:val="fr-FR"/>
        </w:rPr>
        <w:t xml:space="preserve">s pour les évaluations en cours, conformément aux </w:t>
      </w:r>
      <w:r w:rsidR="003A593E">
        <w:rPr>
          <w:lang w:val="fr-FR"/>
        </w:rPr>
        <w:t>g</w:t>
      </w:r>
      <w:r w:rsidRPr="0015137E">
        <w:rPr>
          <w:lang w:val="fr-FR"/>
        </w:rPr>
        <w:t>randes lignes du plan de travail de l</w:t>
      </w:r>
      <w:r w:rsidR="00CB6448" w:rsidRPr="0015137E">
        <w:rPr>
          <w:lang w:val="fr-FR"/>
        </w:rPr>
        <w:t>’</w:t>
      </w:r>
      <w:r w:rsidRPr="0015137E">
        <w:rPr>
          <w:lang w:val="fr-FR"/>
        </w:rPr>
        <w:t xml:space="preserve">équipe spéciale sur les connaissances et les données pour 2017 et 2018, énoncées </w:t>
      </w:r>
      <w:r w:rsidR="003A593E">
        <w:rPr>
          <w:lang w:val="fr-FR"/>
        </w:rPr>
        <w:t>dans</w:t>
      </w:r>
      <w:r w:rsidRPr="0015137E">
        <w:rPr>
          <w:lang w:val="fr-FR"/>
        </w:rPr>
        <w:t xml:space="preserve"> l</w:t>
      </w:r>
      <w:r w:rsidR="00CB6448" w:rsidRPr="0015137E">
        <w:rPr>
          <w:lang w:val="fr-FR"/>
        </w:rPr>
        <w:t>’</w:t>
      </w:r>
      <w:r w:rsidRPr="0015137E">
        <w:rPr>
          <w:lang w:val="fr-FR"/>
        </w:rPr>
        <w:t>annexe III de la décision IPBES-5/1</w:t>
      </w:r>
      <w:r w:rsidR="0078705E" w:rsidRPr="0015137E">
        <w:rPr>
          <w:lang w:val="fr-FR"/>
        </w:rPr>
        <w:t>. Parmi les principaux progrès réalisés au</w:t>
      </w:r>
      <w:r w:rsidR="004802DB">
        <w:rPr>
          <w:lang w:val="fr-FR"/>
        </w:rPr>
        <w:t xml:space="preserve"> niveau de la mise en </w:t>
      </w:r>
      <w:r w:rsidR="0078705E" w:rsidRPr="000E681F">
        <w:rPr>
          <w:lang w:val="fr-FR"/>
        </w:rPr>
        <w:t>œuvre, on notera que le développement du site Web et de l</w:t>
      </w:r>
      <w:r w:rsidR="00CB6448" w:rsidRPr="000E681F">
        <w:rPr>
          <w:lang w:val="fr-FR"/>
        </w:rPr>
        <w:t>’</w:t>
      </w:r>
      <w:r w:rsidR="0078705E" w:rsidRPr="000E681F">
        <w:rPr>
          <w:lang w:val="fr-FR"/>
        </w:rPr>
        <w:t>infrastructure Web s</w:t>
      </w:r>
      <w:r w:rsidR="00CB6448" w:rsidRPr="000E681F">
        <w:rPr>
          <w:lang w:val="fr-FR"/>
        </w:rPr>
        <w:t>’</w:t>
      </w:r>
      <w:r w:rsidR="0078705E" w:rsidRPr="000E681F">
        <w:rPr>
          <w:lang w:val="fr-FR"/>
        </w:rPr>
        <w:t>est poursuivi ; et qu</w:t>
      </w:r>
      <w:r w:rsidR="00CB6448" w:rsidRPr="000E681F">
        <w:rPr>
          <w:lang w:val="fr-FR"/>
        </w:rPr>
        <w:t>’</w:t>
      </w:r>
      <w:r w:rsidR="0078705E" w:rsidRPr="000E681F">
        <w:rPr>
          <w:lang w:val="fr-FR"/>
        </w:rPr>
        <w:t xml:space="preserve">un appui </w:t>
      </w:r>
      <w:r w:rsidR="003A593E">
        <w:rPr>
          <w:lang w:val="fr-FR"/>
        </w:rPr>
        <w:t>en matière d</w:t>
      </w:r>
      <w:r w:rsidR="003A593E" w:rsidRPr="003A593E">
        <w:rPr>
          <w:lang w:val="fr-FR"/>
        </w:rPr>
        <w:t xml:space="preserve">’utilisation de l’infrastructure Web et </w:t>
      </w:r>
      <w:r w:rsidR="003A593E">
        <w:rPr>
          <w:lang w:val="fr-FR"/>
        </w:rPr>
        <w:t>d</w:t>
      </w:r>
      <w:r w:rsidR="003A593E" w:rsidRPr="003A593E">
        <w:rPr>
          <w:lang w:val="fr-FR"/>
        </w:rPr>
        <w:t xml:space="preserve">es indicateurs </w:t>
      </w:r>
      <w:r w:rsidR="0078705E" w:rsidRPr="000E681F">
        <w:rPr>
          <w:lang w:val="fr-FR"/>
        </w:rPr>
        <w:t xml:space="preserve">a été fourni aux experts </w:t>
      </w:r>
      <w:r w:rsidR="009916E8" w:rsidRPr="000E681F">
        <w:rPr>
          <w:lang w:val="fr-FR"/>
        </w:rPr>
        <w:t xml:space="preserve">de la Plateforme </w:t>
      </w:r>
      <w:r w:rsidR="0078705E" w:rsidRPr="000E681F">
        <w:rPr>
          <w:lang w:val="fr-FR"/>
        </w:rPr>
        <w:t>participant à l</w:t>
      </w:r>
      <w:r w:rsidR="00CB6448" w:rsidRPr="000E681F">
        <w:rPr>
          <w:lang w:val="fr-FR"/>
        </w:rPr>
        <w:t>’</w:t>
      </w:r>
      <w:r w:rsidR="0078705E" w:rsidRPr="000E681F">
        <w:rPr>
          <w:lang w:val="fr-FR"/>
        </w:rPr>
        <w:t>évaluation mondiale et aux évaluations des valeurs et des espèces sauvages</w:t>
      </w:r>
      <w:r w:rsidRPr="000E681F">
        <w:rPr>
          <w:lang w:val="fr-FR"/>
        </w:rPr>
        <w:t xml:space="preserve">. </w:t>
      </w:r>
      <w:r w:rsidR="00C00242" w:rsidRPr="000E681F">
        <w:rPr>
          <w:lang w:val="fr-FR"/>
        </w:rPr>
        <w:t xml:space="preserve">Des efforts sont déployés pour stimuler la production de nouvelles connaissances en identifiant les lacunes </w:t>
      </w:r>
      <w:r w:rsidR="0067486D" w:rsidRPr="000E681F">
        <w:rPr>
          <w:lang w:val="fr-FR"/>
        </w:rPr>
        <w:t xml:space="preserve">en matière </w:t>
      </w:r>
      <w:r w:rsidR="00C00242" w:rsidRPr="000E681F">
        <w:rPr>
          <w:lang w:val="fr-FR"/>
        </w:rPr>
        <w:t>de connaissances dans l</w:t>
      </w:r>
      <w:r w:rsidR="00CB6448" w:rsidRPr="000E681F">
        <w:rPr>
          <w:lang w:val="fr-FR"/>
        </w:rPr>
        <w:t>’</w:t>
      </w:r>
      <w:r w:rsidR="00C00242" w:rsidRPr="000E681F">
        <w:rPr>
          <w:lang w:val="fr-FR"/>
        </w:rPr>
        <w:t>évaluation de la dégradation et de la restauration des terres. Une conférence en ligne s</w:t>
      </w:r>
      <w:r w:rsidR="00CB6448" w:rsidRPr="000E681F">
        <w:rPr>
          <w:lang w:val="fr-FR"/>
        </w:rPr>
        <w:t>’</w:t>
      </w:r>
      <w:r w:rsidR="00C00242" w:rsidRPr="000E681F">
        <w:rPr>
          <w:lang w:val="fr-FR"/>
        </w:rPr>
        <w:t>est tenue en janvier 2019 en application de la section III de la décision IPBES-6/1</w:t>
      </w:r>
      <w:r w:rsidR="0067486D" w:rsidRPr="000E681F">
        <w:rPr>
          <w:lang w:val="fr-FR"/>
        </w:rPr>
        <w:t xml:space="preserve"> sur les lacunes en matière de connaissances identifiées par les experts durant dans l</w:t>
      </w:r>
      <w:r w:rsidR="00CB6448" w:rsidRPr="000E681F">
        <w:rPr>
          <w:lang w:val="fr-FR"/>
        </w:rPr>
        <w:t>’</w:t>
      </w:r>
      <w:r w:rsidR="0067486D" w:rsidRPr="000E681F">
        <w:rPr>
          <w:lang w:val="fr-FR"/>
        </w:rPr>
        <w:t xml:space="preserve">évaluation de la dégradation et de la restauration des terres et sur la </w:t>
      </w:r>
    </w:p>
    <w:p w14:paraId="1AB3D223" w14:textId="77777777" w:rsidR="004802DB" w:rsidRDefault="004802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lang w:val="fr-FR"/>
        </w:rPr>
        <w:br w:type="page"/>
      </w:r>
    </w:p>
    <w:p w14:paraId="2CE8BE5C" w14:textId="368801A4" w:rsidR="00B0010A" w:rsidRPr="000E681F" w:rsidRDefault="0067486D" w:rsidP="004802DB">
      <w:pPr>
        <w:pStyle w:val="Normalnumber"/>
        <w:numPr>
          <w:ilvl w:val="0"/>
          <w:numId w:val="0"/>
        </w:numPr>
        <w:tabs>
          <w:tab w:val="clear" w:pos="1814"/>
          <w:tab w:val="left" w:pos="1843"/>
        </w:tabs>
        <w:ind w:left="1276"/>
        <w:rPr>
          <w:lang w:val="fr-FR"/>
        </w:rPr>
      </w:pPr>
      <w:r w:rsidRPr="000E681F">
        <w:rPr>
          <w:lang w:val="fr-FR"/>
        </w:rPr>
        <w:t>détermination des priorités de recherche. Le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technique basé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Institut national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écologie à Seocheon</w:t>
      </w:r>
      <w:r w:rsidR="00595F47">
        <w:rPr>
          <w:lang w:val="fr-FR"/>
        </w:rPr>
        <w:t xml:space="preserve"> (</w:t>
      </w:r>
      <w:r w:rsidRPr="000E681F">
        <w:rPr>
          <w:lang w:val="fr-FR"/>
        </w:rPr>
        <w:t>République de Corée</w:t>
      </w:r>
      <w:r w:rsidR="00595F47">
        <w:rPr>
          <w:lang w:val="fr-FR"/>
        </w:rPr>
        <w:t>)</w:t>
      </w:r>
      <w:r w:rsidRPr="000E681F">
        <w:rPr>
          <w:lang w:val="fr-FR"/>
        </w:rPr>
        <w:t xml:space="preserve"> a continué de soutenir les travaux effectués dans ce domaine, grâce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en nature apporté par le Ministère de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environnement</w:t>
      </w:r>
      <w:r w:rsidR="00317F00" w:rsidRPr="000E681F">
        <w:rPr>
          <w:lang w:val="fr-FR"/>
        </w:rPr>
        <w:t xml:space="preserve"> de la République de Corée</w:t>
      </w:r>
      <w:r w:rsidRPr="000E681F">
        <w:rPr>
          <w:lang w:val="fr-FR"/>
        </w:rPr>
        <w:t>. Un rapport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activité complet figure dans le document sur les travaux relatifs aux connaissances et aux données (IPBES/7/INF/9) ;</w:t>
      </w:r>
    </w:p>
    <w:p w14:paraId="3D754B82" w14:textId="01F1AC6D" w:rsidR="006D44AF" w:rsidRPr="000E681F" w:rsidRDefault="007B3C8E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Les trois </w:t>
      </w:r>
      <w:r w:rsidR="006D44AF" w:rsidRPr="000E681F">
        <w:rPr>
          <w:lang w:val="fr-FR"/>
        </w:rPr>
        <w:t>équipes spéciales charg</w:t>
      </w:r>
      <w:r w:rsidR="00E0525D" w:rsidRPr="000E681F">
        <w:rPr>
          <w:lang w:val="fr-FR"/>
        </w:rPr>
        <w:t>é</w:t>
      </w:r>
      <w:r w:rsidR="006D44AF" w:rsidRPr="000E681F">
        <w:rPr>
          <w:lang w:val="fr-FR"/>
        </w:rPr>
        <w:t>es</w:t>
      </w:r>
      <w:r w:rsidR="00E0525D" w:rsidRPr="000E681F">
        <w:rPr>
          <w:lang w:val="fr-FR"/>
        </w:rPr>
        <w:t xml:space="preserve"> </w:t>
      </w:r>
      <w:r w:rsidR="006D44AF" w:rsidRPr="000E681F">
        <w:rPr>
          <w:lang w:val="fr-FR"/>
        </w:rPr>
        <w:t>de l</w:t>
      </w:r>
      <w:r w:rsidR="00CB6448" w:rsidRPr="000E681F">
        <w:rPr>
          <w:lang w:val="fr-FR"/>
        </w:rPr>
        <w:t>’</w:t>
      </w:r>
      <w:r w:rsidR="006D44AF" w:rsidRPr="000E681F">
        <w:rPr>
          <w:lang w:val="fr-FR"/>
        </w:rPr>
        <w:t>exécution de l</w:t>
      </w:r>
      <w:r w:rsidR="00CB6448" w:rsidRPr="000E681F">
        <w:rPr>
          <w:lang w:val="fr-FR"/>
        </w:rPr>
        <w:t>’</w:t>
      </w:r>
      <w:r w:rsidR="003D69D1" w:rsidRPr="000E681F">
        <w:rPr>
          <w:lang w:val="fr-FR"/>
        </w:rPr>
        <w:t>o</w:t>
      </w:r>
      <w:r w:rsidR="007F5581" w:rsidRPr="000E681F">
        <w:rPr>
          <w:lang w:val="fr-FR"/>
        </w:rPr>
        <w:t>bjectif </w:t>
      </w:r>
      <w:r w:rsidR="006D44AF" w:rsidRPr="000E681F">
        <w:rPr>
          <w:lang w:val="fr-FR"/>
        </w:rPr>
        <w:t>1 ont</w:t>
      </w:r>
      <w:r w:rsidR="00E0525D" w:rsidRPr="000E681F">
        <w:rPr>
          <w:lang w:val="fr-FR"/>
        </w:rPr>
        <w:t>,</w:t>
      </w:r>
      <w:r w:rsidR="006D44AF" w:rsidRPr="000E681F">
        <w:rPr>
          <w:lang w:val="fr-FR"/>
        </w:rPr>
        <w:t xml:space="preserve"> dans l</w:t>
      </w:r>
      <w:r w:rsidR="00CB6448" w:rsidRPr="000E681F">
        <w:rPr>
          <w:lang w:val="fr-FR"/>
        </w:rPr>
        <w:t>’</w:t>
      </w:r>
      <w:r w:rsidR="006D44AF" w:rsidRPr="000E681F">
        <w:rPr>
          <w:lang w:val="fr-FR"/>
        </w:rPr>
        <w:t xml:space="preserve">ensemble, rempli les mandats qui leur ont été confiés par la Plénière. Certaines de leurs activités, telles que le programme </w:t>
      </w:r>
      <w:r w:rsidR="003A593E">
        <w:rPr>
          <w:lang w:val="fr-FR"/>
        </w:rPr>
        <w:t xml:space="preserve">de </w:t>
      </w:r>
      <w:r w:rsidR="006D44AF" w:rsidRPr="000E681F">
        <w:rPr>
          <w:lang w:val="fr-FR"/>
        </w:rPr>
        <w:t>bours</w:t>
      </w:r>
      <w:r w:rsidR="003A593E">
        <w:rPr>
          <w:lang w:val="fr-FR"/>
        </w:rPr>
        <w:t>e</w:t>
      </w:r>
      <w:r w:rsidR="006D44AF" w:rsidRPr="000E681F">
        <w:rPr>
          <w:lang w:val="fr-FR"/>
        </w:rPr>
        <w:t xml:space="preserve">s </w:t>
      </w:r>
      <w:r w:rsidR="00B411CD">
        <w:rPr>
          <w:lang w:val="fr-FR"/>
        </w:rPr>
        <w:t>pour</w:t>
      </w:r>
      <w:r w:rsidR="003A593E" w:rsidRPr="003A593E">
        <w:rPr>
          <w:lang w:val="fr-FR"/>
        </w:rPr>
        <w:t xml:space="preserve"> </w:t>
      </w:r>
      <w:r w:rsidR="003A593E">
        <w:rPr>
          <w:lang w:val="fr-FR"/>
        </w:rPr>
        <w:t xml:space="preserve">chercheurs </w:t>
      </w:r>
      <w:r w:rsidR="006D44AF" w:rsidRPr="000E681F">
        <w:rPr>
          <w:lang w:val="fr-FR"/>
        </w:rPr>
        <w:t>en début de carrière et l</w:t>
      </w:r>
      <w:r w:rsidR="00CB6448" w:rsidRPr="000E681F">
        <w:rPr>
          <w:lang w:val="fr-FR"/>
        </w:rPr>
        <w:t>’</w:t>
      </w:r>
      <w:r w:rsidR="006D44AF" w:rsidRPr="000E681F">
        <w:rPr>
          <w:lang w:val="fr-FR"/>
        </w:rPr>
        <w:t>approche concernant la reconnaissance et l</w:t>
      </w:r>
      <w:r w:rsidR="00CB6448" w:rsidRPr="000E681F">
        <w:rPr>
          <w:lang w:val="fr-FR"/>
        </w:rPr>
        <w:t>’</w:t>
      </w:r>
      <w:r w:rsidR="006D44AF" w:rsidRPr="000E681F">
        <w:rPr>
          <w:lang w:val="fr-FR"/>
        </w:rPr>
        <w:t>utilisation des savoirs autochtones et locaux, sont devenus des produits phare</w:t>
      </w:r>
      <w:r w:rsidR="00DE5EA7" w:rsidRPr="000E681F">
        <w:rPr>
          <w:lang w:val="fr-FR"/>
        </w:rPr>
        <w:t>s</w:t>
      </w:r>
      <w:r w:rsidR="006D44AF" w:rsidRPr="000E681F">
        <w:rPr>
          <w:lang w:val="fr-FR"/>
        </w:rPr>
        <w:t xml:space="preserve"> de la Plateforme et ont permis d</w:t>
      </w:r>
      <w:r w:rsidR="00CB6448" w:rsidRPr="000E681F">
        <w:rPr>
          <w:lang w:val="fr-FR"/>
        </w:rPr>
        <w:t>’</w:t>
      </w:r>
      <w:r w:rsidR="006D44AF" w:rsidRPr="000E681F">
        <w:rPr>
          <w:lang w:val="fr-FR"/>
        </w:rPr>
        <w:t>améliorer considérablement l</w:t>
      </w:r>
      <w:r w:rsidR="00CB6448" w:rsidRPr="000E681F">
        <w:rPr>
          <w:lang w:val="fr-FR"/>
        </w:rPr>
        <w:t>’</w:t>
      </w:r>
      <w:r w:rsidR="006D44AF" w:rsidRPr="000E681F">
        <w:rPr>
          <w:lang w:val="fr-FR"/>
        </w:rPr>
        <w:t>inclusi</w:t>
      </w:r>
      <w:r w:rsidR="00B411CD">
        <w:rPr>
          <w:lang w:val="fr-FR"/>
        </w:rPr>
        <w:t>vité</w:t>
      </w:r>
      <w:r w:rsidR="006D44AF" w:rsidRPr="000E681F">
        <w:rPr>
          <w:lang w:val="fr-FR"/>
        </w:rPr>
        <w:t>, la crédibilité et la pertinence de celle-ci du point de vue des politiques.</w:t>
      </w:r>
      <w:r w:rsidR="007F5581" w:rsidRPr="000E681F">
        <w:rPr>
          <w:lang w:val="fr-FR"/>
        </w:rPr>
        <w:t xml:space="preserve"> Le Bureau et le Groupe d</w:t>
      </w:r>
      <w:r w:rsidR="00CB6448" w:rsidRPr="000E681F">
        <w:rPr>
          <w:lang w:val="fr-FR"/>
        </w:rPr>
        <w:t>’</w:t>
      </w:r>
      <w:r w:rsidR="007F5581" w:rsidRPr="000E681F">
        <w:rPr>
          <w:lang w:val="fr-FR"/>
        </w:rPr>
        <w:t>experts multidisciplinaire recommandent que les trois</w:t>
      </w:r>
      <w:r w:rsidRPr="000E681F">
        <w:rPr>
          <w:lang w:val="fr-FR"/>
        </w:rPr>
        <w:t> </w:t>
      </w:r>
      <w:r w:rsidR="007F5581" w:rsidRPr="000E681F">
        <w:rPr>
          <w:lang w:val="fr-FR"/>
        </w:rPr>
        <w:t xml:space="preserve">équipes spéciales soient reconduites et </w:t>
      </w:r>
      <w:r w:rsidR="00B411CD">
        <w:rPr>
          <w:lang w:val="fr-FR"/>
        </w:rPr>
        <w:t xml:space="preserve">qu’elles </w:t>
      </w:r>
      <w:r w:rsidR="007F5581" w:rsidRPr="000E681F">
        <w:rPr>
          <w:lang w:val="fr-FR"/>
        </w:rPr>
        <w:t>poursuivent leurs travaux d</w:t>
      </w:r>
      <w:r w:rsidR="00CB6448" w:rsidRPr="000E681F">
        <w:rPr>
          <w:lang w:val="fr-FR"/>
        </w:rPr>
        <w:t>’</w:t>
      </w:r>
      <w:r w:rsidR="007F5581" w:rsidRPr="000E681F">
        <w:rPr>
          <w:lang w:val="fr-FR"/>
        </w:rPr>
        <w:t>une manière plus intégrée dans le cadre du prochain programme de travail</w:t>
      </w:r>
      <w:r w:rsidR="00E0525D" w:rsidRPr="000E681F">
        <w:rPr>
          <w:lang w:val="fr-FR"/>
        </w:rPr>
        <w:t>, en s</w:t>
      </w:r>
      <w:r w:rsidR="00CB6448" w:rsidRPr="000E681F">
        <w:rPr>
          <w:lang w:val="fr-FR"/>
        </w:rPr>
        <w:t>’</w:t>
      </w:r>
      <w:r w:rsidR="00E0525D" w:rsidRPr="000E681F">
        <w:rPr>
          <w:lang w:val="fr-FR"/>
        </w:rPr>
        <w:t>appuyant sur les enseignements tirés du premier programme de travail.</w:t>
      </w:r>
    </w:p>
    <w:p w14:paraId="652045D4" w14:textId="11BD9706" w:rsidR="00855F33" w:rsidRPr="000E681F" w:rsidRDefault="00855F33" w:rsidP="00A86B75">
      <w:pPr>
        <w:pStyle w:val="CH2"/>
        <w:rPr>
          <w:lang w:val="fr-FR"/>
        </w:rPr>
      </w:pPr>
      <w:r w:rsidRPr="000E681F">
        <w:rPr>
          <w:lang w:val="fr-FR"/>
        </w:rPr>
        <w:tab/>
      </w:r>
      <w:r w:rsidR="000A3F77" w:rsidRPr="000E681F">
        <w:rPr>
          <w:lang w:val="fr-FR"/>
        </w:rPr>
        <w:t>B.</w:t>
      </w:r>
      <w:r w:rsidR="000A3F77" w:rsidRPr="000E681F">
        <w:rPr>
          <w:lang w:val="fr-FR"/>
        </w:rPr>
        <w:tab/>
        <w:t>Objectif 2 : Renforcer l</w:t>
      </w:r>
      <w:r w:rsidR="00CB6448" w:rsidRPr="000E681F">
        <w:rPr>
          <w:lang w:val="fr-FR"/>
        </w:rPr>
        <w:t>’</w:t>
      </w:r>
      <w:r w:rsidR="000A3F77" w:rsidRPr="000E681F">
        <w:rPr>
          <w:lang w:val="fr-FR"/>
        </w:rPr>
        <w:t>interface science</w:t>
      </w:r>
      <w:r w:rsidR="000A3F77" w:rsidRPr="000E681F">
        <w:rPr>
          <w:lang w:val="fr-FR"/>
        </w:rPr>
        <w:noBreakHyphen/>
        <w:t xml:space="preserve">politique dans le domaine </w:t>
      </w:r>
      <w:r w:rsidR="006F7427">
        <w:rPr>
          <w:lang w:val="fr-FR"/>
        </w:rPr>
        <w:br/>
      </w:r>
      <w:r w:rsidR="000A3F77" w:rsidRPr="000E681F">
        <w:rPr>
          <w:lang w:val="fr-FR"/>
        </w:rPr>
        <w:t>de la biodiversité et des services écosystémiques aux niveaux sous-régional, régional et mondial</w:t>
      </w:r>
      <w:r w:rsidR="009428ED">
        <w:rPr>
          <w:lang w:val="fr-FR"/>
        </w:rPr>
        <w:t xml:space="preserve"> ainsi que de manière transversale</w:t>
      </w:r>
    </w:p>
    <w:p w14:paraId="2223B5A0" w14:textId="2A84D2A6" w:rsidR="00855F33" w:rsidRPr="000E681F" w:rsidRDefault="003D69D1" w:rsidP="00A86B75">
      <w:pPr>
        <w:pStyle w:val="Normalnumber"/>
        <w:rPr>
          <w:lang w:val="fr-FR"/>
        </w:rPr>
      </w:pPr>
      <w:bookmarkStart w:id="7" w:name="_Hlk532653493"/>
      <w:r w:rsidRPr="000E681F">
        <w:rPr>
          <w:lang w:val="fr-FR"/>
        </w:rPr>
        <w:t>Les progrès réalisés au titre de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objectif 2 comprennent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élaboration des produits suivants </w:t>
      </w:r>
      <w:r w:rsidR="00855F33" w:rsidRPr="000E681F">
        <w:rPr>
          <w:lang w:val="fr-FR"/>
        </w:rPr>
        <w:t>:</w:t>
      </w:r>
    </w:p>
    <w:bookmarkEnd w:id="7"/>
    <w:p w14:paraId="5C1B72E2" w14:textId="6A8E820C" w:rsidR="00DE64ED" w:rsidRPr="000E681F" w:rsidRDefault="000D1E8B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 xml:space="preserve">Une version mise à jour du guide pour la réalisation des évaluations </w:t>
      </w:r>
      <w:r w:rsidR="005E7BA5">
        <w:rPr>
          <w:lang w:val="fr-FR"/>
        </w:rPr>
        <w:t>(</w:t>
      </w:r>
      <w:r w:rsidR="0088066B" w:rsidRPr="000E681F">
        <w:rPr>
          <w:lang w:val="fr-FR"/>
        </w:rPr>
        <w:t>produit </w:t>
      </w:r>
      <w:r w:rsidRPr="000E681F">
        <w:rPr>
          <w:lang w:val="fr-FR"/>
        </w:rPr>
        <w:t>2</w:t>
      </w:r>
      <w:r w:rsidR="0088066B" w:rsidRPr="000E681F">
        <w:rPr>
          <w:lang w:val="fr-FR"/>
        </w:rPr>
        <w:t> </w:t>
      </w:r>
      <w:r w:rsidRPr="000E681F">
        <w:rPr>
          <w:lang w:val="fr-FR"/>
        </w:rPr>
        <w:t>a)</w:t>
      </w:r>
      <w:r w:rsidR="005E7BA5">
        <w:rPr>
          <w:lang w:val="fr-FR"/>
        </w:rPr>
        <w:t>)</w:t>
      </w:r>
      <w:r w:rsidRPr="000E681F">
        <w:rPr>
          <w:lang w:val="fr-FR"/>
        </w:rPr>
        <w:t xml:space="preserve"> établie par un groupe composé de membres du Bureau et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</w:t>
      </w:r>
      <w:r w:rsidR="004802DB">
        <w:rPr>
          <w:lang w:val="fr-FR"/>
        </w:rPr>
        <w:t>xperts multidisciplinaire, avec </w:t>
      </w:r>
      <w:r w:rsidRPr="000E681F">
        <w:rPr>
          <w:lang w:val="fr-FR"/>
        </w:rPr>
        <w:t>le soutien du secrétariat et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appui technique ; un résumé </w:t>
      </w:r>
      <w:r w:rsidR="00125D84">
        <w:rPr>
          <w:lang w:val="fr-FR"/>
        </w:rPr>
        <w:t>mis en page</w:t>
      </w:r>
      <w:r w:rsidRPr="000E681F">
        <w:rPr>
          <w:lang w:val="fr-FR"/>
        </w:rPr>
        <w:t xml:space="preserve"> du guide, disponible en ligne et en version papier ; un graphique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information présentant le processus d</w:t>
      </w:r>
      <w:r w:rsidR="00CB6448" w:rsidRPr="000E681F">
        <w:rPr>
          <w:lang w:val="fr-FR"/>
        </w:rPr>
        <w:t>’</w:t>
      </w:r>
      <w:r w:rsidR="006D676D" w:rsidRPr="000E681F">
        <w:rPr>
          <w:lang w:val="fr-FR"/>
        </w:rPr>
        <w:t>évaluation de la P</w:t>
      </w:r>
      <w:r w:rsidRPr="000E681F">
        <w:rPr>
          <w:lang w:val="fr-FR"/>
        </w:rPr>
        <w:t xml:space="preserve">lateforme dans son ensemble ; les principaux </w:t>
      </w:r>
      <w:r w:rsidR="00911B25" w:rsidRPr="00911B25">
        <w:rPr>
          <w:lang w:val="fr-FR"/>
        </w:rPr>
        <w:t xml:space="preserve">graphiques </w:t>
      </w:r>
      <w:r w:rsidRPr="000E681F">
        <w:rPr>
          <w:lang w:val="fr-FR"/>
        </w:rPr>
        <w:t>du guide sous forme de fichiers séparés ; et un outil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apprentissage en ligne sur la réalisation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évaluations pour la Plateforme</w:t>
      </w:r>
      <w:r w:rsidRPr="000E681F">
        <w:rPr>
          <w:vertAlign w:val="superscript"/>
          <w:lang w:val="fr-FR"/>
        </w:rPr>
        <w:footnoteReference w:id="4"/>
      </w:r>
      <w:r w:rsidR="00C10C4D" w:rsidRPr="000E681F">
        <w:rPr>
          <w:lang w:val="fr-FR"/>
        </w:rPr>
        <w:t>.</w:t>
      </w:r>
      <w:r w:rsidR="00500AAE" w:rsidRPr="000E681F">
        <w:rPr>
          <w:lang w:val="fr-FR"/>
        </w:rPr>
        <w:t xml:space="preserve"> </w:t>
      </w:r>
      <w:r w:rsidR="00F41BE1">
        <w:rPr>
          <w:lang w:val="fr-FR"/>
        </w:rPr>
        <w:t>Le </w:t>
      </w:r>
      <w:r w:rsidR="0088066B" w:rsidRPr="000E681F">
        <w:rPr>
          <w:lang w:val="fr-FR"/>
        </w:rPr>
        <w:t>groupe d</w:t>
      </w:r>
      <w:r w:rsidR="00CB6448" w:rsidRPr="000E681F">
        <w:rPr>
          <w:lang w:val="fr-FR"/>
        </w:rPr>
        <w:t>’</w:t>
      </w:r>
      <w:r w:rsidR="0088066B" w:rsidRPr="000E681F">
        <w:rPr>
          <w:lang w:val="fr-FR"/>
        </w:rPr>
        <w:t>appui technique basé au Centre mondial de surveillance pour la conservation du Programme des Nations Unies pour l</w:t>
      </w:r>
      <w:r w:rsidR="00CB6448" w:rsidRPr="000E681F">
        <w:rPr>
          <w:lang w:val="fr-FR"/>
        </w:rPr>
        <w:t>’</w:t>
      </w:r>
      <w:r w:rsidR="0088066B" w:rsidRPr="000E681F">
        <w:rPr>
          <w:lang w:val="fr-FR"/>
        </w:rPr>
        <w:t>environnement (PNUE</w:t>
      </w:r>
      <w:r w:rsidR="0088066B" w:rsidRPr="000E681F">
        <w:rPr>
          <w:lang w:val="fr-FR"/>
        </w:rPr>
        <w:noBreakHyphen/>
        <w:t>WCMC) a continué de soutenir ces travaux grâce à l</w:t>
      </w:r>
      <w:r w:rsidR="00CB6448" w:rsidRPr="000E681F">
        <w:rPr>
          <w:lang w:val="fr-FR"/>
        </w:rPr>
        <w:t>’</w:t>
      </w:r>
      <w:r w:rsidR="0088066B" w:rsidRPr="000E681F">
        <w:rPr>
          <w:lang w:val="fr-FR"/>
        </w:rPr>
        <w:t xml:space="preserve">appui en nature </w:t>
      </w:r>
      <w:r w:rsidR="006D676D" w:rsidRPr="000E681F">
        <w:rPr>
          <w:lang w:val="fr-FR"/>
        </w:rPr>
        <w:t>fourni</w:t>
      </w:r>
      <w:r w:rsidR="0088066B" w:rsidRPr="000E681F">
        <w:rPr>
          <w:lang w:val="fr-FR"/>
        </w:rPr>
        <w:t xml:space="preserve"> par cette organisation. Le guide est un document évolutif auquel de nouveaux modules seront ajoutés ou dont les modules exist</w:t>
      </w:r>
      <w:r w:rsidR="006D676D" w:rsidRPr="000E681F">
        <w:rPr>
          <w:lang w:val="fr-FR"/>
        </w:rPr>
        <w:t>ants seront modifiés selon les</w:t>
      </w:r>
      <w:r w:rsidR="0088066B" w:rsidRPr="000E681F">
        <w:rPr>
          <w:lang w:val="fr-FR"/>
        </w:rPr>
        <w:t xml:space="preserve"> besoin</w:t>
      </w:r>
      <w:r w:rsidR="006D676D" w:rsidRPr="000E681F">
        <w:rPr>
          <w:lang w:val="fr-FR"/>
        </w:rPr>
        <w:t>s</w:t>
      </w:r>
      <w:r w:rsidR="0088066B" w:rsidRPr="000E681F">
        <w:rPr>
          <w:lang w:val="fr-FR"/>
        </w:rPr>
        <w:t>. Des informations supplémentaires sur les travaux s</w:t>
      </w:r>
      <w:r w:rsidR="00CB6448" w:rsidRPr="000E681F">
        <w:rPr>
          <w:lang w:val="fr-FR"/>
        </w:rPr>
        <w:t>’</w:t>
      </w:r>
      <w:r w:rsidR="0088066B" w:rsidRPr="000E681F">
        <w:rPr>
          <w:lang w:val="fr-FR"/>
        </w:rPr>
        <w:t>y rapportant sont disponibles dans le document IPBES/7/INF/10</w:t>
      </w:r>
      <w:r w:rsidR="0088066B" w:rsidRPr="000E681F">
        <w:rPr>
          <w:b/>
          <w:lang w:val="fr-FR"/>
        </w:rPr>
        <w:t> </w:t>
      </w:r>
      <w:r w:rsidR="00855F33" w:rsidRPr="000E681F">
        <w:rPr>
          <w:lang w:val="fr-FR"/>
        </w:rPr>
        <w:t>;</w:t>
      </w:r>
      <w:bookmarkStart w:id="8" w:name="_Hlk532653457"/>
    </w:p>
    <w:p w14:paraId="23412868" w14:textId="12E781E6" w:rsidR="00855F33" w:rsidRPr="000E681F" w:rsidRDefault="00AC610A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 xml:space="preserve">Des versions </w:t>
      </w:r>
      <w:r w:rsidR="00125D84">
        <w:rPr>
          <w:lang w:val="fr-FR"/>
        </w:rPr>
        <w:t>mises en page</w:t>
      </w:r>
      <w:r w:rsidRPr="000E681F">
        <w:rPr>
          <w:lang w:val="fr-FR"/>
        </w:rPr>
        <w:t xml:space="preserve"> des résumés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intention des décideurs des quatre</w:t>
      </w:r>
      <w:r w:rsidR="007B3C8E" w:rsidRPr="000E681F">
        <w:rPr>
          <w:lang w:val="fr-FR"/>
        </w:rPr>
        <w:t> </w:t>
      </w:r>
      <w:r w:rsidRPr="000E681F">
        <w:rPr>
          <w:lang w:val="fr-FR"/>
        </w:rPr>
        <w:t xml:space="preserve">évaluations régionales et sous-régionales de la biodiversité et des services écosystémiques </w:t>
      </w:r>
      <w:r w:rsidR="00DF5190">
        <w:rPr>
          <w:lang w:val="fr-FR"/>
        </w:rPr>
        <w:t>(</w:t>
      </w:r>
      <w:r w:rsidR="00EF678A" w:rsidRPr="000E681F">
        <w:rPr>
          <w:lang w:val="fr-FR"/>
        </w:rPr>
        <w:t>produit 2 </w:t>
      </w:r>
      <w:r w:rsidR="000A1C3B" w:rsidRPr="000E681F">
        <w:rPr>
          <w:lang w:val="fr-FR"/>
        </w:rPr>
        <w:t>b)</w:t>
      </w:r>
      <w:r w:rsidR="00DF5190">
        <w:rPr>
          <w:lang w:val="fr-FR"/>
        </w:rPr>
        <w:t>)</w:t>
      </w:r>
      <w:r w:rsidRPr="000E681F">
        <w:rPr>
          <w:lang w:val="fr-FR"/>
        </w:rPr>
        <w:t xml:space="preserve"> approuvées par la Plénière à sa six</w:t>
      </w:r>
      <w:r w:rsidR="007B3C8E" w:rsidRPr="000E681F">
        <w:rPr>
          <w:lang w:val="fr-FR"/>
        </w:rPr>
        <w:t>ième </w:t>
      </w:r>
      <w:r w:rsidRPr="000E681F">
        <w:rPr>
          <w:lang w:val="fr-FR"/>
        </w:rPr>
        <w:t>session, disponible</w:t>
      </w:r>
      <w:r w:rsidR="00125D84">
        <w:rPr>
          <w:lang w:val="fr-FR"/>
        </w:rPr>
        <w:t>s</w:t>
      </w:r>
      <w:r w:rsidRPr="000E681F">
        <w:rPr>
          <w:lang w:val="fr-FR"/>
        </w:rPr>
        <w:t xml:space="preserve"> </w:t>
      </w:r>
      <w:r w:rsidR="00911B25">
        <w:rPr>
          <w:lang w:val="fr-FR"/>
        </w:rPr>
        <w:t xml:space="preserve">sous forme de fichier </w:t>
      </w:r>
      <w:r w:rsidRPr="000E681F">
        <w:rPr>
          <w:lang w:val="fr-FR"/>
        </w:rPr>
        <w:t>PDF sur le site Web de la Plateforme ainsi qu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en version papier ;</w:t>
      </w:r>
      <w:r w:rsidR="00655D43" w:rsidRPr="000E681F">
        <w:rPr>
          <w:lang w:val="fr-FR"/>
        </w:rPr>
        <w:t xml:space="preserve"> et des versions </w:t>
      </w:r>
      <w:r w:rsidR="00125D84" w:rsidRPr="00125D84">
        <w:rPr>
          <w:lang w:val="fr-FR"/>
        </w:rPr>
        <w:t>mises en page</w:t>
      </w:r>
      <w:r w:rsidR="00655D43" w:rsidRPr="000E681F">
        <w:rPr>
          <w:lang w:val="fr-FR"/>
        </w:rPr>
        <w:t xml:space="preserve"> des rapports d</w:t>
      </w:r>
      <w:r w:rsidR="00CB6448" w:rsidRPr="000E681F">
        <w:rPr>
          <w:lang w:val="fr-FR"/>
        </w:rPr>
        <w:t>’</w:t>
      </w:r>
      <w:r w:rsidR="00655D43" w:rsidRPr="000E681F">
        <w:rPr>
          <w:lang w:val="fr-FR"/>
        </w:rPr>
        <w:t>év</w:t>
      </w:r>
      <w:r w:rsidR="00A229F2" w:rsidRPr="000E681F">
        <w:rPr>
          <w:lang w:val="fr-FR"/>
        </w:rPr>
        <w:t>aluation complets (</w:t>
      </w:r>
      <w:r w:rsidR="00FE5DC6">
        <w:rPr>
          <w:lang w:val="fr-FR"/>
        </w:rPr>
        <w:t xml:space="preserve">pages </w:t>
      </w:r>
      <w:r w:rsidR="00655D43" w:rsidRPr="000E681F">
        <w:rPr>
          <w:lang w:val="fr-FR"/>
        </w:rPr>
        <w:t>liminaires, résumé à l</w:t>
      </w:r>
      <w:r w:rsidR="00CB6448" w:rsidRPr="000E681F">
        <w:rPr>
          <w:lang w:val="fr-FR"/>
        </w:rPr>
        <w:t>’</w:t>
      </w:r>
      <w:r w:rsidR="00655D43" w:rsidRPr="000E681F">
        <w:rPr>
          <w:lang w:val="fr-FR"/>
        </w:rPr>
        <w:t>intention des décideurs, chapitres et</w:t>
      </w:r>
      <w:r w:rsidR="00A229F2" w:rsidRPr="000E681F">
        <w:rPr>
          <w:lang w:val="fr-FR"/>
        </w:rPr>
        <w:t xml:space="preserve"> pages </w:t>
      </w:r>
      <w:r w:rsidR="00737375">
        <w:rPr>
          <w:lang w:val="fr-FR"/>
        </w:rPr>
        <w:t>annexes</w:t>
      </w:r>
      <w:r w:rsidR="00655D43" w:rsidRPr="000E681F">
        <w:rPr>
          <w:lang w:val="fr-FR"/>
        </w:rPr>
        <w:t>) disponibles sur le site Web de la Plateforme</w:t>
      </w:r>
      <w:r w:rsidR="002146B9" w:rsidRPr="000E681F">
        <w:rPr>
          <w:lang w:val="fr-FR"/>
        </w:rPr>
        <w:t>.</w:t>
      </w:r>
      <w:r w:rsidR="007A61BE" w:rsidRPr="000E681F">
        <w:rPr>
          <w:lang w:val="fr-FR"/>
        </w:rPr>
        <w:t xml:space="preserve"> </w:t>
      </w:r>
      <w:bookmarkEnd w:id="8"/>
      <w:r w:rsidR="008D622A" w:rsidRPr="000E681F">
        <w:rPr>
          <w:lang w:val="fr-FR"/>
        </w:rPr>
        <w:t>Les groupes d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>appui technique basés à l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>Institut de recherche en ressources biol</w:t>
      </w:r>
      <w:r w:rsidR="00A229F2" w:rsidRPr="000E681F">
        <w:rPr>
          <w:lang w:val="fr-FR"/>
        </w:rPr>
        <w:t>ogiques Alexander von Humboldt de Bogota</w:t>
      </w:r>
      <w:r w:rsidR="008D622A" w:rsidRPr="000E681F">
        <w:rPr>
          <w:lang w:val="fr-FR"/>
        </w:rPr>
        <w:t xml:space="preserve">, et au </w:t>
      </w:r>
      <w:r w:rsidR="00572B21" w:rsidRPr="000E681F">
        <w:rPr>
          <w:lang w:val="fr-FR"/>
        </w:rPr>
        <w:t>Conseil sud-africain de la recherche scientifique et industrielle</w:t>
      </w:r>
      <w:r w:rsidR="00A229F2" w:rsidRPr="000E681F">
        <w:rPr>
          <w:lang w:val="fr-FR"/>
        </w:rPr>
        <w:t xml:space="preserve"> de </w:t>
      </w:r>
      <w:r w:rsidR="008D622A" w:rsidRPr="000E681F">
        <w:rPr>
          <w:lang w:val="fr-FR"/>
        </w:rPr>
        <w:t>Pretoria</w:t>
      </w:r>
      <w:r w:rsidR="00A229F2" w:rsidRPr="000E681F">
        <w:rPr>
          <w:lang w:val="fr-FR"/>
        </w:rPr>
        <w:t>,</w:t>
      </w:r>
      <w:r w:rsidR="008D622A" w:rsidRPr="000E681F">
        <w:rPr>
          <w:lang w:val="fr-FR"/>
        </w:rPr>
        <w:t xml:space="preserve"> ont continué d</w:t>
      </w:r>
      <w:r w:rsidR="00125D84">
        <w:rPr>
          <w:lang w:val="fr-FR"/>
        </w:rPr>
        <w:t>’aide</w:t>
      </w:r>
      <w:r w:rsidR="008D622A" w:rsidRPr="000E681F">
        <w:rPr>
          <w:lang w:val="fr-FR"/>
        </w:rPr>
        <w:t xml:space="preserve">r </w:t>
      </w:r>
      <w:r w:rsidR="00125D84">
        <w:rPr>
          <w:lang w:val="fr-FR"/>
        </w:rPr>
        <w:t>aux</w:t>
      </w:r>
      <w:r w:rsidR="008D622A" w:rsidRPr="000E681F">
        <w:rPr>
          <w:lang w:val="fr-FR"/>
        </w:rPr>
        <w:t xml:space="preserve"> travaux dans ce domaine et </w:t>
      </w:r>
      <w:r w:rsidR="00125D84">
        <w:rPr>
          <w:lang w:val="fr-FR"/>
        </w:rPr>
        <w:t xml:space="preserve">à </w:t>
      </w:r>
      <w:r w:rsidR="0073625A"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="0073625A" w:rsidRPr="000E681F">
        <w:rPr>
          <w:lang w:val="fr-FR"/>
        </w:rPr>
        <w:t>adoption des évaluations</w:t>
      </w:r>
      <w:r w:rsidR="008D622A" w:rsidRPr="000E681F">
        <w:rPr>
          <w:lang w:val="fr-FR"/>
        </w:rPr>
        <w:t>, grâce à l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>appui en nature apporté par la Colombie et l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>Afrique du Sud. Les groupes d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>appui technique basés à l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>Institut des stratégi</w:t>
      </w:r>
      <w:r w:rsidR="00A229F2" w:rsidRPr="000E681F">
        <w:rPr>
          <w:lang w:val="fr-FR"/>
        </w:rPr>
        <w:t>es environnementales mondiales de Tokyo</w:t>
      </w:r>
      <w:r w:rsidR="008D622A" w:rsidRPr="000E681F">
        <w:rPr>
          <w:lang w:val="fr-FR"/>
        </w:rPr>
        <w:t xml:space="preserve"> et à l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 xml:space="preserve">Université de Berne </w:t>
      </w:r>
      <w:r w:rsidR="00A229F2" w:rsidRPr="000E681F">
        <w:rPr>
          <w:lang w:val="fr-FR"/>
        </w:rPr>
        <w:t>en Suisse</w:t>
      </w:r>
      <w:r w:rsidR="008D622A" w:rsidRPr="000E681F">
        <w:rPr>
          <w:lang w:val="fr-FR"/>
        </w:rPr>
        <w:t xml:space="preserve"> continueront de soutenir les travaux de finalisation des rapports et de leur </w:t>
      </w:r>
      <w:r w:rsidR="0073625A" w:rsidRPr="000E681F">
        <w:rPr>
          <w:lang w:val="fr-FR"/>
        </w:rPr>
        <w:t>adoption</w:t>
      </w:r>
      <w:r w:rsidR="008D622A" w:rsidRPr="000E681F">
        <w:rPr>
          <w:lang w:val="fr-FR"/>
        </w:rPr>
        <w:t>, respectivement jusqu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>en août 2019 et décembre 201</w:t>
      </w:r>
      <w:r w:rsidR="002D185D">
        <w:rPr>
          <w:lang w:val="fr-FR"/>
        </w:rPr>
        <w:t>8</w:t>
      </w:r>
      <w:r w:rsidR="008D622A" w:rsidRPr="000E681F">
        <w:rPr>
          <w:lang w:val="fr-FR"/>
        </w:rPr>
        <w:t>, grâce à l</w:t>
      </w:r>
      <w:r w:rsidR="00CB6448" w:rsidRPr="000E681F">
        <w:rPr>
          <w:lang w:val="fr-FR"/>
        </w:rPr>
        <w:t>’</w:t>
      </w:r>
      <w:r w:rsidR="008D622A" w:rsidRPr="000E681F">
        <w:rPr>
          <w:lang w:val="fr-FR"/>
        </w:rPr>
        <w:t xml:space="preserve">appui en nature </w:t>
      </w:r>
      <w:r w:rsidR="003B6F83" w:rsidRPr="000E681F">
        <w:rPr>
          <w:lang w:val="fr-FR"/>
        </w:rPr>
        <w:t>fourni</w:t>
      </w:r>
      <w:r w:rsidR="008D622A" w:rsidRPr="000E681F">
        <w:rPr>
          <w:lang w:val="fr-FR"/>
        </w:rPr>
        <w:t xml:space="preserve"> par le Japon et la Suisse </w:t>
      </w:r>
      <w:r w:rsidR="00855F33" w:rsidRPr="000E681F">
        <w:rPr>
          <w:lang w:val="fr-FR"/>
        </w:rPr>
        <w:t>;</w:t>
      </w:r>
    </w:p>
    <w:p w14:paraId="5D655825" w14:textId="2E845D26" w:rsidR="00AD00F2" w:rsidRPr="000E681F" w:rsidRDefault="00E83672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Le projet final de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 mondiale de la biodiversité et des services écosystémiques</w:t>
      </w:r>
      <w:r w:rsidR="00AD00F2" w:rsidRPr="000E681F">
        <w:rPr>
          <w:lang w:val="fr-FR"/>
        </w:rPr>
        <w:t xml:space="preserve"> établi par le groupe d</w:t>
      </w:r>
      <w:r w:rsidR="00CB6448" w:rsidRPr="000E681F">
        <w:rPr>
          <w:lang w:val="fr-FR"/>
        </w:rPr>
        <w:t>’</w:t>
      </w:r>
      <w:r w:rsidR="00AD00F2" w:rsidRPr="000E681F">
        <w:rPr>
          <w:lang w:val="fr-FR"/>
        </w:rPr>
        <w:t>auteurs d</w:t>
      </w:r>
      <w:r w:rsidR="00CB6448" w:rsidRPr="000E681F">
        <w:rPr>
          <w:lang w:val="fr-FR"/>
        </w:rPr>
        <w:t>’</w:t>
      </w:r>
      <w:r w:rsidR="005E7BA5">
        <w:rPr>
          <w:lang w:val="fr-FR"/>
        </w:rPr>
        <w:t>évaluations (</w:t>
      </w:r>
      <w:r w:rsidR="00AD00F2" w:rsidRPr="000E681F">
        <w:rPr>
          <w:lang w:val="fr-FR"/>
        </w:rPr>
        <w:t>produit 2 c)</w:t>
      </w:r>
      <w:r w:rsidR="005E7BA5">
        <w:rPr>
          <w:lang w:val="fr-FR"/>
        </w:rPr>
        <w:t>)</w:t>
      </w:r>
      <w:r w:rsidR="00AD00F2" w:rsidRPr="000E681F">
        <w:rPr>
          <w:lang w:val="fr-FR"/>
        </w:rPr>
        <w:t xml:space="preserve">, que la Plénière doit examiner à la session </w:t>
      </w:r>
      <w:r w:rsidR="00125D84">
        <w:rPr>
          <w:lang w:val="fr-FR"/>
        </w:rPr>
        <w:t>actuelle</w:t>
      </w:r>
      <w:r w:rsidR="00AD00F2" w:rsidRPr="000E681F">
        <w:rPr>
          <w:lang w:val="fr-FR"/>
        </w:rPr>
        <w:t xml:space="preserve"> à la suite de l</w:t>
      </w:r>
      <w:r w:rsidR="00CB6448" w:rsidRPr="000E681F">
        <w:rPr>
          <w:lang w:val="fr-FR"/>
        </w:rPr>
        <w:t>’</w:t>
      </w:r>
      <w:r w:rsidR="00AD00F2" w:rsidRPr="000E681F">
        <w:rPr>
          <w:lang w:val="fr-FR"/>
        </w:rPr>
        <w:t xml:space="preserve">examen externe de </w:t>
      </w:r>
      <w:r w:rsidR="00B86B5C" w:rsidRPr="000E681F">
        <w:rPr>
          <w:lang w:val="fr-FR"/>
        </w:rPr>
        <w:t>la deuxième </w:t>
      </w:r>
      <w:r w:rsidR="00AD00F2" w:rsidRPr="000E681F">
        <w:rPr>
          <w:lang w:val="fr-FR"/>
        </w:rPr>
        <w:t xml:space="preserve">version préliminaire des chapitres et de la </w:t>
      </w:r>
      <w:r w:rsidR="00B86B5C" w:rsidRPr="000E681F">
        <w:rPr>
          <w:lang w:val="fr-FR"/>
        </w:rPr>
        <w:t>première </w:t>
      </w:r>
      <w:r w:rsidR="00AD00F2" w:rsidRPr="000E681F">
        <w:rPr>
          <w:lang w:val="fr-FR"/>
        </w:rPr>
        <w:t>version préliminaire du résumé</w:t>
      </w:r>
      <w:r w:rsidR="00AA5555" w:rsidRPr="000E681F">
        <w:rPr>
          <w:lang w:val="fr-FR"/>
        </w:rPr>
        <w:t xml:space="preserve"> à l</w:t>
      </w:r>
      <w:r w:rsidR="00CB6448" w:rsidRPr="000E681F">
        <w:rPr>
          <w:lang w:val="fr-FR"/>
        </w:rPr>
        <w:t>’</w:t>
      </w:r>
      <w:r w:rsidR="00AA5555" w:rsidRPr="000E681F">
        <w:rPr>
          <w:lang w:val="fr-FR"/>
        </w:rPr>
        <w:t>intention des décideurs de l</w:t>
      </w:r>
      <w:r w:rsidR="00CB6448" w:rsidRPr="000E681F">
        <w:rPr>
          <w:lang w:val="fr-FR"/>
        </w:rPr>
        <w:t>’</w:t>
      </w:r>
      <w:r w:rsidR="00AD00F2" w:rsidRPr="000E681F">
        <w:rPr>
          <w:lang w:val="fr-FR"/>
        </w:rPr>
        <w:t>évaluation</w:t>
      </w:r>
      <w:r w:rsidR="00AA5555" w:rsidRPr="000E681F">
        <w:rPr>
          <w:lang w:val="fr-FR"/>
        </w:rPr>
        <w:t>,</w:t>
      </w:r>
      <w:r w:rsidR="00AD00F2" w:rsidRPr="000E681F">
        <w:rPr>
          <w:lang w:val="fr-FR"/>
        </w:rPr>
        <w:t xml:space="preserve"> effectué par les gouvernements et par les pairs </w:t>
      </w:r>
      <w:r w:rsidR="00AA5555" w:rsidRPr="000E681F">
        <w:rPr>
          <w:lang w:val="fr-FR"/>
        </w:rPr>
        <w:t>d</w:t>
      </w:r>
      <w:r w:rsidR="00CB6448" w:rsidRPr="000E681F">
        <w:rPr>
          <w:lang w:val="fr-FR"/>
        </w:rPr>
        <w:t>’</w:t>
      </w:r>
      <w:r w:rsidR="00AA5555" w:rsidRPr="000E681F">
        <w:rPr>
          <w:lang w:val="fr-FR"/>
        </w:rPr>
        <w:t>avril à juillet 2018</w:t>
      </w:r>
      <w:r w:rsidR="00AC7F74" w:rsidRPr="000E681F">
        <w:rPr>
          <w:lang w:val="fr-FR"/>
        </w:rPr>
        <w:t xml:space="preserve"> ; </w:t>
      </w:r>
      <w:r w:rsidR="000406AB" w:rsidRPr="000E681F">
        <w:rPr>
          <w:lang w:val="fr-FR"/>
        </w:rPr>
        <w:t>la troisième </w:t>
      </w:r>
      <w:r w:rsidR="00AC7F74" w:rsidRPr="000E681F">
        <w:rPr>
          <w:lang w:val="fr-FR"/>
        </w:rPr>
        <w:t>réunion d</w:t>
      </w:r>
      <w:r w:rsidR="00CB6448" w:rsidRPr="000E681F">
        <w:rPr>
          <w:lang w:val="fr-FR"/>
        </w:rPr>
        <w:t>’</w:t>
      </w:r>
      <w:r w:rsidR="00AC7F74" w:rsidRPr="000E681F">
        <w:rPr>
          <w:lang w:val="fr-FR"/>
        </w:rPr>
        <w:t>auteurs de l</w:t>
      </w:r>
      <w:r w:rsidR="00CB6448" w:rsidRPr="000E681F">
        <w:rPr>
          <w:lang w:val="fr-FR"/>
        </w:rPr>
        <w:t>’</w:t>
      </w:r>
      <w:r w:rsidR="00AC7F74" w:rsidRPr="000E681F">
        <w:rPr>
          <w:lang w:val="fr-FR"/>
        </w:rPr>
        <w:t>évaluation, tenue en juillet 2018 et un atelier de rédaction pour le résumé à l</w:t>
      </w:r>
      <w:r w:rsidR="00CB6448" w:rsidRPr="000E681F">
        <w:rPr>
          <w:lang w:val="fr-FR"/>
        </w:rPr>
        <w:t>’</w:t>
      </w:r>
      <w:r w:rsidR="00AC7F74" w:rsidRPr="000E681F">
        <w:rPr>
          <w:lang w:val="fr-FR"/>
        </w:rPr>
        <w:t xml:space="preserve">intention des décideurs en </w:t>
      </w:r>
      <w:r w:rsidR="00076724" w:rsidRPr="000E681F">
        <w:rPr>
          <w:lang w:val="fr-FR"/>
        </w:rPr>
        <w:t>août 2018 ; un atelier à l</w:t>
      </w:r>
      <w:r w:rsidR="00CB6448" w:rsidRPr="000E681F">
        <w:rPr>
          <w:lang w:val="fr-FR"/>
        </w:rPr>
        <w:t>’</w:t>
      </w:r>
      <w:r w:rsidR="00076724" w:rsidRPr="000E681F">
        <w:rPr>
          <w:lang w:val="fr-FR"/>
        </w:rPr>
        <w:t>intention des correspondants nationaux organisé en juin 2018 à Bonn, pour renforcer la capacité des gouvernements à réviser l</w:t>
      </w:r>
      <w:r w:rsidR="00CB6448" w:rsidRPr="000E681F">
        <w:rPr>
          <w:lang w:val="fr-FR"/>
        </w:rPr>
        <w:t>’</w:t>
      </w:r>
      <w:r w:rsidR="00076724" w:rsidRPr="000E681F">
        <w:rPr>
          <w:lang w:val="fr-FR"/>
        </w:rPr>
        <w:t>évaluation et à contribuer à son examen à la s</w:t>
      </w:r>
      <w:r w:rsidR="005E7BA5">
        <w:rPr>
          <w:lang w:val="fr-FR"/>
        </w:rPr>
        <w:t>eptième session de la Plénière (</w:t>
      </w:r>
      <w:r w:rsidR="00076724" w:rsidRPr="000E681F">
        <w:rPr>
          <w:lang w:val="fr-FR"/>
        </w:rPr>
        <w:t>voir par. 10 a)</w:t>
      </w:r>
      <w:r w:rsidR="005E7BA5">
        <w:rPr>
          <w:lang w:val="fr-FR"/>
        </w:rPr>
        <w:t>)</w:t>
      </w:r>
      <w:r w:rsidR="00076724" w:rsidRPr="000E681F">
        <w:rPr>
          <w:lang w:val="fr-FR"/>
        </w:rPr>
        <w:t> ; une réunion de finalisation du contenu du chapitre 2 en septembre</w:t>
      </w:r>
      <w:r w:rsidR="00076724" w:rsidRPr="000E681F">
        <w:rPr>
          <w:lang w:val="fr-FR"/>
        </w:rPr>
        <w:noBreakHyphen/>
        <w:t>octobre 2018 aux- États-Unis d</w:t>
      </w:r>
      <w:r w:rsidR="00CB6448" w:rsidRPr="000E681F">
        <w:rPr>
          <w:lang w:val="fr-FR"/>
        </w:rPr>
        <w:t>’</w:t>
      </w:r>
      <w:r w:rsidR="00076724" w:rsidRPr="000E681F">
        <w:rPr>
          <w:lang w:val="fr-FR"/>
        </w:rPr>
        <w:t xml:space="preserve">Amérique et une réunion de finalisation du contenu du chapitre 4 en octobre 2018 en France ; </w:t>
      </w:r>
      <w:r w:rsidR="00B86B5C" w:rsidRPr="000E681F">
        <w:rPr>
          <w:lang w:val="fr-FR"/>
        </w:rPr>
        <w:t>et la mise en œuvre de l</w:t>
      </w:r>
      <w:r w:rsidR="00CB6448" w:rsidRPr="000E681F">
        <w:rPr>
          <w:lang w:val="fr-FR"/>
        </w:rPr>
        <w:t>’</w:t>
      </w:r>
      <w:r w:rsidR="00B86B5C" w:rsidRPr="000E681F">
        <w:rPr>
          <w:lang w:val="fr-FR"/>
        </w:rPr>
        <w:t>approche concernant la reconnaissance et l</w:t>
      </w:r>
      <w:r w:rsidR="00CB6448" w:rsidRPr="000E681F">
        <w:rPr>
          <w:lang w:val="fr-FR"/>
        </w:rPr>
        <w:t>’</w:t>
      </w:r>
      <w:r w:rsidR="00B86B5C" w:rsidRPr="000E681F">
        <w:rPr>
          <w:lang w:val="fr-FR"/>
        </w:rPr>
        <w:t>utilisation des savoirs autochtones et locaux dans le cadre de l</w:t>
      </w:r>
      <w:r w:rsidR="00CB6448" w:rsidRPr="000E681F">
        <w:rPr>
          <w:lang w:val="fr-FR"/>
        </w:rPr>
        <w:t>’</w:t>
      </w:r>
      <w:r w:rsidR="00B86B5C" w:rsidRPr="000E681F">
        <w:rPr>
          <w:lang w:val="fr-FR"/>
        </w:rPr>
        <w:t xml:space="preserve">évaluation mondiale </w:t>
      </w:r>
      <w:r w:rsidR="00DF5190">
        <w:rPr>
          <w:lang w:val="fr-FR"/>
        </w:rPr>
        <w:t>(</w:t>
      </w:r>
      <w:r w:rsidR="00B86B5C" w:rsidRPr="000E681F">
        <w:rPr>
          <w:lang w:val="fr-FR"/>
        </w:rPr>
        <w:t>voir par. 10 b)</w:t>
      </w:r>
      <w:r w:rsidR="00DF5190">
        <w:rPr>
          <w:lang w:val="fr-FR"/>
        </w:rPr>
        <w:t>)</w:t>
      </w:r>
      <w:r w:rsidR="00B86B5C" w:rsidRPr="000E681F">
        <w:rPr>
          <w:lang w:val="fr-FR"/>
        </w:rPr>
        <w:t>. Un groupe d</w:t>
      </w:r>
      <w:r w:rsidR="00CB6448" w:rsidRPr="000E681F">
        <w:rPr>
          <w:lang w:val="fr-FR"/>
        </w:rPr>
        <w:t>’</w:t>
      </w:r>
      <w:r w:rsidR="00B86B5C" w:rsidRPr="000E681F">
        <w:rPr>
          <w:lang w:val="fr-FR"/>
        </w:rPr>
        <w:t>appui technique basé au secrétariat à Bonn</w:t>
      </w:r>
      <w:r w:rsidR="00DB61E7" w:rsidRPr="000E681F">
        <w:rPr>
          <w:lang w:val="fr-FR"/>
        </w:rPr>
        <w:t>, comprenant notamment un consultant recruté grâce à l</w:t>
      </w:r>
      <w:r w:rsidR="00CB6448" w:rsidRPr="000E681F">
        <w:rPr>
          <w:lang w:val="fr-FR"/>
        </w:rPr>
        <w:t>’</w:t>
      </w:r>
      <w:r w:rsidR="00DB61E7" w:rsidRPr="000E681F">
        <w:rPr>
          <w:lang w:val="fr-FR"/>
        </w:rPr>
        <w:t>appui de l</w:t>
      </w:r>
      <w:r w:rsidR="00CB6448" w:rsidRPr="000E681F">
        <w:rPr>
          <w:lang w:val="fr-FR"/>
        </w:rPr>
        <w:t>’</w:t>
      </w:r>
      <w:r w:rsidR="00DB61E7" w:rsidRPr="000E681F">
        <w:rPr>
          <w:lang w:val="fr-FR"/>
        </w:rPr>
        <w:t>Allemagne,</w:t>
      </w:r>
      <w:r w:rsidR="00B86B5C" w:rsidRPr="000E681F">
        <w:rPr>
          <w:lang w:val="fr-FR"/>
        </w:rPr>
        <w:t xml:space="preserve"> a continué de soutenir les tra</w:t>
      </w:r>
      <w:r w:rsidR="00DB61E7" w:rsidRPr="000E681F">
        <w:rPr>
          <w:lang w:val="fr-FR"/>
        </w:rPr>
        <w:t>vaux dans ce domaine</w:t>
      </w:r>
      <w:r w:rsidR="00B86B5C" w:rsidRPr="000E681F">
        <w:rPr>
          <w:lang w:val="fr-FR"/>
        </w:rPr>
        <w:t>. Un rapport complet sur l</w:t>
      </w:r>
      <w:r w:rsidR="00CB6448" w:rsidRPr="000E681F">
        <w:rPr>
          <w:lang w:val="fr-FR"/>
        </w:rPr>
        <w:t>’</w:t>
      </w:r>
      <w:r w:rsidR="00B86B5C" w:rsidRPr="000E681F">
        <w:rPr>
          <w:lang w:val="fr-FR"/>
        </w:rPr>
        <w:t>élaboration de l</w:t>
      </w:r>
      <w:r w:rsidR="00CB6448" w:rsidRPr="000E681F">
        <w:rPr>
          <w:lang w:val="fr-FR"/>
        </w:rPr>
        <w:t>’</w:t>
      </w:r>
      <w:r w:rsidR="00B86B5C" w:rsidRPr="000E681F">
        <w:rPr>
          <w:lang w:val="fr-FR"/>
        </w:rPr>
        <w:t>évaluation mondiale est présenté dans le document IPBES/7/INF/2 ;</w:t>
      </w:r>
    </w:p>
    <w:p w14:paraId="3312BFC1" w14:textId="604431DF" w:rsidR="00D40CC2" w:rsidRPr="000E681F" w:rsidRDefault="00AD5974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Les évaluations</w:t>
      </w:r>
      <w:r w:rsidR="00D40CC2" w:rsidRPr="000E681F">
        <w:rPr>
          <w:lang w:val="fr-FR"/>
        </w:rPr>
        <w:t xml:space="preserve"> </w:t>
      </w:r>
      <w:r w:rsidRPr="000E681F">
        <w:rPr>
          <w:lang w:val="fr-FR"/>
        </w:rPr>
        <w:t>régionales et mondiale</w:t>
      </w:r>
      <w:r w:rsidR="00D40CC2" w:rsidRPr="000E681F">
        <w:rPr>
          <w:lang w:val="fr-FR"/>
        </w:rPr>
        <w:t xml:space="preserve"> </w:t>
      </w:r>
      <w:r w:rsidRPr="000E681F">
        <w:rPr>
          <w:lang w:val="fr-FR"/>
        </w:rPr>
        <w:t>au titre de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ob</w:t>
      </w:r>
      <w:r w:rsidR="00D40CC2" w:rsidRPr="000E681F">
        <w:rPr>
          <w:lang w:val="fr-FR"/>
        </w:rPr>
        <w:t>jecti</w:t>
      </w:r>
      <w:r w:rsidRPr="000E681F">
        <w:rPr>
          <w:lang w:val="fr-FR"/>
        </w:rPr>
        <w:t>f </w:t>
      </w:r>
      <w:r w:rsidR="00D40CC2" w:rsidRPr="000E681F">
        <w:rPr>
          <w:lang w:val="fr-FR"/>
        </w:rPr>
        <w:t xml:space="preserve">2, </w:t>
      </w:r>
      <w:r w:rsidRPr="000E681F">
        <w:rPr>
          <w:lang w:val="fr-FR"/>
        </w:rPr>
        <w:t xml:space="preserve">qui </w:t>
      </w:r>
      <w:r w:rsidR="00737375">
        <w:rPr>
          <w:lang w:val="fr-FR"/>
        </w:rPr>
        <w:t>ét</w:t>
      </w:r>
      <w:r w:rsidR="004802DB">
        <w:rPr>
          <w:lang w:val="fr-FR"/>
        </w:rPr>
        <w:t>aient des activités à </w:t>
      </w:r>
      <w:r w:rsidRPr="000E681F">
        <w:rPr>
          <w:lang w:val="fr-FR"/>
        </w:rPr>
        <w:t xml:space="preserve">durée déterminée, ont été </w:t>
      </w:r>
      <w:r w:rsidR="00737375">
        <w:rPr>
          <w:lang w:val="fr-FR"/>
        </w:rPr>
        <w:t>menées à bien</w:t>
      </w:r>
      <w:r w:rsidR="00D40CC2" w:rsidRPr="000E681F">
        <w:rPr>
          <w:lang w:val="fr-FR"/>
        </w:rPr>
        <w:t>.</w:t>
      </w:r>
      <w:r w:rsidRPr="000E681F">
        <w:rPr>
          <w:lang w:val="fr-FR"/>
        </w:rPr>
        <w:t xml:space="preserve"> La Plateforme</w:t>
      </w:r>
      <w:r w:rsidR="00D40CC2" w:rsidRPr="000E681F">
        <w:rPr>
          <w:lang w:val="fr-FR"/>
        </w:rPr>
        <w:t xml:space="preserve"> </w:t>
      </w:r>
      <w:r w:rsidR="00E74B3E" w:rsidRPr="000E681F">
        <w:rPr>
          <w:lang w:val="fr-FR"/>
        </w:rPr>
        <w:t>continuera de</w:t>
      </w:r>
      <w:r w:rsidR="004802DB">
        <w:rPr>
          <w:lang w:val="fr-FR"/>
        </w:rPr>
        <w:t xml:space="preserve"> mettre à jour le guide pour la </w:t>
      </w:r>
      <w:r w:rsidR="00E74B3E" w:rsidRPr="000E681F">
        <w:rPr>
          <w:lang w:val="fr-FR"/>
        </w:rPr>
        <w:t>réalisation des évaluations au cours du programme de travail pour la période allant jusqu</w:t>
      </w:r>
      <w:r w:rsidR="00CB6448" w:rsidRPr="000E681F">
        <w:rPr>
          <w:lang w:val="fr-FR"/>
        </w:rPr>
        <w:t>’</w:t>
      </w:r>
      <w:r w:rsidR="004802DB">
        <w:rPr>
          <w:lang w:val="fr-FR"/>
        </w:rPr>
        <w:t>en 2030, à </w:t>
      </w:r>
      <w:r w:rsidR="00E74B3E" w:rsidRPr="000E681F">
        <w:rPr>
          <w:lang w:val="fr-FR"/>
        </w:rPr>
        <w:t>mesure que ses travaux feront apparaître de nouvelles méthodologies</w:t>
      </w:r>
      <w:r w:rsidR="00D40CC2" w:rsidRPr="000E681F">
        <w:rPr>
          <w:lang w:val="fr-FR"/>
        </w:rPr>
        <w:t>.</w:t>
      </w:r>
    </w:p>
    <w:bookmarkEnd w:id="6"/>
    <w:p w14:paraId="4A78C4E7" w14:textId="10E4ACCF" w:rsidR="00855F33" w:rsidRPr="000E681F" w:rsidRDefault="00855F33" w:rsidP="00A86B75">
      <w:pPr>
        <w:pStyle w:val="CH2"/>
        <w:rPr>
          <w:lang w:val="fr-FR"/>
        </w:rPr>
      </w:pPr>
      <w:r w:rsidRPr="000E681F">
        <w:rPr>
          <w:lang w:val="fr-FR"/>
        </w:rPr>
        <w:tab/>
        <w:t>C.</w:t>
      </w:r>
      <w:r w:rsidRPr="000E681F">
        <w:rPr>
          <w:lang w:val="fr-FR"/>
        </w:rPr>
        <w:tab/>
      </w:r>
      <w:r w:rsidR="0017184A" w:rsidRPr="000E681F">
        <w:rPr>
          <w:lang w:val="fr-FR"/>
        </w:rPr>
        <w:t>Objectif </w:t>
      </w:r>
      <w:r w:rsidRPr="000E681F">
        <w:rPr>
          <w:lang w:val="fr-FR"/>
        </w:rPr>
        <w:t>3</w:t>
      </w:r>
      <w:r w:rsidR="0017184A" w:rsidRPr="000E681F">
        <w:rPr>
          <w:lang w:val="fr-FR"/>
        </w:rPr>
        <w:t> </w:t>
      </w:r>
      <w:r w:rsidRPr="000E681F">
        <w:rPr>
          <w:lang w:val="fr-FR"/>
        </w:rPr>
        <w:t xml:space="preserve">: </w:t>
      </w:r>
      <w:r w:rsidR="0017184A" w:rsidRPr="000E681F">
        <w:rPr>
          <w:lang w:val="fr-FR"/>
        </w:rPr>
        <w:t>Renforcer l</w:t>
      </w:r>
      <w:r w:rsidR="00CB6448" w:rsidRPr="000E681F">
        <w:rPr>
          <w:lang w:val="fr-FR"/>
        </w:rPr>
        <w:t>’</w:t>
      </w:r>
      <w:r w:rsidR="0017184A" w:rsidRPr="000E681F">
        <w:rPr>
          <w:lang w:val="fr-FR"/>
        </w:rPr>
        <w:t>interface science</w:t>
      </w:r>
      <w:r w:rsidR="0017184A" w:rsidRPr="000E681F">
        <w:rPr>
          <w:lang w:val="fr-FR"/>
        </w:rPr>
        <w:noBreakHyphen/>
        <w:t xml:space="preserve">politique dans le domaine </w:t>
      </w:r>
      <w:r w:rsidR="006F7427">
        <w:rPr>
          <w:lang w:val="fr-FR"/>
        </w:rPr>
        <w:br/>
      </w:r>
      <w:r w:rsidR="0017184A" w:rsidRPr="000E681F">
        <w:rPr>
          <w:lang w:val="fr-FR"/>
        </w:rPr>
        <w:t>de la biodiversité et des services écosystémiques s</w:t>
      </w:r>
      <w:r w:rsidR="00CB6448" w:rsidRPr="000E681F">
        <w:rPr>
          <w:lang w:val="fr-FR"/>
        </w:rPr>
        <w:t>’</w:t>
      </w:r>
      <w:r w:rsidR="004802DB">
        <w:rPr>
          <w:lang w:val="fr-FR"/>
        </w:rPr>
        <w:t>agissant des questions </w:t>
      </w:r>
      <w:r w:rsidR="0017184A" w:rsidRPr="000E681F">
        <w:rPr>
          <w:lang w:val="fr-FR"/>
        </w:rPr>
        <w:t>thématiques et méthodologiques</w:t>
      </w:r>
    </w:p>
    <w:p w14:paraId="1626B68D" w14:textId="254B7F88" w:rsidR="00855F33" w:rsidRPr="000E681F" w:rsidRDefault="0001505D" w:rsidP="00A86B75">
      <w:pPr>
        <w:pStyle w:val="Normalnumber"/>
        <w:rPr>
          <w:lang w:val="fr-FR"/>
        </w:rPr>
      </w:pPr>
      <w:bookmarkStart w:id="9" w:name="_Hlk532653325"/>
      <w:r w:rsidRPr="000E681F">
        <w:rPr>
          <w:lang w:val="fr-FR"/>
        </w:rPr>
        <w:t>Les activités e</w:t>
      </w:r>
      <w:r w:rsidR="0017184A" w:rsidRPr="000E681F">
        <w:rPr>
          <w:lang w:val="fr-FR"/>
        </w:rPr>
        <w:t>xécutées au titre de l</w:t>
      </w:r>
      <w:r w:rsidR="00CB6448" w:rsidRPr="000E681F">
        <w:rPr>
          <w:lang w:val="fr-FR"/>
        </w:rPr>
        <w:t>’</w:t>
      </w:r>
      <w:r w:rsidR="0017184A" w:rsidRPr="000E681F">
        <w:rPr>
          <w:lang w:val="fr-FR"/>
        </w:rPr>
        <w:t>objectif </w:t>
      </w:r>
      <w:r w:rsidRPr="000E681F">
        <w:rPr>
          <w:lang w:val="fr-FR"/>
        </w:rPr>
        <w:t>3 ont notamment produit les résultats suivants</w:t>
      </w:r>
      <w:r w:rsidR="0017184A" w:rsidRPr="000E681F">
        <w:rPr>
          <w:lang w:val="fr-FR"/>
        </w:rPr>
        <w:t> </w:t>
      </w:r>
      <w:r w:rsidRPr="000E681F">
        <w:rPr>
          <w:lang w:val="fr-FR"/>
        </w:rPr>
        <w:t>:</w:t>
      </w:r>
    </w:p>
    <w:p w14:paraId="6635F086" w14:textId="3E268F5E" w:rsidR="00855F33" w:rsidRPr="000E681F" w:rsidRDefault="00737375" w:rsidP="00A86B75">
      <w:pPr>
        <w:pStyle w:val="Normalnumber"/>
        <w:numPr>
          <w:ilvl w:val="1"/>
          <w:numId w:val="4"/>
        </w:numPr>
        <w:rPr>
          <w:lang w:val="fr-FR"/>
        </w:rPr>
      </w:pPr>
      <w:r>
        <w:rPr>
          <w:lang w:val="fr-FR"/>
        </w:rPr>
        <w:t>Version mise en page</w:t>
      </w:r>
      <w:r w:rsidR="00EF78B4" w:rsidRPr="000E681F">
        <w:rPr>
          <w:lang w:val="fr-FR"/>
        </w:rPr>
        <w:t xml:space="preserve"> du résumé à l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>intention des décideurs de l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>évaluation de la dégradation et</w:t>
      </w:r>
      <w:r w:rsidR="005E7BA5">
        <w:rPr>
          <w:lang w:val="fr-FR"/>
        </w:rPr>
        <w:t xml:space="preserve"> de la restauration des terres (</w:t>
      </w:r>
      <w:r w:rsidR="00EF78B4" w:rsidRPr="000E681F">
        <w:rPr>
          <w:lang w:val="fr-FR"/>
        </w:rPr>
        <w:t>produit 3 b i)</w:t>
      </w:r>
      <w:r w:rsidR="005E7BA5">
        <w:rPr>
          <w:lang w:val="fr-FR"/>
        </w:rPr>
        <w:t>)</w:t>
      </w:r>
      <w:r w:rsidR="00EF78B4" w:rsidRPr="000E681F">
        <w:rPr>
          <w:lang w:val="fr-FR"/>
        </w:rPr>
        <w:t xml:space="preserve">, disponible </w:t>
      </w:r>
      <w:r w:rsidR="0019497E">
        <w:rPr>
          <w:lang w:val="fr-FR"/>
        </w:rPr>
        <w:t>sous forme de fichier</w:t>
      </w:r>
      <w:r w:rsidR="00375F48" w:rsidRPr="000E681F">
        <w:rPr>
          <w:lang w:val="fr-FR"/>
        </w:rPr>
        <w:t xml:space="preserve"> PDF sur le site Web de la P</w:t>
      </w:r>
      <w:r w:rsidR="00EF78B4" w:rsidRPr="000E681F">
        <w:rPr>
          <w:lang w:val="fr-FR"/>
        </w:rPr>
        <w:t>lateforme ainsi qu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 xml:space="preserve">en version papier, et </w:t>
      </w:r>
      <w:r>
        <w:rPr>
          <w:lang w:val="fr-FR"/>
        </w:rPr>
        <w:t>version mise en page</w:t>
      </w:r>
      <w:r w:rsidR="00EF78B4" w:rsidRPr="000E681F">
        <w:rPr>
          <w:lang w:val="fr-FR"/>
        </w:rPr>
        <w:t xml:space="preserve"> du rapport d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>évaluation complet (</w:t>
      </w:r>
      <w:r w:rsidR="00FE5DC6">
        <w:rPr>
          <w:lang w:val="fr-FR"/>
        </w:rPr>
        <w:t xml:space="preserve">pages </w:t>
      </w:r>
      <w:r w:rsidR="00A229F2" w:rsidRPr="000E681F">
        <w:rPr>
          <w:lang w:val="fr-FR"/>
        </w:rPr>
        <w:t>liminaires, résumé à l</w:t>
      </w:r>
      <w:r w:rsidR="00CB6448" w:rsidRPr="000E681F">
        <w:rPr>
          <w:lang w:val="fr-FR"/>
        </w:rPr>
        <w:t>’</w:t>
      </w:r>
      <w:r w:rsidR="00A229F2" w:rsidRPr="000E681F">
        <w:rPr>
          <w:lang w:val="fr-FR"/>
        </w:rPr>
        <w:t xml:space="preserve">intention des décideurs, chapitres et pages </w:t>
      </w:r>
      <w:r w:rsidR="0019497E">
        <w:rPr>
          <w:lang w:val="fr-FR"/>
        </w:rPr>
        <w:t>annexes</w:t>
      </w:r>
      <w:r w:rsidR="00EF78B4" w:rsidRPr="000E681F">
        <w:rPr>
          <w:lang w:val="fr-FR"/>
        </w:rPr>
        <w:t>) disponible en PDF sur le site Web de la Plateforme. Un groupe d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 xml:space="preserve">appui technique basé au secrétariat à Bonn a </w:t>
      </w:r>
      <w:r w:rsidR="00BA183C">
        <w:rPr>
          <w:lang w:val="fr-FR"/>
        </w:rPr>
        <w:t xml:space="preserve">aidé </w:t>
      </w:r>
      <w:r w:rsidR="00EF78B4" w:rsidRPr="000E681F">
        <w:rPr>
          <w:lang w:val="fr-FR"/>
        </w:rPr>
        <w:t>aux travaux dans ce domaine jusqu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>en juillet 2018. Les groupes d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>appui technique basés à l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>Université de Bern</w:t>
      </w:r>
      <w:r w:rsidR="00595F47">
        <w:rPr>
          <w:lang w:val="fr-FR"/>
        </w:rPr>
        <w:t>e</w:t>
      </w:r>
      <w:r w:rsidR="00EF78B4" w:rsidRPr="000E681F">
        <w:rPr>
          <w:lang w:val="fr-FR"/>
        </w:rPr>
        <w:t xml:space="preserve"> ont apporté leur soutien à la finalisation de la </w:t>
      </w:r>
      <w:r>
        <w:rPr>
          <w:lang w:val="fr-FR"/>
        </w:rPr>
        <w:t>version mise en page</w:t>
      </w:r>
      <w:r w:rsidR="00EF78B4" w:rsidRPr="000E681F">
        <w:rPr>
          <w:lang w:val="fr-FR"/>
        </w:rPr>
        <w:t xml:space="preserve"> du rapport d</w:t>
      </w:r>
      <w:r w:rsidR="00CB6448" w:rsidRPr="000E681F">
        <w:rPr>
          <w:lang w:val="fr-FR"/>
        </w:rPr>
        <w:t>’</w:t>
      </w:r>
      <w:r w:rsidR="00A654A9" w:rsidRPr="000E681F">
        <w:rPr>
          <w:lang w:val="fr-FR"/>
        </w:rPr>
        <w:t>évaluation</w:t>
      </w:r>
      <w:r w:rsidR="00EF78B4" w:rsidRPr="000E681F">
        <w:rPr>
          <w:lang w:val="fr-FR"/>
        </w:rPr>
        <w:t xml:space="preserve"> grâce à l</w:t>
      </w:r>
      <w:r w:rsidR="00CB6448" w:rsidRPr="000E681F">
        <w:rPr>
          <w:lang w:val="fr-FR"/>
        </w:rPr>
        <w:t>’</w:t>
      </w:r>
      <w:r w:rsidR="00EF78B4" w:rsidRPr="000E681F">
        <w:rPr>
          <w:lang w:val="fr-FR"/>
        </w:rPr>
        <w:t>appui en nature fourni par la Suisse </w:t>
      </w:r>
      <w:r w:rsidR="00855F33" w:rsidRPr="000E681F">
        <w:rPr>
          <w:lang w:val="fr-FR"/>
        </w:rPr>
        <w:t>;</w:t>
      </w:r>
    </w:p>
    <w:p w14:paraId="7E816D95" w14:textId="14FA8CC9" w:rsidR="0021458E" w:rsidRPr="000E681F" w:rsidRDefault="00186A20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Appel à nomination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experts pour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 des e</w:t>
      </w:r>
      <w:r w:rsidR="005E7BA5">
        <w:rPr>
          <w:lang w:val="fr-FR"/>
        </w:rPr>
        <w:t>spèces exotiques envahissantes (</w:t>
      </w:r>
      <w:r w:rsidRPr="000E681F">
        <w:rPr>
          <w:lang w:val="fr-FR"/>
        </w:rPr>
        <w:t>produit 3 b) ii)</w:t>
      </w:r>
      <w:r w:rsidR="005E7BA5">
        <w:rPr>
          <w:lang w:val="fr-FR"/>
        </w:rPr>
        <w:t>)</w:t>
      </w:r>
      <w:r w:rsidRPr="000E681F">
        <w:rPr>
          <w:lang w:val="fr-FR"/>
        </w:rPr>
        <w:t> ; sélection des coprésidents pour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 ; et mise en place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technique basé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Institut des stratégies environnementales mondiales, grâce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en nature apporté par le Japon. On trouvera dans le document IPBES/7/INF/6 un rapport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activité à ce sujet </w:t>
      </w:r>
      <w:r w:rsidR="00577605" w:rsidRPr="000E681F">
        <w:rPr>
          <w:lang w:val="fr-FR"/>
        </w:rPr>
        <w:t>;</w:t>
      </w:r>
    </w:p>
    <w:p w14:paraId="41B7BF3D" w14:textId="66231F1B" w:rsidR="00577605" w:rsidRPr="000E681F" w:rsidRDefault="005744B8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Sélection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auteurs pour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 de l</w:t>
      </w:r>
      <w:r w:rsidR="00CB6448" w:rsidRPr="000E681F">
        <w:rPr>
          <w:lang w:val="fr-FR"/>
        </w:rPr>
        <w:t>’</w:t>
      </w:r>
      <w:r w:rsidR="00B71FCA">
        <w:rPr>
          <w:lang w:val="fr-FR"/>
        </w:rPr>
        <w:t>utilisation durable</w:t>
      </w:r>
      <w:r w:rsidR="005E7BA5">
        <w:rPr>
          <w:lang w:val="fr-FR"/>
        </w:rPr>
        <w:t xml:space="preserve"> des espèces sauvages (</w:t>
      </w:r>
      <w:r w:rsidRPr="000E681F">
        <w:rPr>
          <w:lang w:val="fr-FR"/>
        </w:rPr>
        <w:t>produit 3 b ii</w:t>
      </w:r>
      <w:r w:rsidR="00286AE5" w:rsidRPr="000E681F">
        <w:rPr>
          <w:lang w:val="fr-FR"/>
        </w:rPr>
        <w:t>i</w:t>
      </w:r>
      <w:r w:rsidRPr="000E681F">
        <w:rPr>
          <w:lang w:val="fr-FR"/>
        </w:rPr>
        <w:t>)</w:t>
      </w:r>
      <w:r w:rsidR="005E7BA5">
        <w:rPr>
          <w:lang w:val="fr-FR"/>
        </w:rPr>
        <w:t>)</w:t>
      </w:r>
      <w:r w:rsidR="001F67EF" w:rsidRPr="000E681F">
        <w:rPr>
          <w:lang w:val="fr-FR"/>
        </w:rPr>
        <w:t xml:space="preserve"> et première </w:t>
      </w:r>
      <w:r w:rsidRPr="000E681F">
        <w:rPr>
          <w:lang w:val="fr-FR"/>
        </w:rPr>
        <w:t>réunion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auteurs tenue en décembre 2018 à Montpellier </w:t>
      </w:r>
      <w:r w:rsidR="009C01BA">
        <w:rPr>
          <w:lang w:val="fr-FR"/>
        </w:rPr>
        <w:t>(</w:t>
      </w:r>
      <w:r w:rsidR="00DE64ED">
        <w:rPr>
          <w:lang w:val="fr-FR"/>
        </w:rPr>
        <w:t>France)</w:t>
      </w:r>
      <w:r w:rsidRPr="000E681F">
        <w:rPr>
          <w:lang w:val="fr-FR"/>
        </w:rPr>
        <w:t xml:space="preserve"> ; élaboration de la </w:t>
      </w:r>
      <w:r w:rsidR="001F67EF" w:rsidRPr="000E681F">
        <w:rPr>
          <w:lang w:val="fr-FR"/>
        </w:rPr>
        <w:t>première </w:t>
      </w:r>
      <w:r w:rsidRPr="000E681F">
        <w:rPr>
          <w:lang w:val="fr-FR"/>
        </w:rPr>
        <w:t>version préliminaire de l</w:t>
      </w:r>
      <w:r w:rsidR="00CB6448" w:rsidRPr="000E681F">
        <w:rPr>
          <w:lang w:val="fr-FR"/>
        </w:rPr>
        <w:t>’</w:t>
      </w:r>
      <w:r w:rsidR="0041613D" w:rsidRPr="000E681F">
        <w:rPr>
          <w:lang w:val="fr-FR"/>
        </w:rPr>
        <w:t>évaluation</w:t>
      </w:r>
      <w:r w:rsidRPr="000E681F">
        <w:rPr>
          <w:lang w:val="fr-FR"/>
        </w:rPr>
        <w:t>, qui sera prête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ici le milieu de l</w:t>
      </w:r>
      <w:r w:rsidR="00CB6448" w:rsidRPr="000E681F">
        <w:rPr>
          <w:lang w:val="fr-FR"/>
        </w:rPr>
        <w:t>’</w:t>
      </w:r>
      <w:r w:rsidR="00F41BE1">
        <w:rPr>
          <w:lang w:val="fr-FR"/>
        </w:rPr>
        <w:t>année </w:t>
      </w:r>
      <w:r w:rsidRPr="000E681F">
        <w:rPr>
          <w:lang w:val="fr-FR"/>
        </w:rPr>
        <w:t>2019 ; et mise en place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appui technique basé à la Fondation pour la recherche sur la biodiversité </w:t>
      </w:r>
      <w:r w:rsidR="00FC2F55" w:rsidRPr="000E681F">
        <w:rPr>
          <w:lang w:val="fr-FR"/>
        </w:rPr>
        <w:t xml:space="preserve">et </w:t>
      </w:r>
      <w:r w:rsidRPr="000E681F">
        <w:rPr>
          <w:lang w:val="fr-FR"/>
        </w:rPr>
        <w:t>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Agence française pour la biodiversité, grâce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en nature apporté par la France. Un rapport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activité à ce sujet figure dans le document IPBES/7/INF/6 </w:t>
      </w:r>
      <w:r w:rsidR="00577605" w:rsidRPr="000E681F">
        <w:rPr>
          <w:lang w:val="fr-FR"/>
        </w:rPr>
        <w:t>;</w:t>
      </w:r>
    </w:p>
    <w:p w14:paraId="0163081C" w14:textId="4A2606BA" w:rsidR="003A149D" w:rsidRPr="000E681F" w:rsidRDefault="00AA3F36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Poursuite des travaux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experts su</w:t>
      </w:r>
      <w:r w:rsidR="005E7BA5">
        <w:rPr>
          <w:lang w:val="fr-FR"/>
        </w:rPr>
        <w:t>r les scénarios et les modèles (</w:t>
      </w:r>
      <w:r w:rsidRPr="000E681F">
        <w:rPr>
          <w:lang w:val="fr-FR"/>
        </w:rPr>
        <w:t>produit 3 c)</w:t>
      </w:r>
      <w:r w:rsidR="005E7BA5">
        <w:rPr>
          <w:lang w:val="fr-FR"/>
        </w:rPr>
        <w:t>)</w:t>
      </w:r>
      <w:r w:rsidRPr="000E681F">
        <w:rPr>
          <w:lang w:val="fr-FR"/>
        </w:rPr>
        <w:t xml:space="preserve"> en application de la section VI de la décision IPBES-5/1 et de la section VI de la décision IPBES-6/1 concernant la fourniture de conseils spécialisés sur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utilisation des modèles et scénarios existants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des évaluations en cours de la Plateforme, y compris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 mondiale ; et concernant les activités visant à favoriser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élaboration de scénarios et de modèles connexes par la communauté scientifique au sens large, y compris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organisation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une réunion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experts sur le thème </w:t>
      </w:r>
      <w:r w:rsidR="00301325" w:rsidRPr="000E681F">
        <w:rPr>
          <w:lang w:val="fr-FR"/>
        </w:rPr>
        <w:t>« </w:t>
      </w:r>
      <w:r w:rsidR="00672618" w:rsidRPr="000E681F">
        <w:rPr>
          <w:lang w:val="fr-FR"/>
        </w:rPr>
        <w:t xml:space="preserve">prochaines étapes </w:t>
      </w:r>
      <w:r w:rsidR="00442500" w:rsidRPr="000E681F">
        <w:rPr>
          <w:lang w:val="fr-FR"/>
        </w:rPr>
        <w:t>dans</w:t>
      </w:r>
      <w:r w:rsidR="00672618" w:rsidRPr="000E681F">
        <w:rPr>
          <w:lang w:val="fr-FR"/>
        </w:rPr>
        <w:t xml:space="preserve"> l</w:t>
      </w:r>
      <w:r w:rsidR="00CB6448" w:rsidRPr="000E681F">
        <w:rPr>
          <w:lang w:val="fr-FR"/>
        </w:rPr>
        <w:t>’</w:t>
      </w:r>
      <w:r w:rsidR="00672618" w:rsidRPr="000E681F">
        <w:rPr>
          <w:lang w:val="fr-FR"/>
        </w:rPr>
        <w:t>élaboration d</w:t>
      </w:r>
      <w:r w:rsidR="00CB6448" w:rsidRPr="000E681F">
        <w:rPr>
          <w:lang w:val="fr-FR"/>
        </w:rPr>
        <w:t>’</w:t>
      </w:r>
      <w:r w:rsidR="00672618" w:rsidRPr="000E681F">
        <w:rPr>
          <w:lang w:val="fr-FR"/>
        </w:rPr>
        <w:t xml:space="preserve">avenirs </w:t>
      </w:r>
      <w:r w:rsidR="00442500" w:rsidRPr="000E681F">
        <w:rPr>
          <w:lang w:val="fr-FR"/>
        </w:rPr>
        <w:t xml:space="preserve">possibles </w:t>
      </w:r>
      <w:r w:rsidR="00672618" w:rsidRPr="000E681F">
        <w:rPr>
          <w:lang w:val="fr-FR"/>
        </w:rPr>
        <w:t>pour la nature</w:t>
      </w:r>
      <w:r w:rsidR="00301325" w:rsidRPr="000E681F">
        <w:rPr>
          <w:lang w:val="fr-FR"/>
        </w:rPr>
        <w:t> »</w:t>
      </w:r>
      <w:r w:rsidR="006A7C4A" w:rsidRPr="000E681F">
        <w:rPr>
          <w:lang w:val="fr-FR"/>
        </w:rPr>
        <w:t xml:space="preserve"> tenue à La Haye </w:t>
      </w:r>
      <w:r w:rsidR="00DE64ED">
        <w:rPr>
          <w:lang w:val="fr-FR"/>
        </w:rPr>
        <w:t>(</w:t>
      </w:r>
      <w:r w:rsidR="006A7C4A" w:rsidRPr="000E681F">
        <w:rPr>
          <w:lang w:val="fr-FR"/>
        </w:rPr>
        <w:t>Pays</w:t>
      </w:r>
      <w:r w:rsidR="006A7C4A" w:rsidRPr="000E681F">
        <w:rPr>
          <w:lang w:val="fr-FR"/>
        </w:rPr>
        <w:noBreakHyphen/>
      </w:r>
      <w:r w:rsidRPr="000E681F">
        <w:rPr>
          <w:lang w:val="fr-FR"/>
        </w:rPr>
        <w:t>Bas</w:t>
      </w:r>
      <w:r w:rsidR="00DE64ED">
        <w:rPr>
          <w:lang w:val="fr-FR"/>
        </w:rPr>
        <w:t>)</w:t>
      </w:r>
      <w:r w:rsidRPr="000E681F">
        <w:rPr>
          <w:lang w:val="fr-FR"/>
        </w:rPr>
        <w:t xml:space="preserve"> en juin 2018 ainsi que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un atelier consacré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élaboration de scénarios intitulé</w:t>
      </w:r>
      <w:r w:rsidR="006A7C4A" w:rsidRPr="000E681F">
        <w:rPr>
          <w:lang w:val="fr-FR"/>
        </w:rPr>
        <w:t xml:space="preserve"> </w:t>
      </w:r>
      <w:r w:rsidR="00301325" w:rsidRPr="000E681F">
        <w:rPr>
          <w:lang w:val="fr-FR"/>
        </w:rPr>
        <w:t>« </w:t>
      </w:r>
      <w:r w:rsidR="009B113C" w:rsidRPr="000E681F">
        <w:rPr>
          <w:lang w:val="fr-FR"/>
        </w:rPr>
        <w:t xml:space="preserve">Des perspectives pour la nature aux scénarios pour la nature, et </w:t>
      </w:r>
      <w:r w:rsidR="00DE64ED">
        <w:rPr>
          <w:lang w:val="fr-FR"/>
        </w:rPr>
        <w:t xml:space="preserve">contributions de la nature aux populations </w:t>
      </w:r>
      <w:r w:rsidR="009B113C" w:rsidRPr="000E681F">
        <w:rPr>
          <w:lang w:val="fr-FR"/>
        </w:rPr>
        <w:t>pour le XXI</w:t>
      </w:r>
      <w:r w:rsidR="009B113C" w:rsidRPr="000E681F">
        <w:rPr>
          <w:vertAlign w:val="superscript"/>
          <w:lang w:val="fr-FR"/>
        </w:rPr>
        <w:t>e</w:t>
      </w:r>
      <w:r w:rsidR="009B113C" w:rsidRPr="000E681F">
        <w:rPr>
          <w:lang w:val="fr-FR"/>
        </w:rPr>
        <w:t> siècle</w:t>
      </w:r>
      <w:r w:rsidR="00301325" w:rsidRPr="000E681F">
        <w:rPr>
          <w:lang w:val="fr-FR"/>
        </w:rPr>
        <w:t> »</w:t>
      </w:r>
      <w:r w:rsidRPr="000E681F">
        <w:rPr>
          <w:lang w:val="fr-FR"/>
        </w:rPr>
        <w:t xml:space="preserve"> en avril 2019. Le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technique basé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agence néerlandaise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évaluation environnementale PBL a continué de soutenir les travaux </w:t>
      </w:r>
      <w:r w:rsidR="00DE64ED">
        <w:rPr>
          <w:lang w:val="fr-FR"/>
        </w:rPr>
        <w:t>men</w:t>
      </w:r>
      <w:r w:rsidRPr="000E681F">
        <w:rPr>
          <w:lang w:val="fr-FR"/>
        </w:rPr>
        <w:t>és dans ce domaine, grâce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en nature fourni par les Pays-Bas. Un rapport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activité correspondant figure dans le document IPBES/7/INF/11 </w:t>
      </w:r>
      <w:r w:rsidR="00855F33" w:rsidRPr="000E681F">
        <w:rPr>
          <w:lang w:val="fr-FR"/>
        </w:rPr>
        <w:t>;</w:t>
      </w:r>
    </w:p>
    <w:bookmarkEnd w:id="9"/>
    <w:p w14:paraId="41E1BFB0" w14:textId="19CA6FFE" w:rsidR="00577605" w:rsidRPr="000E681F" w:rsidRDefault="009F5A79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Sélection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auteurs pour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 méthodologique des diverses conceptualisations des multiples valeurs de la nature et de ses bienfaits, y</w:t>
      </w:r>
      <w:r w:rsidR="004802DB">
        <w:rPr>
          <w:lang w:val="fr-FR"/>
        </w:rPr>
        <w:t xml:space="preserve"> compris la biodiversité et les </w:t>
      </w:r>
      <w:r w:rsidRPr="000E681F">
        <w:rPr>
          <w:lang w:val="fr-FR"/>
        </w:rPr>
        <w:t xml:space="preserve">fonctions et services écosystémiques </w:t>
      </w:r>
      <w:r w:rsidR="00570A5C">
        <w:rPr>
          <w:lang w:val="fr-FR"/>
        </w:rPr>
        <w:t>(</w:t>
      </w:r>
      <w:r w:rsidRPr="000E681F">
        <w:rPr>
          <w:lang w:val="fr-FR"/>
        </w:rPr>
        <w:t>produit 3 d)</w:t>
      </w:r>
      <w:r w:rsidR="00570A5C">
        <w:rPr>
          <w:lang w:val="fr-FR"/>
        </w:rPr>
        <w:t>)</w:t>
      </w:r>
      <w:r w:rsidRPr="000E681F">
        <w:rPr>
          <w:lang w:val="fr-FR"/>
        </w:rPr>
        <w:t> ; organisation de la première</w:t>
      </w:r>
      <w:r w:rsidR="001F67EF" w:rsidRPr="000E681F">
        <w:rPr>
          <w:lang w:val="fr-FR"/>
        </w:rPr>
        <w:t> </w:t>
      </w:r>
      <w:r w:rsidRPr="000E681F">
        <w:rPr>
          <w:lang w:val="fr-FR"/>
        </w:rPr>
        <w:t>réunion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auteurs en novembre 2018 à Mexico ; </w:t>
      </w:r>
      <w:r w:rsidR="001F67EF" w:rsidRPr="000E681F">
        <w:rPr>
          <w:lang w:val="fr-FR"/>
        </w:rPr>
        <w:t>élaboration de la première </w:t>
      </w:r>
      <w:r w:rsidRPr="000E681F">
        <w:rPr>
          <w:lang w:val="fr-FR"/>
        </w:rPr>
        <w:t>version préliminaire de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évaluation, qui sera prête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ici le milieu de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année 2019 ; et mise en place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technique basé à</w:t>
      </w:r>
      <w:r w:rsidR="00672618" w:rsidRPr="000E681F">
        <w:rPr>
          <w:lang w:val="fr-FR"/>
        </w:rPr>
        <w:t xml:space="preserve"> l</w:t>
      </w:r>
      <w:r w:rsidR="00CB6448" w:rsidRPr="000E681F">
        <w:rPr>
          <w:lang w:val="fr-FR"/>
        </w:rPr>
        <w:t>’</w:t>
      </w:r>
      <w:r w:rsidR="00795E38" w:rsidRPr="000E681F">
        <w:rPr>
          <w:lang w:val="fr-FR"/>
        </w:rPr>
        <w:t>I</w:t>
      </w:r>
      <w:r w:rsidR="00672618" w:rsidRPr="000E681F">
        <w:rPr>
          <w:lang w:val="fr-FR"/>
        </w:rPr>
        <w:t>nstitut de recherche sur les écosystèmes et la durabilité de l</w:t>
      </w:r>
      <w:r w:rsidR="00CB6448" w:rsidRPr="000E681F">
        <w:rPr>
          <w:lang w:val="fr-FR"/>
        </w:rPr>
        <w:t>’</w:t>
      </w:r>
      <w:r w:rsidR="00672618" w:rsidRPr="000E681F">
        <w:rPr>
          <w:lang w:val="fr-FR"/>
        </w:rPr>
        <w:t>Université nationale autonome du Mexique</w:t>
      </w:r>
      <w:r w:rsidRPr="000E681F">
        <w:rPr>
          <w:lang w:val="fr-FR"/>
        </w:rPr>
        <w:t>, grâce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en nature apporté par le Mexique. Un rapport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activité est présenté dans le document IPBES/7/INF/6</w:t>
      </w:r>
      <w:r w:rsidR="00577605" w:rsidRPr="000E681F">
        <w:rPr>
          <w:lang w:val="fr-FR"/>
        </w:rPr>
        <w:t>.</w:t>
      </w:r>
    </w:p>
    <w:p w14:paraId="7EAD1235" w14:textId="346F6C70" w:rsidR="00855F33" w:rsidRPr="000E681F" w:rsidRDefault="00855F33" w:rsidP="004802DB">
      <w:pPr>
        <w:pStyle w:val="CH2"/>
        <w:rPr>
          <w:lang w:val="fr-FR"/>
        </w:rPr>
      </w:pPr>
      <w:r w:rsidRPr="000E681F">
        <w:rPr>
          <w:lang w:val="fr-FR"/>
        </w:rPr>
        <w:tab/>
        <w:t>D.</w:t>
      </w:r>
      <w:r w:rsidRPr="000E681F">
        <w:rPr>
          <w:lang w:val="fr-FR"/>
        </w:rPr>
        <w:tab/>
      </w:r>
      <w:r w:rsidR="00730095" w:rsidRPr="000E681F">
        <w:rPr>
          <w:lang w:val="fr-FR"/>
        </w:rPr>
        <w:t>Objectif </w:t>
      </w:r>
      <w:r w:rsidRPr="000E681F">
        <w:rPr>
          <w:lang w:val="fr-FR"/>
        </w:rPr>
        <w:t>4</w:t>
      </w:r>
      <w:r w:rsidR="00730095" w:rsidRPr="000E681F">
        <w:rPr>
          <w:lang w:val="fr-FR"/>
        </w:rPr>
        <w:t> </w:t>
      </w:r>
      <w:r w:rsidRPr="000E681F">
        <w:rPr>
          <w:lang w:val="fr-FR"/>
        </w:rPr>
        <w:t xml:space="preserve">: </w:t>
      </w:r>
      <w:r w:rsidR="00730095" w:rsidRPr="000E681F">
        <w:rPr>
          <w:lang w:val="fr-FR"/>
        </w:rPr>
        <w:t xml:space="preserve">Faire connaître et évaluer les </w:t>
      </w:r>
      <w:r w:rsidR="00F41BE1">
        <w:rPr>
          <w:lang w:val="fr-FR"/>
        </w:rPr>
        <w:t>activités de la Plateforme, ses </w:t>
      </w:r>
      <w:r w:rsidR="00730095" w:rsidRPr="000E681F">
        <w:rPr>
          <w:lang w:val="fr-FR"/>
        </w:rPr>
        <w:t>produits et ses conclusion</w:t>
      </w:r>
      <w:r w:rsidRPr="000E681F">
        <w:rPr>
          <w:lang w:val="fr-FR"/>
        </w:rPr>
        <w:t>s</w:t>
      </w:r>
    </w:p>
    <w:p w14:paraId="50A0644D" w14:textId="62CC7AD9" w:rsidR="00855F33" w:rsidRPr="000E681F" w:rsidRDefault="00873A6A" w:rsidP="004802DB">
      <w:pPr>
        <w:pStyle w:val="Normalnumber"/>
        <w:keepNext/>
        <w:keepLines/>
        <w:rPr>
          <w:lang w:val="fr-FR"/>
        </w:rPr>
      </w:pPr>
      <w:r w:rsidRPr="000E681F">
        <w:rPr>
          <w:lang w:val="fr-FR"/>
        </w:rPr>
        <w:t>Les progrès réalisés au titre de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objectif 4 comprennent les résultats suivants </w:t>
      </w:r>
      <w:r w:rsidR="00855F33" w:rsidRPr="000E681F">
        <w:rPr>
          <w:lang w:val="fr-FR"/>
        </w:rPr>
        <w:t>:</w:t>
      </w:r>
    </w:p>
    <w:p w14:paraId="75421780" w14:textId="41F60F3A" w:rsidR="00DE64ED" w:rsidRPr="000E681F" w:rsidRDefault="00E01CD5" w:rsidP="004802DB">
      <w:pPr>
        <w:pStyle w:val="Normalnumber"/>
        <w:keepNext/>
        <w:keepLines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 xml:space="preserve">Mise à jour du catalogue des évaluations </w:t>
      </w:r>
      <w:r w:rsidR="00047228">
        <w:rPr>
          <w:lang w:val="fr-FR"/>
        </w:rPr>
        <w:t>(</w:t>
      </w:r>
      <w:r w:rsidRPr="000E681F">
        <w:rPr>
          <w:lang w:val="fr-FR"/>
        </w:rPr>
        <w:t>produit 4 a)</w:t>
      </w:r>
      <w:r w:rsidR="00047228">
        <w:rPr>
          <w:lang w:val="fr-FR"/>
        </w:rPr>
        <w:t>)</w:t>
      </w:r>
      <w:r w:rsidRPr="000E681F">
        <w:rPr>
          <w:lang w:val="fr-FR"/>
        </w:rPr>
        <w:t xml:space="preserve"> </w:t>
      </w:r>
      <w:r w:rsidR="00D8165C">
        <w:rPr>
          <w:lang w:val="fr-FR"/>
        </w:rPr>
        <w:t>en tant qu’élément</w:t>
      </w:r>
      <w:r w:rsidRPr="000E681F">
        <w:rPr>
          <w:lang w:val="fr-FR"/>
        </w:rPr>
        <w:t xml:space="preserve"> du catalogue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outils et de méthodes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élaboration des politiques, comme indiqué dans le document IPBES/7/INF/13, avec le concours du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technique basé au PNUE</w:t>
      </w:r>
      <w:r w:rsidRPr="000E681F">
        <w:rPr>
          <w:lang w:val="fr-FR"/>
        </w:rPr>
        <w:noBreakHyphen/>
        <w:t>WCMC, grâce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en nature fourni par cette organisation </w:t>
      </w:r>
      <w:r w:rsidR="00855F33" w:rsidRPr="000E681F">
        <w:rPr>
          <w:lang w:val="fr-FR"/>
        </w:rPr>
        <w:t>;</w:t>
      </w:r>
    </w:p>
    <w:p w14:paraId="0A48633C" w14:textId="545B2E3D" w:rsidR="00DF7085" w:rsidRPr="000E681F" w:rsidRDefault="00DF7085" w:rsidP="00A86B75">
      <w:pPr>
        <w:pStyle w:val="Normalnumber"/>
        <w:numPr>
          <w:ilvl w:val="1"/>
          <w:numId w:val="4"/>
        </w:numPr>
        <w:rPr>
          <w:b/>
          <w:lang w:val="fr-FR"/>
        </w:rPr>
      </w:pPr>
      <w:r w:rsidRPr="000E681F">
        <w:rPr>
          <w:lang w:val="fr-FR"/>
        </w:rPr>
        <w:t>Poursuite des travaux de révision du catalogue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outils et de méthodes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appui à l</w:t>
      </w:r>
      <w:r w:rsidR="00CB6448" w:rsidRPr="000E681F">
        <w:rPr>
          <w:lang w:val="fr-FR"/>
        </w:rPr>
        <w:t>’</w:t>
      </w:r>
      <w:r w:rsidR="005E7BA5">
        <w:rPr>
          <w:lang w:val="fr-FR"/>
        </w:rPr>
        <w:t>élaboration des politiques (</w:t>
      </w:r>
      <w:r w:rsidRPr="000E681F">
        <w:rPr>
          <w:lang w:val="fr-FR"/>
        </w:rPr>
        <w:t>produit 4 c)</w:t>
      </w:r>
      <w:r w:rsidR="005E7BA5">
        <w:rPr>
          <w:lang w:val="fr-FR"/>
        </w:rPr>
        <w:t>)</w:t>
      </w:r>
      <w:r w:rsidRPr="000E681F">
        <w:rPr>
          <w:vertAlign w:val="superscript"/>
          <w:lang w:val="fr-FR"/>
        </w:rPr>
        <w:t xml:space="preserve"> </w:t>
      </w:r>
      <w:r w:rsidRPr="000E681F">
        <w:rPr>
          <w:vertAlign w:val="superscript"/>
          <w:lang w:val="fr-FR"/>
        </w:rPr>
        <w:footnoteReference w:id="5"/>
      </w:r>
      <w:r w:rsidRPr="000E681F">
        <w:rPr>
          <w:lang w:val="fr-FR"/>
        </w:rPr>
        <w:t xml:space="preserve"> </w:t>
      </w:r>
      <w:r w:rsidR="006442BD">
        <w:rPr>
          <w:lang w:val="fr-FR"/>
        </w:rPr>
        <w:t xml:space="preserve">menés </w:t>
      </w:r>
      <w:r w:rsidRPr="000E681F">
        <w:rPr>
          <w:lang w:val="fr-FR"/>
        </w:rPr>
        <w:t xml:space="preserve">en </w:t>
      </w:r>
      <w:r w:rsidR="001F67EF" w:rsidRPr="000E681F">
        <w:rPr>
          <w:lang w:val="fr-FR"/>
        </w:rPr>
        <w:t>application de la section </w:t>
      </w:r>
      <w:r w:rsidRPr="000E681F">
        <w:rPr>
          <w:lang w:val="fr-FR"/>
        </w:rPr>
        <w:t xml:space="preserve">VII de la </w:t>
      </w:r>
      <w:r w:rsidR="009C6288" w:rsidRPr="000E681F">
        <w:rPr>
          <w:lang w:val="fr-FR"/>
        </w:rPr>
        <w:t>décision</w:t>
      </w:r>
      <w:r w:rsidR="001F67EF" w:rsidRPr="000E681F">
        <w:rPr>
          <w:lang w:val="fr-FR"/>
        </w:rPr>
        <w:t> </w:t>
      </w:r>
      <w:r w:rsidRPr="000E681F">
        <w:rPr>
          <w:lang w:val="fr-FR"/>
        </w:rPr>
        <w:t>IPBES-6/1</w:t>
      </w:r>
      <w:r w:rsidR="00EB7F4F" w:rsidRPr="000E681F">
        <w:rPr>
          <w:lang w:val="fr-FR"/>
        </w:rPr>
        <w:t xml:space="preserve"> par le groupe d</w:t>
      </w:r>
      <w:r w:rsidR="00CB6448" w:rsidRPr="000E681F">
        <w:rPr>
          <w:lang w:val="fr-FR"/>
        </w:rPr>
        <w:t>’</w:t>
      </w:r>
      <w:r w:rsidR="005511CA" w:rsidRPr="000E681F">
        <w:rPr>
          <w:lang w:val="fr-FR"/>
        </w:rPr>
        <w:t>experts</w:t>
      </w:r>
      <w:r w:rsidR="006442BD">
        <w:rPr>
          <w:lang w:val="fr-FR"/>
        </w:rPr>
        <w:t>, associé à</w:t>
      </w:r>
      <w:r w:rsidR="00EB7F4F" w:rsidRPr="000E681F">
        <w:rPr>
          <w:lang w:val="fr-FR"/>
        </w:rPr>
        <w:t xml:space="preserve"> des spécialistes des processus internationaux pertinents et des partenaires intéressés ;</w:t>
      </w:r>
      <w:r w:rsidR="009C6288" w:rsidRPr="000E681F">
        <w:rPr>
          <w:lang w:val="fr-FR"/>
        </w:rPr>
        <w:t xml:space="preserve"> procédures de télé</w:t>
      </w:r>
      <w:r w:rsidR="006442BD">
        <w:rPr>
          <w:lang w:val="fr-FR"/>
        </w:rPr>
        <w:t>vers</w:t>
      </w:r>
      <w:r w:rsidR="009C6288" w:rsidRPr="000E681F">
        <w:rPr>
          <w:lang w:val="fr-FR"/>
        </w:rPr>
        <w:t>ement d</w:t>
      </w:r>
      <w:r w:rsidR="00ED20A4">
        <w:rPr>
          <w:lang w:val="fr-FR"/>
        </w:rPr>
        <w:t>’apports au</w:t>
      </w:r>
      <w:r w:rsidR="009C6288" w:rsidRPr="000E681F">
        <w:rPr>
          <w:lang w:val="fr-FR"/>
        </w:rPr>
        <w:t xml:space="preserve"> catalogue et de validation de s</w:t>
      </w:r>
      <w:r w:rsidR="003016A8">
        <w:rPr>
          <w:lang w:val="fr-FR"/>
        </w:rPr>
        <w:t>on</w:t>
      </w:r>
      <w:r w:rsidR="009C6288" w:rsidRPr="000E681F">
        <w:rPr>
          <w:lang w:val="fr-FR"/>
        </w:rPr>
        <w:t xml:space="preserve"> contenu ; et orientations méthodologiques fournies aux experts chargés des évaluations de la Plateforme sur la manière d</w:t>
      </w:r>
      <w:r w:rsidR="00CB6448" w:rsidRPr="000E681F">
        <w:rPr>
          <w:lang w:val="fr-FR"/>
        </w:rPr>
        <w:t>’</w:t>
      </w:r>
      <w:r w:rsidR="009C6288" w:rsidRPr="000E681F">
        <w:rPr>
          <w:lang w:val="fr-FR"/>
        </w:rPr>
        <w:t>évaluer les instruments de politique générale et de faciliter l</w:t>
      </w:r>
      <w:r w:rsidR="00CB6448" w:rsidRPr="000E681F">
        <w:rPr>
          <w:lang w:val="fr-FR"/>
        </w:rPr>
        <w:t>’</w:t>
      </w:r>
      <w:r w:rsidR="009C6288" w:rsidRPr="000E681F">
        <w:rPr>
          <w:lang w:val="fr-FR"/>
        </w:rPr>
        <w:t>utilisation des outils et méthodes d</w:t>
      </w:r>
      <w:r w:rsidR="00CB6448" w:rsidRPr="000E681F">
        <w:rPr>
          <w:lang w:val="fr-FR"/>
        </w:rPr>
        <w:t>’</w:t>
      </w:r>
      <w:r w:rsidR="009C6288" w:rsidRPr="000E681F">
        <w:rPr>
          <w:lang w:val="fr-FR"/>
        </w:rPr>
        <w:t>appui à l</w:t>
      </w:r>
      <w:r w:rsidR="00CB6448" w:rsidRPr="000E681F">
        <w:rPr>
          <w:lang w:val="fr-FR"/>
        </w:rPr>
        <w:t>’</w:t>
      </w:r>
      <w:r w:rsidR="009C6288" w:rsidRPr="000E681F">
        <w:rPr>
          <w:lang w:val="fr-FR"/>
        </w:rPr>
        <w:t xml:space="preserve">élaboration des politiques </w:t>
      </w:r>
      <w:r w:rsidR="00442500" w:rsidRPr="000E681F">
        <w:rPr>
          <w:lang w:val="fr-FR"/>
        </w:rPr>
        <w:t>en s</w:t>
      </w:r>
      <w:r w:rsidR="00CB6448" w:rsidRPr="000E681F">
        <w:rPr>
          <w:lang w:val="fr-FR"/>
        </w:rPr>
        <w:t>’</w:t>
      </w:r>
      <w:r w:rsidR="00442500" w:rsidRPr="000E681F">
        <w:rPr>
          <w:lang w:val="fr-FR"/>
        </w:rPr>
        <w:t>appuyant sur le</w:t>
      </w:r>
      <w:r w:rsidR="009C6288" w:rsidRPr="000E681F">
        <w:rPr>
          <w:lang w:val="fr-FR"/>
        </w:rPr>
        <w:t>s</w:t>
      </w:r>
      <w:r w:rsidR="005511CA" w:rsidRPr="000E681F">
        <w:rPr>
          <w:lang w:val="fr-FR"/>
        </w:rPr>
        <w:t xml:space="preserve"> évaluations de la P</w:t>
      </w:r>
      <w:r w:rsidR="009C6288" w:rsidRPr="000E681F">
        <w:rPr>
          <w:lang w:val="fr-FR"/>
        </w:rPr>
        <w:t>lateforme.</w:t>
      </w:r>
      <w:r w:rsidR="005511CA" w:rsidRPr="000E681F">
        <w:rPr>
          <w:lang w:val="fr-FR"/>
        </w:rPr>
        <w:t xml:space="preserve"> L</w:t>
      </w:r>
      <w:r w:rsidR="000C46A9" w:rsidRPr="000E681F">
        <w:rPr>
          <w:lang w:val="fr-FR"/>
        </w:rPr>
        <w:t>e groupe d</w:t>
      </w:r>
      <w:r w:rsidR="00CB6448" w:rsidRPr="000E681F">
        <w:rPr>
          <w:lang w:val="fr-FR"/>
        </w:rPr>
        <w:t>’</w:t>
      </w:r>
      <w:r w:rsidR="000C46A9" w:rsidRPr="000E681F">
        <w:rPr>
          <w:lang w:val="fr-FR"/>
        </w:rPr>
        <w:t>experts s</w:t>
      </w:r>
      <w:r w:rsidR="00CB6448" w:rsidRPr="000E681F">
        <w:rPr>
          <w:lang w:val="fr-FR"/>
        </w:rPr>
        <w:t>’</w:t>
      </w:r>
      <w:r w:rsidR="000C46A9" w:rsidRPr="000E681F">
        <w:rPr>
          <w:lang w:val="fr-FR"/>
        </w:rPr>
        <w:t xml:space="preserve">est réuni en août 2018 à Cambridge </w:t>
      </w:r>
      <w:r w:rsidR="00595F47">
        <w:rPr>
          <w:lang w:val="fr-FR"/>
        </w:rPr>
        <w:t>(</w:t>
      </w:r>
      <w:r w:rsidR="00733370">
        <w:rPr>
          <w:lang w:val="fr-FR"/>
        </w:rPr>
        <w:t>Royaume-Uni de Grande-Bretagne et d’Irlande du Nord)</w:t>
      </w:r>
      <w:r w:rsidR="000C46A9" w:rsidRPr="000E681F">
        <w:rPr>
          <w:lang w:val="fr-FR"/>
        </w:rPr>
        <w:t>. Le groupe d</w:t>
      </w:r>
      <w:r w:rsidR="00CB6448" w:rsidRPr="000E681F">
        <w:rPr>
          <w:lang w:val="fr-FR"/>
        </w:rPr>
        <w:t>’</w:t>
      </w:r>
      <w:r w:rsidR="000C46A9" w:rsidRPr="000E681F">
        <w:rPr>
          <w:lang w:val="fr-FR"/>
        </w:rPr>
        <w:t>appui technique basé au PNUE</w:t>
      </w:r>
      <w:r w:rsidR="000C46A9" w:rsidRPr="000E681F">
        <w:rPr>
          <w:lang w:val="fr-FR"/>
        </w:rPr>
        <w:noBreakHyphen/>
        <w:t>WCMC a continué de soutenir ces travaux, grâce à l</w:t>
      </w:r>
      <w:r w:rsidR="00CB6448" w:rsidRPr="000E681F">
        <w:rPr>
          <w:lang w:val="fr-FR"/>
        </w:rPr>
        <w:t>’</w:t>
      </w:r>
      <w:r w:rsidR="000C46A9" w:rsidRPr="000E681F">
        <w:rPr>
          <w:lang w:val="fr-FR"/>
        </w:rPr>
        <w:t>appui en nature apporté par cette organisation. On trouvera dans le document IPBES/7/INF/13 un rapport d</w:t>
      </w:r>
      <w:r w:rsidR="00CB6448" w:rsidRPr="000E681F">
        <w:rPr>
          <w:lang w:val="fr-FR"/>
        </w:rPr>
        <w:t>’</w:t>
      </w:r>
      <w:r w:rsidR="000C46A9" w:rsidRPr="000E681F">
        <w:rPr>
          <w:lang w:val="fr-FR"/>
        </w:rPr>
        <w:t>activité à ce sujet ;</w:t>
      </w:r>
    </w:p>
    <w:p w14:paraId="115B3746" w14:textId="69F91C53" w:rsidR="00DE64ED" w:rsidRPr="000E681F" w:rsidRDefault="0054115F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Activités menées dans le contexte de la stratégie de communication et de sensibilisation et collaboration avec des réseaux à composition non limitée de parties prenantes concernant la mise en œuvre de la stratégie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association des parties prenantes, conformément à la décision IPBES-4/4 </w:t>
      </w:r>
      <w:r w:rsidR="004B5A7E">
        <w:rPr>
          <w:lang w:val="fr-FR"/>
        </w:rPr>
        <w:t>(produit 4 d))</w:t>
      </w:r>
      <w:r w:rsidRPr="000E681F">
        <w:rPr>
          <w:lang w:val="fr-FR"/>
        </w:rPr>
        <w:t xml:space="preserve">, comme </w:t>
      </w:r>
      <w:r w:rsidR="001F67EF" w:rsidRPr="000E681F">
        <w:rPr>
          <w:lang w:val="fr-FR"/>
        </w:rPr>
        <w:t>indiqué dans le document </w:t>
      </w:r>
      <w:r w:rsidRPr="000E681F">
        <w:rPr>
          <w:lang w:val="fr-FR"/>
        </w:rPr>
        <w:t>IPBES/7/INF/14, un appui technique ayant été apporté par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UICN pour mettre en œuvre la stratégie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association des parties prenantes </w:t>
      </w:r>
      <w:r w:rsidR="004868B8" w:rsidRPr="000E681F">
        <w:rPr>
          <w:lang w:val="fr-FR"/>
        </w:rPr>
        <w:t>;</w:t>
      </w:r>
      <w:r w:rsidR="00855F33" w:rsidRPr="000E681F">
        <w:rPr>
          <w:lang w:val="fr-FR"/>
        </w:rPr>
        <w:t xml:space="preserve"> </w:t>
      </w:r>
      <w:r w:rsidRPr="000E681F">
        <w:rPr>
          <w:lang w:val="fr-FR"/>
        </w:rPr>
        <w:t>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établissement de nouveaux partenariats, parmi lesquels la signature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un mémorandum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accord avec le secrétariat de la Convention des Nations Unies sur la lutte contre la désertification dans les pays gravement touchés par la sécheresse et</w:t>
      </w:r>
      <w:r w:rsidR="001F67EF" w:rsidRPr="000E681F">
        <w:rPr>
          <w:lang w:val="fr-FR"/>
        </w:rPr>
        <w:t> </w:t>
      </w:r>
      <w:r w:rsidRPr="000E681F">
        <w:rPr>
          <w:lang w:val="fr-FR"/>
        </w:rPr>
        <w:t>/</w:t>
      </w:r>
      <w:r w:rsidR="001F67EF" w:rsidRPr="000E681F">
        <w:rPr>
          <w:lang w:val="fr-FR"/>
        </w:rPr>
        <w:t> </w:t>
      </w:r>
      <w:r w:rsidRPr="000E681F">
        <w:rPr>
          <w:lang w:val="fr-FR"/>
        </w:rPr>
        <w:t>ou la désertification, en particulier en Afrique</w:t>
      </w:r>
      <w:r w:rsidRPr="000E681F">
        <w:rPr>
          <w:b/>
          <w:lang w:val="fr-FR"/>
        </w:rPr>
        <w:t> </w:t>
      </w:r>
      <w:r w:rsidR="00C76479" w:rsidRPr="000E681F">
        <w:rPr>
          <w:lang w:val="fr-FR"/>
        </w:rPr>
        <w:t>;</w:t>
      </w:r>
      <w:r w:rsidR="004C10B0" w:rsidRPr="000E681F">
        <w:rPr>
          <w:lang w:val="fr-FR"/>
        </w:rPr>
        <w:t xml:space="preserve"> </w:t>
      </w:r>
      <w:r w:rsidR="00273549" w:rsidRPr="000E681F">
        <w:rPr>
          <w:lang w:val="fr-FR"/>
        </w:rPr>
        <w:t xml:space="preserve">et la </w:t>
      </w:r>
      <w:r w:rsidR="00660328" w:rsidRPr="000E681F">
        <w:rPr>
          <w:lang w:val="fr-FR"/>
        </w:rPr>
        <w:t xml:space="preserve">publication de la </w:t>
      </w:r>
      <w:r w:rsidR="00273549" w:rsidRPr="000E681F">
        <w:rPr>
          <w:lang w:val="fr-FR"/>
        </w:rPr>
        <w:t xml:space="preserve">liste des </w:t>
      </w:r>
      <w:r w:rsidR="00031B0E" w:rsidRPr="000E681F">
        <w:rPr>
          <w:lang w:val="fr-FR"/>
        </w:rPr>
        <w:t>partenaires soutenant l</w:t>
      </w:r>
      <w:r w:rsidR="00CB6448" w:rsidRPr="000E681F">
        <w:rPr>
          <w:lang w:val="fr-FR"/>
        </w:rPr>
        <w:t>’</w:t>
      </w:r>
      <w:r w:rsidR="00031B0E" w:rsidRPr="000E681F">
        <w:rPr>
          <w:lang w:val="fr-FR"/>
        </w:rPr>
        <w:t>initiative</w:t>
      </w:r>
      <w:r w:rsidR="004C10B0" w:rsidRPr="000E681F">
        <w:rPr>
          <w:lang w:val="fr-FR"/>
        </w:rPr>
        <w:t xml:space="preserve"> </w:t>
      </w:r>
      <w:r w:rsidR="00273549" w:rsidRPr="000E681F">
        <w:rPr>
          <w:lang w:val="fr-FR"/>
        </w:rPr>
        <w:t>sur le site Web de la Plateforme</w:t>
      </w:r>
      <w:r w:rsidR="000B77D5" w:rsidRPr="000E681F">
        <w:rPr>
          <w:lang w:val="fr-FR"/>
        </w:rPr>
        <w:t xml:space="preserve"> (</w:t>
      </w:r>
      <w:r w:rsidR="00273549" w:rsidRPr="000E681F">
        <w:rPr>
          <w:lang w:val="fr-FR"/>
        </w:rPr>
        <w:t>pour de plus amples informations sur la collaboration et les partenariats, voir le</w:t>
      </w:r>
      <w:r w:rsidR="004C10B0" w:rsidRPr="000E681F">
        <w:rPr>
          <w:lang w:val="fr-FR"/>
        </w:rPr>
        <w:t xml:space="preserve"> document</w:t>
      </w:r>
      <w:r w:rsidR="00273549" w:rsidRPr="000E681F">
        <w:rPr>
          <w:lang w:val="fr-FR"/>
        </w:rPr>
        <w:t> </w:t>
      </w:r>
      <w:r w:rsidR="000B77D5" w:rsidRPr="000E681F">
        <w:rPr>
          <w:lang w:val="fr-FR"/>
        </w:rPr>
        <w:t>IPBES/7/INF/15</w:t>
      </w:r>
      <w:r w:rsidR="00855F33" w:rsidRPr="000E681F">
        <w:rPr>
          <w:lang w:val="fr-FR"/>
        </w:rPr>
        <w:t>)</w:t>
      </w:r>
      <w:r w:rsidR="00273549" w:rsidRPr="000E681F">
        <w:rPr>
          <w:lang w:val="fr-FR"/>
        </w:rPr>
        <w:t> </w:t>
      </w:r>
      <w:r w:rsidR="00855F33" w:rsidRPr="000E681F">
        <w:rPr>
          <w:lang w:val="fr-FR"/>
        </w:rPr>
        <w:t>;</w:t>
      </w:r>
    </w:p>
    <w:p w14:paraId="2C99D79B" w14:textId="5B57B230" w:rsidR="00855F33" w:rsidRPr="000E681F" w:rsidRDefault="00997C11" w:rsidP="00A86B75">
      <w:pPr>
        <w:pStyle w:val="Normalnumber"/>
        <w:numPr>
          <w:ilvl w:val="1"/>
          <w:numId w:val="4"/>
        </w:numPr>
        <w:rPr>
          <w:lang w:val="fr-FR"/>
        </w:rPr>
      </w:pPr>
      <w:r w:rsidRPr="000E681F">
        <w:rPr>
          <w:lang w:val="fr-FR"/>
        </w:rPr>
        <w:t>Établissement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un rapport sur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examen de la Plateforme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issue de son premier</w:t>
      </w:r>
      <w:r w:rsidR="001F67EF" w:rsidRPr="000E681F">
        <w:rPr>
          <w:lang w:val="fr-FR"/>
        </w:rPr>
        <w:t> </w:t>
      </w:r>
      <w:r w:rsidRPr="000E681F">
        <w:rPr>
          <w:lang w:val="fr-FR"/>
        </w:rPr>
        <w:t xml:space="preserve">programme </w:t>
      </w:r>
      <w:r w:rsidR="000549A5">
        <w:rPr>
          <w:lang w:val="fr-FR"/>
        </w:rPr>
        <w:t>de travail (</w:t>
      </w:r>
      <w:r w:rsidRPr="000E681F">
        <w:rPr>
          <w:lang w:val="fr-FR"/>
        </w:rPr>
        <w:t>produit 4 e)</w:t>
      </w:r>
      <w:r w:rsidR="000549A5">
        <w:rPr>
          <w:lang w:val="fr-FR"/>
        </w:rPr>
        <w:t>)</w:t>
      </w:r>
      <w:r w:rsidR="003016A8">
        <w:rPr>
          <w:lang w:val="fr-FR"/>
        </w:rPr>
        <w:t>,</w:t>
      </w:r>
      <w:r w:rsidRPr="000E681F">
        <w:rPr>
          <w:lang w:val="fr-FR"/>
        </w:rPr>
        <w:t xml:space="preserve"> en application de la décision IPBES-5/2, par le groupe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examen, présenté dans le document IPBES/7/INF/18, incluant notamment des recommandations visant à améliorer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efficacité de la Plateforme, présentées dans le document IPBES/7/5 </w:t>
      </w:r>
      <w:r w:rsidR="00086A10" w:rsidRPr="000E681F">
        <w:rPr>
          <w:lang w:val="fr-FR"/>
        </w:rPr>
        <w:t>;</w:t>
      </w:r>
    </w:p>
    <w:p w14:paraId="4EA32995" w14:textId="387EF869" w:rsidR="00E3234F" w:rsidRPr="000E681F" w:rsidRDefault="002130B3" w:rsidP="00A86B75">
      <w:pPr>
        <w:pStyle w:val="Normalnumber"/>
        <w:numPr>
          <w:ilvl w:val="1"/>
          <w:numId w:val="4"/>
        </w:numPr>
        <w:rPr>
          <w:lang w:val="fr-FR"/>
        </w:rPr>
      </w:pPr>
      <w:bookmarkStart w:id="10" w:name="_Hlk500767130"/>
      <w:r w:rsidRPr="000E681F">
        <w:rPr>
          <w:lang w:val="fr-FR"/>
        </w:rPr>
        <w:t xml:space="preserve">Poursuite des travaux </w:t>
      </w:r>
      <w:r w:rsidR="00660328" w:rsidRPr="000E681F">
        <w:rPr>
          <w:lang w:val="fr-FR"/>
        </w:rPr>
        <w:t>du</w:t>
      </w:r>
      <w:r w:rsidRPr="000E681F">
        <w:rPr>
          <w:lang w:val="fr-FR"/>
        </w:rPr>
        <w:t xml:space="preserve"> Comité sur les conflits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intérêts et établissement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un rapport, </w:t>
      </w:r>
      <w:r w:rsidR="00660328" w:rsidRPr="000E681F">
        <w:rPr>
          <w:lang w:val="fr-FR"/>
        </w:rPr>
        <w:t>comme indiqué</w:t>
      </w:r>
      <w:r w:rsidRPr="000E681F">
        <w:rPr>
          <w:lang w:val="fr-FR"/>
        </w:rPr>
        <w:t xml:space="preserve"> dans le document IPBES/7/INF/16, conformément à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article 10 des procédures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application de la politique en matière de conflits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intérêts figurant dans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annexe II de la décision IPBES-3/3</w:t>
      </w:r>
      <w:r w:rsidR="00855F33" w:rsidRPr="000E681F">
        <w:rPr>
          <w:lang w:val="fr-FR"/>
        </w:rPr>
        <w:t>.</w:t>
      </w:r>
    </w:p>
    <w:bookmarkEnd w:id="10"/>
    <w:p w14:paraId="5057BCC2" w14:textId="5D28305F" w:rsidR="00855F33" w:rsidRPr="000E681F" w:rsidRDefault="00855F33" w:rsidP="00A86B75">
      <w:pPr>
        <w:pStyle w:val="CH1"/>
        <w:rPr>
          <w:lang w:val="fr-FR"/>
        </w:rPr>
      </w:pPr>
      <w:r w:rsidRPr="000E681F">
        <w:rPr>
          <w:lang w:val="fr-FR"/>
        </w:rPr>
        <w:tab/>
        <w:t>II.</w:t>
      </w:r>
      <w:r w:rsidRPr="000E681F">
        <w:rPr>
          <w:lang w:val="fr-FR"/>
        </w:rPr>
        <w:tab/>
      </w:r>
      <w:r w:rsidR="00595F47">
        <w:rPr>
          <w:lang w:val="fr-FR"/>
        </w:rPr>
        <w:t>Informations actualisées sur l</w:t>
      </w:r>
      <w:r w:rsidR="002A61FD" w:rsidRPr="000E681F">
        <w:rPr>
          <w:lang w:val="fr-FR"/>
        </w:rPr>
        <w:t>e recrutement de fonct</w:t>
      </w:r>
      <w:r w:rsidR="002F2277" w:rsidRPr="000E681F">
        <w:rPr>
          <w:lang w:val="fr-FR"/>
        </w:rPr>
        <w:t xml:space="preserve">ionnaires </w:t>
      </w:r>
      <w:r w:rsidR="006F7427">
        <w:rPr>
          <w:lang w:val="fr-FR"/>
        </w:rPr>
        <w:br/>
      </w:r>
      <w:r w:rsidR="002F2277" w:rsidRPr="000E681F">
        <w:rPr>
          <w:lang w:val="fr-FR"/>
        </w:rPr>
        <w:t>au secrétariat en 2018</w:t>
      </w:r>
    </w:p>
    <w:p w14:paraId="70DAFCD5" w14:textId="2280DE6C" w:rsidR="002E364F" w:rsidRPr="000E681F" w:rsidRDefault="00DD2B4A" w:rsidP="00A86B75">
      <w:pPr>
        <w:pStyle w:val="Normalnumber"/>
        <w:rPr>
          <w:lang w:val="fr-FR"/>
        </w:rPr>
      </w:pPr>
      <w:bookmarkStart w:id="11" w:name="_Hlk499031423"/>
      <w:r w:rsidRPr="000E681F">
        <w:rPr>
          <w:lang w:val="fr-FR"/>
        </w:rPr>
        <w:t>En juin 2018, le nouveau poste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Assistant </w:t>
      </w:r>
      <w:r w:rsidR="00274D36">
        <w:rPr>
          <w:lang w:val="fr-FR"/>
        </w:rPr>
        <w:t>aux</w:t>
      </w:r>
      <w:r w:rsidRPr="000E681F">
        <w:rPr>
          <w:lang w:val="fr-FR"/>
        </w:rPr>
        <w:t xml:space="preserve"> systèmes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 xml:space="preserve">information </w:t>
      </w:r>
      <w:r w:rsidR="001F67EF" w:rsidRPr="000E681F">
        <w:rPr>
          <w:lang w:val="fr-FR"/>
        </w:rPr>
        <w:t>(G</w:t>
      </w:r>
      <w:r w:rsidR="001F67EF" w:rsidRPr="000E681F">
        <w:rPr>
          <w:lang w:val="fr-FR"/>
        </w:rPr>
        <w:noBreakHyphen/>
      </w:r>
      <w:r w:rsidRPr="000E681F">
        <w:rPr>
          <w:lang w:val="fr-FR"/>
        </w:rPr>
        <w:t xml:space="preserve">5) a été pourvu. </w:t>
      </w:r>
      <w:r w:rsidR="001F67EF" w:rsidRPr="000E681F">
        <w:rPr>
          <w:lang w:val="fr-FR"/>
        </w:rPr>
        <w:t>Dans sa décision </w:t>
      </w:r>
      <w:r w:rsidRPr="000E681F">
        <w:rPr>
          <w:lang w:val="fr-FR"/>
        </w:rPr>
        <w:t>IPBES-5/6, la Plénière avait approuvé le financement</w:t>
      </w:r>
      <w:r w:rsidR="004802DB">
        <w:rPr>
          <w:lang w:val="fr-FR"/>
        </w:rPr>
        <w:t xml:space="preserve"> de la moitié du coût associé à </w:t>
      </w:r>
      <w:r w:rsidRPr="000E681F">
        <w:rPr>
          <w:lang w:val="fr-FR"/>
        </w:rPr>
        <w:t>ce poste et l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Allemagne a, depuis lors, apporté une contribution en espèces pour permettre le recrutement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un fonctionnaire à temps plein, chargé d</w:t>
      </w:r>
      <w:r w:rsidR="00274D36">
        <w:rPr>
          <w:lang w:val="fr-FR"/>
        </w:rPr>
        <w:t>’aid</w:t>
      </w:r>
      <w:r w:rsidRPr="000E681F">
        <w:rPr>
          <w:lang w:val="fr-FR"/>
        </w:rPr>
        <w:t xml:space="preserve">er </w:t>
      </w:r>
      <w:r w:rsidR="00274D36">
        <w:rPr>
          <w:lang w:val="fr-FR"/>
        </w:rPr>
        <w:t>à</w:t>
      </w:r>
      <w:r w:rsidRPr="000E681F">
        <w:rPr>
          <w:lang w:val="fr-FR"/>
        </w:rPr>
        <w:t xml:space="preserve"> perfectionne</w:t>
      </w:r>
      <w:r w:rsidR="00274D36">
        <w:rPr>
          <w:lang w:val="fr-FR"/>
        </w:rPr>
        <w:t>r</w:t>
      </w:r>
      <w:r w:rsidRPr="000E681F">
        <w:rPr>
          <w:lang w:val="fr-FR"/>
        </w:rPr>
        <w:t xml:space="preserve"> et </w:t>
      </w:r>
      <w:r w:rsidR="00274D36">
        <w:rPr>
          <w:lang w:val="fr-FR"/>
        </w:rPr>
        <w:t>mettre</w:t>
      </w:r>
      <w:r w:rsidRPr="000E681F">
        <w:rPr>
          <w:lang w:val="fr-FR"/>
        </w:rPr>
        <w:t xml:space="preserve"> à jour </w:t>
      </w:r>
      <w:r w:rsidR="00274D36">
        <w:rPr>
          <w:lang w:val="fr-FR"/>
        </w:rPr>
        <w:t>le</w:t>
      </w:r>
      <w:r w:rsidRPr="000E681F">
        <w:rPr>
          <w:lang w:val="fr-FR"/>
        </w:rPr>
        <w:t xml:space="preserve"> système de gestion de données </w:t>
      </w:r>
      <w:r w:rsidR="00274D36">
        <w:rPr>
          <w:lang w:val="fr-FR"/>
        </w:rPr>
        <w:t>épaulant</w:t>
      </w:r>
      <w:r w:rsidRPr="000E681F">
        <w:rPr>
          <w:lang w:val="fr-FR"/>
        </w:rPr>
        <w:t xml:space="preserve"> la mise en œuvre du programme de travail de la Plateforme.</w:t>
      </w:r>
    </w:p>
    <w:p w14:paraId="49454A17" w14:textId="1C4138CE" w:rsidR="009F188E" w:rsidRPr="000E681F" w:rsidRDefault="001F67EF" w:rsidP="00A86B75">
      <w:pPr>
        <w:pStyle w:val="Normalnumber"/>
        <w:rPr>
          <w:lang w:val="fr-FR"/>
        </w:rPr>
      </w:pPr>
      <w:r w:rsidRPr="000E681F">
        <w:rPr>
          <w:lang w:val="fr-FR"/>
        </w:rPr>
        <w:t>Deux </w:t>
      </w:r>
      <w:r w:rsidR="0074470C" w:rsidRPr="000E681F">
        <w:rPr>
          <w:lang w:val="fr-FR"/>
        </w:rPr>
        <w:t>fonctionnaires ont quitté le secrétariat en 2018, et un en 2019. Le recru</w:t>
      </w:r>
      <w:r w:rsidR="004802DB">
        <w:rPr>
          <w:lang w:val="fr-FR"/>
        </w:rPr>
        <w:t>tement pour le </w:t>
      </w:r>
      <w:r w:rsidR="0074470C" w:rsidRPr="000E681F">
        <w:rPr>
          <w:lang w:val="fr-FR"/>
        </w:rPr>
        <w:t>poste d</w:t>
      </w:r>
      <w:r w:rsidR="00CB6448" w:rsidRPr="000E681F">
        <w:rPr>
          <w:lang w:val="fr-FR"/>
        </w:rPr>
        <w:t>’</w:t>
      </w:r>
      <w:r w:rsidR="0074470C" w:rsidRPr="000E681F">
        <w:rPr>
          <w:lang w:val="fr-FR"/>
        </w:rPr>
        <w:t>Assistant de programme (G</w:t>
      </w:r>
      <w:r w:rsidR="0074470C" w:rsidRPr="000E681F">
        <w:rPr>
          <w:lang w:val="fr-FR"/>
        </w:rPr>
        <w:noBreakHyphen/>
        <w:t>5), vacant depuis mai 2018, s</w:t>
      </w:r>
      <w:r w:rsidR="00CB6448" w:rsidRPr="000E681F">
        <w:rPr>
          <w:lang w:val="fr-FR"/>
        </w:rPr>
        <w:t>’</w:t>
      </w:r>
      <w:r w:rsidR="004802DB">
        <w:rPr>
          <w:lang w:val="fr-FR"/>
        </w:rPr>
        <w:t>est achevé en novembre 2018, et </w:t>
      </w:r>
      <w:r w:rsidR="00203E88" w:rsidRPr="000E681F">
        <w:rPr>
          <w:lang w:val="fr-FR"/>
        </w:rPr>
        <w:t>le recrutement pour le poste de Spécialiste de la gestion des programmes (P</w:t>
      </w:r>
      <w:r w:rsidR="00203E88" w:rsidRPr="000E681F">
        <w:rPr>
          <w:lang w:val="fr-FR"/>
        </w:rPr>
        <w:noBreakHyphen/>
        <w:t xml:space="preserve">3), vacant depuis juin 2018, </w:t>
      </w:r>
      <w:r w:rsidR="0074470C" w:rsidRPr="000E681F">
        <w:rPr>
          <w:lang w:val="fr-FR"/>
        </w:rPr>
        <w:t>est en train d</w:t>
      </w:r>
      <w:r w:rsidR="00CB6448" w:rsidRPr="000E681F">
        <w:rPr>
          <w:lang w:val="fr-FR"/>
        </w:rPr>
        <w:t>’</w:t>
      </w:r>
      <w:r w:rsidR="0074470C" w:rsidRPr="000E681F">
        <w:rPr>
          <w:lang w:val="fr-FR"/>
        </w:rPr>
        <w:t>être finalisé. Le recrutement pour le poste d</w:t>
      </w:r>
      <w:r w:rsidR="00CB6448" w:rsidRPr="000E681F">
        <w:rPr>
          <w:lang w:val="fr-FR"/>
        </w:rPr>
        <w:t>’</w:t>
      </w:r>
      <w:r w:rsidR="0074470C" w:rsidRPr="000E681F">
        <w:rPr>
          <w:lang w:val="fr-FR"/>
        </w:rPr>
        <w:t>Assistant du Chef du secrétariat (G</w:t>
      </w:r>
      <w:r w:rsidR="0074470C" w:rsidRPr="000E681F">
        <w:rPr>
          <w:lang w:val="fr-FR"/>
        </w:rPr>
        <w:noBreakHyphen/>
        <w:t>6), vacant depuis janvier 2019, est en cours.</w:t>
      </w:r>
    </w:p>
    <w:p w14:paraId="7352B9F8" w14:textId="33296951" w:rsidR="0042776A" w:rsidRPr="000E681F" w:rsidRDefault="001F1230" w:rsidP="00A86B75">
      <w:pPr>
        <w:pStyle w:val="Normalnumber"/>
        <w:rPr>
          <w:lang w:val="fr-FR"/>
        </w:rPr>
      </w:pPr>
      <w:r w:rsidRPr="000E681F">
        <w:rPr>
          <w:lang w:val="fr-FR"/>
        </w:rPr>
        <w:t>À sa sixième </w:t>
      </w:r>
      <w:r w:rsidR="008C6742" w:rsidRPr="000E681F">
        <w:rPr>
          <w:lang w:val="fr-FR"/>
        </w:rPr>
        <w:t xml:space="preserve">session, </w:t>
      </w:r>
      <w:r w:rsidRPr="000E681F">
        <w:rPr>
          <w:lang w:val="fr-FR"/>
        </w:rPr>
        <w:t>la Plénière a approuvé, dans le cadre de sa décision sur le budget, le reclassement de deux postes de P</w:t>
      </w:r>
      <w:r w:rsidRPr="000E681F">
        <w:rPr>
          <w:lang w:val="fr-FR"/>
        </w:rPr>
        <w:noBreakHyphen/>
        <w:t>2 à P</w:t>
      </w:r>
      <w:r w:rsidRPr="000E681F">
        <w:rPr>
          <w:lang w:val="fr-FR"/>
        </w:rPr>
        <w:noBreakHyphen/>
        <w:t>3</w:t>
      </w:r>
      <w:r w:rsidR="00274D36">
        <w:rPr>
          <w:lang w:val="fr-FR"/>
        </w:rPr>
        <w:t xml:space="preserve"> à </w:t>
      </w:r>
      <w:r w:rsidR="00274D36" w:rsidRPr="00274D36">
        <w:rPr>
          <w:lang w:val="fr-FR"/>
        </w:rPr>
        <w:t>compter de 2018</w:t>
      </w:r>
      <w:r w:rsidRPr="000E681F">
        <w:rPr>
          <w:lang w:val="fr-FR"/>
        </w:rPr>
        <w:t>, les fonctions d</w:t>
      </w:r>
      <w:r w:rsidR="003136E2" w:rsidRPr="000E681F">
        <w:rPr>
          <w:lang w:val="fr-FR"/>
        </w:rPr>
        <w:t>esdits</w:t>
      </w:r>
      <w:r w:rsidRPr="000E681F">
        <w:rPr>
          <w:lang w:val="fr-FR"/>
        </w:rPr>
        <w:t xml:space="preserve"> poste</w:t>
      </w:r>
      <w:r w:rsidR="003136E2" w:rsidRPr="000E681F">
        <w:rPr>
          <w:lang w:val="fr-FR"/>
        </w:rPr>
        <w:t>s</w:t>
      </w:r>
      <w:r w:rsidR="00AA4E64" w:rsidRPr="000E681F">
        <w:rPr>
          <w:lang w:val="fr-FR"/>
        </w:rPr>
        <w:t xml:space="preserve"> ayant été considérées comme correspondant à un niveau de responsabilité plus élevé qu</w:t>
      </w:r>
      <w:r w:rsidR="00CB6448" w:rsidRPr="000E681F">
        <w:rPr>
          <w:lang w:val="fr-FR"/>
        </w:rPr>
        <w:t>’</w:t>
      </w:r>
      <w:r w:rsidR="00AA4E64" w:rsidRPr="000E681F">
        <w:rPr>
          <w:lang w:val="fr-FR"/>
        </w:rPr>
        <w:t>il n</w:t>
      </w:r>
      <w:r w:rsidR="00CB6448" w:rsidRPr="000E681F">
        <w:rPr>
          <w:lang w:val="fr-FR"/>
        </w:rPr>
        <w:t>’</w:t>
      </w:r>
      <w:r w:rsidR="00AA4E64" w:rsidRPr="000E681F">
        <w:rPr>
          <w:lang w:val="fr-FR"/>
        </w:rPr>
        <w:t xml:space="preserve">avait </w:t>
      </w:r>
      <w:r w:rsidR="00254D85" w:rsidRPr="000E681F">
        <w:rPr>
          <w:lang w:val="fr-FR"/>
        </w:rPr>
        <w:t xml:space="preserve">été initialement </w:t>
      </w:r>
      <w:r w:rsidR="00AA4E64" w:rsidRPr="000E681F">
        <w:rPr>
          <w:lang w:val="fr-FR"/>
        </w:rPr>
        <w:t>estimé.</w:t>
      </w:r>
      <w:r w:rsidR="008C6742" w:rsidRPr="000E681F">
        <w:rPr>
          <w:lang w:val="fr-FR"/>
        </w:rPr>
        <w:t xml:space="preserve"> </w:t>
      </w:r>
      <w:r w:rsidRPr="000E681F">
        <w:rPr>
          <w:lang w:val="fr-FR"/>
        </w:rPr>
        <w:t>Le recrutement pour les postes</w:t>
      </w:r>
      <w:r w:rsidR="008C6742" w:rsidRPr="000E681F">
        <w:rPr>
          <w:lang w:val="fr-FR"/>
        </w:rPr>
        <w:t xml:space="preserve"> reclass</w:t>
      </w:r>
      <w:r w:rsidRPr="000E681F">
        <w:rPr>
          <w:lang w:val="fr-FR"/>
        </w:rPr>
        <w:t>és</w:t>
      </w:r>
      <w:r w:rsidR="008C6742" w:rsidRPr="000E681F">
        <w:rPr>
          <w:lang w:val="fr-FR"/>
        </w:rPr>
        <w:t xml:space="preserve"> </w:t>
      </w:r>
      <w:r w:rsidRPr="000E681F">
        <w:rPr>
          <w:lang w:val="fr-FR"/>
        </w:rPr>
        <w:t>est en train d</w:t>
      </w:r>
      <w:r w:rsidR="00CB6448" w:rsidRPr="000E681F">
        <w:rPr>
          <w:lang w:val="fr-FR"/>
        </w:rPr>
        <w:t>’</w:t>
      </w:r>
      <w:r w:rsidRPr="000E681F">
        <w:rPr>
          <w:lang w:val="fr-FR"/>
        </w:rPr>
        <w:t>être finalisé.</w:t>
      </w:r>
    </w:p>
    <w:bookmarkEnd w:id="11"/>
    <w:p w14:paraId="4FCE1B53" w14:textId="6AC143DA" w:rsidR="00855F33" w:rsidRPr="000E681F" w:rsidRDefault="00FF7172" w:rsidP="00A86B75">
      <w:pPr>
        <w:pStyle w:val="CH3"/>
        <w:spacing w:line="360" w:lineRule="auto"/>
        <w:ind w:firstLine="0"/>
        <w:rPr>
          <w:lang w:val="fr-FR"/>
        </w:rPr>
      </w:pPr>
      <w:r w:rsidRPr="000E681F">
        <w:rPr>
          <w:lang w:val="fr-FR"/>
        </w:rPr>
        <w:t>Effectifs</w:t>
      </w:r>
      <w:r w:rsidR="00FC3A03" w:rsidRPr="000E681F">
        <w:rPr>
          <w:lang w:val="fr-FR"/>
        </w:rPr>
        <w:t xml:space="preserve"> du secrétariat e</w:t>
      </w:r>
      <w:r w:rsidR="00855F33" w:rsidRPr="000E681F">
        <w:rPr>
          <w:lang w:val="fr-FR"/>
        </w:rPr>
        <w:t>n 201</w:t>
      </w:r>
      <w:r w:rsidR="008F5905" w:rsidRPr="000E681F">
        <w:rPr>
          <w:lang w:val="fr-FR"/>
        </w:rPr>
        <w:t>8</w:t>
      </w:r>
    </w:p>
    <w:tbl>
      <w:tblPr>
        <w:tblW w:w="4205" w:type="pct"/>
        <w:tblInd w:w="1384" w:type="dxa"/>
        <w:tblLook w:val="04A0" w:firstRow="1" w:lastRow="0" w:firstColumn="1" w:lastColumn="0" w:noHBand="0" w:noVBand="1"/>
      </w:tblPr>
      <w:tblGrid>
        <w:gridCol w:w="4441"/>
        <w:gridCol w:w="3545"/>
      </w:tblGrid>
      <w:tr w:rsidR="00855F33" w:rsidRPr="000E681F" w14:paraId="346F553D" w14:textId="77777777" w:rsidTr="00855F33">
        <w:trPr>
          <w:tblHeader/>
        </w:trPr>
        <w:tc>
          <w:tcPr>
            <w:tcW w:w="4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0FB1180" w14:textId="3440BF01" w:rsidR="00855F33" w:rsidRPr="000E681F" w:rsidRDefault="00855F3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Pos</w:t>
            </w:r>
            <w:r w:rsidR="002A61FD" w:rsidRPr="000E681F">
              <w:rPr>
                <w:sz w:val="18"/>
                <w:szCs w:val="18"/>
                <w:lang w:val="fr-FR" w:eastAsia="en-CA" w:bidi="en-US"/>
              </w:rPr>
              <w:t>te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DB26E1" w14:textId="1630F4B3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Statut</w:t>
            </w:r>
          </w:p>
        </w:tc>
      </w:tr>
      <w:tr w:rsidR="00855F33" w:rsidRPr="000E681F" w14:paraId="4EDE7D82" w14:textId="77777777" w:rsidTr="00855F33">
        <w:trPr>
          <w:tblHeader/>
        </w:trPr>
        <w:tc>
          <w:tcPr>
            <w:tcW w:w="45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E25D449" w14:textId="71F928D5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Chef du secrétariat 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t>(D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1)</w:t>
            </w: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C4DC729" w14:textId="2F681811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En poste depuis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 xml:space="preserve"> </w:t>
            </w:r>
            <w:r w:rsidR="00FC3A03" w:rsidRPr="000E681F">
              <w:rPr>
                <w:sz w:val="18"/>
                <w:szCs w:val="18"/>
                <w:lang w:val="fr-FR" w:eastAsia="en-CA" w:bidi="en-US"/>
              </w:rPr>
              <w:t>février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 xml:space="preserve"> 2014</w:t>
            </w:r>
          </w:p>
        </w:tc>
      </w:tr>
      <w:tr w:rsidR="00855F33" w:rsidRPr="000E681F" w14:paraId="639CDC2A" w14:textId="77777777" w:rsidTr="00855F33">
        <w:trPr>
          <w:tblHeader/>
        </w:trPr>
        <w:tc>
          <w:tcPr>
            <w:tcW w:w="4592" w:type="dxa"/>
            <w:hideMark/>
          </w:tcPr>
          <w:p w14:paraId="4881C9C1" w14:textId="6C650E1D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Administrateur de programme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 xml:space="preserve"> (P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4)</w:t>
            </w:r>
            <w:r w:rsidR="00855F33" w:rsidRPr="000E681F">
              <w:rPr>
                <w:sz w:val="18"/>
                <w:szCs w:val="18"/>
                <w:vertAlign w:val="superscript"/>
                <w:lang w:val="fr-FR" w:eastAsia="en-CA" w:bidi="en-US"/>
              </w:rPr>
              <w:t>a</w:t>
            </w:r>
          </w:p>
        </w:tc>
        <w:tc>
          <w:tcPr>
            <w:tcW w:w="3675" w:type="dxa"/>
            <w:hideMark/>
          </w:tcPr>
          <w:p w14:paraId="3625CFAC" w14:textId="33D1CF92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mars 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2015</w:t>
            </w:r>
          </w:p>
        </w:tc>
      </w:tr>
      <w:tr w:rsidR="00855F33" w:rsidRPr="000E681F" w14:paraId="63EC2C25" w14:textId="77777777" w:rsidTr="00855F33">
        <w:trPr>
          <w:tblHeader/>
        </w:trPr>
        <w:tc>
          <w:tcPr>
            <w:tcW w:w="4592" w:type="dxa"/>
            <w:hideMark/>
          </w:tcPr>
          <w:p w14:paraId="13B71991" w14:textId="284BC76A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Spécialiste des communications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 xml:space="preserve"> (P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4)</w:t>
            </w:r>
          </w:p>
        </w:tc>
        <w:tc>
          <w:tcPr>
            <w:tcW w:w="3675" w:type="dxa"/>
            <w:hideMark/>
          </w:tcPr>
          <w:p w14:paraId="725C8F23" w14:textId="38FB18F8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juillet 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2016</w:t>
            </w:r>
          </w:p>
        </w:tc>
      </w:tr>
      <w:tr w:rsidR="00855F33" w:rsidRPr="000E681F" w14:paraId="58138182" w14:textId="77777777" w:rsidTr="00855F33">
        <w:trPr>
          <w:tblHeader/>
        </w:trPr>
        <w:tc>
          <w:tcPr>
            <w:tcW w:w="4592" w:type="dxa"/>
            <w:hideMark/>
          </w:tcPr>
          <w:p w14:paraId="76668026" w14:textId="444D507E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Administrateur de programme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 xml:space="preserve"> (P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3)</w:t>
            </w:r>
          </w:p>
        </w:tc>
        <w:tc>
          <w:tcPr>
            <w:tcW w:w="3675" w:type="dxa"/>
            <w:hideMark/>
          </w:tcPr>
          <w:p w14:paraId="554F238B" w14:textId="6EB8B3E4" w:rsidR="00855F33" w:rsidRPr="000E681F" w:rsidRDefault="002255A8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V</w:t>
            </w:r>
            <w:r w:rsidR="00A4527C" w:rsidRPr="000E681F">
              <w:rPr>
                <w:sz w:val="18"/>
                <w:szCs w:val="18"/>
                <w:lang w:val="fr-FR" w:eastAsia="en-CA" w:bidi="en-US"/>
              </w:rPr>
              <w:t>acant</w:t>
            </w:r>
          </w:p>
        </w:tc>
      </w:tr>
      <w:tr w:rsidR="00855F33" w:rsidRPr="000E681F" w14:paraId="1BB13299" w14:textId="77777777" w:rsidTr="00855F33">
        <w:trPr>
          <w:tblHeader/>
        </w:trPr>
        <w:tc>
          <w:tcPr>
            <w:tcW w:w="4592" w:type="dxa"/>
            <w:hideMark/>
          </w:tcPr>
          <w:p w14:paraId="7F5C3549" w14:textId="7F6273AE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Fonctionnaire d</w:t>
            </w:r>
            <w:r w:rsidR="00CB6448" w:rsidRPr="000E681F">
              <w:rPr>
                <w:sz w:val="18"/>
                <w:szCs w:val="18"/>
                <w:lang w:val="fr-FR" w:eastAsia="en-CA" w:bidi="en-US"/>
              </w:rPr>
              <w:t>’</w:t>
            </w:r>
            <w:r w:rsidRPr="000E681F">
              <w:rPr>
                <w:sz w:val="18"/>
                <w:szCs w:val="18"/>
                <w:lang w:val="fr-FR" w:eastAsia="en-CA" w:bidi="en-US"/>
              </w:rPr>
              <w:t>administration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t xml:space="preserve"> (P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3)</w:t>
            </w:r>
          </w:p>
        </w:tc>
        <w:tc>
          <w:tcPr>
            <w:tcW w:w="3675" w:type="dxa"/>
            <w:hideMark/>
          </w:tcPr>
          <w:p w14:paraId="0F75224A" w14:textId="70DA3BC7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mai 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2017</w:t>
            </w:r>
          </w:p>
        </w:tc>
      </w:tr>
      <w:tr w:rsidR="00855F33" w:rsidRPr="000E681F" w14:paraId="7F8257FE" w14:textId="77777777" w:rsidTr="00855F33">
        <w:trPr>
          <w:trHeight w:val="159"/>
          <w:tblHeader/>
        </w:trPr>
        <w:tc>
          <w:tcPr>
            <w:tcW w:w="4592" w:type="dxa"/>
            <w:hideMark/>
          </w:tcPr>
          <w:p w14:paraId="77EED685" w14:textId="69E50095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/>
              </w:rPr>
              <w:t>Spécialiste adjoint de la gestion des connaissances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 xml:space="preserve"> (P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2)</w:t>
            </w:r>
          </w:p>
        </w:tc>
        <w:tc>
          <w:tcPr>
            <w:tcW w:w="3675" w:type="dxa"/>
            <w:hideMark/>
          </w:tcPr>
          <w:p w14:paraId="20A89C56" w14:textId="087D745B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mai </w:t>
            </w:r>
            <w:r w:rsidR="00855F33" w:rsidRPr="000E681F">
              <w:rPr>
                <w:sz w:val="18"/>
                <w:szCs w:val="18"/>
                <w:lang w:val="fr-FR" w:eastAsia="en-CA"/>
              </w:rPr>
              <w:t>2016</w:t>
            </w:r>
          </w:p>
        </w:tc>
      </w:tr>
      <w:tr w:rsidR="00855F33" w:rsidRPr="000E681F" w14:paraId="5E2F0285" w14:textId="77777777" w:rsidTr="00855F33">
        <w:trPr>
          <w:tblHeader/>
        </w:trPr>
        <w:tc>
          <w:tcPr>
            <w:tcW w:w="4592" w:type="dxa"/>
            <w:hideMark/>
          </w:tcPr>
          <w:p w14:paraId="4676B9C9" w14:textId="0C51C20E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Administrateur de programme adjoint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t xml:space="preserve"> (P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2)</w:t>
            </w:r>
          </w:p>
        </w:tc>
        <w:tc>
          <w:tcPr>
            <w:tcW w:w="3675" w:type="dxa"/>
            <w:hideMark/>
          </w:tcPr>
          <w:p w14:paraId="53C24071" w14:textId="7538663F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février 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2016</w:t>
            </w:r>
          </w:p>
        </w:tc>
      </w:tr>
      <w:tr w:rsidR="00855F33" w:rsidRPr="000E681F" w14:paraId="579FE6D1" w14:textId="77777777" w:rsidTr="00855F33">
        <w:trPr>
          <w:tblHeader/>
        </w:trPr>
        <w:tc>
          <w:tcPr>
            <w:tcW w:w="4592" w:type="dxa"/>
            <w:hideMark/>
          </w:tcPr>
          <w:p w14:paraId="4C808F7E" w14:textId="6A7C1AD3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Assistant administratif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 xml:space="preserve"> (G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6)</w:t>
            </w:r>
          </w:p>
        </w:tc>
        <w:tc>
          <w:tcPr>
            <w:tcW w:w="3675" w:type="dxa"/>
            <w:hideMark/>
          </w:tcPr>
          <w:p w14:paraId="7B0DB32E" w14:textId="3277A265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août 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2016</w:t>
            </w:r>
          </w:p>
        </w:tc>
      </w:tr>
      <w:tr w:rsidR="00855F33" w:rsidRPr="000E681F" w14:paraId="747AC345" w14:textId="77777777" w:rsidTr="00855F33">
        <w:trPr>
          <w:tblHeader/>
        </w:trPr>
        <w:tc>
          <w:tcPr>
            <w:tcW w:w="4592" w:type="dxa"/>
            <w:hideMark/>
          </w:tcPr>
          <w:p w14:paraId="2C66CA8D" w14:textId="3905837A" w:rsidR="00855F33" w:rsidRPr="000E681F" w:rsidRDefault="002A61FD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Assistant administratif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t xml:space="preserve"> (G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6)</w:t>
            </w:r>
          </w:p>
        </w:tc>
        <w:tc>
          <w:tcPr>
            <w:tcW w:w="3675" w:type="dxa"/>
            <w:hideMark/>
          </w:tcPr>
          <w:p w14:paraId="7E7548E7" w14:textId="3EDA18DB" w:rsidR="00855F33" w:rsidRPr="000E681F" w:rsidRDefault="002255A8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V</w:t>
            </w:r>
            <w:r w:rsidR="00A4527C" w:rsidRPr="000E681F">
              <w:rPr>
                <w:sz w:val="18"/>
                <w:szCs w:val="18"/>
                <w:lang w:val="fr-FR" w:eastAsia="en-CA" w:bidi="en-US"/>
              </w:rPr>
              <w:t xml:space="preserve">acant </w:t>
            </w:r>
          </w:p>
        </w:tc>
      </w:tr>
      <w:tr w:rsidR="00855F33" w:rsidRPr="000E681F" w14:paraId="37DDB443" w14:textId="77777777" w:rsidTr="00855F33">
        <w:trPr>
          <w:tblHeader/>
        </w:trPr>
        <w:tc>
          <w:tcPr>
            <w:tcW w:w="4592" w:type="dxa"/>
            <w:hideMark/>
          </w:tcPr>
          <w:p w14:paraId="24A229ED" w14:textId="4F76184D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Assistant administratif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t xml:space="preserve"> (G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5)</w:t>
            </w:r>
          </w:p>
        </w:tc>
        <w:tc>
          <w:tcPr>
            <w:tcW w:w="3675" w:type="dxa"/>
            <w:hideMark/>
          </w:tcPr>
          <w:p w14:paraId="7C2F2650" w14:textId="467190C2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En poste depuis juin</w:t>
            </w:r>
            <w:r w:rsidR="00BE4A98" w:rsidRPr="000E681F">
              <w:rPr>
                <w:sz w:val="18"/>
                <w:szCs w:val="18"/>
                <w:lang w:val="fr-FR" w:eastAsia="en-CA" w:bidi="en-US"/>
              </w:rPr>
              <w:t xml:space="preserve"> </w:t>
            </w:r>
            <w:r w:rsidR="00A4527C" w:rsidRPr="000E681F">
              <w:rPr>
                <w:sz w:val="18"/>
                <w:szCs w:val="18"/>
                <w:lang w:val="fr-FR" w:eastAsia="en-CA" w:bidi="en-US"/>
              </w:rPr>
              <w:t>2018</w:t>
            </w:r>
          </w:p>
        </w:tc>
      </w:tr>
      <w:tr w:rsidR="00855F33" w:rsidRPr="000E681F" w14:paraId="78D725AD" w14:textId="77777777" w:rsidTr="00855F33">
        <w:trPr>
          <w:tblHeader/>
        </w:trPr>
        <w:tc>
          <w:tcPr>
            <w:tcW w:w="4592" w:type="dxa"/>
            <w:hideMark/>
          </w:tcPr>
          <w:p w14:paraId="4F594914" w14:textId="0BD1DBC2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Assistant administratif</w:t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 xml:space="preserve"> (G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5)</w:t>
            </w:r>
          </w:p>
        </w:tc>
        <w:tc>
          <w:tcPr>
            <w:tcW w:w="3675" w:type="dxa"/>
            <w:hideMark/>
          </w:tcPr>
          <w:p w14:paraId="2F555CD5" w14:textId="7F3423D2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juillet </w:t>
            </w:r>
            <w:r w:rsidR="00A4527C" w:rsidRPr="000E681F">
              <w:rPr>
                <w:sz w:val="18"/>
                <w:szCs w:val="18"/>
                <w:lang w:val="fr-FR" w:eastAsia="en-CA" w:bidi="en-US"/>
              </w:rPr>
              <w:t>2016</w:t>
            </w:r>
          </w:p>
        </w:tc>
      </w:tr>
      <w:tr w:rsidR="00855F33" w:rsidRPr="000E681F" w14:paraId="0614B28C" w14:textId="77777777" w:rsidTr="00855F33">
        <w:trPr>
          <w:tblHeader/>
        </w:trPr>
        <w:tc>
          <w:tcPr>
            <w:tcW w:w="4592" w:type="dxa"/>
            <w:hideMark/>
          </w:tcPr>
          <w:p w14:paraId="70CD56EE" w14:textId="71AEFB60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Assistant administratif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t xml:space="preserve"> (G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5)</w:t>
            </w:r>
          </w:p>
        </w:tc>
        <w:tc>
          <w:tcPr>
            <w:tcW w:w="3675" w:type="dxa"/>
            <w:hideMark/>
          </w:tcPr>
          <w:p w14:paraId="108CD6AF" w14:textId="19C6CF16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novembre </w:t>
            </w:r>
            <w:r w:rsidR="001F5AE3" w:rsidRPr="000E681F">
              <w:rPr>
                <w:sz w:val="18"/>
                <w:szCs w:val="18"/>
                <w:lang w:val="fr-FR" w:eastAsia="en-CA" w:bidi="en-US"/>
              </w:rPr>
              <w:t>2018</w:t>
            </w:r>
          </w:p>
        </w:tc>
      </w:tr>
      <w:tr w:rsidR="00855F33" w:rsidRPr="000E681F" w14:paraId="7BBD0F21" w14:textId="77777777" w:rsidTr="00855F33">
        <w:trPr>
          <w:trHeight w:val="308"/>
          <w:tblHeader/>
        </w:trPr>
        <w:tc>
          <w:tcPr>
            <w:tcW w:w="45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125676" w14:textId="487DEEC8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>Assistant administratif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t xml:space="preserve"> (G</w:t>
            </w:r>
            <w:r w:rsidR="00FF7172" w:rsidRPr="000E681F">
              <w:rPr>
                <w:sz w:val="18"/>
                <w:szCs w:val="18"/>
                <w:lang w:val="fr-FR" w:eastAsia="en-CA" w:bidi="en-US"/>
              </w:rPr>
              <w:noBreakHyphen/>
            </w:r>
            <w:r w:rsidR="00855F33" w:rsidRPr="000E681F">
              <w:rPr>
                <w:sz w:val="18"/>
                <w:szCs w:val="18"/>
                <w:lang w:val="fr-FR" w:eastAsia="en-CA" w:bidi="en-US"/>
              </w:rPr>
              <w:t>5)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18BD025" w14:textId="1E23C8C7" w:rsidR="00855F33" w:rsidRPr="000E681F" w:rsidRDefault="00FC3A03" w:rsidP="00A86B75">
            <w:pPr>
              <w:pStyle w:val="Normal-pool"/>
              <w:spacing w:before="40" w:after="40"/>
              <w:rPr>
                <w:sz w:val="18"/>
                <w:szCs w:val="18"/>
                <w:lang w:val="fr-FR" w:eastAsia="en-CA" w:bidi="en-US"/>
              </w:rPr>
            </w:pPr>
            <w:r w:rsidRPr="000E681F">
              <w:rPr>
                <w:sz w:val="18"/>
                <w:szCs w:val="18"/>
                <w:lang w:val="fr-FR" w:eastAsia="en-CA" w:bidi="en-US"/>
              </w:rPr>
              <w:t xml:space="preserve">En poste depuis août </w:t>
            </w:r>
            <w:r w:rsidR="001F5AE3" w:rsidRPr="000E681F">
              <w:rPr>
                <w:sz w:val="18"/>
                <w:szCs w:val="18"/>
                <w:lang w:val="fr-FR" w:eastAsia="en-CA" w:bidi="en-US"/>
              </w:rPr>
              <w:t>2015</w:t>
            </w:r>
          </w:p>
        </w:tc>
      </w:tr>
    </w:tbl>
    <w:p w14:paraId="1EFA5037" w14:textId="11014D8B" w:rsidR="00855F33" w:rsidRPr="00F7112E" w:rsidRDefault="00855F33" w:rsidP="00A86B75">
      <w:pPr>
        <w:suppressAutoHyphens/>
        <w:spacing w:before="40" w:after="40" w:line="360" w:lineRule="auto"/>
        <w:ind w:left="1361" w:right="284"/>
        <w:rPr>
          <w:rFonts w:ascii="Times New Roman" w:hAnsi="Times New Roman"/>
          <w:sz w:val="16"/>
          <w:szCs w:val="16"/>
          <w:lang w:val="fr-FR"/>
        </w:rPr>
      </w:pPr>
      <w:r w:rsidRPr="000E681F">
        <w:rPr>
          <w:rFonts w:ascii="Times New Roman" w:hAnsi="Times New Roman"/>
          <w:i/>
          <w:iCs/>
          <w:sz w:val="16"/>
          <w:szCs w:val="16"/>
          <w:vertAlign w:val="superscript"/>
          <w:lang w:val="fr-FR" w:eastAsia="en-CA" w:bidi="en-US"/>
        </w:rPr>
        <w:t>a</w:t>
      </w:r>
      <w:r w:rsidRPr="000E681F">
        <w:rPr>
          <w:rFonts w:ascii="Times New Roman" w:hAnsi="Times New Roman"/>
          <w:sz w:val="16"/>
          <w:szCs w:val="16"/>
          <w:lang w:val="fr-FR"/>
        </w:rPr>
        <w:t xml:space="preserve"> </w:t>
      </w:r>
      <w:r w:rsidR="002A61FD" w:rsidRPr="000E681F">
        <w:rPr>
          <w:rFonts w:ascii="Times New Roman" w:hAnsi="Times New Roman"/>
          <w:sz w:val="16"/>
          <w:szCs w:val="16"/>
          <w:lang w:val="fr-FR"/>
        </w:rPr>
        <w:t>Poste fourni sous forme de contribution en nature par le PNUE</w:t>
      </w:r>
      <w:r w:rsidRPr="000E681F">
        <w:rPr>
          <w:rFonts w:ascii="Times New Roman" w:hAnsi="Times New Roman"/>
          <w:sz w:val="16"/>
          <w:szCs w:val="16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855F33" w:rsidRPr="00EC5E19" w14:paraId="7D243742" w14:textId="77777777" w:rsidTr="009D1F07">
        <w:tc>
          <w:tcPr>
            <w:tcW w:w="1899" w:type="dxa"/>
          </w:tcPr>
          <w:p w14:paraId="5CB13BD4" w14:textId="77777777" w:rsidR="00855F33" w:rsidRPr="00F7112E" w:rsidRDefault="00855F33" w:rsidP="00A86B75">
            <w:pPr>
              <w:pStyle w:val="Normal-pool"/>
              <w:spacing w:before="520" w:line="360" w:lineRule="auto"/>
              <w:rPr>
                <w:lang w:val="fr-FR"/>
              </w:rPr>
            </w:pPr>
          </w:p>
        </w:tc>
        <w:tc>
          <w:tcPr>
            <w:tcW w:w="1899" w:type="dxa"/>
          </w:tcPr>
          <w:p w14:paraId="16512EAD" w14:textId="77777777" w:rsidR="00855F33" w:rsidRPr="00F7112E" w:rsidRDefault="00855F33" w:rsidP="00A86B75">
            <w:pPr>
              <w:pStyle w:val="Normal-pool"/>
              <w:spacing w:before="520" w:line="360" w:lineRule="auto"/>
              <w:rPr>
                <w:lang w:val="fr-F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86396" w14:textId="77777777" w:rsidR="00855F33" w:rsidRPr="00F7112E" w:rsidRDefault="00855F33" w:rsidP="00A86B75">
            <w:pPr>
              <w:pStyle w:val="Normal-pool"/>
              <w:spacing w:before="520" w:line="360" w:lineRule="auto"/>
              <w:rPr>
                <w:lang w:val="fr-FR"/>
              </w:rPr>
            </w:pPr>
          </w:p>
        </w:tc>
        <w:tc>
          <w:tcPr>
            <w:tcW w:w="1899" w:type="dxa"/>
          </w:tcPr>
          <w:p w14:paraId="7C9148EE" w14:textId="77777777" w:rsidR="00855F33" w:rsidRPr="00F7112E" w:rsidRDefault="00855F33" w:rsidP="00A86B75">
            <w:pPr>
              <w:pStyle w:val="Normal-pool"/>
              <w:spacing w:before="520" w:line="360" w:lineRule="auto"/>
              <w:rPr>
                <w:lang w:val="fr-FR"/>
              </w:rPr>
            </w:pPr>
          </w:p>
        </w:tc>
        <w:tc>
          <w:tcPr>
            <w:tcW w:w="1900" w:type="dxa"/>
          </w:tcPr>
          <w:p w14:paraId="6CA7D1B0" w14:textId="77777777" w:rsidR="00855F33" w:rsidRPr="00F7112E" w:rsidRDefault="00855F33" w:rsidP="00A86B75">
            <w:pPr>
              <w:pStyle w:val="Normal-pool"/>
              <w:spacing w:before="520" w:line="360" w:lineRule="auto"/>
              <w:rPr>
                <w:lang w:val="fr-FR"/>
              </w:rPr>
            </w:pPr>
          </w:p>
        </w:tc>
      </w:tr>
    </w:tbl>
    <w:p w14:paraId="2347FEAD" w14:textId="77777777" w:rsidR="00396929" w:rsidRPr="00F7112E" w:rsidRDefault="00396929" w:rsidP="00A86B75">
      <w:pPr>
        <w:pStyle w:val="Normal-pool"/>
        <w:rPr>
          <w:lang w:val="fr-FR"/>
        </w:rPr>
      </w:pPr>
    </w:p>
    <w:sectPr w:rsidR="00396929" w:rsidRPr="00F7112E" w:rsidSect="006E672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428A" w14:textId="77777777" w:rsidR="005700FC" w:rsidRDefault="005700FC">
      <w:r>
        <w:separator/>
      </w:r>
    </w:p>
  </w:endnote>
  <w:endnote w:type="continuationSeparator" w:id="0">
    <w:p w14:paraId="67FDD8AD" w14:textId="77777777" w:rsidR="005700FC" w:rsidRDefault="005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68744C3E" w:rsidR="006C3B1E" w:rsidRDefault="006C3B1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37A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65AFE116" w:rsidR="006C3B1E" w:rsidRDefault="006C3B1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37A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5F1D195E" w:rsidR="006C3B1E" w:rsidRDefault="006C3B1E" w:rsidP="00794A5A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  <w:r>
      <w:t>K180413</w:t>
    </w:r>
    <w:r w:rsidR="00F41BE1">
      <w:t>1</w:t>
    </w:r>
    <w:r>
      <w:tab/>
    </w:r>
    <w:r w:rsidR="008E665E">
      <w:t>1</w:t>
    </w:r>
    <w:r w:rsidR="00AB6011">
      <w:t>4</w:t>
    </w:r>
    <w:r w:rsidR="008E665E">
      <w:t>03</w:t>
    </w: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1428" w14:textId="77777777" w:rsidR="005700FC" w:rsidRPr="00C9545E" w:rsidRDefault="005700FC" w:rsidP="00C9545E">
      <w:pPr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C9545E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0434556A" w14:textId="77777777" w:rsidR="005700FC" w:rsidRDefault="005700FC">
      <w:r>
        <w:continuationSeparator/>
      </w:r>
    </w:p>
  </w:footnote>
  <w:footnote w:id="1">
    <w:p w14:paraId="60149BB0" w14:textId="77777777" w:rsidR="006C3B1E" w:rsidRPr="00B65C30" w:rsidRDefault="006C3B1E" w:rsidP="00B2156E">
      <w:pPr>
        <w:pStyle w:val="NormalNonumber"/>
        <w:tabs>
          <w:tab w:val="left" w:pos="624"/>
        </w:tabs>
        <w:spacing w:before="20" w:after="40"/>
        <w:rPr>
          <w:sz w:val="18"/>
          <w:szCs w:val="18"/>
          <w:lang w:val="fr-FR"/>
        </w:rPr>
      </w:pPr>
      <w:r w:rsidRPr="00B65C30">
        <w:rPr>
          <w:rStyle w:val="FootnoteReference"/>
          <w:sz w:val="18"/>
          <w:vertAlign w:val="baseline"/>
          <w:lang w:val="fr-FR"/>
        </w:rPr>
        <w:t>*</w:t>
      </w:r>
      <w:r w:rsidRPr="00B65C30">
        <w:rPr>
          <w:sz w:val="18"/>
          <w:szCs w:val="18"/>
          <w:lang w:val="fr-FR"/>
        </w:rPr>
        <w:t xml:space="preserve"> IPBES/7/1.</w:t>
      </w:r>
    </w:p>
  </w:footnote>
  <w:footnote w:id="2">
    <w:p w14:paraId="49ABBE23" w14:textId="44EB403D" w:rsidR="006C3B1E" w:rsidRPr="0058292E" w:rsidRDefault="006C3B1E" w:rsidP="004D0ACE">
      <w:pPr>
        <w:pStyle w:val="FootnoteText"/>
        <w:rPr>
          <w:szCs w:val="18"/>
        </w:rPr>
      </w:pPr>
      <w:r w:rsidRPr="00C9545E">
        <w:rPr>
          <w:rStyle w:val="FootnoteReference"/>
          <w:sz w:val="18"/>
        </w:rPr>
        <w:footnoteRef/>
      </w:r>
      <w:r w:rsidRPr="0058292E">
        <w:rPr>
          <w:szCs w:val="18"/>
        </w:rPr>
        <w:t xml:space="preserve"> </w:t>
      </w:r>
      <w:r>
        <w:rPr>
          <w:szCs w:val="18"/>
        </w:rPr>
        <w:t>D</w:t>
      </w:r>
      <w:r w:rsidRPr="0058292E">
        <w:rPr>
          <w:szCs w:val="18"/>
        </w:rPr>
        <w:t xml:space="preserve">es experts choisis, des </w:t>
      </w:r>
      <w:r w:rsidR="002C3EC4">
        <w:rPr>
          <w:szCs w:val="18"/>
        </w:rPr>
        <w:t>chargés de recherche</w:t>
      </w:r>
      <w:r w:rsidRPr="0058292E">
        <w:rPr>
          <w:szCs w:val="18"/>
        </w:rPr>
        <w:t xml:space="preserve"> en début de carrière</w:t>
      </w:r>
      <w:r>
        <w:rPr>
          <w:szCs w:val="18"/>
        </w:rPr>
        <w:t xml:space="preserve"> et des</w:t>
      </w:r>
      <w:r w:rsidRPr="00581F1B">
        <w:rPr>
          <w:szCs w:val="18"/>
        </w:rPr>
        <w:t xml:space="preserve"> </w:t>
      </w:r>
      <w:r w:rsidRPr="0058292E">
        <w:rPr>
          <w:szCs w:val="18"/>
        </w:rPr>
        <w:t>auteurs collaborateurs</w:t>
      </w:r>
      <w:r w:rsidR="00AB6011">
        <w:rPr>
          <w:szCs w:val="18"/>
        </w:rPr>
        <w:t xml:space="preserve"> ont participé au </w:t>
      </w:r>
      <w:r>
        <w:rPr>
          <w:szCs w:val="18"/>
        </w:rPr>
        <w:t xml:space="preserve">processus, mais pas les </w:t>
      </w:r>
      <w:r w:rsidR="00B57187" w:rsidRPr="00B57187">
        <w:rPr>
          <w:szCs w:val="18"/>
        </w:rPr>
        <w:t>membres des comités de lecture</w:t>
      </w:r>
      <w:r w:rsidRPr="0058292E">
        <w:rPr>
          <w:szCs w:val="18"/>
        </w:rPr>
        <w:t>.</w:t>
      </w:r>
    </w:p>
  </w:footnote>
  <w:footnote w:id="3">
    <w:p w14:paraId="596E9FFE" w14:textId="6EC551B9" w:rsidR="006C3B1E" w:rsidRPr="00511FA6" w:rsidRDefault="006C3B1E" w:rsidP="003224AE">
      <w:pPr>
        <w:pStyle w:val="FootnoteText"/>
        <w:tabs>
          <w:tab w:val="left" w:pos="624"/>
        </w:tabs>
        <w:rPr>
          <w:b/>
          <w:bCs/>
          <w:szCs w:val="18"/>
        </w:rPr>
      </w:pPr>
      <w:r w:rsidRPr="00C9545E">
        <w:rPr>
          <w:rFonts w:eastAsia="MS Mincho"/>
          <w:szCs w:val="18"/>
          <w:vertAlign w:val="superscript"/>
        </w:rPr>
        <w:footnoteRef/>
      </w:r>
      <w:r w:rsidRPr="00370B91">
        <w:rPr>
          <w:szCs w:val="18"/>
        </w:rPr>
        <w:t xml:space="preserve"> </w:t>
      </w:r>
      <w:r w:rsidR="00B57187">
        <w:rPr>
          <w:szCs w:val="18"/>
        </w:rPr>
        <w:t>Y compris</w:t>
      </w:r>
      <w:r>
        <w:rPr>
          <w:szCs w:val="18"/>
        </w:rPr>
        <w:t xml:space="preserve"> </w:t>
      </w:r>
      <w:r w:rsidRPr="00511FA6">
        <w:rPr>
          <w:szCs w:val="18"/>
        </w:rPr>
        <w:t xml:space="preserve">les </w:t>
      </w:r>
      <w:r>
        <w:rPr>
          <w:szCs w:val="18"/>
        </w:rPr>
        <w:t>onzième et douzième </w:t>
      </w:r>
      <w:r w:rsidRPr="00511FA6">
        <w:rPr>
          <w:szCs w:val="18"/>
        </w:rPr>
        <w:t>réunions du Groupe d</w:t>
      </w:r>
      <w:r>
        <w:rPr>
          <w:szCs w:val="18"/>
        </w:rPr>
        <w:t>’</w:t>
      </w:r>
      <w:r w:rsidRPr="00511FA6">
        <w:rPr>
          <w:szCs w:val="18"/>
        </w:rPr>
        <w:t xml:space="preserve">experts multidisciplinaire </w:t>
      </w:r>
      <w:r>
        <w:rPr>
          <w:szCs w:val="18"/>
        </w:rPr>
        <w:t>et</w:t>
      </w:r>
      <w:r w:rsidRPr="00511FA6">
        <w:rPr>
          <w:szCs w:val="18"/>
        </w:rPr>
        <w:t xml:space="preserve"> du Bureau</w:t>
      </w:r>
      <w:r>
        <w:rPr>
          <w:szCs w:val="18"/>
        </w:rPr>
        <w:t>,</w:t>
      </w:r>
      <w:r w:rsidRPr="00511FA6">
        <w:rPr>
          <w:szCs w:val="18"/>
        </w:rPr>
        <w:t xml:space="preserve"> mais pas les sessions de la Plénière.</w:t>
      </w:r>
    </w:p>
  </w:footnote>
  <w:footnote w:id="4">
    <w:p w14:paraId="777C5CDC" w14:textId="704CE1F0" w:rsidR="006C3B1E" w:rsidRPr="00051A85" w:rsidRDefault="006C3B1E" w:rsidP="000D1E8B">
      <w:pPr>
        <w:pStyle w:val="FootnoteText"/>
        <w:rPr>
          <w:szCs w:val="18"/>
        </w:rPr>
      </w:pPr>
      <w:r w:rsidRPr="00C9545E">
        <w:rPr>
          <w:rStyle w:val="FootnoteReference"/>
          <w:sz w:val="18"/>
        </w:rPr>
        <w:footnoteRef/>
      </w:r>
      <w:r w:rsidRPr="00051A85">
        <w:rPr>
          <w:szCs w:val="18"/>
        </w:rPr>
        <w:t xml:space="preserve"> Tous ces éléments sont disponibles au t</w:t>
      </w:r>
      <w:r>
        <w:rPr>
          <w:szCs w:val="18"/>
        </w:rPr>
        <w:t>éléchargement sur le site Web de la Plateforme :</w:t>
      </w:r>
      <w:r w:rsidRPr="00051A85">
        <w:rPr>
          <w:szCs w:val="18"/>
        </w:rPr>
        <w:t xml:space="preserve"> </w:t>
      </w:r>
      <w:hyperlink r:id="rId1" w:history="1">
        <w:r w:rsidRPr="00E83672">
          <w:rPr>
            <w:rStyle w:val="Hyperlink"/>
            <w:sz w:val="18"/>
            <w:szCs w:val="18"/>
          </w:rPr>
          <w:t>www.ipbes.net/guide-production-assessments</w:t>
        </w:r>
      </w:hyperlink>
      <w:r>
        <w:rPr>
          <w:szCs w:val="18"/>
        </w:rPr>
        <w:t>.</w:t>
      </w:r>
    </w:p>
  </w:footnote>
  <w:footnote w:id="5">
    <w:p w14:paraId="7DF89217" w14:textId="021BB8D2" w:rsidR="006C3B1E" w:rsidRPr="00160BAD" w:rsidRDefault="006C3B1E" w:rsidP="00DF7085">
      <w:pPr>
        <w:pStyle w:val="FootnoteText"/>
        <w:rPr>
          <w:szCs w:val="18"/>
        </w:rPr>
      </w:pPr>
      <w:r w:rsidRPr="00C9545E">
        <w:rPr>
          <w:rStyle w:val="FootnoteReference"/>
          <w:sz w:val="18"/>
        </w:rPr>
        <w:footnoteRef/>
      </w:r>
      <w:r w:rsidRPr="00160BAD">
        <w:rPr>
          <w:szCs w:val="18"/>
        </w:rPr>
        <w:t xml:space="preserve"> Disponible sur : </w:t>
      </w:r>
      <w:hyperlink r:id="rId2" w:history="1">
        <w:r w:rsidRPr="00160BAD">
          <w:rPr>
            <w:rStyle w:val="Hyperlink"/>
            <w:sz w:val="18"/>
            <w:szCs w:val="18"/>
          </w:rPr>
          <w:t>www.ipbes.net/policy-support</w:t>
        </w:r>
      </w:hyperlink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06FD" w14:textId="512D6B4C" w:rsidR="006C3B1E" w:rsidRPr="008520C8" w:rsidRDefault="006C3B1E" w:rsidP="008520C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IPBES/7/2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567A2A62" w:rsidR="006C3B1E" w:rsidRPr="008520C8" w:rsidRDefault="006C3B1E" w:rsidP="008520C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IPBES/7/2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" w15:restartNumberingAfterBreak="0">
    <w:nsid w:val="175D6E67"/>
    <w:multiLevelType w:val="hybridMultilevel"/>
    <w:tmpl w:val="712649BE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FF98245C">
      <w:start w:val="1"/>
      <w:numFmt w:val="lowerLetter"/>
      <w:lvlText w:val="(%2)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09E1715"/>
    <w:multiLevelType w:val="hybridMultilevel"/>
    <w:tmpl w:val="528A09DC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A66A9D"/>
    <w:multiLevelType w:val="multilevel"/>
    <w:tmpl w:val="5EBEFF74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</w:lvl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ascii="Times New Roman" w:eastAsia="Times New Roman" w:hAnsi="Times New Roman" w:cs="Times New Roman"/>
          <w:b w:val="0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3520"/>
    <w:rsid w:val="00003A00"/>
    <w:rsid w:val="00004D04"/>
    <w:rsid w:val="0000626E"/>
    <w:rsid w:val="00006907"/>
    <w:rsid w:val="000100F7"/>
    <w:rsid w:val="00012ABE"/>
    <w:rsid w:val="00012B8E"/>
    <w:rsid w:val="00013746"/>
    <w:rsid w:val="000149E6"/>
    <w:rsid w:val="0001505D"/>
    <w:rsid w:val="000247B0"/>
    <w:rsid w:val="00026997"/>
    <w:rsid w:val="000278C7"/>
    <w:rsid w:val="00031B0E"/>
    <w:rsid w:val="00033E0B"/>
    <w:rsid w:val="00034385"/>
    <w:rsid w:val="00035EDE"/>
    <w:rsid w:val="00035FB9"/>
    <w:rsid w:val="000406AB"/>
    <w:rsid w:val="000428C1"/>
    <w:rsid w:val="00042F08"/>
    <w:rsid w:val="00047228"/>
    <w:rsid w:val="000509B4"/>
    <w:rsid w:val="00051A85"/>
    <w:rsid w:val="000549A5"/>
    <w:rsid w:val="0005530D"/>
    <w:rsid w:val="000553EE"/>
    <w:rsid w:val="000600BE"/>
    <w:rsid w:val="00060316"/>
    <w:rsid w:val="0006035B"/>
    <w:rsid w:val="00065148"/>
    <w:rsid w:val="000710F0"/>
    <w:rsid w:val="0007118B"/>
    <w:rsid w:val="00071886"/>
    <w:rsid w:val="000742BC"/>
    <w:rsid w:val="00076724"/>
    <w:rsid w:val="00082A0C"/>
    <w:rsid w:val="00082FF3"/>
    <w:rsid w:val="00083504"/>
    <w:rsid w:val="00086A10"/>
    <w:rsid w:val="0009253C"/>
    <w:rsid w:val="0009640C"/>
    <w:rsid w:val="00096C6D"/>
    <w:rsid w:val="000A146D"/>
    <w:rsid w:val="000A1C3B"/>
    <w:rsid w:val="000A3ABE"/>
    <w:rsid w:val="000A3F77"/>
    <w:rsid w:val="000A5456"/>
    <w:rsid w:val="000B0942"/>
    <w:rsid w:val="000B22A2"/>
    <w:rsid w:val="000B77D5"/>
    <w:rsid w:val="000C2813"/>
    <w:rsid w:val="000C2A52"/>
    <w:rsid w:val="000C46A9"/>
    <w:rsid w:val="000D1E8B"/>
    <w:rsid w:val="000D33C0"/>
    <w:rsid w:val="000D5467"/>
    <w:rsid w:val="000D6941"/>
    <w:rsid w:val="000E681F"/>
    <w:rsid w:val="000F2038"/>
    <w:rsid w:val="000F484C"/>
    <w:rsid w:val="000F53CB"/>
    <w:rsid w:val="00102A4D"/>
    <w:rsid w:val="001036A6"/>
    <w:rsid w:val="0010728A"/>
    <w:rsid w:val="0010748A"/>
    <w:rsid w:val="001102BF"/>
    <w:rsid w:val="001124F6"/>
    <w:rsid w:val="00115A54"/>
    <w:rsid w:val="0011664B"/>
    <w:rsid w:val="00117B29"/>
    <w:rsid w:val="001202E3"/>
    <w:rsid w:val="001207A8"/>
    <w:rsid w:val="00120C90"/>
    <w:rsid w:val="00121C5E"/>
    <w:rsid w:val="00122108"/>
    <w:rsid w:val="00122EE7"/>
    <w:rsid w:val="00123558"/>
    <w:rsid w:val="00123699"/>
    <w:rsid w:val="00125D84"/>
    <w:rsid w:val="00127169"/>
    <w:rsid w:val="0013059D"/>
    <w:rsid w:val="00134C55"/>
    <w:rsid w:val="00135ABD"/>
    <w:rsid w:val="00135F40"/>
    <w:rsid w:val="00137C36"/>
    <w:rsid w:val="00141A55"/>
    <w:rsid w:val="00144138"/>
    <w:rsid w:val="001446A3"/>
    <w:rsid w:val="00144E6E"/>
    <w:rsid w:val="0015137E"/>
    <w:rsid w:val="00153838"/>
    <w:rsid w:val="00154CA8"/>
    <w:rsid w:val="00155395"/>
    <w:rsid w:val="00155A46"/>
    <w:rsid w:val="0015635E"/>
    <w:rsid w:val="0015720A"/>
    <w:rsid w:val="00160BAD"/>
    <w:rsid w:val="00160D74"/>
    <w:rsid w:val="00165C6E"/>
    <w:rsid w:val="00167D02"/>
    <w:rsid w:val="00171070"/>
    <w:rsid w:val="0017184A"/>
    <w:rsid w:val="00171941"/>
    <w:rsid w:val="00181EC8"/>
    <w:rsid w:val="00184349"/>
    <w:rsid w:val="00186746"/>
    <w:rsid w:val="00186A20"/>
    <w:rsid w:val="0019497E"/>
    <w:rsid w:val="00195F33"/>
    <w:rsid w:val="001A1536"/>
    <w:rsid w:val="001A1668"/>
    <w:rsid w:val="001A3AD6"/>
    <w:rsid w:val="001A7B54"/>
    <w:rsid w:val="001B1617"/>
    <w:rsid w:val="001B3EA5"/>
    <w:rsid w:val="001B504B"/>
    <w:rsid w:val="001B5633"/>
    <w:rsid w:val="001C0DFB"/>
    <w:rsid w:val="001C462A"/>
    <w:rsid w:val="001D1BB2"/>
    <w:rsid w:val="001D265E"/>
    <w:rsid w:val="001D3874"/>
    <w:rsid w:val="001D4B14"/>
    <w:rsid w:val="001D7E75"/>
    <w:rsid w:val="001E40DE"/>
    <w:rsid w:val="001E56D2"/>
    <w:rsid w:val="001E7C76"/>
    <w:rsid w:val="001E7D56"/>
    <w:rsid w:val="001F0D74"/>
    <w:rsid w:val="001F1230"/>
    <w:rsid w:val="001F5AE3"/>
    <w:rsid w:val="001F67EF"/>
    <w:rsid w:val="001F6C69"/>
    <w:rsid w:val="001F7017"/>
    <w:rsid w:val="001F75DE"/>
    <w:rsid w:val="00200D58"/>
    <w:rsid w:val="002013BE"/>
    <w:rsid w:val="002030D2"/>
    <w:rsid w:val="00203E88"/>
    <w:rsid w:val="00204D83"/>
    <w:rsid w:val="002063A4"/>
    <w:rsid w:val="002069EA"/>
    <w:rsid w:val="0021145B"/>
    <w:rsid w:val="00212854"/>
    <w:rsid w:val="002130B3"/>
    <w:rsid w:val="00213A47"/>
    <w:rsid w:val="0021458E"/>
    <w:rsid w:val="002146B9"/>
    <w:rsid w:val="00217178"/>
    <w:rsid w:val="002255A8"/>
    <w:rsid w:val="0022577D"/>
    <w:rsid w:val="00226456"/>
    <w:rsid w:val="0022764E"/>
    <w:rsid w:val="002437B0"/>
    <w:rsid w:val="00243D36"/>
    <w:rsid w:val="00247707"/>
    <w:rsid w:val="00252763"/>
    <w:rsid w:val="00254D85"/>
    <w:rsid w:val="0026018E"/>
    <w:rsid w:val="00263B15"/>
    <w:rsid w:val="00264E7C"/>
    <w:rsid w:val="0026656F"/>
    <w:rsid w:val="0027342D"/>
    <w:rsid w:val="00273549"/>
    <w:rsid w:val="00274576"/>
    <w:rsid w:val="00274D36"/>
    <w:rsid w:val="00274FA3"/>
    <w:rsid w:val="002837D2"/>
    <w:rsid w:val="00286740"/>
    <w:rsid w:val="00286AE5"/>
    <w:rsid w:val="0028745D"/>
    <w:rsid w:val="002874CC"/>
    <w:rsid w:val="002929D8"/>
    <w:rsid w:val="00292F2F"/>
    <w:rsid w:val="00293967"/>
    <w:rsid w:val="0029478F"/>
    <w:rsid w:val="002A237D"/>
    <w:rsid w:val="002A4C53"/>
    <w:rsid w:val="002A61FD"/>
    <w:rsid w:val="002A650A"/>
    <w:rsid w:val="002A718E"/>
    <w:rsid w:val="002B0672"/>
    <w:rsid w:val="002B0FF1"/>
    <w:rsid w:val="002B247F"/>
    <w:rsid w:val="002B27F6"/>
    <w:rsid w:val="002B61F6"/>
    <w:rsid w:val="002C1316"/>
    <w:rsid w:val="002C145D"/>
    <w:rsid w:val="002C2C3E"/>
    <w:rsid w:val="002C3EC4"/>
    <w:rsid w:val="002C533E"/>
    <w:rsid w:val="002C7D1D"/>
    <w:rsid w:val="002D027F"/>
    <w:rsid w:val="002D0937"/>
    <w:rsid w:val="002D185D"/>
    <w:rsid w:val="002D7A85"/>
    <w:rsid w:val="002D7B60"/>
    <w:rsid w:val="002E19D6"/>
    <w:rsid w:val="002E2371"/>
    <w:rsid w:val="002E281D"/>
    <w:rsid w:val="002E364F"/>
    <w:rsid w:val="002E3B3B"/>
    <w:rsid w:val="002E4F3F"/>
    <w:rsid w:val="002F0DBE"/>
    <w:rsid w:val="002F1AE7"/>
    <w:rsid w:val="002F2006"/>
    <w:rsid w:val="002F2277"/>
    <w:rsid w:val="002F2633"/>
    <w:rsid w:val="002F2AF7"/>
    <w:rsid w:val="002F3AE1"/>
    <w:rsid w:val="002F3F71"/>
    <w:rsid w:val="002F4761"/>
    <w:rsid w:val="002F5C79"/>
    <w:rsid w:val="0030011C"/>
    <w:rsid w:val="00301325"/>
    <w:rsid w:val="003016A8"/>
    <w:rsid w:val="003019E2"/>
    <w:rsid w:val="00303337"/>
    <w:rsid w:val="00306862"/>
    <w:rsid w:val="00312440"/>
    <w:rsid w:val="003136E2"/>
    <w:rsid w:val="0031413F"/>
    <w:rsid w:val="00314701"/>
    <w:rsid w:val="00314727"/>
    <w:rsid w:val="003148BB"/>
    <w:rsid w:val="00314911"/>
    <w:rsid w:val="00317976"/>
    <w:rsid w:val="00317F00"/>
    <w:rsid w:val="003224AE"/>
    <w:rsid w:val="003343AB"/>
    <w:rsid w:val="00335D88"/>
    <w:rsid w:val="0034080D"/>
    <w:rsid w:val="003409EF"/>
    <w:rsid w:val="00345569"/>
    <w:rsid w:val="00355EA9"/>
    <w:rsid w:val="003578DE"/>
    <w:rsid w:val="0036277E"/>
    <w:rsid w:val="00370B91"/>
    <w:rsid w:val="00371144"/>
    <w:rsid w:val="00375F48"/>
    <w:rsid w:val="00376384"/>
    <w:rsid w:val="00376CA5"/>
    <w:rsid w:val="003805DB"/>
    <w:rsid w:val="0038333E"/>
    <w:rsid w:val="00396257"/>
    <w:rsid w:val="00396929"/>
    <w:rsid w:val="00397EB8"/>
    <w:rsid w:val="003A149D"/>
    <w:rsid w:val="003A4FD0"/>
    <w:rsid w:val="003A5245"/>
    <w:rsid w:val="003A593E"/>
    <w:rsid w:val="003A69D1"/>
    <w:rsid w:val="003A7705"/>
    <w:rsid w:val="003A77F1"/>
    <w:rsid w:val="003B1545"/>
    <w:rsid w:val="003B25BA"/>
    <w:rsid w:val="003B4FF0"/>
    <w:rsid w:val="003B6F83"/>
    <w:rsid w:val="003C2C1E"/>
    <w:rsid w:val="003C409D"/>
    <w:rsid w:val="003C5BA6"/>
    <w:rsid w:val="003C65E1"/>
    <w:rsid w:val="003C6ABD"/>
    <w:rsid w:val="003D40E8"/>
    <w:rsid w:val="003D69D1"/>
    <w:rsid w:val="003E04E3"/>
    <w:rsid w:val="003E1850"/>
    <w:rsid w:val="003E51E1"/>
    <w:rsid w:val="003E57FD"/>
    <w:rsid w:val="003E68FC"/>
    <w:rsid w:val="003E7106"/>
    <w:rsid w:val="003F0E85"/>
    <w:rsid w:val="003F561B"/>
    <w:rsid w:val="003F6047"/>
    <w:rsid w:val="00400471"/>
    <w:rsid w:val="004017CB"/>
    <w:rsid w:val="004100EA"/>
    <w:rsid w:val="00410C55"/>
    <w:rsid w:val="00413ADD"/>
    <w:rsid w:val="0041613D"/>
    <w:rsid w:val="00416854"/>
    <w:rsid w:val="00417725"/>
    <w:rsid w:val="0042015F"/>
    <w:rsid w:val="00424992"/>
    <w:rsid w:val="00424A9E"/>
    <w:rsid w:val="0042776A"/>
    <w:rsid w:val="004335EC"/>
    <w:rsid w:val="00433BDB"/>
    <w:rsid w:val="0043566F"/>
    <w:rsid w:val="00437F26"/>
    <w:rsid w:val="00442500"/>
    <w:rsid w:val="00444097"/>
    <w:rsid w:val="00445487"/>
    <w:rsid w:val="00446553"/>
    <w:rsid w:val="00454769"/>
    <w:rsid w:val="00454BB2"/>
    <w:rsid w:val="00461C92"/>
    <w:rsid w:val="004644EE"/>
    <w:rsid w:val="00466991"/>
    <w:rsid w:val="0047064C"/>
    <w:rsid w:val="00471270"/>
    <w:rsid w:val="00473F1F"/>
    <w:rsid w:val="00475B34"/>
    <w:rsid w:val="004767D9"/>
    <w:rsid w:val="004802DB"/>
    <w:rsid w:val="00486845"/>
    <w:rsid w:val="004868B8"/>
    <w:rsid w:val="00491D1C"/>
    <w:rsid w:val="00495CF2"/>
    <w:rsid w:val="00496228"/>
    <w:rsid w:val="00496DEA"/>
    <w:rsid w:val="004A0FE9"/>
    <w:rsid w:val="004A1A72"/>
    <w:rsid w:val="004A345B"/>
    <w:rsid w:val="004A42E1"/>
    <w:rsid w:val="004A48A0"/>
    <w:rsid w:val="004A64E7"/>
    <w:rsid w:val="004A7293"/>
    <w:rsid w:val="004B162C"/>
    <w:rsid w:val="004B2401"/>
    <w:rsid w:val="004B321A"/>
    <w:rsid w:val="004B5A7E"/>
    <w:rsid w:val="004C0870"/>
    <w:rsid w:val="004C0C65"/>
    <w:rsid w:val="004C10B0"/>
    <w:rsid w:val="004C2AED"/>
    <w:rsid w:val="004C3DBE"/>
    <w:rsid w:val="004C43F2"/>
    <w:rsid w:val="004C5C96"/>
    <w:rsid w:val="004C6ADB"/>
    <w:rsid w:val="004D06A4"/>
    <w:rsid w:val="004D0ACE"/>
    <w:rsid w:val="004D555C"/>
    <w:rsid w:val="004F1A81"/>
    <w:rsid w:val="004F2178"/>
    <w:rsid w:val="00500AAE"/>
    <w:rsid w:val="00503AEF"/>
    <w:rsid w:val="00507084"/>
    <w:rsid w:val="005102AE"/>
    <w:rsid w:val="00511FA6"/>
    <w:rsid w:val="0051220F"/>
    <w:rsid w:val="00513654"/>
    <w:rsid w:val="00517857"/>
    <w:rsid w:val="005218D9"/>
    <w:rsid w:val="005246ED"/>
    <w:rsid w:val="0052644B"/>
    <w:rsid w:val="00530858"/>
    <w:rsid w:val="0053261A"/>
    <w:rsid w:val="005334B1"/>
    <w:rsid w:val="00534037"/>
    <w:rsid w:val="00536186"/>
    <w:rsid w:val="00536901"/>
    <w:rsid w:val="0054115F"/>
    <w:rsid w:val="00541290"/>
    <w:rsid w:val="00541886"/>
    <w:rsid w:val="005428E1"/>
    <w:rsid w:val="00544997"/>
    <w:rsid w:val="00544CBB"/>
    <w:rsid w:val="005511CA"/>
    <w:rsid w:val="005518C8"/>
    <w:rsid w:val="005537BD"/>
    <w:rsid w:val="00566C86"/>
    <w:rsid w:val="00567A02"/>
    <w:rsid w:val="005700FC"/>
    <w:rsid w:val="00570A5C"/>
    <w:rsid w:val="00572B21"/>
    <w:rsid w:val="00572FF5"/>
    <w:rsid w:val="0057315F"/>
    <w:rsid w:val="005744B8"/>
    <w:rsid w:val="00576104"/>
    <w:rsid w:val="00577605"/>
    <w:rsid w:val="00581457"/>
    <w:rsid w:val="00581F1B"/>
    <w:rsid w:val="0058292E"/>
    <w:rsid w:val="0058489B"/>
    <w:rsid w:val="0058502E"/>
    <w:rsid w:val="005903D7"/>
    <w:rsid w:val="00595F47"/>
    <w:rsid w:val="005A0AD1"/>
    <w:rsid w:val="005A1727"/>
    <w:rsid w:val="005A60F5"/>
    <w:rsid w:val="005B0DEE"/>
    <w:rsid w:val="005B253A"/>
    <w:rsid w:val="005C0390"/>
    <w:rsid w:val="005C30FE"/>
    <w:rsid w:val="005C5206"/>
    <w:rsid w:val="005C6768"/>
    <w:rsid w:val="005C67C8"/>
    <w:rsid w:val="005D0249"/>
    <w:rsid w:val="005D2B9E"/>
    <w:rsid w:val="005D61D6"/>
    <w:rsid w:val="005D6E8C"/>
    <w:rsid w:val="005E1FE2"/>
    <w:rsid w:val="005E20B2"/>
    <w:rsid w:val="005E538B"/>
    <w:rsid w:val="005E70DE"/>
    <w:rsid w:val="005E775D"/>
    <w:rsid w:val="005E7BA5"/>
    <w:rsid w:val="005F066E"/>
    <w:rsid w:val="005F06C5"/>
    <w:rsid w:val="005F100C"/>
    <w:rsid w:val="005F1161"/>
    <w:rsid w:val="005F68DA"/>
    <w:rsid w:val="0060281F"/>
    <w:rsid w:val="006039BC"/>
    <w:rsid w:val="0060773B"/>
    <w:rsid w:val="006129A2"/>
    <w:rsid w:val="00613684"/>
    <w:rsid w:val="006157B5"/>
    <w:rsid w:val="0061664A"/>
    <w:rsid w:val="00621B18"/>
    <w:rsid w:val="006224B7"/>
    <w:rsid w:val="00623423"/>
    <w:rsid w:val="00626024"/>
    <w:rsid w:val="00626FC6"/>
    <w:rsid w:val="006303B4"/>
    <w:rsid w:val="00630B0E"/>
    <w:rsid w:val="0063309C"/>
    <w:rsid w:val="00633D3D"/>
    <w:rsid w:val="006348A6"/>
    <w:rsid w:val="00636AB9"/>
    <w:rsid w:val="00641703"/>
    <w:rsid w:val="006431A6"/>
    <w:rsid w:val="006442BD"/>
    <w:rsid w:val="006459F6"/>
    <w:rsid w:val="006468BC"/>
    <w:rsid w:val="006501AD"/>
    <w:rsid w:val="00650955"/>
    <w:rsid w:val="00651BFA"/>
    <w:rsid w:val="00651EF8"/>
    <w:rsid w:val="00654475"/>
    <w:rsid w:val="006552A2"/>
    <w:rsid w:val="00655D43"/>
    <w:rsid w:val="00660328"/>
    <w:rsid w:val="00661A50"/>
    <w:rsid w:val="006625CF"/>
    <w:rsid w:val="00665A4B"/>
    <w:rsid w:val="00666387"/>
    <w:rsid w:val="00671C94"/>
    <w:rsid w:val="00672618"/>
    <w:rsid w:val="006744B2"/>
    <w:rsid w:val="0067486D"/>
    <w:rsid w:val="00674D0B"/>
    <w:rsid w:val="00676210"/>
    <w:rsid w:val="00676370"/>
    <w:rsid w:val="006902A4"/>
    <w:rsid w:val="00692C39"/>
    <w:rsid w:val="00692E2A"/>
    <w:rsid w:val="006943A8"/>
    <w:rsid w:val="006A3340"/>
    <w:rsid w:val="006A76F2"/>
    <w:rsid w:val="006A7C4A"/>
    <w:rsid w:val="006B164F"/>
    <w:rsid w:val="006B1CDF"/>
    <w:rsid w:val="006B298E"/>
    <w:rsid w:val="006B419F"/>
    <w:rsid w:val="006C10B1"/>
    <w:rsid w:val="006C21EC"/>
    <w:rsid w:val="006C3B1E"/>
    <w:rsid w:val="006C3EAE"/>
    <w:rsid w:val="006C565F"/>
    <w:rsid w:val="006C5665"/>
    <w:rsid w:val="006D44AF"/>
    <w:rsid w:val="006D642F"/>
    <w:rsid w:val="006D676D"/>
    <w:rsid w:val="006D7EFB"/>
    <w:rsid w:val="006E2BA5"/>
    <w:rsid w:val="006E54C2"/>
    <w:rsid w:val="006E6672"/>
    <w:rsid w:val="006E6722"/>
    <w:rsid w:val="006F0854"/>
    <w:rsid w:val="006F188E"/>
    <w:rsid w:val="006F2773"/>
    <w:rsid w:val="006F2A04"/>
    <w:rsid w:val="006F7427"/>
    <w:rsid w:val="006F7794"/>
    <w:rsid w:val="006F7CEF"/>
    <w:rsid w:val="00701DB8"/>
    <w:rsid w:val="007027B9"/>
    <w:rsid w:val="00705074"/>
    <w:rsid w:val="007114EE"/>
    <w:rsid w:val="00713A6E"/>
    <w:rsid w:val="00715E88"/>
    <w:rsid w:val="00717470"/>
    <w:rsid w:val="0072413C"/>
    <w:rsid w:val="00726546"/>
    <w:rsid w:val="00727BC1"/>
    <w:rsid w:val="0073003A"/>
    <w:rsid w:val="00730095"/>
    <w:rsid w:val="007322BD"/>
    <w:rsid w:val="00733370"/>
    <w:rsid w:val="00734CAA"/>
    <w:rsid w:val="0073625A"/>
    <w:rsid w:val="00737375"/>
    <w:rsid w:val="007418EA"/>
    <w:rsid w:val="0074470C"/>
    <w:rsid w:val="00745320"/>
    <w:rsid w:val="007454AF"/>
    <w:rsid w:val="007476C3"/>
    <w:rsid w:val="00747D92"/>
    <w:rsid w:val="007538EE"/>
    <w:rsid w:val="0075533C"/>
    <w:rsid w:val="007554EA"/>
    <w:rsid w:val="00756B25"/>
    <w:rsid w:val="00757581"/>
    <w:rsid w:val="007611A0"/>
    <w:rsid w:val="00764A22"/>
    <w:rsid w:val="007718FC"/>
    <w:rsid w:val="00775C6E"/>
    <w:rsid w:val="00777061"/>
    <w:rsid w:val="0078070A"/>
    <w:rsid w:val="007817A5"/>
    <w:rsid w:val="00784F0D"/>
    <w:rsid w:val="00786331"/>
    <w:rsid w:val="0078705E"/>
    <w:rsid w:val="00794A5A"/>
    <w:rsid w:val="007950EE"/>
    <w:rsid w:val="00795E38"/>
    <w:rsid w:val="00796D3F"/>
    <w:rsid w:val="00797456"/>
    <w:rsid w:val="007A1683"/>
    <w:rsid w:val="007A240D"/>
    <w:rsid w:val="007A4A4E"/>
    <w:rsid w:val="007A5C12"/>
    <w:rsid w:val="007A61BE"/>
    <w:rsid w:val="007A7CB0"/>
    <w:rsid w:val="007B3C8E"/>
    <w:rsid w:val="007B68A3"/>
    <w:rsid w:val="007C2541"/>
    <w:rsid w:val="007D2084"/>
    <w:rsid w:val="007D66A8"/>
    <w:rsid w:val="007E003F"/>
    <w:rsid w:val="007E31B4"/>
    <w:rsid w:val="007E3FFE"/>
    <w:rsid w:val="007F2AC9"/>
    <w:rsid w:val="007F34C9"/>
    <w:rsid w:val="007F5581"/>
    <w:rsid w:val="00802756"/>
    <w:rsid w:val="008029D1"/>
    <w:rsid w:val="00805904"/>
    <w:rsid w:val="0081058C"/>
    <w:rsid w:val="008119D7"/>
    <w:rsid w:val="008164F2"/>
    <w:rsid w:val="00821395"/>
    <w:rsid w:val="00824D98"/>
    <w:rsid w:val="00825F0D"/>
    <w:rsid w:val="00827118"/>
    <w:rsid w:val="00830E26"/>
    <w:rsid w:val="00833730"/>
    <w:rsid w:val="00835E00"/>
    <w:rsid w:val="008428E4"/>
    <w:rsid w:val="00843576"/>
    <w:rsid w:val="00843B64"/>
    <w:rsid w:val="008445D8"/>
    <w:rsid w:val="00845065"/>
    <w:rsid w:val="008478FC"/>
    <w:rsid w:val="0085171F"/>
    <w:rsid w:val="008520C8"/>
    <w:rsid w:val="00855F33"/>
    <w:rsid w:val="008630DB"/>
    <w:rsid w:val="00867939"/>
    <w:rsid w:val="00867BFF"/>
    <w:rsid w:val="00871729"/>
    <w:rsid w:val="00873A6A"/>
    <w:rsid w:val="00873D90"/>
    <w:rsid w:val="00875CDC"/>
    <w:rsid w:val="008764B2"/>
    <w:rsid w:val="0088066B"/>
    <w:rsid w:val="00882A2C"/>
    <w:rsid w:val="00883314"/>
    <w:rsid w:val="0088480A"/>
    <w:rsid w:val="00886752"/>
    <w:rsid w:val="0088757A"/>
    <w:rsid w:val="00893CF2"/>
    <w:rsid w:val="008957DD"/>
    <w:rsid w:val="00895C25"/>
    <w:rsid w:val="00896B63"/>
    <w:rsid w:val="00897D98"/>
    <w:rsid w:val="008A6DF2"/>
    <w:rsid w:val="008A7807"/>
    <w:rsid w:val="008B2F5A"/>
    <w:rsid w:val="008B37DC"/>
    <w:rsid w:val="008B4CC9"/>
    <w:rsid w:val="008B62C0"/>
    <w:rsid w:val="008B7663"/>
    <w:rsid w:val="008C4F79"/>
    <w:rsid w:val="008C6742"/>
    <w:rsid w:val="008D2AA0"/>
    <w:rsid w:val="008D3B27"/>
    <w:rsid w:val="008D5BCC"/>
    <w:rsid w:val="008D622A"/>
    <w:rsid w:val="008D7C99"/>
    <w:rsid w:val="008E0FCB"/>
    <w:rsid w:val="008E2AF2"/>
    <w:rsid w:val="008E4370"/>
    <w:rsid w:val="008E665E"/>
    <w:rsid w:val="008F42BA"/>
    <w:rsid w:val="008F5905"/>
    <w:rsid w:val="00901712"/>
    <w:rsid w:val="00910ACC"/>
    <w:rsid w:val="00911B25"/>
    <w:rsid w:val="009124E4"/>
    <w:rsid w:val="00920FAB"/>
    <w:rsid w:val="0092178C"/>
    <w:rsid w:val="0092574B"/>
    <w:rsid w:val="00925D83"/>
    <w:rsid w:val="00930B88"/>
    <w:rsid w:val="00933AC1"/>
    <w:rsid w:val="00934F7F"/>
    <w:rsid w:val="00936099"/>
    <w:rsid w:val="009369C6"/>
    <w:rsid w:val="00940DCC"/>
    <w:rsid w:val="0094179A"/>
    <w:rsid w:val="009428ED"/>
    <w:rsid w:val="00943E58"/>
    <w:rsid w:val="0094459E"/>
    <w:rsid w:val="00944DBC"/>
    <w:rsid w:val="0094649C"/>
    <w:rsid w:val="00950977"/>
    <w:rsid w:val="00951A7B"/>
    <w:rsid w:val="00953352"/>
    <w:rsid w:val="009564A6"/>
    <w:rsid w:val="009642B5"/>
    <w:rsid w:val="00967621"/>
    <w:rsid w:val="00967E6A"/>
    <w:rsid w:val="00971A42"/>
    <w:rsid w:val="009766C7"/>
    <w:rsid w:val="00980A78"/>
    <w:rsid w:val="00983D4F"/>
    <w:rsid w:val="009916E8"/>
    <w:rsid w:val="00991D7A"/>
    <w:rsid w:val="00993832"/>
    <w:rsid w:val="00994ADE"/>
    <w:rsid w:val="00997C11"/>
    <w:rsid w:val="009A48FF"/>
    <w:rsid w:val="009A7B4C"/>
    <w:rsid w:val="009A7C97"/>
    <w:rsid w:val="009B0B83"/>
    <w:rsid w:val="009B113C"/>
    <w:rsid w:val="009B423E"/>
    <w:rsid w:val="009B4A0F"/>
    <w:rsid w:val="009B5900"/>
    <w:rsid w:val="009C01BA"/>
    <w:rsid w:val="009C11D2"/>
    <w:rsid w:val="009C1565"/>
    <w:rsid w:val="009C267A"/>
    <w:rsid w:val="009C3D85"/>
    <w:rsid w:val="009C4363"/>
    <w:rsid w:val="009C6288"/>
    <w:rsid w:val="009C6C70"/>
    <w:rsid w:val="009C7AFF"/>
    <w:rsid w:val="009D0815"/>
    <w:rsid w:val="009D0B63"/>
    <w:rsid w:val="009D1F07"/>
    <w:rsid w:val="009D217A"/>
    <w:rsid w:val="009D2ED3"/>
    <w:rsid w:val="009D4FDE"/>
    <w:rsid w:val="009E29C7"/>
    <w:rsid w:val="009E307E"/>
    <w:rsid w:val="009E6EAF"/>
    <w:rsid w:val="009F188E"/>
    <w:rsid w:val="009F3349"/>
    <w:rsid w:val="009F5A79"/>
    <w:rsid w:val="00A07870"/>
    <w:rsid w:val="00A07F19"/>
    <w:rsid w:val="00A07F87"/>
    <w:rsid w:val="00A133DC"/>
    <w:rsid w:val="00A1348D"/>
    <w:rsid w:val="00A135C2"/>
    <w:rsid w:val="00A1448F"/>
    <w:rsid w:val="00A16DD3"/>
    <w:rsid w:val="00A17F16"/>
    <w:rsid w:val="00A225A7"/>
    <w:rsid w:val="00A229F2"/>
    <w:rsid w:val="00A232EE"/>
    <w:rsid w:val="00A31818"/>
    <w:rsid w:val="00A32884"/>
    <w:rsid w:val="00A34745"/>
    <w:rsid w:val="00A40FC9"/>
    <w:rsid w:val="00A4175F"/>
    <w:rsid w:val="00A44411"/>
    <w:rsid w:val="00A4527C"/>
    <w:rsid w:val="00A45E17"/>
    <w:rsid w:val="00A469FA"/>
    <w:rsid w:val="00A55B01"/>
    <w:rsid w:val="00A56B5B"/>
    <w:rsid w:val="00A603FF"/>
    <w:rsid w:val="00A60D1F"/>
    <w:rsid w:val="00A64ABF"/>
    <w:rsid w:val="00A652EB"/>
    <w:rsid w:val="00A653CB"/>
    <w:rsid w:val="00A654A9"/>
    <w:rsid w:val="00A657DD"/>
    <w:rsid w:val="00A663DA"/>
    <w:rsid w:val="00A666A6"/>
    <w:rsid w:val="00A675FD"/>
    <w:rsid w:val="00A7079B"/>
    <w:rsid w:val="00A72437"/>
    <w:rsid w:val="00A73C3E"/>
    <w:rsid w:val="00A7428A"/>
    <w:rsid w:val="00A80611"/>
    <w:rsid w:val="00A82514"/>
    <w:rsid w:val="00A843FD"/>
    <w:rsid w:val="00A86B75"/>
    <w:rsid w:val="00A93E4A"/>
    <w:rsid w:val="00AA3F36"/>
    <w:rsid w:val="00AA4E64"/>
    <w:rsid w:val="00AA5555"/>
    <w:rsid w:val="00AA5ABD"/>
    <w:rsid w:val="00AA76AB"/>
    <w:rsid w:val="00AB5340"/>
    <w:rsid w:val="00AB6011"/>
    <w:rsid w:val="00AB6DEF"/>
    <w:rsid w:val="00AB7EC7"/>
    <w:rsid w:val="00AC0A89"/>
    <w:rsid w:val="00AC2408"/>
    <w:rsid w:val="00AC52EC"/>
    <w:rsid w:val="00AC610A"/>
    <w:rsid w:val="00AC7C96"/>
    <w:rsid w:val="00AC7F74"/>
    <w:rsid w:val="00AD00F2"/>
    <w:rsid w:val="00AD0BBC"/>
    <w:rsid w:val="00AD28D1"/>
    <w:rsid w:val="00AD5974"/>
    <w:rsid w:val="00AE237D"/>
    <w:rsid w:val="00AE3288"/>
    <w:rsid w:val="00AE502A"/>
    <w:rsid w:val="00AE5186"/>
    <w:rsid w:val="00AE7AE1"/>
    <w:rsid w:val="00AF127B"/>
    <w:rsid w:val="00AF42D6"/>
    <w:rsid w:val="00AF56ED"/>
    <w:rsid w:val="00AF5EC2"/>
    <w:rsid w:val="00AF6281"/>
    <w:rsid w:val="00AF6EA8"/>
    <w:rsid w:val="00AF7C07"/>
    <w:rsid w:val="00B0010A"/>
    <w:rsid w:val="00B00ACC"/>
    <w:rsid w:val="00B01B23"/>
    <w:rsid w:val="00B035C9"/>
    <w:rsid w:val="00B03ED9"/>
    <w:rsid w:val="00B057B0"/>
    <w:rsid w:val="00B10E49"/>
    <w:rsid w:val="00B11447"/>
    <w:rsid w:val="00B1147B"/>
    <w:rsid w:val="00B133F1"/>
    <w:rsid w:val="00B20F08"/>
    <w:rsid w:val="00B2156E"/>
    <w:rsid w:val="00B21B27"/>
    <w:rsid w:val="00B22C93"/>
    <w:rsid w:val="00B23370"/>
    <w:rsid w:val="00B242C7"/>
    <w:rsid w:val="00B26538"/>
    <w:rsid w:val="00B27589"/>
    <w:rsid w:val="00B35B44"/>
    <w:rsid w:val="00B37CCC"/>
    <w:rsid w:val="00B40282"/>
    <w:rsid w:val="00B405B7"/>
    <w:rsid w:val="00B411CD"/>
    <w:rsid w:val="00B42E6A"/>
    <w:rsid w:val="00B45C90"/>
    <w:rsid w:val="00B52222"/>
    <w:rsid w:val="00B54FE7"/>
    <w:rsid w:val="00B55A5E"/>
    <w:rsid w:val="00B56632"/>
    <w:rsid w:val="00B57187"/>
    <w:rsid w:val="00B61D82"/>
    <w:rsid w:val="00B65C30"/>
    <w:rsid w:val="00B66901"/>
    <w:rsid w:val="00B704F7"/>
    <w:rsid w:val="00B71E6D"/>
    <w:rsid w:val="00B71FCA"/>
    <w:rsid w:val="00B72070"/>
    <w:rsid w:val="00B7500E"/>
    <w:rsid w:val="00B75C39"/>
    <w:rsid w:val="00B76BAD"/>
    <w:rsid w:val="00B779E1"/>
    <w:rsid w:val="00B83543"/>
    <w:rsid w:val="00B83A74"/>
    <w:rsid w:val="00B84F2C"/>
    <w:rsid w:val="00B86B5C"/>
    <w:rsid w:val="00B91EE1"/>
    <w:rsid w:val="00B95829"/>
    <w:rsid w:val="00BA0090"/>
    <w:rsid w:val="00BA043B"/>
    <w:rsid w:val="00BA04E5"/>
    <w:rsid w:val="00BA183C"/>
    <w:rsid w:val="00BA1A67"/>
    <w:rsid w:val="00BA69E8"/>
    <w:rsid w:val="00BB0874"/>
    <w:rsid w:val="00BB72D2"/>
    <w:rsid w:val="00BB7B41"/>
    <w:rsid w:val="00BB7EA0"/>
    <w:rsid w:val="00BD0410"/>
    <w:rsid w:val="00BE0C02"/>
    <w:rsid w:val="00BE1EBD"/>
    <w:rsid w:val="00BE43CE"/>
    <w:rsid w:val="00BE4A98"/>
    <w:rsid w:val="00BE530B"/>
    <w:rsid w:val="00BE5B5F"/>
    <w:rsid w:val="00BF064C"/>
    <w:rsid w:val="00C00242"/>
    <w:rsid w:val="00C00DE2"/>
    <w:rsid w:val="00C01B47"/>
    <w:rsid w:val="00C10C4D"/>
    <w:rsid w:val="00C114CD"/>
    <w:rsid w:val="00C11A8B"/>
    <w:rsid w:val="00C1404C"/>
    <w:rsid w:val="00C161A4"/>
    <w:rsid w:val="00C2502D"/>
    <w:rsid w:val="00C26F55"/>
    <w:rsid w:val="00C2772B"/>
    <w:rsid w:val="00C30C63"/>
    <w:rsid w:val="00C33018"/>
    <w:rsid w:val="00C34CAA"/>
    <w:rsid w:val="00C36781"/>
    <w:rsid w:val="00C36B8B"/>
    <w:rsid w:val="00C40B44"/>
    <w:rsid w:val="00C41532"/>
    <w:rsid w:val="00C415C1"/>
    <w:rsid w:val="00C42D05"/>
    <w:rsid w:val="00C459DD"/>
    <w:rsid w:val="00C47DBF"/>
    <w:rsid w:val="00C50EBD"/>
    <w:rsid w:val="00C552FF"/>
    <w:rsid w:val="00C558DA"/>
    <w:rsid w:val="00C55AF3"/>
    <w:rsid w:val="00C573A9"/>
    <w:rsid w:val="00C57FF1"/>
    <w:rsid w:val="00C60DBA"/>
    <w:rsid w:val="00C64FC5"/>
    <w:rsid w:val="00C66C0B"/>
    <w:rsid w:val="00C72607"/>
    <w:rsid w:val="00C76479"/>
    <w:rsid w:val="00C81164"/>
    <w:rsid w:val="00C84759"/>
    <w:rsid w:val="00C87456"/>
    <w:rsid w:val="00C90A38"/>
    <w:rsid w:val="00C94736"/>
    <w:rsid w:val="00C9545E"/>
    <w:rsid w:val="00C978AF"/>
    <w:rsid w:val="00C979A3"/>
    <w:rsid w:val="00C97B74"/>
    <w:rsid w:val="00CA22CD"/>
    <w:rsid w:val="00CA5FAD"/>
    <w:rsid w:val="00CA6C7F"/>
    <w:rsid w:val="00CB27E0"/>
    <w:rsid w:val="00CB30A6"/>
    <w:rsid w:val="00CB6448"/>
    <w:rsid w:val="00CC10A6"/>
    <w:rsid w:val="00CC4917"/>
    <w:rsid w:val="00CC75FA"/>
    <w:rsid w:val="00CD5EB8"/>
    <w:rsid w:val="00CD6881"/>
    <w:rsid w:val="00CD7044"/>
    <w:rsid w:val="00CD7FCF"/>
    <w:rsid w:val="00CE08B9"/>
    <w:rsid w:val="00CE404F"/>
    <w:rsid w:val="00CE425E"/>
    <w:rsid w:val="00CE500E"/>
    <w:rsid w:val="00CE524C"/>
    <w:rsid w:val="00CF1005"/>
    <w:rsid w:val="00CF141F"/>
    <w:rsid w:val="00CF196E"/>
    <w:rsid w:val="00CF1D7D"/>
    <w:rsid w:val="00CF44E2"/>
    <w:rsid w:val="00CF4777"/>
    <w:rsid w:val="00CF5468"/>
    <w:rsid w:val="00D0668E"/>
    <w:rsid w:val="00D067BB"/>
    <w:rsid w:val="00D06F65"/>
    <w:rsid w:val="00D108D2"/>
    <w:rsid w:val="00D11221"/>
    <w:rsid w:val="00D1352A"/>
    <w:rsid w:val="00D13D48"/>
    <w:rsid w:val="00D1436E"/>
    <w:rsid w:val="00D14CC5"/>
    <w:rsid w:val="00D169AF"/>
    <w:rsid w:val="00D171D9"/>
    <w:rsid w:val="00D2125B"/>
    <w:rsid w:val="00D248C1"/>
    <w:rsid w:val="00D25249"/>
    <w:rsid w:val="00D26E61"/>
    <w:rsid w:val="00D27E9A"/>
    <w:rsid w:val="00D31CC5"/>
    <w:rsid w:val="00D33B97"/>
    <w:rsid w:val="00D34F5E"/>
    <w:rsid w:val="00D40CC2"/>
    <w:rsid w:val="00D41218"/>
    <w:rsid w:val="00D41797"/>
    <w:rsid w:val="00D43BEE"/>
    <w:rsid w:val="00D44172"/>
    <w:rsid w:val="00D46438"/>
    <w:rsid w:val="00D47E47"/>
    <w:rsid w:val="00D537AB"/>
    <w:rsid w:val="00D55D38"/>
    <w:rsid w:val="00D60FEB"/>
    <w:rsid w:val="00D61672"/>
    <w:rsid w:val="00D63B8C"/>
    <w:rsid w:val="00D71EF0"/>
    <w:rsid w:val="00D739CC"/>
    <w:rsid w:val="00D773EA"/>
    <w:rsid w:val="00D7774E"/>
    <w:rsid w:val="00D8093D"/>
    <w:rsid w:val="00D8108C"/>
    <w:rsid w:val="00D8165C"/>
    <w:rsid w:val="00D842AE"/>
    <w:rsid w:val="00D86EFF"/>
    <w:rsid w:val="00D874B6"/>
    <w:rsid w:val="00D9211C"/>
    <w:rsid w:val="00D92DE0"/>
    <w:rsid w:val="00D92FEF"/>
    <w:rsid w:val="00D93482"/>
    <w:rsid w:val="00D93A0F"/>
    <w:rsid w:val="00D93BFF"/>
    <w:rsid w:val="00D955B0"/>
    <w:rsid w:val="00D97247"/>
    <w:rsid w:val="00DA045D"/>
    <w:rsid w:val="00DA1160"/>
    <w:rsid w:val="00DA1BCA"/>
    <w:rsid w:val="00DA3752"/>
    <w:rsid w:val="00DA3EA9"/>
    <w:rsid w:val="00DA41B1"/>
    <w:rsid w:val="00DA58F0"/>
    <w:rsid w:val="00DB58FE"/>
    <w:rsid w:val="00DB61E7"/>
    <w:rsid w:val="00DC1A57"/>
    <w:rsid w:val="00DC37AB"/>
    <w:rsid w:val="00DC46FF"/>
    <w:rsid w:val="00DC5254"/>
    <w:rsid w:val="00DC5724"/>
    <w:rsid w:val="00DD0F1A"/>
    <w:rsid w:val="00DD1A4F"/>
    <w:rsid w:val="00DD2B4A"/>
    <w:rsid w:val="00DD3107"/>
    <w:rsid w:val="00DD706A"/>
    <w:rsid w:val="00DD7C2C"/>
    <w:rsid w:val="00DE1E1D"/>
    <w:rsid w:val="00DE4521"/>
    <w:rsid w:val="00DE4A80"/>
    <w:rsid w:val="00DE5EA7"/>
    <w:rsid w:val="00DE64ED"/>
    <w:rsid w:val="00DE7F32"/>
    <w:rsid w:val="00DF17EE"/>
    <w:rsid w:val="00DF19FC"/>
    <w:rsid w:val="00DF1E4C"/>
    <w:rsid w:val="00DF4DE2"/>
    <w:rsid w:val="00DF5190"/>
    <w:rsid w:val="00DF5893"/>
    <w:rsid w:val="00DF7085"/>
    <w:rsid w:val="00E01CD5"/>
    <w:rsid w:val="00E047DA"/>
    <w:rsid w:val="00E0525D"/>
    <w:rsid w:val="00E064AF"/>
    <w:rsid w:val="00E06797"/>
    <w:rsid w:val="00E07703"/>
    <w:rsid w:val="00E105DB"/>
    <w:rsid w:val="00E1265B"/>
    <w:rsid w:val="00E126B8"/>
    <w:rsid w:val="00E13B48"/>
    <w:rsid w:val="00E1404F"/>
    <w:rsid w:val="00E14717"/>
    <w:rsid w:val="00E153D2"/>
    <w:rsid w:val="00E157CD"/>
    <w:rsid w:val="00E21C83"/>
    <w:rsid w:val="00E2275E"/>
    <w:rsid w:val="00E2353C"/>
    <w:rsid w:val="00E24ADA"/>
    <w:rsid w:val="00E30BCD"/>
    <w:rsid w:val="00E3234F"/>
    <w:rsid w:val="00E327D4"/>
    <w:rsid w:val="00E32F59"/>
    <w:rsid w:val="00E33768"/>
    <w:rsid w:val="00E33ACB"/>
    <w:rsid w:val="00E34622"/>
    <w:rsid w:val="00E35839"/>
    <w:rsid w:val="00E36732"/>
    <w:rsid w:val="00E40926"/>
    <w:rsid w:val="00E46D9A"/>
    <w:rsid w:val="00E477FF"/>
    <w:rsid w:val="00E505F6"/>
    <w:rsid w:val="00E51153"/>
    <w:rsid w:val="00E51399"/>
    <w:rsid w:val="00E53128"/>
    <w:rsid w:val="00E54C0B"/>
    <w:rsid w:val="00E565FF"/>
    <w:rsid w:val="00E6090D"/>
    <w:rsid w:val="00E6359E"/>
    <w:rsid w:val="00E6528E"/>
    <w:rsid w:val="00E65388"/>
    <w:rsid w:val="00E66382"/>
    <w:rsid w:val="00E663D7"/>
    <w:rsid w:val="00E67B17"/>
    <w:rsid w:val="00E7205C"/>
    <w:rsid w:val="00E74B3E"/>
    <w:rsid w:val="00E764C7"/>
    <w:rsid w:val="00E8325F"/>
    <w:rsid w:val="00E83672"/>
    <w:rsid w:val="00E84442"/>
    <w:rsid w:val="00E85B7D"/>
    <w:rsid w:val="00E908AB"/>
    <w:rsid w:val="00E9121B"/>
    <w:rsid w:val="00E92894"/>
    <w:rsid w:val="00E933A0"/>
    <w:rsid w:val="00E9519F"/>
    <w:rsid w:val="00E9580E"/>
    <w:rsid w:val="00EA0AE2"/>
    <w:rsid w:val="00EA2ACC"/>
    <w:rsid w:val="00EA39E5"/>
    <w:rsid w:val="00EA4E60"/>
    <w:rsid w:val="00EB3E88"/>
    <w:rsid w:val="00EB48DD"/>
    <w:rsid w:val="00EB7F4F"/>
    <w:rsid w:val="00EC5A46"/>
    <w:rsid w:val="00EC5E19"/>
    <w:rsid w:val="00EC63E2"/>
    <w:rsid w:val="00EC6D35"/>
    <w:rsid w:val="00ED0A51"/>
    <w:rsid w:val="00ED1AA6"/>
    <w:rsid w:val="00ED20A4"/>
    <w:rsid w:val="00EE0E63"/>
    <w:rsid w:val="00EE0F04"/>
    <w:rsid w:val="00EE3CB5"/>
    <w:rsid w:val="00EF22B3"/>
    <w:rsid w:val="00EF35A2"/>
    <w:rsid w:val="00EF678A"/>
    <w:rsid w:val="00EF78B4"/>
    <w:rsid w:val="00F0084E"/>
    <w:rsid w:val="00F03B69"/>
    <w:rsid w:val="00F05941"/>
    <w:rsid w:val="00F07A50"/>
    <w:rsid w:val="00F113DA"/>
    <w:rsid w:val="00F13C7D"/>
    <w:rsid w:val="00F14138"/>
    <w:rsid w:val="00F21AFC"/>
    <w:rsid w:val="00F23065"/>
    <w:rsid w:val="00F24586"/>
    <w:rsid w:val="00F277EB"/>
    <w:rsid w:val="00F30A9B"/>
    <w:rsid w:val="00F36AFE"/>
    <w:rsid w:val="00F3709A"/>
    <w:rsid w:val="00F373D4"/>
    <w:rsid w:val="00F37DC8"/>
    <w:rsid w:val="00F41BE1"/>
    <w:rsid w:val="00F439B3"/>
    <w:rsid w:val="00F43AE6"/>
    <w:rsid w:val="00F53609"/>
    <w:rsid w:val="00F55FFB"/>
    <w:rsid w:val="00F56735"/>
    <w:rsid w:val="00F5727C"/>
    <w:rsid w:val="00F61341"/>
    <w:rsid w:val="00F650C3"/>
    <w:rsid w:val="00F659E0"/>
    <w:rsid w:val="00F65D85"/>
    <w:rsid w:val="00F67DC0"/>
    <w:rsid w:val="00F7112E"/>
    <w:rsid w:val="00F7462A"/>
    <w:rsid w:val="00F7631D"/>
    <w:rsid w:val="00F76728"/>
    <w:rsid w:val="00F8091E"/>
    <w:rsid w:val="00F817FD"/>
    <w:rsid w:val="00F8615C"/>
    <w:rsid w:val="00F874E0"/>
    <w:rsid w:val="00F87847"/>
    <w:rsid w:val="00F957E3"/>
    <w:rsid w:val="00F969E5"/>
    <w:rsid w:val="00FA0FF1"/>
    <w:rsid w:val="00FA6BB0"/>
    <w:rsid w:val="00FB25D2"/>
    <w:rsid w:val="00FB7982"/>
    <w:rsid w:val="00FC0D95"/>
    <w:rsid w:val="00FC1195"/>
    <w:rsid w:val="00FC2F55"/>
    <w:rsid w:val="00FC3A03"/>
    <w:rsid w:val="00FC55FC"/>
    <w:rsid w:val="00FD3F63"/>
    <w:rsid w:val="00FD5860"/>
    <w:rsid w:val="00FD68FE"/>
    <w:rsid w:val="00FD6E8D"/>
    <w:rsid w:val="00FD7A9F"/>
    <w:rsid w:val="00FE186C"/>
    <w:rsid w:val="00FE352D"/>
    <w:rsid w:val="00FE40C7"/>
    <w:rsid w:val="00FE40EB"/>
    <w:rsid w:val="00FE4D02"/>
    <w:rsid w:val="00FE5DC6"/>
    <w:rsid w:val="00FE7D62"/>
    <w:rsid w:val="00FF0933"/>
    <w:rsid w:val="00FF0ACF"/>
    <w:rsid w:val="00FF1E39"/>
    <w:rsid w:val="00FF3819"/>
    <w:rsid w:val="00FF71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docId w15:val="{E21851CF-E000-4193-A39F-5878217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794A5A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uiPriority w:val="99"/>
    <w:locked/>
    <w:rsid w:val="00794A5A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B61D82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1D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131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C1316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D1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character" w:customStyle="1" w:styleId="st">
    <w:name w:val="st"/>
    <w:basedOn w:val="DefaultParagraphFont"/>
    <w:rsid w:val="00AC610A"/>
  </w:style>
  <w:style w:type="character" w:styleId="Emphasis">
    <w:name w:val="Emphasis"/>
    <w:basedOn w:val="DefaultParagraphFont"/>
    <w:uiPriority w:val="20"/>
    <w:qFormat/>
    <w:rsid w:val="00AC610A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786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3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bes.net/policy-support" TargetMode="External"/><Relationship Id="rId1" Type="http://schemas.openxmlformats.org/officeDocument/2006/relationships/hyperlink" Target="https://www.ipbes.net/guide-production-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56EC9-9D06-4F4A-BECB-49AFBF142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D3DAA-52EB-4E24-9FDE-E50A97383980}"/>
</file>

<file path=customXml/itemProps3.xml><?xml version="1.0" encoding="utf-8"?>
<ds:datastoreItem xmlns:ds="http://schemas.openxmlformats.org/officeDocument/2006/customXml" ds:itemID="{EC4A5A91-A975-4179-BB62-42E6EB4A1F3B}"/>
</file>

<file path=customXml/itemProps4.xml><?xml version="1.0" encoding="utf-8"?>
<ds:datastoreItem xmlns:ds="http://schemas.openxmlformats.org/officeDocument/2006/customXml" ds:itemID="{4ED08B6E-BD9B-41BB-A62E-745490148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Simone Schiele</cp:lastModifiedBy>
  <cp:revision>2</cp:revision>
  <cp:lastPrinted>2019-02-04T12:01:00Z</cp:lastPrinted>
  <dcterms:created xsi:type="dcterms:W3CDTF">2019-03-21T15:54:00Z</dcterms:created>
  <dcterms:modified xsi:type="dcterms:W3CDTF">2019-03-21T15:54:00Z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