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3" w:type="pct"/>
        <w:jc w:val="right"/>
        <w:tblLayout w:type="fixed"/>
        <w:tblLook w:val="0000" w:firstRow="0" w:lastRow="0" w:firstColumn="0" w:lastColumn="0" w:noHBand="0" w:noVBand="0"/>
      </w:tblPr>
      <w:tblGrid>
        <w:gridCol w:w="1435"/>
        <w:gridCol w:w="585"/>
        <w:gridCol w:w="343"/>
        <w:gridCol w:w="853"/>
        <w:gridCol w:w="941"/>
        <w:gridCol w:w="2687"/>
        <w:gridCol w:w="960"/>
        <w:gridCol w:w="1679"/>
      </w:tblGrid>
      <w:tr w:rsidR="001A5EAA" w:rsidRPr="00DC45D0" w14:paraId="4FA30ECF" w14:textId="77777777" w:rsidTr="002D3732">
        <w:trPr>
          <w:cantSplit/>
          <w:trHeight w:val="1079"/>
          <w:jc w:val="right"/>
        </w:trPr>
        <w:tc>
          <w:tcPr>
            <w:tcW w:w="1457" w:type="dxa"/>
          </w:tcPr>
          <w:p w14:paraId="255DDE2E" w14:textId="77777777" w:rsidR="001A5EAA" w:rsidRPr="00DC45D0" w:rsidRDefault="001A5EAA" w:rsidP="002D3732">
            <w:pPr>
              <w:pStyle w:val="Normal-pool"/>
              <w:spacing w:before="160"/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</w:pPr>
            <w:r w:rsidRPr="00DC45D0"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  <w:t>NATIONS UNIES</w:t>
            </w:r>
          </w:p>
        </w:tc>
        <w:tc>
          <w:tcPr>
            <w:tcW w:w="940" w:type="dxa"/>
            <w:gridSpan w:val="2"/>
            <w:tcBorders>
              <w:left w:val="nil"/>
            </w:tcBorders>
            <w:vAlign w:val="center"/>
          </w:tcPr>
          <w:p w14:paraId="1D216214" w14:textId="77777777" w:rsidR="001A5EAA" w:rsidRPr="00DC45D0" w:rsidRDefault="001A5EAA" w:rsidP="002D3732">
            <w:pPr>
              <w:pStyle w:val="Normal-pool"/>
              <w:rPr>
                <w:noProof/>
                <w:lang w:val="fr-FR"/>
              </w:rPr>
            </w:pPr>
            <w:r w:rsidRPr="00DC45D0">
              <w:rPr>
                <w:noProof/>
                <w:lang w:val="fr-FR"/>
              </w:rPr>
              <w:drawing>
                <wp:inline distT="0" distB="0" distL="0" distR="0" wp14:anchorId="0796366A" wp14:editId="28B22320">
                  <wp:extent cx="482803" cy="460857"/>
                  <wp:effectExtent l="0" t="0" r="0" b="0"/>
                  <wp:docPr id="3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02" cy="46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24BC6B2A" w14:textId="77777777" w:rsidR="001A5EAA" w:rsidRPr="00DC45D0" w:rsidRDefault="001A5EAA" w:rsidP="002D3732">
            <w:pPr>
              <w:pStyle w:val="Normal-pool"/>
              <w:spacing w:before="160"/>
              <w:rPr>
                <w:noProof/>
                <w:lang w:val="fr-FR"/>
              </w:rPr>
            </w:pPr>
            <w:r w:rsidRPr="00DC45D0">
              <w:rPr>
                <w:noProof/>
                <w:lang w:val="fr-FR"/>
              </w:rPr>
              <w:drawing>
                <wp:inline distT="0" distB="0" distL="0" distR="0" wp14:anchorId="54FA5951" wp14:editId="23415856">
                  <wp:extent cx="362710" cy="47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tcBorders>
              <w:left w:val="nil"/>
            </w:tcBorders>
            <w:vAlign w:val="center"/>
          </w:tcPr>
          <w:p w14:paraId="6B67F230" w14:textId="77777777" w:rsidR="001A5EAA" w:rsidRPr="00DC45D0" w:rsidRDefault="001A5EAA" w:rsidP="002D3732">
            <w:pPr>
              <w:pStyle w:val="Normal-pool"/>
              <w:rPr>
                <w:noProof/>
                <w:lang w:val="fr-FR"/>
              </w:rPr>
            </w:pPr>
            <w:r w:rsidRPr="00DC45D0">
              <w:rPr>
                <w:noProof/>
                <w:lang w:val="fr-FR"/>
              </w:rPr>
              <w:drawing>
                <wp:inline distT="0" distB="0" distL="0" distR="0" wp14:anchorId="1CE6A1E7" wp14:editId="56DDD968">
                  <wp:extent cx="490119" cy="460857"/>
                  <wp:effectExtent l="0" t="0" r="5715" b="0"/>
                  <wp:docPr id="5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54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tcBorders>
              <w:left w:val="nil"/>
            </w:tcBorders>
            <w:vAlign w:val="center"/>
          </w:tcPr>
          <w:p w14:paraId="0DC303AB" w14:textId="77777777" w:rsidR="001A5EAA" w:rsidRPr="00DC45D0" w:rsidRDefault="001A5EAA" w:rsidP="000344DA">
            <w:pPr>
              <w:pStyle w:val="Normal-pool"/>
              <w:ind w:left="-28" w:right="74"/>
              <w:rPr>
                <w:noProof/>
                <w:lang w:val="fr-FR"/>
              </w:rPr>
            </w:pPr>
            <w:r w:rsidRPr="00DC45D0">
              <w:rPr>
                <w:noProof/>
                <w:lang w:val="fr-FR"/>
              </w:rPr>
              <w:drawing>
                <wp:inline distT="0" distB="0" distL="0" distR="0" wp14:anchorId="17EA575B" wp14:editId="5C0D35D9">
                  <wp:extent cx="1617259" cy="347752"/>
                  <wp:effectExtent l="0" t="0" r="2540" b="0"/>
                  <wp:docPr id="6" name="Picture 6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24" cy="36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tcBorders>
              <w:left w:val="nil"/>
            </w:tcBorders>
            <w:vAlign w:val="center"/>
          </w:tcPr>
          <w:p w14:paraId="0D705DB6" w14:textId="77777777" w:rsidR="001A5EAA" w:rsidRPr="00DC45D0" w:rsidRDefault="001A5EAA" w:rsidP="002D3732">
            <w:pPr>
              <w:pStyle w:val="Normal-pool"/>
              <w:ind w:right="-136"/>
              <w:rPr>
                <w:noProof/>
                <w:lang w:val="fr-FR"/>
              </w:rPr>
            </w:pPr>
            <w:r w:rsidRPr="00DC45D0">
              <w:rPr>
                <w:noProof/>
                <w:lang w:val="fr-FR"/>
              </w:rPr>
              <w:drawing>
                <wp:inline distT="0" distB="0" distL="0" distR="0" wp14:anchorId="0FD23962" wp14:editId="13CF7BB5">
                  <wp:extent cx="292906" cy="63604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D.gif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10000"/>
                                    </a14:imgEffect>
                                    <a14:imgEffect>
                                      <a14:brightnessContrast bright="12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29" cy="64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14:paraId="2AC7D780" w14:textId="77777777" w:rsidR="001A5EAA" w:rsidRPr="00DC45D0" w:rsidRDefault="001A5EAA" w:rsidP="002D3732">
            <w:pPr>
              <w:pStyle w:val="Normal-pool"/>
              <w:ind w:right="-136"/>
              <w:jc w:val="right"/>
              <w:rPr>
                <w:rFonts w:ascii="Arial" w:hAnsi="Arial" w:cs="Arial"/>
                <w:b/>
                <w:noProof/>
                <w:sz w:val="64"/>
                <w:szCs w:val="64"/>
                <w:lang w:val="fr-FR"/>
              </w:rPr>
            </w:pPr>
            <w:r w:rsidRPr="00DC45D0">
              <w:rPr>
                <w:rFonts w:ascii="Arial" w:hAnsi="Arial" w:cs="Arial"/>
                <w:b/>
                <w:noProof/>
                <w:sz w:val="64"/>
                <w:szCs w:val="64"/>
                <w:lang w:val="fr-FR"/>
              </w:rPr>
              <w:t>BES</w:t>
            </w:r>
          </w:p>
        </w:tc>
      </w:tr>
      <w:tr w:rsidR="001A5EAA" w:rsidRPr="00DC45D0" w14:paraId="6DF5A69E" w14:textId="77777777" w:rsidTr="002D3732">
        <w:trPr>
          <w:cantSplit/>
          <w:trHeight w:val="282"/>
          <w:jc w:val="right"/>
        </w:trPr>
        <w:tc>
          <w:tcPr>
            <w:tcW w:w="1457" w:type="dxa"/>
            <w:tcBorders>
              <w:bottom w:val="single" w:sz="2" w:space="0" w:color="auto"/>
            </w:tcBorders>
          </w:tcPr>
          <w:p w14:paraId="3D7BF5B7" w14:textId="77777777" w:rsidR="001A5EAA" w:rsidRPr="00DC45D0" w:rsidRDefault="001A5EAA" w:rsidP="002D3732">
            <w:pPr>
              <w:pStyle w:val="Normal-pool"/>
              <w:rPr>
                <w:noProof/>
                <w:lang w:val="fr-FR"/>
              </w:rPr>
            </w:pPr>
          </w:p>
        </w:tc>
        <w:tc>
          <w:tcPr>
            <w:tcW w:w="5489" w:type="dxa"/>
            <w:gridSpan w:val="5"/>
            <w:tcBorders>
              <w:bottom w:val="single" w:sz="2" w:space="0" w:color="auto"/>
            </w:tcBorders>
          </w:tcPr>
          <w:p w14:paraId="578E3124" w14:textId="77777777" w:rsidR="001A5EAA" w:rsidRPr="00DC45D0" w:rsidRDefault="001A5EAA" w:rsidP="002D3732">
            <w:pPr>
              <w:pStyle w:val="Normal-pool"/>
              <w:rPr>
                <w:rFonts w:ascii="Univers" w:hAnsi="Univers"/>
                <w:b/>
                <w:noProof/>
                <w:sz w:val="24"/>
                <w:lang w:val="fr-FR"/>
              </w:rPr>
            </w:pPr>
          </w:p>
        </w:tc>
        <w:tc>
          <w:tcPr>
            <w:tcW w:w="2678" w:type="dxa"/>
            <w:gridSpan w:val="2"/>
            <w:tcBorders>
              <w:bottom w:val="single" w:sz="2" w:space="0" w:color="auto"/>
            </w:tcBorders>
          </w:tcPr>
          <w:p w14:paraId="05000CBF" w14:textId="6EBFE91A" w:rsidR="001A5EAA" w:rsidRPr="00DC45D0" w:rsidRDefault="001A5EAA" w:rsidP="002D3732">
            <w:pPr>
              <w:pStyle w:val="Normal-pool"/>
              <w:spacing w:before="120"/>
              <w:rPr>
                <w:b/>
                <w:noProof/>
                <w:sz w:val="24"/>
                <w:szCs w:val="24"/>
                <w:lang w:val="fr-FR"/>
              </w:rPr>
            </w:pPr>
            <w:r w:rsidRPr="00DC45D0">
              <w:rPr>
                <w:b/>
                <w:noProof/>
                <w:sz w:val="24"/>
                <w:lang w:val="fr-FR"/>
              </w:rPr>
              <w:t>IPBES</w:t>
            </w:r>
            <w:r w:rsidRPr="00DC45D0">
              <w:rPr>
                <w:noProof/>
                <w:lang w:val="fr-FR"/>
              </w:rPr>
              <w:t>/8/1</w:t>
            </w:r>
            <w:r w:rsidR="001C3C2B" w:rsidRPr="00DC45D0">
              <w:rPr>
                <w:rStyle w:val="FootnoteReference"/>
                <w:noProof/>
                <w:vertAlign w:val="baseline"/>
                <w:lang w:val="fr-FR"/>
              </w:rPr>
              <w:footnoteReference w:customMarkFollows="1" w:id="1"/>
              <w:t>*</w:t>
            </w:r>
          </w:p>
        </w:tc>
      </w:tr>
      <w:tr w:rsidR="001A5EAA" w:rsidRPr="00DC45D0" w14:paraId="718423B5" w14:textId="77777777" w:rsidTr="002D3732">
        <w:trPr>
          <w:cantSplit/>
          <w:trHeight w:val="1615"/>
          <w:jc w:val="right"/>
        </w:trPr>
        <w:tc>
          <w:tcPr>
            <w:tcW w:w="204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0405F430" w14:textId="77777777" w:rsidR="001A5EAA" w:rsidRPr="00DC45D0" w:rsidRDefault="001A5EAA" w:rsidP="002D3732">
            <w:pPr>
              <w:pStyle w:val="Normal-pool"/>
              <w:spacing w:before="240" w:after="240"/>
              <w:rPr>
                <w:b/>
                <w:noProof/>
                <w:sz w:val="28"/>
                <w:szCs w:val="28"/>
                <w:lang w:val="fr-FR"/>
              </w:rPr>
            </w:pPr>
            <w:r w:rsidRPr="00DC45D0">
              <w:rPr>
                <w:b/>
                <w:noProof/>
                <w:sz w:val="28"/>
                <w:szCs w:val="28"/>
                <w:lang w:val="fr-FR"/>
              </w:rPr>
              <w:drawing>
                <wp:inline distT="0" distB="0" distL="0" distR="0" wp14:anchorId="2CA49FC2" wp14:editId="429196D0">
                  <wp:extent cx="1111406" cy="51937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14:paraId="7375816B" w14:textId="2B181295" w:rsidR="001A5EAA" w:rsidRPr="00DC45D0" w:rsidRDefault="00BD26D1" w:rsidP="002D3732">
            <w:pPr>
              <w:pStyle w:val="Normal-pool"/>
              <w:spacing w:before="240" w:after="240"/>
              <w:rPr>
                <w:rFonts w:ascii="Arial" w:hAnsi="Arial" w:cs="Arial"/>
                <w:b/>
                <w:noProof/>
                <w:sz w:val="24"/>
                <w:szCs w:val="24"/>
                <w:lang w:val="fr-FR"/>
              </w:rPr>
            </w:pPr>
            <w:hyperlink r:id="rId18" w:tgtFrame="_blank" w:history="1">
              <w:r w:rsidR="001A5EAA" w:rsidRPr="00DC45D0">
                <w:rPr>
                  <w:rFonts w:ascii="Arial" w:hAnsi="Arial" w:cs="Arial"/>
                  <w:b/>
                  <w:noProof/>
                  <w:sz w:val="24"/>
                  <w:szCs w:val="24"/>
                  <w:lang w:val="fr-FR"/>
                </w:rPr>
                <w:t>Plateforme intergouvernementale scientifique et politique sur l</w:t>
              </w:r>
              <w:r w:rsidR="004404F2" w:rsidRPr="00DC45D0">
                <w:rPr>
                  <w:rFonts w:ascii="Arial" w:hAnsi="Arial" w:cs="Arial"/>
                  <w:b/>
                  <w:noProof/>
                  <w:sz w:val="24"/>
                  <w:szCs w:val="24"/>
                  <w:lang w:val="fr-FR"/>
                </w:rPr>
                <w:t>a</w:t>
              </w:r>
              <w:r w:rsidR="00452367" w:rsidRPr="00DC45D0">
                <w:rPr>
                  <w:rFonts w:ascii="Arial" w:hAnsi="Arial" w:cs="Arial"/>
                  <w:b/>
                  <w:noProof/>
                  <w:sz w:val="24"/>
                  <w:szCs w:val="24"/>
                  <w:lang w:val="fr-FR"/>
                </w:rPr>
                <w:t> </w:t>
              </w:r>
              <w:r w:rsidR="001A5EAA" w:rsidRPr="00DC45D0">
                <w:rPr>
                  <w:rFonts w:ascii="Arial" w:hAnsi="Arial" w:cs="Arial"/>
                  <w:b/>
                  <w:noProof/>
                  <w:sz w:val="24"/>
                  <w:szCs w:val="24"/>
                  <w:lang w:val="fr-FR"/>
                </w:rPr>
                <w:t>biodiversité et les services écosystémiques</w:t>
              </w:r>
            </w:hyperlink>
          </w:p>
        </w:tc>
        <w:tc>
          <w:tcPr>
            <w:tcW w:w="2678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7DF2D79C" w14:textId="12EC00C6" w:rsidR="001A5EAA" w:rsidRPr="00DC45D0" w:rsidRDefault="001A5EAA" w:rsidP="002D3732">
            <w:pPr>
              <w:pStyle w:val="Normal-pool"/>
              <w:spacing w:before="120"/>
              <w:rPr>
                <w:noProof/>
                <w:lang w:val="fr-FR"/>
              </w:rPr>
            </w:pPr>
            <w:r w:rsidRPr="00DC45D0">
              <w:rPr>
                <w:noProof/>
                <w:lang w:val="fr-FR"/>
              </w:rPr>
              <w:t xml:space="preserve">Distr. générale </w:t>
            </w:r>
            <w:r w:rsidRPr="00DC45D0">
              <w:rPr>
                <w:noProof/>
                <w:lang w:val="fr-FR"/>
              </w:rPr>
              <w:br/>
              <w:t>21 juillet 2020</w:t>
            </w:r>
          </w:p>
          <w:p w14:paraId="684671AF" w14:textId="067E1A31" w:rsidR="001A5EAA" w:rsidRPr="00DC45D0" w:rsidRDefault="001A5EAA" w:rsidP="002D3732">
            <w:pPr>
              <w:pStyle w:val="Normal-pool"/>
              <w:spacing w:before="120"/>
              <w:rPr>
                <w:noProof/>
                <w:lang w:val="fr-FR"/>
              </w:rPr>
            </w:pPr>
            <w:r w:rsidRPr="00DC45D0">
              <w:rPr>
                <w:noProof/>
                <w:lang w:val="fr-FR"/>
              </w:rPr>
              <w:t xml:space="preserve">Français </w:t>
            </w:r>
            <w:r w:rsidRPr="00DC45D0">
              <w:rPr>
                <w:noProof/>
                <w:lang w:val="fr-FR"/>
              </w:rPr>
              <w:br/>
              <w:t>Original</w:t>
            </w:r>
            <w:r w:rsidR="00AB065B" w:rsidRPr="00DC45D0">
              <w:rPr>
                <w:noProof/>
                <w:lang w:val="fr-FR"/>
              </w:rPr>
              <w:t> :</w:t>
            </w:r>
            <w:r w:rsidRPr="00DC45D0">
              <w:rPr>
                <w:noProof/>
                <w:lang w:val="fr-FR"/>
              </w:rPr>
              <w:t xml:space="preserve"> anglais</w:t>
            </w:r>
          </w:p>
        </w:tc>
      </w:tr>
    </w:tbl>
    <w:p w14:paraId="755ACE7D" w14:textId="4E3502C6" w:rsidR="001A5EAA" w:rsidRPr="00DC45D0" w:rsidRDefault="001A5EAA" w:rsidP="00CF174F">
      <w:pPr>
        <w:pStyle w:val="AATitle"/>
        <w:ind w:right="4251"/>
        <w:rPr>
          <w:noProof/>
          <w:lang w:val="fr-FR"/>
        </w:rPr>
      </w:pPr>
      <w:r w:rsidRPr="00DC45D0">
        <w:rPr>
          <w:noProof/>
          <w:lang w:val="fr-FR"/>
        </w:rPr>
        <w:t>Plénière de la Plateforme intergouvernementale scientifique et politique sur la biodiversité et les services écosystémiques</w:t>
      </w:r>
    </w:p>
    <w:p w14:paraId="0577AC33" w14:textId="645FA5DE" w:rsidR="001A5EAA" w:rsidRPr="00DC45D0" w:rsidRDefault="001A5EAA" w:rsidP="00CF174F">
      <w:pPr>
        <w:pStyle w:val="AATitle"/>
        <w:rPr>
          <w:noProof/>
          <w:lang w:val="fr-FR"/>
        </w:rPr>
      </w:pPr>
      <w:r w:rsidRPr="00DC45D0">
        <w:rPr>
          <w:noProof/>
          <w:lang w:val="fr-FR"/>
        </w:rPr>
        <w:t>Huitième session</w:t>
      </w:r>
    </w:p>
    <w:p w14:paraId="0DB22C2D" w14:textId="63142212" w:rsidR="000C0EB0" w:rsidRDefault="002B4CD6" w:rsidP="002B4CD6">
      <w:pPr>
        <w:pStyle w:val="AATitle"/>
        <w:rPr>
          <w:b w:val="0"/>
          <w:noProof/>
          <w:lang w:val="fr-FR"/>
        </w:rPr>
      </w:pPr>
      <w:r>
        <w:rPr>
          <w:b w:val="0"/>
        </w:rPr>
        <w:t>En ligne, 14–24 juin 2021</w:t>
      </w:r>
    </w:p>
    <w:p w14:paraId="7EF28E9B" w14:textId="77777777" w:rsidR="00FA1425" w:rsidRPr="00DC45D0" w:rsidRDefault="00FA1425" w:rsidP="00CF174F">
      <w:pPr>
        <w:pStyle w:val="BBTitle"/>
        <w:rPr>
          <w:noProof/>
          <w:lang w:val="fr-FR"/>
        </w:rPr>
      </w:pPr>
      <w:r w:rsidRPr="00DC45D0">
        <w:rPr>
          <w:noProof/>
          <w:lang w:val="fr-FR"/>
        </w:rPr>
        <w:t>Ordre du jour provisoire</w:t>
      </w:r>
    </w:p>
    <w:p w14:paraId="3A55D708" w14:textId="77777777" w:rsidR="00FA1425" w:rsidRPr="00DC45D0" w:rsidRDefault="00FA1425" w:rsidP="00CF174F">
      <w:pPr>
        <w:pStyle w:val="Normalnumber"/>
        <w:ind w:left="1814" w:hanging="567"/>
        <w:rPr>
          <w:noProof/>
          <w:lang w:val="fr-FR"/>
        </w:rPr>
      </w:pPr>
      <w:bookmarkStart w:id="0" w:name="_Hlk13145981"/>
      <w:r w:rsidRPr="00DC45D0">
        <w:rPr>
          <w:noProof/>
          <w:lang w:val="fr-FR"/>
        </w:rPr>
        <w:t>Ouverture de la session.</w:t>
      </w:r>
    </w:p>
    <w:p w14:paraId="0A27182A" w14:textId="62806601" w:rsidR="00FA1425" w:rsidRPr="00DC45D0" w:rsidRDefault="00FA1425" w:rsidP="00CF174F">
      <w:pPr>
        <w:pStyle w:val="Normalnumber"/>
        <w:ind w:left="1814" w:hanging="567"/>
        <w:rPr>
          <w:noProof/>
          <w:lang w:val="fr-FR"/>
        </w:rPr>
      </w:pPr>
      <w:r w:rsidRPr="00DC45D0">
        <w:rPr>
          <w:noProof/>
          <w:lang w:val="fr-FR"/>
        </w:rPr>
        <w:t>Questions d</w:t>
      </w:r>
      <w:r w:rsidR="000344DA" w:rsidRPr="00DC45D0">
        <w:rPr>
          <w:noProof/>
          <w:lang w:val="fr-FR"/>
        </w:rPr>
        <w:t>’</w:t>
      </w:r>
      <w:r w:rsidRPr="00DC45D0">
        <w:rPr>
          <w:noProof/>
          <w:lang w:val="fr-FR"/>
        </w:rPr>
        <w:t>organisation</w:t>
      </w:r>
      <w:r w:rsidR="00AB065B" w:rsidRPr="00DC45D0">
        <w:rPr>
          <w:noProof/>
          <w:lang w:val="fr-FR"/>
        </w:rPr>
        <w:t> :</w:t>
      </w:r>
    </w:p>
    <w:p w14:paraId="18D6B6F6" w14:textId="1E3595A7" w:rsidR="00FA1425" w:rsidRPr="00DC45D0" w:rsidRDefault="00FA1425" w:rsidP="00CF174F">
      <w:pPr>
        <w:pStyle w:val="Normalnumber"/>
        <w:numPr>
          <w:ilvl w:val="1"/>
          <w:numId w:val="18"/>
        </w:numPr>
        <w:rPr>
          <w:noProof/>
          <w:lang w:val="fr-FR"/>
        </w:rPr>
      </w:pPr>
      <w:r w:rsidRPr="00DC45D0">
        <w:rPr>
          <w:noProof/>
          <w:lang w:val="fr-FR"/>
        </w:rPr>
        <w:t>Adoption de l</w:t>
      </w:r>
      <w:r w:rsidR="000344DA" w:rsidRPr="00DC45D0">
        <w:rPr>
          <w:noProof/>
          <w:lang w:val="fr-FR"/>
        </w:rPr>
        <w:t>’</w:t>
      </w:r>
      <w:r w:rsidRPr="00DC45D0">
        <w:rPr>
          <w:noProof/>
          <w:lang w:val="fr-FR"/>
        </w:rPr>
        <w:t>ordre du jour et organisation des travaux</w:t>
      </w:r>
      <w:r w:rsidR="00AB065B" w:rsidRPr="00DC45D0">
        <w:rPr>
          <w:noProof/>
          <w:lang w:val="fr-FR"/>
        </w:rPr>
        <w:t> ;</w:t>
      </w:r>
    </w:p>
    <w:p w14:paraId="0035BB96" w14:textId="6C25C444" w:rsidR="00FA1425" w:rsidRPr="00DC45D0" w:rsidRDefault="00FA1425" w:rsidP="00CF174F">
      <w:pPr>
        <w:pStyle w:val="Normalnumber"/>
        <w:numPr>
          <w:ilvl w:val="1"/>
          <w:numId w:val="18"/>
        </w:numPr>
        <w:rPr>
          <w:noProof/>
          <w:lang w:val="fr-FR"/>
        </w:rPr>
      </w:pPr>
      <w:r w:rsidRPr="00DC45D0">
        <w:rPr>
          <w:noProof/>
          <w:lang w:val="fr-FR"/>
        </w:rPr>
        <w:t>Composition de la Plateforme</w:t>
      </w:r>
      <w:r w:rsidR="00AB065B" w:rsidRPr="00DC45D0">
        <w:rPr>
          <w:noProof/>
          <w:lang w:val="fr-FR"/>
        </w:rPr>
        <w:t> ;</w:t>
      </w:r>
      <w:r w:rsidRPr="00DC45D0">
        <w:rPr>
          <w:noProof/>
          <w:lang w:val="fr-FR"/>
        </w:rPr>
        <w:t xml:space="preserve"> </w:t>
      </w:r>
    </w:p>
    <w:p w14:paraId="286A1028" w14:textId="6F73AC8E" w:rsidR="00FA1425" w:rsidRPr="00DC45D0" w:rsidRDefault="00FA1425" w:rsidP="003C09F2">
      <w:pPr>
        <w:pStyle w:val="Normalnumber"/>
        <w:numPr>
          <w:ilvl w:val="1"/>
          <w:numId w:val="18"/>
        </w:numPr>
        <w:tabs>
          <w:tab w:val="clear" w:pos="1247"/>
          <w:tab w:val="clear" w:pos="2381"/>
        </w:tabs>
        <w:ind w:left="2394" w:hanging="576"/>
        <w:rPr>
          <w:noProof/>
          <w:lang w:val="fr-FR"/>
        </w:rPr>
      </w:pPr>
      <w:r w:rsidRPr="00DC45D0">
        <w:rPr>
          <w:noProof/>
          <w:lang w:val="fr-FR"/>
        </w:rPr>
        <w:t>Élection des membres du Bureau</w:t>
      </w:r>
      <w:r w:rsidR="00C508D8" w:rsidRPr="00DC45D0">
        <w:rPr>
          <w:noProof/>
          <w:lang w:val="fr-FR"/>
        </w:rPr>
        <w:t xml:space="preserve"> et des membres du Groupe d’experts multidisciplinaire</w:t>
      </w:r>
      <w:r w:rsidRPr="00DC45D0">
        <w:rPr>
          <w:noProof/>
          <w:lang w:val="fr-FR"/>
        </w:rPr>
        <w:t>.</w:t>
      </w:r>
    </w:p>
    <w:p w14:paraId="07FA9DE3" w14:textId="05BA91FE" w:rsidR="00FA1425" w:rsidRPr="00DC45D0" w:rsidRDefault="00FA1425" w:rsidP="00CF174F">
      <w:pPr>
        <w:pStyle w:val="Normalnumber"/>
        <w:ind w:left="1814" w:hanging="567"/>
        <w:rPr>
          <w:noProof/>
          <w:lang w:val="fr-FR"/>
        </w:rPr>
      </w:pPr>
      <w:r w:rsidRPr="00DC45D0">
        <w:rPr>
          <w:noProof/>
          <w:lang w:val="fr-FR"/>
        </w:rPr>
        <w:t>Admission d</w:t>
      </w:r>
      <w:r w:rsidR="000344DA" w:rsidRPr="00DC45D0">
        <w:rPr>
          <w:noProof/>
          <w:lang w:val="fr-FR"/>
        </w:rPr>
        <w:t>’</w:t>
      </w:r>
      <w:r w:rsidRPr="00DC45D0">
        <w:rPr>
          <w:noProof/>
          <w:lang w:val="fr-FR"/>
        </w:rPr>
        <w:t>observateurs.</w:t>
      </w:r>
    </w:p>
    <w:p w14:paraId="3487B6AD" w14:textId="77777777" w:rsidR="00FA1425" w:rsidRPr="00DC45D0" w:rsidRDefault="00FA1425" w:rsidP="00CF174F">
      <w:pPr>
        <w:pStyle w:val="Normalnumber"/>
        <w:ind w:left="1814" w:hanging="567"/>
        <w:rPr>
          <w:noProof/>
          <w:lang w:val="fr-FR"/>
        </w:rPr>
      </w:pPr>
      <w:r w:rsidRPr="00DC45D0">
        <w:rPr>
          <w:noProof/>
          <w:lang w:val="fr-FR"/>
        </w:rPr>
        <w:t>Vérification des pouvoirs des représentants.</w:t>
      </w:r>
    </w:p>
    <w:p w14:paraId="5577E0F0" w14:textId="72BEB447" w:rsidR="00FA1425" w:rsidRPr="00DC45D0" w:rsidRDefault="00FA1425" w:rsidP="00CF174F">
      <w:pPr>
        <w:pStyle w:val="Normalnumber"/>
        <w:ind w:left="1814" w:hanging="567"/>
        <w:rPr>
          <w:noProof/>
          <w:lang w:val="fr-FR"/>
        </w:rPr>
      </w:pPr>
      <w:r w:rsidRPr="00DC45D0">
        <w:rPr>
          <w:noProof/>
          <w:lang w:val="fr-FR"/>
        </w:rPr>
        <w:t>Rapport de la Secrétaire exécutive sur les progrès dans la mise en œuvre du programme de</w:t>
      </w:r>
      <w:r w:rsidR="008C75F3" w:rsidRPr="00DC45D0">
        <w:rPr>
          <w:noProof/>
          <w:lang w:val="fr-FR"/>
        </w:rPr>
        <w:t> </w:t>
      </w:r>
      <w:r w:rsidRPr="00DC45D0">
        <w:rPr>
          <w:noProof/>
          <w:lang w:val="fr-FR"/>
        </w:rPr>
        <w:t>travail glissant pour la période allant jusqu</w:t>
      </w:r>
      <w:r w:rsidR="000344DA" w:rsidRPr="00DC45D0">
        <w:rPr>
          <w:noProof/>
          <w:lang w:val="fr-FR"/>
        </w:rPr>
        <w:t>’</w:t>
      </w:r>
      <w:r w:rsidRPr="00DC45D0">
        <w:rPr>
          <w:noProof/>
          <w:lang w:val="fr-FR"/>
        </w:rPr>
        <w:t xml:space="preserve">en 2030. </w:t>
      </w:r>
    </w:p>
    <w:p w14:paraId="72FD4C13" w14:textId="77777777" w:rsidR="00FA1425" w:rsidRPr="00DC45D0" w:rsidRDefault="00FA1425" w:rsidP="00CF174F">
      <w:pPr>
        <w:pStyle w:val="Normalnumber"/>
        <w:rPr>
          <w:noProof/>
          <w:lang w:val="fr-FR"/>
        </w:rPr>
      </w:pPr>
      <w:r w:rsidRPr="00DC45D0">
        <w:rPr>
          <w:noProof/>
          <w:lang w:val="fr-FR"/>
        </w:rPr>
        <w:t xml:space="preserve">Dispositifs financiers et budgétaires pour la Plateforme. </w:t>
      </w:r>
    </w:p>
    <w:p w14:paraId="7A5C5C86" w14:textId="7BE02EE4" w:rsidR="00FA1425" w:rsidRPr="00DC45D0" w:rsidRDefault="00FA1425" w:rsidP="00CF174F">
      <w:pPr>
        <w:pStyle w:val="Normalnumber"/>
        <w:ind w:left="1814" w:hanging="567"/>
        <w:rPr>
          <w:noProof/>
          <w:lang w:val="fr-FR"/>
        </w:rPr>
      </w:pPr>
      <w:r w:rsidRPr="00DC45D0">
        <w:rPr>
          <w:noProof/>
          <w:lang w:val="fr-FR"/>
        </w:rPr>
        <w:t>Évaluation des connaissances</w:t>
      </w:r>
      <w:r w:rsidR="00AB065B" w:rsidRPr="00DC45D0">
        <w:rPr>
          <w:noProof/>
          <w:lang w:val="fr-FR"/>
        </w:rPr>
        <w:t> :</w:t>
      </w:r>
    </w:p>
    <w:p w14:paraId="445688F9" w14:textId="466F99B1" w:rsidR="00FA1425" w:rsidRPr="00DC45D0" w:rsidRDefault="00FA1425" w:rsidP="000344DA">
      <w:pPr>
        <w:pStyle w:val="Normalnumber"/>
        <w:numPr>
          <w:ilvl w:val="1"/>
          <w:numId w:val="18"/>
        </w:numPr>
        <w:ind w:left="2381" w:hanging="567"/>
        <w:rPr>
          <w:noProof/>
          <w:lang w:val="fr-FR"/>
        </w:rPr>
      </w:pPr>
      <w:r w:rsidRPr="00DC45D0">
        <w:rPr>
          <w:noProof/>
          <w:lang w:val="fr-FR"/>
        </w:rPr>
        <w:t>Rapport de cadrage pour une évaluation thématique des liens d</w:t>
      </w:r>
      <w:r w:rsidR="000344DA" w:rsidRPr="00DC45D0">
        <w:rPr>
          <w:noProof/>
          <w:lang w:val="fr-FR"/>
        </w:rPr>
        <w:t>’</w:t>
      </w:r>
      <w:r w:rsidRPr="00DC45D0">
        <w:rPr>
          <w:noProof/>
          <w:lang w:val="fr-FR"/>
        </w:rPr>
        <w:t>interdépendance entre la</w:t>
      </w:r>
      <w:r w:rsidR="000344DA" w:rsidRPr="00DC45D0">
        <w:rPr>
          <w:noProof/>
          <w:lang w:val="fr-FR"/>
        </w:rPr>
        <w:t> </w:t>
      </w:r>
      <w:r w:rsidRPr="00DC45D0">
        <w:rPr>
          <w:noProof/>
          <w:lang w:val="fr-FR"/>
        </w:rPr>
        <w:t>biodiversité, l</w:t>
      </w:r>
      <w:r w:rsidR="000344DA" w:rsidRPr="00DC45D0">
        <w:rPr>
          <w:noProof/>
          <w:lang w:val="fr-FR"/>
        </w:rPr>
        <w:t>’</w:t>
      </w:r>
      <w:r w:rsidRPr="00DC45D0">
        <w:rPr>
          <w:noProof/>
          <w:lang w:val="fr-FR"/>
        </w:rPr>
        <w:t>eau, l</w:t>
      </w:r>
      <w:r w:rsidR="000344DA" w:rsidRPr="00DC45D0">
        <w:rPr>
          <w:noProof/>
          <w:lang w:val="fr-FR"/>
        </w:rPr>
        <w:t>’</w:t>
      </w:r>
      <w:r w:rsidRPr="00DC45D0">
        <w:rPr>
          <w:noProof/>
          <w:lang w:val="fr-FR"/>
        </w:rPr>
        <w:t>alimentation et la santé</w:t>
      </w:r>
      <w:r w:rsidR="00AB065B" w:rsidRPr="00DC45D0">
        <w:rPr>
          <w:noProof/>
          <w:lang w:val="fr-FR"/>
        </w:rPr>
        <w:t> ;</w:t>
      </w:r>
    </w:p>
    <w:p w14:paraId="46D1A1E2" w14:textId="4AC0C778" w:rsidR="00FA1425" w:rsidRPr="00DC45D0" w:rsidRDefault="00FA1425" w:rsidP="000344DA">
      <w:pPr>
        <w:pStyle w:val="Normalnumber"/>
        <w:numPr>
          <w:ilvl w:val="1"/>
          <w:numId w:val="18"/>
        </w:numPr>
        <w:ind w:left="2381" w:hanging="567"/>
        <w:rPr>
          <w:noProof/>
          <w:lang w:val="fr-FR"/>
        </w:rPr>
      </w:pPr>
      <w:r w:rsidRPr="00DC45D0">
        <w:rPr>
          <w:noProof/>
          <w:lang w:val="fr-FR"/>
        </w:rPr>
        <w:t>Rapport de cadrage pour une évaluation thématique des causes profondes de l</w:t>
      </w:r>
      <w:r w:rsidR="000344DA" w:rsidRPr="00DC45D0">
        <w:rPr>
          <w:noProof/>
          <w:lang w:val="fr-FR"/>
        </w:rPr>
        <w:t>’</w:t>
      </w:r>
      <w:r w:rsidRPr="00DC45D0">
        <w:rPr>
          <w:noProof/>
          <w:lang w:val="fr-FR"/>
        </w:rPr>
        <w:t>érosion de</w:t>
      </w:r>
      <w:r w:rsidR="000344DA" w:rsidRPr="00DC45D0">
        <w:rPr>
          <w:noProof/>
          <w:lang w:val="fr-FR"/>
        </w:rPr>
        <w:t> </w:t>
      </w:r>
      <w:r w:rsidRPr="00DC45D0">
        <w:rPr>
          <w:noProof/>
          <w:lang w:val="fr-FR"/>
        </w:rPr>
        <w:t>la biodiversité</w:t>
      </w:r>
      <w:r w:rsidR="003F3D70" w:rsidRPr="00DC45D0">
        <w:rPr>
          <w:noProof/>
          <w:lang w:val="fr-FR"/>
        </w:rPr>
        <w:t>,</w:t>
      </w:r>
      <w:r w:rsidRPr="00DC45D0">
        <w:rPr>
          <w:noProof/>
          <w:lang w:val="fr-FR"/>
        </w:rPr>
        <w:t xml:space="preserve"> des déterminants des changements transformateurs et </w:t>
      </w:r>
      <w:r w:rsidR="003F3D70" w:rsidRPr="00DC45D0">
        <w:rPr>
          <w:noProof/>
          <w:lang w:val="fr-FR"/>
        </w:rPr>
        <w:t>d</w:t>
      </w:r>
      <w:r w:rsidRPr="00DC45D0">
        <w:rPr>
          <w:noProof/>
          <w:lang w:val="fr-FR"/>
        </w:rPr>
        <w:t xml:space="preserve">es solutions pour réaliser la Vision 2050 pour la </w:t>
      </w:r>
      <w:r w:rsidR="003F3D70" w:rsidRPr="00DC45D0">
        <w:rPr>
          <w:noProof/>
          <w:lang w:val="fr-FR"/>
        </w:rPr>
        <w:t>bio</w:t>
      </w:r>
      <w:r w:rsidRPr="00DC45D0">
        <w:rPr>
          <w:noProof/>
          <w:lang w:val="fr-FR"/>
        </w:rPr>
        <w:t>diversité</w:t>
      </w:r>
      <w:r w:rsidR="00AB065B" w:rsidRPr="00DC45D0">
        <w:rPr>
          <w:noProof/>
          <w:lang w:val="fr-FR"/>
        </w:rPr>
        <w:t> ;</w:t>
      </w:r>
    </w:p>
    <w:p w14:paraId="733C2461" w14:textId="4679980F" w:rsidR="00FA1425" w:rsidRPr="00DC45D0" w:rsidRDefault="00FA1425" w:rsidP="000344DA">
      <w:pPr>
        <w:pStyle w:val="Normalnumber"/>
        <w:numPr>
          <w:ilvl w:val="1"/>
          <w:numId w:val="18"/>
        </w:numPr>
        <w:ind w:left="2381" w:hanging="567"/>
        <w:rPr>
          <w:noProof/>
          <w:lang w:val="fr-FR"/>
        </w:rPr>
      </w:pPr>
      <w:r w:rsidRPr="00DC45D0">
        <w:rPr>
          <w:noProof/>
          <w:lang w:val="fr-FR"/>
        </w:rPr>
        <w:t>Travaux concernant les liens d</w:t>
      </w:r>
      <w:r w:rsidR="000344DA" w:rsidRPr="00DC45D0">
        <w:rPr>
          <w:noProof/>
          <w:lang w:val="fr-FR"/>
        </w:rPr>
        <w:t>’</w:t>
      </w:r>
      <w:r w:rsidRPr="00DC45D0">
        <w:rPr>
          <w:noProof/>
          <w:lang w:val="fr-FR"/>
        </w:rPr>
        <w:t>interdépendance entre la biodiversité et les</w:t>
      </w:r>
      <w:r w:rsidR="00702812" w:rsidRPr="00DC45D0">
        <w:rPr>
          <w:noProof/>
          <w:lang w:val="fr-FR"/>
        </w:rPr>
        <w:t> </w:t>
      </w:r>
      <w:r w:rsidRPr="00DC45D0">
        <w:rPr>
          <w:noProof/>
          <w:lang w:val="fr-FR"/>
        </w:rPr>
        <w:t>changements climatiques et collaboration avec le Groupe d</w:t>
      </w:r>
      <w:r w:rsidR="000344DA" w:rsidRPr="00DC45D0">
        <w:rPr>
          <w:noProof/>
          <w:lang w:val="fr-FR"/>
        </w:rPr>
        <w:t>’</w:t>
      </w:r>
      <w:r w:rsidRPr="00DC45D0">
        <w:rPr>
          <w:noProof/>
          <w:lang w:val="fr-FR"/>
        </w:rPr>
        <w:t>experts intergouvernemental sur l</w:t>
      </w:r>
      <w:r w:rsidR="000344DA" w:rsidRPr="00DC45D0">
        <w:rPr>
          <w:noProof/>
          <w:lang w:val="fr-FR"/>
        </w:rPr>
        <w:t>’</w:t>
      </w:r>
      <w:r w:rsidRPr="00DC45D0">
        <w:rPr>
          <w:noProof/>
          <w:lang w:val="fr-FR"/>
        </w:rPr>
        <w:t>évolution du climat.</w:t>
      </w:r>
    </w:p>
    <w:p w14:paraId="654C8FCD" w14:textId="1E97124C" w:rsidR="00FA1425" w:rsidRPr="00DC45D0" w:rsidRDefault="00FA1425" w:rsidP="00CF174F">
      <w:pPr>
        <w:pStyle w:val="Normalnumber"/>
        <w:ind w:left="1814" w:hanging="567"/>
        <w:rPr>
          <w:noProof/>
          <w:lang w:val="fr-FR"/>
        </w:rPr>
      </w:pPr>
      <w:bookmarkStart w:id="1" w:name="_Hlk43833128"/>
      <w:r w:rsidRPr="00DC45D0">
        <w:rPr>
          <w:noProof/>
          <w:lang w:val="fr-FR"/>
        </w:rPr>
        <w:t>Renforcement des capacités, consolidation de la base de</w:t>
      </w:r>
      <w:r w:rsidR="003F3D70" w:rsidRPr="00DC45D0">
        <w:rPr>
          <w:noProof/>
          <w:lang w:val="fr-FR"/>
        </w:rPr>
        <w:t>s</w:t>
      </w:r>
      <w:r w:rsidRPr="00DC45D0">
        <w:rPr>
          <w:noProof/>
          <w:lang w:val="fr-FR"/>
        </w:rPr>
        <w:t xml:space="preserve"> connaissances et appui à l</w:t>
      </w:r>
      <w:r w:rsidR="000344DA" w:rsidRPr="00DC45D0">
        <w:rPr>
          <w:noProof/>
          <w:lang w:val="fr-FR"/>
        </w:rPr>
        <w:t>’</w:t>
      </w:r>
      <w:r w:rsidRPr="00DC45D0">
        <w:rPr>
          <w:noProof/>
          <w:lang w:val="fr-FR"/>
        </w:rPr>
        <w:t>élaboration des politiques.</w:t>
      </w:r>
      <w:bookmarkEnd w:id="1"/>
    </w:p>
    <w:p w14:paraId="4535A156" w14:textId="7ADA15DA" w:rsidR="00FA1425" w:rsidRPr="00DC45D0" w:rsidRDefault="00FA1425" w:rsidP="00CF174F">
      <w:pPr>
        <w:pStyle w:val="Normalnumber"/>
        <w:ind w:left="1814" w:hanging="567"/>
        <w:rPr>
          <w:noProof/>
          <w:lang w:val="fr-FR"/>
        </w:rPr>
      </w:pPr>
      <w:bookmarkStart w:id="2" w:name="_Hlk43832671"/>
      <w:bookmarkStart w:id="3" w:name="_Hlk34728895"/>
      <w:r w:rsidRPr="00DC45D0">
        <w:rPr>
          <w:noProof/>
          <w:lang w:val="fr-FR"/>
        </w:rPr>
        <w:t>Renforcement de l</w:t>
      </w:r>
      <w:r w:rsidR="000344DA" w:rsidRPr="00DC45D0">
        <w:rPr>
          <w:noProof/>
          <w:lang w:val="fr-FR"/>
        </w:rPr>
        <w:t>’</w:t>
      </w:r>
      <w:r w:rsidRPr="00DC45D0">
        <w:rPr>
          <w:noProof/>
          <w:lang w:val="fr-FR"/>
        </w:rPr>
        <w:t>efficacité de la Plateforme.</w:t>
      </w:r>
      <w:bookmarkEnd w:id="2"/>
      <w:bookmarkEnd w:id="3"/>
    </w:p>
    <w:p w14:paraId="357B2F5E" w14:textId="35E22766" w:rsidR="00FA1425" w:rsidRPr="00DC45D0" w:rsidRDefault="00FA1425" w:rsidP="00CF174F">
      <w:pPr>
        <w:pStyle w:val="Normalnumber"/>
        <w:ind w:left="1814" w:hanging="567"/>
        <w:rPr>
          <w:noProof/>
          <w:lang w:val="fr-FR"/>
        </w:rPr>
      </w:pPr>
      <w:r w:rsidRPr="00DC45D0">
        <w:rPr>
          <w:noProof/>
          <w:lang w:val="fr-FR"/>
        </w:rPr>
        <w:t>Organisation des travaux de la Plénière</w:t>
      </w:r>
      <w:r w:rsidR="00786B40" w:rsidRPr="00DC45D0">
        <w:rPr>
          <w:noProof/>
          <w:lang w:val="fr-FR"/>
        </w:rPr>
        <w:t xml:space="preserve"> et</w:t>
      </w:r>
      <w:r w:rsidRPr="00DC45D0">
        <w:rPr>
          <w:noProof/>
          <w:lang w:val="fr-FR"/>
        </w:rPr>
        <w:t xml:space="preserve"> date et lieu de ses futures sessions.</w:t>
      </w:r>
    </w:p>
    <w:p w14:paraId="51D4FBCB" w14:textId="0F5C6663" w:rsidR="00FA1425" w:rsidRPr="00DC45D0" w:rsidRDefault="00FA1425" w:rsidP="00CF174F">
      <w:pPr>
        <w:pStyle w:val="Normalnumber"/>
        <w:ind w:left="1814" w:hanging="567"/>
        <w:rPr>
          <w:noProof/>
          <w:lang w:val="fr-FR"/>
        </w:rPr>
      </w:pPr>
      <w:r w:rsidRPr="00DC45D0">
        <w:rPr>
          <w:noProof/>
          <w:lang w:val="fr-FR"/>
        </w:rPr>
        <w:t>Dispo</w:t>
      </w:r>
      <w:bookmarkStart w:id="4" w:name="_GoBack"/>
      <w:bookmarkEnd w:id="4"/>
      <w:r w:rsidRPr="00DC45D0">
        <w:rPr>
          <w:noProof/>
          <w:lang w:val="fr-FR"/>
        </w:rPr>
        <w:t>sitions institutionnelles</w:t>
      </w:r>
      <w:r w:rsidR="00AB065B" w:rsidRPr="00DC45D0">
        <w:rPr>
          <w:noProof/>
          <w:lang w:val="fr-FR"/>
        </w:rPr>
        <w:t> :</w:t>
      </w:r>
      <w:r w:rsidRPr="00DC45D0">
        <w:rPr>
          <w:noProof/>
          <w:lang w:val="fr-FR"/>
        </w:rPr>
        <w:t xml:space="preserve"> dispositions concernant les partenariats de collaboration des Nations Unies pour les travaux de la Plateforme et de son secrétariat.</w:t>
      </w:r>
    </w:p>
    <w:p w14:paraId="72CC81FF" w14:textId="43017A11" w:rsidR="00FA1425" w:rsidRPr="00DC45D0" w:rsidRDefault="00FA1425" w:rsidP="00CF174F">
      <w:pPr>
        <w:pStyle w:val="Normalnumber"/>
        <w:ind w:left="1814" w:hanging="567"/>
        <w:rPr>
          <w:noProof/>
          <w:lang w:val="fr-FR"/>
        </w:rPr>
      </w:pPr>
      <w:r w:rsidRPr="00DC45D0">
        <w:rPr>
          <w:noProof/>
          <w:lang w:val="fr-FR"/>
        </w:rPr>
        <w:t>Adoption des décisions et du rapport de la session.</w:t>
      </w:r>
    </w:p>
    <w:p w14:paraId="4A5CE543" w14:textId="3648733D" w:rsidR="00516CB1" w:rsidRPr="00DC45D0" w:rsidRDefault="00FA1425" w:rsidP="00CF174F">
      <w:pPr>
        <w:pStyle w:val="Normalnumber"/>
        <w:ind w:left="1814" w:hanging="567"/>
        <w:rPr>
          <w:noProof/>
          <w:lang w:val="fr-FR"/>
        </w:rPr>
      </w:pPr>
      <w:r w:rsidRPr="00DC45D0">
        <w:rPr>
          <w:noProof/>
          <w:lang w:val="fr-FR"/>
        </w:rPr>
        <w:t>Clôture de la session.</w:t>
      </w:r>
    </w:p>
    <w:bookmarkEnd w:id="0"/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FA1425" w:rsidRPr="00DC45D0" w14:paraId="720C33DA" w14:textId="77777777" w:rsidTr="007723EF">
        <w:tc>
          <w:tcPr>
            <w:tcW w:w="1897" w:type="dxa"/>
          </w:tcPr>
          <w:p w14:paraId="6F94DF26" w14:textId="77777777" w:rsidR="00FA1425" w:rsidRPr="00DC45D0" w:rsidRDefault="00FA1425" w:rsidP="001C3C2B">
            <w:pPr>
              <w:pStyle w:val="Normal-pool"/>
              <w:spacing w:before="0" w:after="0"/>
              <w:rPr>
                <w:noProof/>
                <w:lang w:val="fr-FR"/>
              </w:rPr>
            </w:pPr>
          </w:p>
        </w:tc>
        <w:tc>
          <w:tcPr>
            <w:tcW w:w="1897" w:type="dxa"/>
          </w:tcPr>
          <w:p w14:paraId="3D41A6B2" w14:textId="77777777" w:rsidR="00FA1425" w:rsidRPr="00DC45D0" w:rsidRDefault="00FA1425" w:rsidP="001C3C2B">
            <w:pPr>
              <w:pStyle w:val="Normal-pool"/>
              <w:spacing w:before="0" w:after="0"/>
              <w:rPr>
                <w:noProof/>
                <w:lang w:val="fr-FR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1AA4D81A" w14:textId="77777777" w:rsidR="00FA1425" w:rsidRPr="00DC45D0" w:rsidRDefault="00FA1425" w:rsidP="001C3C2B">
            <w:pPr>
              <w:pStyle w:val="Normal-pool"/>
              <w:spacing w:before="0" w:after="0"/>
              <w:rPr>
                <w:noProof/>
                <w:lang w:val="fr-FR"/>
              </w:rPr>
            </w:pPr>
          </w:p>
        </w:tc>
        <w:tc>
          <w:tcPr>
            <w:tcW w:w="1897" w:type="dxa"/>
          </w:tcPr>
          <w:p w14:paraId="41032454" w14:textId="77777777" w:rsidR="00FA1425" w:rsidRPr="00DC45D0" w:rsidRDefault="00FA1425" w:rsidP="001C3C2B">
            <w:pPr>
              <w:pStyle w:val="Normal-pool"/>
              <w:spacing w:before="0" w:after="0"/>
              <w:rPr>
                <w:noProof/>
                <w:lang w:val="fr-FR"/>
              </w:rPr>
            </w:pPr>
          </w:p>
        </w:tc>
        <w:tc>
          <w:tcPr>
            <w:tcW w:w="1898" w:type="dxa"/>
          </w:tcPr>
          <w:p w14:paraId="30957DE9" w14:textId="77777777" w:rsidR="00FA1425" w:rsidRPr="00DC45D0" w:rsidRDefault="00FA1425" w:rsidP="001C3C2B">
            <w:pPr>
              <w:pStyle w:val="Normal-pool"/>
              <w:spacing w:before="0" w:after="0"/>
              <w:rPr>
                <w:noProof/>
                <w:lang w:val="fr-FR"/>
              </w:rPr>
            </w:pPr>
          </w:p>
        </w:tc>
      </w:tr>
    </w:tbl>
    <w:p w14:paraId="0B6AD03E" w14:textId="77777777" w:rsidR="00985ADF" w:rsidRPr="00DC45D0" w:rsidRDefault="00985ADF" w:rsidP="001C3C2B">
      <w:pPr>
        <w:pStyle w:val="Normal-pool"/>
        <w:rPr>
          <w:noProof/>
          <w:sz w:val="2"/>
          <w:szCs w:val="2"/>
          <w:lang w:val="fr-FR"/>
        </w:rPr>
      </w:pPr>
    </w:p>
    <w:sectPr w:rsidR="00985ADF" w:rsidRPr="00DC45D0" w:rsidSect="00CF174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6247" w14:textId="77777777" w:rsidR="00BD26D1" w:rsidRDefault="00BD26D1">
      <w:r>
        <w:separator/>
      </w:r>
    </w:p>
  </w:endnote>
  <w:endnote w:type="continuationSeparator" w:id="0">
    <w:p w14:paraId="7B706815" w14:textId="77777777" w:rsidR="00BD26D1" w:rsidRDefault="00BD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A3D9" w14:textId="7C4EF9E5" w:rsidR="007723EF" w:rsidRPr="003B1F39" w:rsidRDefault="007723EF" w:rsidP="003B1F39">
    <w:pPr>
      <w:pStyle w:val="Footer-pool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3B1F39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5BDE" w14:textId="2FA1C871" w:rsidR="007723EF" w:rsidRPr="003B1F39" w:rsidRDefault="007723EF" w:rsidP="003B1F39">
    <w:pPr>
      <w:pStyle w:val="Footer-pool"/>
      <w:jc w:val="right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3B1F39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F3B3" w14:textId="51F59E94" w:rsidR="007723EF" w:rsidRPr="008C00D6" w:rsidRDefault="007723EF" w:rsidP="00B42549">
    <w:pPr>
      <w:pStyle w:val="Normal-pool"/>
    </w:pPr>
    <w:r>
      <w:t>K200</w:t>
    </w:r>
    <w:r w:rsidR="00452367">
      <w:t>2374</w:t>
    </w:r>
    <w:r>
      <w:tab/>
    </w:r>
    <w:r w:rsidR="00452367">
      <w:t>1</w:t>
    </w:r>
    <w:r w:rsidR="001C3C2B">
      <w:t>2</w:t>
    </w:r>
    <w:r w:rsidR="00452367">
      <w:t>1120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4144" w14:textId="77777777" w:rsidR="00BD26D1" w:rsidRDefault="00BD26D1" w:rsidP="00D92DE0">
      <w:pPr>
        <w:ind w:left="624"/>
      </w:pPr>
      <w:r>
        <w:separator/>
      </w:r>
    </w:p>
  </w:footnote>
  <w:footnote w:type="continuationSeparator" w:id="0">
    <w:p w14:paraId="029EF70C" w14:textId="77777777" w:rsidR="00BD26D1" w:rsidRDefault="00BD26D1">
      <w:r>
        <w:continuationSeparator/>
      </w:r>
    </w:p>
  </w:footnote>
  <w:footnote w:id="1">
    <w:p w14:paraId="535E8268" w14:textId="68B74AF8" w:rsidR="001C3C2B" w:rsidRPr="001C3C2B" w:rsidRDefault="001C3C2B">
      <w:pPr>
        <w:pStyle w:val="FootnoteText"/>
        <w:rPr>
          <w:lang w:val="fr-FR"/>
        </w:rPr>
      </w:pPr>
      <w:r w:rsidRPr="001C3C2B">
        <w:rPr>
          <w:rStyle w:val="FootnoteReference"/>
          <w:vertAlign w:val="baseline"/>
        </w:rPr>
        <w:t>*</w:t>
      </w:r>
      <w:r w:rsidRPr="001C3C2B">
        <w:t xml:space="preserve"> </w:t>
      </w:r>
      <w:r>
        <w:t>Nouveau tirage pour raisons techniques le 11 novembre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2678" w14:textId="7D82C78F" w:rsidR="007723EF" w:rsidRPr="008C00D6" w:rsidRDefault="00BD26D1" w:rsidP="003B1F39">
    <w:pPr>
      <w:pStyle w:val="Header-pool"/>
    </w:pPr>
    <w:r>
      <w:rPr>
        <w:noProof/>
      </w:rPr>
      <w:pict w14:anchorId="40F7CD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1485" o:spid="_x0000_s2050" type="#_x0000_t136" style="position:absolute;margin-left:0;margin-top:0;width:520.65pt;height:148.7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7723EF" w:rsidRPr="00447AB9">
      <w:t>IPBES/</w:t>
    </w:r>
    <w:r w:rsidR="007723EF">
      <w:t>8/1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82A5" w14:textId="02B47F95" w:rsidR="007723EF" w:rsidRPr="008C00D6" w:rsidRDefault="00BD26D1" w:rsidP="003B1F39">
    <w:pPr>
      <w:pStyle w:val="Header-pool"/>
      <w:jc w:val="right"/>
    </w:pPr>
    <w:r>
      <w:rPr>
        <w:noProof/>
      </w:rPr>
      <w:pict w14:anchorId="1F00F4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1486" o:spid="_x0000_s2051" type="#_x0000_t136" style="position:absolute;left:0;text-align:left;margin-left:0;margin-top:0;width:520.65pt;height:148.7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7723EF">
      <w:t>IPBES/7/</w:t>
    </w:r>
    <w:r w:rsidR="007723EF" w:rsidRPr="006B503A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7BBA" w14:textId="2DE65489" w:rsidR="00516CB1" w:rsidRDefault="00516CB1" w:rsidP="00516CB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3E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2073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E5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DE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4A7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20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6E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0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22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62291BF8"/>
    <w:multiLevelType w:val="multilevel"/>
    <w:tmpl w:val="F4ACF36E"/>
    <w:numStyleLink w:val="Normallist"/>
  </w:abstractNum>
  <w:num w:numId="1">
    <w:abstractNumId w:val="10"/>
  </w:num>
  <w:num w:numId="2">
    <w:abstractNumId w:val="11"/>
  </w:num>
  <w:num w:numId="3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ascii="Times New Roman" w:eastAsia="Times New Roman" w:hAnsi="Times New Roman" w:cs="Times New Roman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5A"/>
    <w:rsid w:val="00010869"/>
    <w:rsid w:val="000149E6"/>
    <w:rsid w:val="000247B0"/>
    <w:rsid w:val="00024C14"/>
    <w:rsid w:val="00026997"/>
    <w:rsid w:val="00026B81"/>
    <w:rsid w:val="00033C5F"/>
    <w:rsid w:val="00033E0B"/>
    <w:rsid w:val="000344DA"/>
    <w:rsid w:val="00035EDE"/>
    <w:rsid w:val="0004026E"/>
    <w:rsid w:val="00044E5A"/>
    <w:rsid w:val="0004540A"/>
    <w:rsid w:val="000509B4"/>
    <w:rsid w:val="0006035B"/>
    <w:rsid w:val="00061444"/>
    <w:rsid w:val="00061E92"/>
    <w:rsid w:val="0006430A"/>
    <w:rsid w:val="00064663"/>
    <w:rsid w:val="0006569F"/>
    <w:rsid w:val="00071886"/>
    <w:rsid w:val="000742BC"/>
    <w:rsid w:val="00082A0C"/>
    <w:rsid w:val="00083504"/>
    <w:rsid w:val="000904EF"/>
    <w:rsid w:val="0009640C"/>
    <w:rsid w:val="000B22A2"/>
    <w:rsid w:val="000C0390"/>
    <w:rsid w:val="000C0EB0"/>
    <w:rsid w:val="000C2A52"/>
    <w:rsid w:val="000D33C0"/>
    <w:rsid w:val="000D6941"/>
    <w:rsid w:val="000F6B5C"/>
    <w:rsid w:val="001202E3"/>
    <w:rsid w:val="00123699"/>
    <w:rsid w:val="0012758E"/>
    <w:rsid w:val="0013059D"/>
    <w:rsid w:val="001408E0"/>
    <w:rsid w:val="00141A55"/>
    <w:rsid w:val="001446A3"/>
    <w:rsid w:val="00155395"/>
    <w:rsid w:val="00160D74"/>
    <w:rsid w:val="00167D02"/>
    <w:rsid w:val="001717B7"/>
    <w:rsid w:val="00181EC8"/>
    <w:rsid w:val="00184349"/>
    <w:rsid w:val="00195F33"/>
    <w:rsid w:val="001A5EAA"/>
    <w:rsid w:val="001B1617"/>
    <w:rsid w:val="001B504B"/>
    <w:rsid w:val="001B68AD"/>
    <w:rsid w:val="001B6CA5"/>
    <w:rsid w:val="001C3C2B"/>
    <w:rsid w:val="001D3874"/>
    <w:rsid w:val="001D7E75"/>
    <w:rsid w:val="001E56D2"/>
    <w:rsid w:val="001E7D56"/>
    <w:rsid w:val="001F75DE"/>
    <w:rsid w:val="00200D58"/>
    <w:rsid w:val="002013BE"/>
    <w:rsid w:val="00203460"/>
    <w:rsid w:val="00204A3C"/>
    <w:rsid w:val="002063A4"/>
    <w:rsid w:val="0021145B"/>
    <w:rsid w:val="00213A77"/>
    <w:rsid w:val="00221185"/>
    <w:rsid w:val="00235EFF"/>
    <w:rsid w:val="00243D36"/>
    <w:rsid w:val="00247707"/>
    <w:rsid w:val="002512CA"/>
    <w:rsid w:val="00254646"/>
    <w:rsid w:val="0026018E"/>
    <w:rsid w:val="002707B3"/>
    <w:rsid w:val="00270D89"/>
    <w:rsid w:val="00285344"/>
    <w:rsid w:val="00286740"/>
    <w:rsid w:val="002929D8"/>
    <w:rsid w:val="002A237D"/>
    <w:rsid w:val="002A47F2"/>
    <w:rsid w:val="002A4C53"/>
    <w:rsid w:val="002B0672"/>
    <w:rsid w:val="002B247F"/>
    <w:rsid w:val="002B4CD6"/>
    <w:rsid w:val="002C145D"/>
    <w:rsid w:val="002C2C3E"/>
    <w:rsid w:val="002C533E"/>
    <w:rsid w:val="002D027F"/>
    <w:rsid w:val="002D7A85"/>
    <w:rsid w:val="002D7B60"/>
    <w:rsid w:val="002E0036"/>
    <w:rsid w:val="002F4761"/>
    <w:rsid w:val="002F5C79"/>
    <w:rsid w:val="003019E2"/>
    <w:rsid w:val="003065E6"/>
    <w:rsid w:val="0031413F"/>
    <w:rsid w:val="003148BB"/>
    <w:rsid w:val="00317976"/>
    <w:rsid w:val="00340D1E"/>
    <w:rsid w:val="00351B05"/>
    <w:rsid w:val="00355EA9"/>
    <w:rsid w:val="003578DE"/>
    <w:rsid w:val="00385868"/>
    <w:rsid w:val="00396257"/>
    <w:rsid w:val="00397EB8"/>
    <w:rsid w:val="003A4FD0"/>
    <w:rsid w:val="003A69D1"/>
    <w:rsid w:val="003A7705"/>
    <w:rsid w:val="003A77F1"/>
    <w:rsid w:val="003B1545"/>
    <w:rsid w:val="003B1F39"/>
    <w:rsid w:val="003C09F2"/>
    <w:rsid w:val="003C409D"/>
    <w:rsid w:val="003C5BA6"/>
    <w:rsid w:val="003C5DDC"/>
    <w:rsid w:val="003D50CB"/>
    <w:rsid w:val="003F0E85"/>
    <w:rsid w:val="003F1D30"/>
    <w:rsid w:val="003F3D70"/>
    <w:rsid w:val="003F7440"/>
    <w:rsid w:val="0041081A"/>
    <w:rsid w:val="00410C55"/>
    <w:rsid w:val="00416854"/>
    <w:rsid w:val="00417725"/>
    <w:rsid w:val="00430D5E"/>
    <w:rsid w:val="004326FD"/>
    <w:rsid w:val="00437F26"/>
    <w:rsid w:val="004404F2"/>
    <w:rsid w:val="00444097"/>
    <w:rsid w:val="00445487"/>
    <w:rsid w:val="004456DC"/>
    <w:rsid w:val="00447AB9"/>
    <w:rsid w:val="004501AD"/>
    <w:rsid w:val="00452367"/>
    <w:rsid w:val="00454769"/>
    <w:rsid w:val="00455480"/>
    <w:rsid w:val="0045563A"/>
    <w:rsid w:val="004618B7"/>
    <w:rsid w:val="00466991"/>
    <w:rsid w:val="0047064C"/>
    <w:rsid w:val="0049000A"/>
    <w:rsid w:val="004A42E1"/>
    <w:rsid w:val="004B162C"/>
    <w:rsid w:val="004C3DBE"/>
    <w:rsid w:val="004C5C96"/>
    <w:rsid w:val="004D06A4"/>
    <w:rsid w:val="004E643C"/>
    <w:rsid w:val="004F1A81"/>
    <w:rsid w:val="0050281F"/>
    <w:rsid w:val="00515CA0"/>
    <w:rsid w:val="00516CB1"/>
    <w:rsid w:val="00517861"/>
    <w:rsid w:val="005218D9"/>
    <w:rsid w:val="00533551"/>
    <w:rsid w:val="00536186"/>
    <w:rsid w:val="00544CBB"/>
    <w:rsid w:val="005573A1"/>
    <w:rsid w:val="00563378"/>
    <w:rsid w:val="00564FF3"/>
    <w:rsid w:val="0057315F"/>
    <w:rsid w:val="005754A9"/>
    <w:rsid w:val="00576104"/>
    <w:rsid w:val="00584E15"/>
    <w:rsid w:val="005B0EAA"/>
    <w:rsid w:val="005B3E2A"/>
    <w:rsid w:val="005C67C8"/>
    <w:rsid w:val="005D0249"/>
    <w:rsid w:val="005D3D25"/>
    <w:rsid w:val="005D6E8C"/>
    <w:rsid w:val="005F100C"/>
    <w:rsid w:val="005F322A"/>
    <w:rsid w:val="005F68DA"/>
    <w:rsid w:val="00606059"/>
    <w:rsid w:val="0060773B"/>
    <w:rsid w:val="006157B5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5A4B"/>
    <w:rsid w:val="006820D1"/>
    <w:rsid w:val="006909C2"/>
    <w:rsid w:val="00692E2A"/>
    <w:rsid w:val="006A76F2"/>
    <w:rsid w:val="006B0E1A"/>
    <w:rsid w:val="006B503A"/>
    <w:rsid w:val="006D7EFB"/>
    <w:rsid w:val="006E6672"/>
    <w:rsid w:val="006E6722"/>
    <w:rsid w:val="007027B9"/>
    <w:rsid w:val="00702812"/>
    <w:rsid w:val="00714E08"/>
    <w:rsid w:val="00715E88"/>
    <w:rsid w:val="0071625A"/>
    <w:rsid w:val="0071781E"/>
    <w:rsid w:val="007264FB"/>
    <w:rsid w:val="00730BCF"/>
    <w:rsid w:val="00734CAA"/>
    <w:rsid w:val="0075533C"/>
    <w:rsid w:val="00757581"/>
    <w:rsid w:val="007611A0"/>
    <w:rsid w:val="007723EF"/>
    <w:rsid w:val="00786B40"/>
    <w:rsid w:val="00790D92"/>
    <w:rsid w:val="0079136A"/>
    <w:rsid w:val="00796D3F"/>
    <w:rsid w:val="007A1683"/>
    <w:rsid w:val="007A5C12"/>
    <w:rsid w:val="007A7CB0"/>
    <w:rsid w:val="007B68A3"/>
    <w:rsid w:val="007C2541"/>
    <w:rsid w:val="007C7F7C"/>
    <w:rsid w:val="007D66A8"/>
    <w:rsid w:val="007D7AC3"/>
    <w:rsid w:val="007E003F"/>
    <w:rsid w:val="007E2B3C"/>
    <w:rsid w:val="007F3540"/>
    <w:rsid w:val="007F6126"/>
    <w:rsid w:val="008034CE"/>
    <w:rsid w:val="00805F75"/>
    <w:rsid w:val="00815B30"/>
    <w:rsid w:val="008164F2"/>
    <w:rsid w:val="00821395"/>
    <w:rsid w:val="00830E26"/>
    <w:rsid w:val="00843576"/>
    <w:rsid w:val="00843B64"/>
    <w:rsid w:val="00844743"/>
    <w:rsid w:val="008478FC"/>
    <w:rsid w:val="00867BFF"/>
    <w:rsid w:val="008829D3"/>
    <w:rsid w:val="0088480A"/>
    <w:rsid w:val="00885449"/>
    <w:rsid w:val="0088677E"/>
    <w:rsid w:val="0088757A"/>
    <w:rsid w:val="008957DD"/>
    <w:rsid w:val="00897D98"/>
    <w:rsid w:val="00897F84"/>
    <w:rsid w:val="008A1232"/>
    <w:rsid w:val="008A6DF2"/>
    <w:rsid w:val="008A7807"/>
    <w:rsid w:val="008B4CC9"/>
    <w:rsid w:val="008B63EF"/>
    <w:rsid w:val="008C00D6"/>
    <w:rsid w:val="008C73DF"/>
    <w:rsid w:val="008C75F3"/>
    <w:rsid w:val="008D7C99"/>
    <w:rsid w:val="008E0FCB"/>
    <w:rsid w:val="008F32BF"/>
    <w:rsid w:val="009116E4"/>
    <w:rsid w:val="0091675B"/>
    <w:rsid w:val="0092178C"/>
    <w:rsid w:val="00930B88"/>
    <w:rsid w:val="009354D1"/>
    <w:rsid w:val="009379B9"/>
    <w:rsid w:val="00940DCC"/>
    <w:rsid w:val="0094179A"/>
    <w:rsid w:val="0094459E"/>
    <w:rsid w:val="00944DBC"/>
    <w:rsid w:val="0094617E"/>
    <w:rsid w:val="00950977"/>
    <w:rsid w:val="00951A7B"/>
    <w:rsid w:val="009527C6"/>
    <w:rsid w:val="00952CB6"/>
    <w:rsid w:val="009564A6"/>
    <w:rsid w:val="00967621"/>
    <w:rsid w:val="00967E6A"/>
    <w:rsid w:val="00984A20"/>
    <w:rsid w:val="00985ADF"/>
    <w:rsid w:val="00996702"/>
    <w:rsid w:val="009A1772"/>
    <w:rsid w:val="009B4A0F"/>
    <w:rsid w:val="009C11D2"/>
    <w:rsid w:val="009C1575"/>
    <w:rsid w:val="009C6C70"/>
    <w:rsid w:val="009D0B63"/>
    <w:rsid w:val="009E307E"/>
    <w:rsid w:val="009E78C3"/>
    <w:rsid w:val="00A07870"/>
    <w:rsid w:val="00A07F19"/>
    <w:rsid w:val="00A1348D"/>
    <w:rsid w:val="00A22C0F"/>
    <w:rsid w:val="00A232EE"/>
    <w:rsid w:val="00A27C49"/>
    <w:rsid w:val="00A35431"/>
    <w:rsid w:val="00A4175F"/>
    <w:rsid w:val="00A44411"/>
    <w:rsid w:val="00A469FA"/>
    <w:rsid w:val="00A50CF4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A0C30"/>
    <w:rsid w:val="00AB065B"/>
    <w:rsid w:val="00AB5340"/>
    <w:rsid w:val="00AC0A89"/>
    <w:rsid w:val="00AC7C96"/>
    <w:rsid w:val="00AE237D"/>
    <w:rsid w:val="00AE502A"/>
    <w:rsid w:val="00AF0CC1"/>
    <w:rsid w:val="00AF7C07"/>
    <w:rsid w:val="00B22C93"/>
    <w:rsid w:val="00B26D38"/>
    <w:rsid w:val="00B27589"/>
    <w:rsid w:val="00B309BA"/>
    <w:rsid w:val="00B405B7"/>
    <w:rsid w:val="00B420CD"/>
    <w:rsid w:val="00B42549"/>
    <w:rsid w:val="00B52222"/>
    <w:rsid w:val="00B54FE7"/>
    <w:rsid w:val="00B6579D"/>
    <w:rsid w:val="00B66901"/>
    <w:rsid w:val="00B71E6D"/>
    <w:rsid w:val="00B72070"/>
    <w:rsid w:val="00B75656"/>
    <w:rsid w:val="00B7737B"/>
    <w:rsid w:val="00B779E1"/>
    <w:rsid w:val="00B91EE1"/>
    <w:rsid w:val="00B94EF4"/>
    <w:rsid w:val="00BA0090"/>
    <w:rsid w:val="00BA1A67"/>
    <w:rsid w:val="00BA7797"/>
    <w:rsid w:val="00BD26D1"/>
    <w:rsid w:val="00BE5B5F"/>
    <w:rsid w:val="00C03545"/>
    <w:rsid w:val="00C12766"/>
    <w:rsid w:val="00C26F55"/>
    <w:rsid w:val="00C30C63"/>
    <w:rsid w:val="00C36B8B"/>
    <w:rsid w:val="00C36ED7"/>
    <w:rsid w:val="00C415C1"/>
    <w:rsid w:val="00C47DBF"/>
    <w:rsid w:val="00C508D8"/>
    <w:rsid w:val="00C552FF"/>
    <w:rsid w:val="00C558DA"/>
    <w:rsid w:val="00C55AF3"/>
    <w:rsid w:val="00C70845"/>
    <w:rsid w:val="00C7511B"/>
    <w:rsid w:val="00C81673"/>
    <w:rsid w:val="00C84759"/>
    <w:rsid w:val="00C96840"/>
    <w:rsid w:val="00CA6C7F"/>
    <w:rsid w:val="00CC10A6"/>
    <w:rsid w:val="00CC1FD3"/>
    <w:rsid w:val="00CC20CF"/>
    <w:rsid w:val="00CD5EB8"/>
    <w:rsid w:val="00CD7044"/>
    <w:rsid w:val="00CE08B9"/>
    <w:rsid w:val="00CE524C"/>
    <w:rsid w:val="00CF1114"/>
    <w:rsid w:val="00CF141F"/>
    <w:rsid w:val="00CF1697"/>
    <w:rsid w:val="00CF174F"/>
    <w:rsid w:val="00CF4777"/>
    <w:rsid w:val="00D067BB"/>
    <w:rsid w:val="00D110AC"/>
    <w:rsid w:val="00D1352A"/>
    <w:rsid w:val="00D169AF"/>
    <w:rsid w:val="00D25249"/>
    <w:rsid w:val="00D33031"/>
    <w:rsid w:val="00D33D5C"/>
    <w:rsid w:val="00D44172"/>
    <w:rsid w:val="00D62DAC"/>
    <w:rsid w:val="00D63B8C"/>
    <w:rsid w:val="00D739CC"/>
    <w:rsid w:val="00D77051"/>
    <w:rsid w:val="00D8093D"/>
    <w:rsid w:val="00D8108C"/>
    <w:rsid w:val="00D83988"/>
    <w:rsid w:val="00D842AE"/>
    <w:rsid w:val="00D87566"/>
    <w:rsid w:val="00D9211C"/>
    <w:rsid w:val="00D92DE0"/>
    <w:rsid w:val="00D92FEF"/>
    <w:rsid w:val="00D93A0F"/>
    <w:rsid w:val="00DA1BCA"/>
    <w:rsid w:val="00DA7476"/>
    <w:rsid w:val="00DB6909"/>
    <w:rsid w:val="00DC03C2"/>
    <w:rsid w:val="00DC237D"/>
    <w:rsid w:val="00DC45C7"/>
    <w:rsid w:val="00DC45D0"/>
    <w:rsid w:val="00DC46FF"/>
    <w:rsid w:val="00DC5254"/>
    <w:rsid w:val="00DD1A4F"/>
    <w:rsid w:val="00DD2838"/>
    <w:rsid w:val="00DD3107"/>
    <w:rsid w:val="00DD7C2C"/>
    <w:rsid w:val="00DE6F86"/>
    <w:rsid w:val="00DF05AB"/>
    <w:rsid w:val="00E0342F"/>
    <w:rsid w:val="00E03D71"/>
    <w:rsid w:val="00E06797"/>
    <w:rsid w:val="00E1265B"/>
    <w:rsid w:val="00E13B48"/>
    <w:rsid w:val="00E1404F"/>
    <w:rsid w:val="00E21C83"/>
    <w:rsid w:val="00E23FEE"/>
    <w:rsid w:val="00E2437D"/>
    <w:rsid w:val="00E24ADA"/>
    <w:rsid w:val="00E256AA"/>
    <w:rsid w:val="00E32F59"/>
    <w:rsid w:val="00E33E3F"/>
    <w:rsid w:val="00E420FF"/>
    <w:rsid w:val="00E44A5A"/>
    <w:rsid w:val="00E46D9A"/>
    <w:rsid w:val="00E534B0"/>
    <w:rsid w:val="00E565FF"/>
    <w:rsid w:val="00E65388"/>
    <w:rsid w:val="00E83AFD"/>
    <w:rsid w:val="00E85B7D"/>
    <w:rsid w:val="00E86D9D"/>
    <w:rsid w:val="00E9121B"/>
    <w:rsid w:val="00EA0AE2"/>
    <w:rsid w:val="00EA39E5"/>
    <w:rsid w:val="00EA5E72"/>
    <w:rsid w:val="00EB563C"/>
    <w:rsid w:val="00EC5A46"/>
    <w:rsid w:val="00EC63E2"/>
    <w:rsid w:val="00ED3444"/>
    <w:rsid w:val="00ED3E5B"/>
    <w:rsid w:val="00EE5642"/>
    <w:rsid w:val="00EE6636"/>
    <w:rsid w:val="00EE7A32"/>
    <w:rsid w:val="00EF0585"/>
    <w:rsid w:val="00EF1239"/>
    <w:rsid w:val="00EF22B3"/>
    <w:rsid w:val="00F02B81"/>
    <w:rsid w:val="00F03B69"/>
    <w:rsid w:val="00F07A50"/>
    <w:rsid w:val="00F113DA"/>
    <w:rsid w:val="00F21C7C"/>
    <w:rsid w:val="00F24AB6"/>
    <w:rsid w:val="00F37DC8"/>
    <w:rsid w:val="00F439B3"/>
    <w:rsid w:val="00F55490"/>
    <w:rsid w:val="00F558F1"/>
    <w:rsid w:val="00F650C3"/>
    <w:rsid w:val="00F65D85"/>
    <w:rsid w:val="00F8091E"/>
    <w:rsid w:val="00F8615C"/>
    <w:rsid w:val="00F92F15"/>
    <w:rsid w:val="00F94214"/>
    <w:rsid w:val="00F969E5"/>
    <w:rsid w:val="00FA1425"/>
    <w:rsid w:val="00FA3208"/>
    <w:rsid w:val="00FA5BA4"/>
    <w:rsid w:val="00FA6BB0"/>
    <w:rsid w:val="00FD47B7"/>
    <w:rsid w:val="00FD5860"/>
    <w:rsid w:val="00FE352D"/>
    <w:rsid w:val="00FE40EB"/>
    <w:rsid w:val="00FE4D02"/>
    <w:rsid w:val="00FE7D62"/>
    <w:rsid w:val="00FF3819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A5B5922"/>
  <w15:docId w15:val="{5BC191C4-009D-4D8E-A368-CFB18975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74F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CF174F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CF174F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CF174F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CF174F"/>
    <w:pPr>
      <w:keepNext/>
      <w:outlineLvl w:val="3"/>
    </w:pPr>
  </w:style>
  <w:style w:type="paragraph" w:styleId="Heading5">
    <w:name w:val="heading 5"/>
    <w:basedOn w:val="Normal"/>
    <w:next w:val="Normal"/>
    <w:qFormat/>
    <w:rsid w:val="00CF174F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CF174F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CF174F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CF174F"/>
    <w:pPr>
      <w:keepNext/>
      <w:widowControl w:val="0"/>
      <w:numPr>
        <w:numId w:val="15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CF174F"/>
    <w:pPr>
      <w:keepNext/>
      <w:widowControl w:val="0"/>
      <w:numPr>
        <w:numId w:val="16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CF174F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CF174F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CF174F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F174F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F174F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F174F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CF174F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CF174F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CF174F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CF174F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CF174F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CF174F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CF174F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CF174F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CF174F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CF174F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CF174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CF174F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CF174F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CF174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character" w:styleId="FootnoteReference">
    <w:name w:val="footnote reference"/>
    <w:semiHidden/>
    <w:rsid w:val="00CF174F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CF174F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CF174F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CF174F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CF174F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CF174F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CF174F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CF174F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CF174F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CF174F"/>
    <w:pPr>
      <w:numPr>
        <w:numId w:val="14"/>
      </w:numPr>
    </w:pPr>
  </w:style>
  <w:style w:type="paragraph" w:customStyle="1" w:styleId="NormalNonumber">
    <w:name w:val="Normal_No_number"/>
    <w:basedOn w:val="Normalpool"/>
    <w:rsid w:val="00CF174F"/>
    <w:pPr>
      <w:spacing w:after="120"/>
      <w:ind w:left="1247"/>
    </w:pPr>
  </w:style>
  <w:style w:type="paragraph" w:customStyle="1" w:styleId="Normalnumber">
    <w:name w:val="Normal_number"/>
    <w:basedOn w:val="Normalpool"/>
    <w:rsid w:val="00CF174F"/>
    <w:pPr>
      <w:numPr>
        <w:numId w:val="18"/>
      </w:numPr>
      <w:spacing w:after="120"/>
    </w:pPr>
  </w:style>
  <w:style w:type="paragraph" w:customStyle="1" w:styleId="Titletable">
    <w:name w:val="Title_table"/>
    <w:basedOn w:val="Normalpool"/>
    <w:rsid w:val="00CF174F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CF174F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CF174F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5">
    <w:name w:val="toc 5"/>
    <w:basedOn w:val="Normal"/>
    <w:next w:val="Normal"/>
    <w:autoRedefine/>
    <w:semiHidden/>
    <w:rsid w:val="00CF174F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CF174F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CF174F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1B6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CA5"/>
    <w:rPr>
      <w:rFonts w:ascii="Segoe UI" w:eastAsia="MS Mincho" w:hAnsi="Segoe UI" w:cs="Segoe UI"/>
      <w:sz w:val="18"/>
      <w:szCs w:val="18"/>
    </w:rPr>
  </w:style>
  <w:style w:type="character" w:customStyle="1" w:styleId="Normal-poolChar">
    <w:name w:val="Normal-pool Char"/>
    <w:link w:val="Normal-pool"/>
    <w:rsid w:val="0012758E"/>
    <w:rPr>
      <w:lang w:val="fr-CA"/>
    </w:rPr>
  </w:style>
  <w:style w:type="character" w:styleId="CommentReference">
    <w:name w:val="annotation reference"/>
    <w:basedOn w:val="DefaultParagraphFont"/>
    <w:semiHidden/>
    <w:unhideWhenUsed/>
    <w:rsid w:val="00E23F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FEE"/>
  </w:style>
  <w:style w:type="character" w:customStyle="1" w:styleId="CommentTextChar">
    <w:name w:val="Comment Text Char"/>
    <w:basedOn w:val="DefaultParagraphFont"/>
    <w:link w:val="CommentText"/>
    <w:rsid w:val="00E23FEE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FEE"/>
    <w:rPr>
      <w:rFonts w:ascii="Calibri" w:eastAsia="MS Mincho" w:hAnsi="Calibri"/>
      <w:b/>
      <w:bCs/>
    </w:rPr>
  </w:style>
  <w:style w:type="paragraph" w:styleId="TOC3">
    <w:name w:val="toc 3"/>
    <w:basedOn w:val="Normalpool"/>
    <w:next w:val="Normalpool"/>
    <w:rsid w:val="00CF174F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CF174F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Revision">
    <w:name w:val="Revision"/>
    <w:hidden/>
    <w:uiPriority w:val="99"/>
    <w:semiHidden/>
    <w:rsid w:val="003C09F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unterm.un.org/DGAACS/unterm.nsf/WebView/89752D0EE42F5EDF852575EC006B64B1?OpenDocumen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2020-11-12T13:27:52Z</Uploade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5" ma:contentTypeDescription="Create a new document." ma:contentTypeScope="" ma:versionID="bd63c9af439dbeb14b38654695321417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7e09cc4c0705edbe98e2704a7fc9701d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CC8E-A8D1-464C-BBF3-E4B9415C8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22891-AAE2-45CC-AC5C-5D568FC0B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7EDA9-3870-4B69-94CF-7F4BE69A517C}"/>
</file>

<file path=customXml/itemProps4.xml><?xml version="1.0" encoding="utf-8"?>
<ds:datastoreItem xmlns:ds="http://schemas.openxmlformats.org/officeDocument/2006/customXml" ds:itemID="{ABFA3782-FCFD-4D94-8A5E-A8FA3316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UNON-DCS-FLU</cp:lastModifiedBy>
  <cp:revision>2</cp:revision>
  <cp:lastPrinted>2017-11-30T12:25:00Z</cp:lastPrinted>
  <dcterms:created xsi:type="dcterms:W3CDTF">2020-11-12T12:13:00Z</dcterms:created>
  <dcterms:modified xsi:type="dcterms:W3CDTF">2020-11-12T12:13:00Z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Order">
    <vt:r8>100</vt:r8>
  </property>
  <property fmtid="{D5CDD505-2E9C-101B-9397-08002B2CF9AE}" pid="4" name="TranslatedWith">
    <vt:lpwstr>Mercury</vt:lpwstr>
  </property>
  <property fmtid="{D5CDD505-2E9C-101B-9397-08002B2CF9AE}" pid="5" name="GeneratedBy">
    <vt:lpwstr>diane.belud</vt:lpwstr>
  </property>
  <property fmtid="{D5CDD505-2E9C-101B-9397-08002B2CF9AE}" pid="6" name="GeneratedDate">
    <vt:lpwstr>07/29/2020 16:06:23</vt:lpwstr>
  </property>
  <property fmtid="{D5CDD505-2E9C-101B-9397-08002B2CF9AE}" pid="7" name="OriginalDocID">
    <vt:lpwstr>9cfe6898-169b-46df-9931-b89a19994fff</vt:lpwstr>
  </property>
</Properties>
</file>