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2693"/>
        <w:gridCol w:w="6520"/>
        <w:gridCol w:w="283"/>
      </w:tblGrid>
      <w:tr w:rsidR="00116447" w:rsidRPr="00A56462" w14:paraId="7EE65E47" w14:textId="77777777" w:rsidTr="00A36B8C">
        <w:trPr>
          <w:trHeight w:val="850"/>
        </w:trPr>
        <w:tc>
          <w:tcPr>
            <w:tcW w:w="2693" w:type="dxa"/>
            <w:shd w:val="clear" w:color="auto" w:fill="auto"/>
          </w:tcPr>
          <w:p w14:paraId="0E743EB6" w14:textId="77777777" w:rsidR="00116447" w:rsidRPr="00A56462" w:rsidRDefault="00116447" w:rsidP="00116447">
            <w:pPr>
              <w:pStyle w:val="AUnitedNations"/>
              <w:tabs>
                <w:tab w:val="clear" w:pos="624"/>
                <w:tab w:val="clear" w:pos="1871"/>
                <w:tab w:val="clear" w:pos="2495"/>
                <w:tab w:val="clear" w:pos="3119"/>
                <w:tab w:val="clear" w:pos="3742"/>
                <w:tab w:val="clear" w:pos="4366"/>
              </w:tabs>
            </w:pPr>
            <w:r w:rsidRPr="00A56462">
              <w:t xml:space="preserve">ОРГАНИЗАЦИЯ </w:t>
            </w:r>
            <w:r w:rsidRPr="00A56462">
              <w:br/>
              <w:t xml:space="preserve">ОБЪЕДИНЕННЫХ </w:t>
            </w:r>
            <w:r w:rsidRPr="00A56462">
              <w:br/>
              <w:t>НАЦИЙ</w:t>
            </w:r>
          </w:p>
        </w:tc>
        <w:tc>
          <w:tcPr>
            <w:tcW w:w="6520" w:type="dxa"/>
            <w:shd w:val="clear" w:color="auto" w:fill="auto"/>
          </w:tcPr>
          <w:p w14:paraId="1C967D7F" w14:textId="77777777" w:rsidR="00116447" w:rsidRPr="00A56462" w:rsidRDefault="00116447" w:rsidP="00116447">
            <w:pPr>
              <w:pStyle w:val="Normal-pool"/>
              <w:tabs>
                <w:tab w:val="clear" w:pos="624"/>
                <w:tab w:val="clear" w:pos="1247"/>
                <w:tab w:val="clear" w:pos="1871"/>
                <w:tab w:val="clear" w:pos="2495"/>
                <w:tab w:val="clear" w:pos="3119"/>
                <w:tab w:val="clear" w:pos="3742"/>
                <w:tab w:val="clear" w:pos="4366"/>
              </w:tabs>
            </w:pPr>
            <w:r w:rsidRPr="00A56462">
              <w:rPr>
                <w:noProof/>
                <w14:ligatures w14:val="standardContextual"/>
              </w:rPr>
              <w:drawing>
                <wp:anchor distT="0" distB="0" distL="114300" distR="114300" simplePos="0" relativeHeight="251665408" behindDoc="0" locked="0" layoutInCell="1" allowOverlap="1" wp14:anchorId="66BBB3E4" wp14:editId="49F11376">
                  <wp:simplePos x="0" y="0"/>
                  <wp:positionH relativeFrom="column">
                    <wp:posOffset>-2540</wp:posOffset>
                  </wp:positionH>
                  <wp:positionV relativeFrom="paragraph">
                    <wp:posOffset>-4445</wp:posOffset>
                  </wp:positionV>
                  <wp:extent cx="4003040" cy="405130"/>
                  <wp:effectExtent l="0" t="0" r="0" b="0"/>
                  <wp:wrapNone/>
                  <wp:docPr id="1065407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0740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283" w:type="dxa"/>
            <w:shd w:val="clear" w:color="auto" w:fill="auto"/>
          </w:tcPr>
          <w:p w14:paraId="54593F83" w14:textId="77777777" w:rsidR="00116447" w:rsidRPr="00A56462" w:rsidRDefault="00116447" w:rsidP="00116447">
            <w:pPr>
              <w:pStyle w:val="Normal-pool"/>
              <w:tabs>
                <w:tab w:val="clear" w:pos="624"/>
                <w:tab w:val="clear" w:pos="1247"/>
                <w:tab w:val="clear" w:pos="1871"/>
                <w:tab w:val="clear" w:pos="2495"/>
                <w:tab w:val="clear" w:pos="3119"/>
                <w:tab w:val="clear" w:pos="3742"/>
                <w:tab w:val="clear" w:pos="4366"/>
              </w:tabs>
            </w:pPr>
          </w:p>
        </w:tc>
      </w:tr>
    </w:tbl>
    <w:p w14:paraId="41B993F4" w14:textId="77777777" w:rsidR="00F555F7" w:rsidRPr="00F2449F" w:rsidRDefault="00F555F7" w:rsidP="00116447">
      <w:pPr>
        <w:pStyle w:val="ASpacer"/>
        <w:tabs>
          <w:tab w:val="clear" w:pos="624"/>
          <w:tab w:val="clear" w:pos="1247"/>
          <w:tab w:val="clear" w:pos="1871"/>
          <w:tab w:val="clear" w:pos="2495"/>
          <w:tab w:val="clear" w:pos="3119"/>
          <w:tab w:val="clear" w:pos="3742"/>
          <w:tab w:val="clear" w:pos="4366"/>
        </w:tabs>
      </w:pPr>
    </w:p>
    <w:tbl>
      <w:tblPr>
        <w:tblW w:w="9495" w:type="dxa"/>
        <w:tblLayout w:type="fixed"/>
        <w:tblLook w:val="0000" w:firstRow="0" w:lastRow="0" w:firstColumn="0" w:lastColumn="0" w:noHBand="0" w:noVBand="0"/>
      </w:tblPr>
      <w:tblGrid>
        <w:gridCol w:w="6945"/>
        <w:gridCol w:w="2550"/>
      </w:tblGrid>
      <w:tr w:rsidR="00F555F7" w:rsidRPr="00F2449F" w14:paraId="03FC3285" w14:textId="77777777" w:rsidTr="006F6D1B">
        <w:trPr>
          <w:trHeight w:val="340"/>
        </w:trPr>
        <w:tc>
          <w:tcPr>
            <w:tcW w:w="3657" w:type="pct"/>
            <w:shd w:val="clear" w:color="auto" w:fill="auto"/>
            <w:vAlign w:val="bottom"/>
          </w:tcPr>
          <w:p w14:paraId="076DD8FA" w14:textId="77777777" w:rsidR="00F555F7" w:rsidRPr="00F2449F" w:rsidRDefault="00F555F7" w:rsidP="00116447">
            <w:pPr>
              <w:pStyle w:val="Normal-pool"/>
              <w:tabs>
                <w:tab w:val="clear" w:pos="624"/>
                <w:tab w:val="clear" w:pos="1247"/>
                <w:tab w:val="clear" w:pos="1871"/>
                <w:tab w:val="clear" w:pos="2495"/>
                <w:tab w:val="clear" w:pos="3119"/>
                <w:tab w:val="clear" w:pos="3742"/>
                <w:tab w:val="clear" w:pos="4366"/>
              </w:tabs>
            </w:pPr>
          </w:p>
        </w:tc>
        <w:tc>
          <w:tcPr>
            <w:tcW w:w="1343" w:type="pct"/>
            <w:shd w:val="clear" w:color="auto" w:fill="auto"/>
            <w:noWrap/>
            <w:vAlign w:val="bottom"/>
          </w:tcPr>
          <w:p w14:paraId="1C29A06D" w14:textId="77777777" w:rsidR="00F555F7" w:rsidRPr="00F2449F" w:rsidRDefault="00F555F7" w:rsidP="00116447">
            <w:pPr>
              <w:pStyle w:val="ASymbol"/>
              <w:tabs>
                <w:tab w:val="clear" w:pos="1871"/>
                <w:tab w:val="clear" w:pos="2495"/>
                <w:tab w:val="clear" w:pos="2920"/>
                <w:tab w:val="clear" w:pos="3119"/>
                <w:tab w:val="clear" w:pos="3742"/>
                <w:tab w:val="clear" w:pos="4366"/>
              </w:tabs>
            </w:pPr>
            <w:r>
              <w:rPr>
                <w:lang w:val="ru-RU"/>
              </w:rPr>
              <w:t>IPBES/10/4</w:t>
            </w:r>
            <w:bookmarkStart w:id="0" w:name="Symbol1A"/>
            <w:bookmarkStart w:id="1" w:name="Symbol1B"/>
            <w:bookmarkEnd w:id="0"/>
            <w:bookmarkEnd w:id="1"/>
          </w:p>
        </w:tc>
      </w:tr>
    </w:tbl>
    <w:p w14:paraId="7D2ABF47" w14:textId="77777777" w:rsidR="00F555F7" w:rsidRPr="00F2449F" w:rsidRDefault="00F555F7" w:rsidP="00116447">
      <w:pPr>
        <w:pStyle w:val="ASpacer"/>
        <w:tabs>
          <w:tab w:val="clear" w:pos="624"/>
          <w:tab w:val="clear" w:pos="1247"/>
          <w:tab w:val="clear" w:pos="1871"/>
          <w:tab w:val="clear" w:pos="2495"/>
          <w:tab w:val="clear" w:pos="3119"/>
          <w:tab w:val="clear" w:pos="3742"/>
          <w:tab w:val="clear" w:pos="4366"/>
        </w:tabs>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F555F7" w:rsidRPr="00F2449F" w14:paraId="13A3D62E" w14:textId="77777777" w:rsidTr="006F6D1B">
        <w:trPr>
          <w:trHeight w:val="2098"/>
        </w:trPr>
        <w:tc>
          <w:tcPr>
            <w:tcW w:w="2126" w:type="dxa"/>
            <w:shd w:val="clear" w:color="auto" w:fill="auto"/>
          </w:tcPr>
          <w:p w14:paraId="6BF8F203" w14:textId="77777777" w:rsidR="00F555F7" w:rsidRPr="00F2449F" w:rsidRDefault="00F555F7" w:rsidP="00116447">
            <w:pPr>
              <w:pStyle w:val="ALogo"/>
              <w:tabs>
                <w:tab w:val="clear" w:pos="624"/>
                <w:tab w:val="clear" w:pos="1247"/>
                <w:tab w:val="clear" w:pos="1871"/>
                <w:tab w:val="clear" w:pos="2495"/>
                <w:tab w:val="clear" w:pos="3119"/>
                <w:tab w:val="clear" w:pos="3742"/>
                <w:tab w:val="clear" w:pos="4366"/>
              </w:tabs>
            </w:pPr>
            <w:r w:rsidRPr="00F2449F">
              <w:rPr>
                <w:noProof/>
              </w:rPr>
              <w:drawing>
                <wp:inline distT="0" distB="0" distL="0" distR="0" wp14:anchorId="4428BE78" wp14:editId="6A1FEA31">
                  <wp:extent cx="1116610" cy="518644"/>
                  <wp:effectExtent l="0" t="0" r="7620" b="0"/>
                  <wp:docPr id="409762860" name="Picture 2"/>
                  <wp:cNvGraphicFramePr/>
                  <a:graphic xmlns:a="http://schemas.openxmlformats.org/drawingml/2006/main">
                    <a:graphicData uri="http://schemas.openxmlformats.org/drawingml/2006/picture">
                      <pic:pic xmlns:pic="http://schemas.openxmlformats.org/drawingml/2006/picture">
                        <pic:nvPicPr>
                          <pic:cNvPr id="409762860"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F2449F">
              <w:t xml:space="preserve"> </w:t>
            </w:r>
          </w:p>
          <w:p w14:paraId="48695A98" w14:textId="77777777" w:rsidR="00F555F7" w:rsidRPr="00F2449F" w:rsidRDefault="00F555F7" w:rsidP="00116447">
            <w:pPr>
              <w:pStyle w:val="ALogo"/>
              <w:tabs>
                <w:tab w:val="clear" w:pos="624"/>
                <w:tab w:val="clear" w:pos="1247"/>
                <w:tab w:val="clear" w:pos="1871"/>
                <w:tab w:val="clear" w:pos="2495"/>
                <w:tab w:val="clear" w:pos="3119"/>
                <w:tab w:val="clear" w:pos="3742"/>
                <w:tab w:val="clear" w:pos="4366"/>
              </w:tabs>
            </w:pPr>
          </w:p>
        </w:tc>
        <w:tc>
          <w:tcPr>
            <w:tcW w:w="4819" w:type="dxa"/>
            <w:shd w:val="clear" w:color="auto" w:fill="auto"/>
          </w:tcPr>
          <w:p w14:paraId="0CC55CA7" w14:textId="7922B4CE" w:rsidR="00F555F7" w:rsidRPr="00116447" w:rsidRDefault="00116447" w:rsidP="00116447">
            <w:pPr>
              <w:pStyle w:val="AConvName"/>
              <w:tabs>
                <w:tab w:val="clear" w:pos="624"/>
                <w:tab w:val="clear" w:pos="1247"/>
                <w:tab w:val="clear" w:pos="1871"/>
                <w:tab w:val="clear" w:pos="2495"/>
                <w:tab w:val="clear" w:pos="3119"/>
                <w:tab w:val="clear" w:pos="3742"/>
                <w:tab w:val="clear" w:pos="4366"/>
              </w:tabs>
              <w:rPr>
                <w:lang w:val="ru-RU"/>
              </w:rPr>
            </w:pPr>
            <w:r w:rsidRPr="00116447">
              <w:rPr>
                <w:lang w:val="ru-RU"/>
              </w:rPr>
              <w:t xml:space="preserve">Межправительственная </w:t>
            </w:r>
            <w:r w:rsidRPr="00116447">
              <w:rPr>
                <w:lang w:val="ru-RU"/>
              </w:rPr>
              <w:br/>
              <w:t>научно-политическая платформа по биоразнообразию и экосистемным услугам</w:t>
            </w:r>
          </w:p>
        </w:tc>
        <w:tc>
          <w:tcPr>
            <w:tcW w:w="2551" w:type="dxa"/>
            <w:shd w:val="clear" w:color="auto" w:fill="auto"/>
          </w:tcPr>
          <w:p w14:paraId="0A802792" w14:textId="77777777" w:rsidR="00950443" w:rsidRPr="007C3326" w:rsidRDefault="00950443" w:rsidP="00116447">
            <w:pPr>
              <w:pStyle w:val="AText"/>
              <w:tabs>
                <w:tab w:val="clear" w:pos="624"/>
                <w:tab w:val="clear" w:pos="1247"/>
                <w:tab w:val="clear" w:pos="1871"/>
                <w:tab w:val="clear" w:pos="2495"/>
                <w:tab w:val="clear" w:pos="3119"/>
                <w:tab w:val="clear" w:pos="3742"/>
                <w:tab w:val="clear" w:pos="4366"/>
              </w:tabs>
            </w:pPr>
            <w:r w:rsidRPr="007C3326">
              <w:t xml:space="preserve">Distr.: </w:t>
            </w:r>
            <w:bookmarkStart w:id="2" w:name="Distribution"/>
            <w:r>
              <w:t>General</w:t>
            </w:r>
            <w:bookmarkEnd w:id="2"/>
            <w:r w:rsidRPr="007C3326">
              <w:t xml:space="preserve"> </w:t>
            </w:r>
          </w:p>
          <w:p w14:paraId="717AC8A7" w14:textId="5AA6B77E" w:rsidR="00950443" w:rsidRPr="007C3326" w:rsidRDefault="00950443" w:rsidP="00116447">
            <w:pPr>
              <w:pStyle w:val="AText0"/>
              <w:tabs>
                <w:tab w:val="clear" w:pos="624"/>
                <w:tab w:val="clear" w:pos="1247"/>
                <w:tab w:val="clear" w:pos="1871"/>
                <w:tab w:val="clear" w:pos="2495"/>
                <w:tab w:val="clear" w:pos="3119"/>
                <w:tab w:val="clear" w:pos="3742"/>
                <w:tab w:val="clear" w:pos="4366"/>
              </w:tabs>
            </w:pPr>
            <w:bookmarkStart w:id="3" w:name="DistributionDate"/>
            <w:r w:rsidRPr="00173A69">
              <w:rPr>
                <w:lang w:val="en-US"/>
              </w:rPr>
              <w:t xml:space="preserve">5 </w:t>
            </w:r>
            <w:r w:rsidR="00116447">
              <w:rPr>
                <w:lang w:val="en-US"/>
              </w:rPr>
              <w:t>June</w:t>
            </w:r>
            <w:r w:rsidRPr="00173A69">
              <w:rPr>
                <w:lang w:val="en-US"/>
              </w:rPr>
              <w:t xml:space="preserve"> 2023</w:t>
            </w:r>
            <w:bookmarkEnd w:id="3"/>
          </w:p>
          <w:p w14:paraId="759C2025" w14:textId="5BD85A11" w:rsidR="00116447" w:rsidRDefault="00116447" w:rsidP="00116447">
            <w:pPr>
              <w:pStyle w:val="AText"/>
              <w:tabs>
                <w:tab w:val="clear" w:pos="624"/>
                <w:tab w:val="clear" w:pos="1247"/>
                <w:tab w:val="clear" w:pos="1871"/>
                <w:tab w:val="clear" w:pos="2495"/>
                <w:tab w:val="clear" w:pos="3119"/>
                <w:tab w:val="clear" w:pos="3742"/>
                <w:tab w:val="clear" w:pos="4366"/>
              </w:tabs>
            </w:pPr>
            <w:bookmarkStart w:id="4" w:name="DistributionLang"/>
            <w:r>
              <w:t>Russian</w:t>
            </w:r>
          </w:p>
          <w:p w14:paraId="0E70ACDA" w14:textId="48DA3124" w:rsidR="00F555F7" w:rsidRPr="00F2449F" w:rsidRDefault="00F555F7" w:rsidP="00116447">
            <w:pPr>
              <w:pStyle w:val="AText"/>
              <w:tabs>
                <w:tab w:val="clear" w:pos="624"/>
                <w:tab w:val="clear" w:pos="1247"/>
                <w:tab w:val="clear" w:pos="1871"/>
                <w:tab w:val="clear" w:pos="2495"/>
                <w:tab w:val="clear" w:pos="3119"/>
                <w:tab w:val="clear" w:pos="3742"/>
                <w:tab w:val="clear" w:pos="4366"/>
              </w:tabs>
              <w:spacing w:before="0"/>
            </w:pPr>
            <w:r w:rsidRPr="00F2449F">
              <w:t>Original:</w:t>
            </w:r>
            <w:r w:rsidR="00F2449F" w:rsidRPr="00F2449F">
              <w:t xml:space="preserve"> English</w:t>
            </w:r>
            <w:bookmarkEnd w:id="4"/>
          </w:p>
        </w:tc>
      </w:tr>
    </w:tbl>
    <w:p w14:paraId="0F5C51EB" w14:textId="77777777" w:rsidR="00F555F7" w:rsidRPr="00F2449F" w:rsidRDefault="00F555F7" w:rsidP="00116447">
      <w:pPr>
        <w:pStyle w:val="ASpacer"/>
        <w:tabs>
          <w:tab w:val="clear" w:pos="624"/>
          <w:tab w:val="clear" w:pos="1247"/>
          <w:tab w:val="clear" w:pos="1871"/>
          <w:tab w:val="clear" w:pos="2495"/>
          <w:tab w:val="clear" w:pos="3119"/>
          <w:tab w:val="clear" w:pos="3742"/>
          <w:tab w:val="clear" w:pos="4366"/>
        </w:tabs>
      </w:pPr>
    </w:p>
    <w:tbl>
      <w:tblPr>
        <w:tblW w:w="9496" w:type="dxa"/>
        <w:tblLayout w:type="fixed"/>
        <w:tblCellMar>
          <w:left w:w="0" w:type="dxa"/>
          <w:right w:w="0" w:type="dxa"/>
        </w:tblCellMar>
        <w:tblLook w:val="0000" w:firstRow="0" w:lastRow="0" w:firstColumn="0" w:lastColumn="0" w:noHBand="0" w:noVBand="0"/>
      </w:tblPr>
      <w:tblGrid>
        <w:gridCol w:w="5387"/>
        <w:gridCol w:w="4109"/>
      </w:tblGrid>
      <w:tr w:rsidR="00F555F7" w:rsidRPr="00DB233A" w14:paraId="2C9E8EBA" w14:textId="77777777" w:rsidTr="00116447">
        <w:trPr>
          <w:trHeight w:val="57"/>
        </w:trPr>
        <w:tc>
          <w:tcPr>
            <w:tcW w:w="5387" w:type="dxa"/>
            <w:shd w:val="clear" w:color="auto" w:fill="auto"/>
          </w:tcPr>
          <w:p w14:paraId="63BF687B" w14:textId="77777777" w:rsidR="00F555F7" w:rsidRPr="00173A69" w:rsidRDefault="00F555F7" w:rsidP="00116447">
            <w:pPr>
              <w:pStyle w:val="AATitle"/>
              <w:tabs>
                <w:tab w:val="clear" w:pos="624"/>
                <w:tab w:val="clear" w:pos="1247"/>
                <w:tab w:val="clear" w:pos="1871"/>
                <w:tab w:val="clear" w:pos="2495"/>
                <w:tab w:val="clear" w:pos="3119"/>
                <w:tab w:val="clear" w:pos="3742"/>
                <w:tab w:val="clear" w:pos="4366"/>
              </w:tabs>
              <w:rPr>
                <w:lang w:val="ru-RU"/>
              </w:rPr>
            </w:pPr>
            <w:bookmarkStart w:id="5" w:name="CorNot1Text"/>
            <w:r>
              <w:rPr>
                <w:bCs/>
                <w:lang w:val="ru-RU"/>
              </w:rPr>
              <w:t>Пленум Межправительственной научно-политической платформы по биоразнообразию и экосистемным услугам</w:t>
            </w:r>
            <w:r>
              <w:rPr>
                <w:lang w:val="ru-RU"/>
              </w:rPr>
              <w:t xml:space="preserve"> </w:t>
            </w:r>
          </w:p>
          <w:p w14:paraId="411814CB" w14:textId="77777777" w:rsidR="00F555F7" w:rsidRPr="00173A69" w:rsidRDefault="00B44DF7" w:rsidP="00116447">
            <w:pPr>
              <w:pStyle w:val="AATitle"/>
              <w:tabs>
                <w:tab w:val="clear" w:pos="624"/>
                <w:tab w:val="clear" w:pos="1247"/>
                <w:tab w:val="clear" w:pos="1871"/>
                <w:tab w:val="clear" w:pos="2495"/>
                <w:tab w:val="clear" w:pos="3119"/>
                <w:tab w:val="clear" w:pos="3742"/>
                <w:tab w:val="clear" w:pos="4366"/>
              </w:tabs>
              <w:rPr>
                <w:lang w:val="ru-RU"/>
              </w:rPr>
            </w:pPr>
            <w:r>
              <w:rPr>
                <w:bCs/>
                <w:lang w:val="ru-RU"/>
              </w:rPr>
              <w:t>Десятая сессия</w:t>
            </w:r>
            <w:r>
              <w:rPr>
                <w:lang w:val="ru-RU"/>
              </w:rPr>
              <w:t xml:space="preserve"> </w:t>
            </w:r>
            <w:bookmarkEnd w:id="5"/>
          </w:p>
          <w:p w14:paraId="53E28EFB" w14:textId="77777777" w:rsidR="00950443" w:rsidRPr="00173A69" w:rsidRDefault="00950443" w:rsidP="00116447">
            <w:pPr>
              <w:pStyle w:val="AATitle1"/>
              <w:tabs>
                <w:tab w:val="clear" w:pos="624"/>
                <w:tab w:val="clear" w:pos="1247"/>
                <w:tab w:val="clear" w:pos="1871"/>
                <w:tab w:val="clear" w:pos="2495"/>
                <w:tab w:val="clear" w:pos="3119"/>
                <w:tab w:val="clear" w:pos="3742"/>
                <w:tab w:val="clear" w:pos="4366"/>
              </w:tabs>
              <w:rPr>
                <w:lang w:val="ru-RU"/>
              </w:rPr>
            </w:pPr>
            <w:bookmarkStart w:id="6" w:name="CorNot1VenueDate"/>
            <w:r>
              <w:rPr>
                <w:lang w:val="ru-RU"/>
              </w:rPr>
              <w:t xml:space="preserve">Бонн, Германия, 28 августа – 2 сентября 2023 года </w:t>
            </w:r>
            <w:bookmarkEnd w:id="6"/>
          </w:p>
          <w:p w14:paraId="359407DB" w14:textId="77777777" w:rsidR="00950443" w:rsidRPr="00173A69" w:rsidRDefault="00950443" w:rsidP="00116447">
            <w:pPr>
              <w:pStyle w:val="AATitle1"/>
              <w:tabs>
                <w:tab w:val="clear" w:pos="624"/>
                <w:tab w:val="clear" w:pos="1247"/>
                <w:tab w:val="clear" w:pos="1871"/>
                <w:tab w:val="clear" w:pos="2495"/>
                <w:tab w:val="clear" w:pos="3119"/>
                <w:tab w:val="clear" w:pos="3742"/>
                <w:tab w:val="clear" w:pos="4366"/>
              </w:tabs>
              <w:rPr>
                <w:lang w:val="ru-RU"/>
              </w:rPr>
            </w:pPr>
            <w:bookmarkStart w:id="7" w:name="CorNot1AgItem"/>
            <w:r>
              <w:rPr>
                <w:lang w:val="ru-RU"/>
              </w:rPr>
              <w:t>Пункт 5 предварительной повестки дня</w:t>
            </w:r>
            <w:r>
              <w:rPr>
                <w:szCs w:val="18"/>
                <w:lang w:val="ru-RU"/>
              </w:rPr>
              <w:footnoteReference w:customMarkFollows="1" w:id="2"/>
              <w:t>*</w:t>
            </w:r>
            <w:r>
              <w:rPr>
                <w:lang w:val="ru-RU"/>
              </w:rPr>
              <w:t xml:space="preserve"> </w:t>
            </w:r>
            <w:bookmarkEnd w:id="7"/>
          </w:p>
          <w:p w14:paraId="0AFE19C7" w14:textId="77777777" w:rsidR="00F555F7" w:rsidRPr="00173A69" w:rsidRDefault="00BA0AFA" w:rsidP="00116447">
            <w:pPr>
              <w:pStyle w:val="AATitle2"/>
              <w:tabs>
                <w:tab w:val="clear" w:pos="624"/>
                <w:tab w:val="clear" w:pos="1247"/>
                <w:tab w:val="clear" w:pos="1871"/>
                <w:tab w:val="clear" w:pos="2495"/>
                <w:tab w:val="clear" w:pos="3119"/>
                <w:tab w:val="clear" w:pos="3742"/>
                <w:tab w:val="clear" w:pos="4366"/>
              </w:tabs>
              <w:rPr>
                <w:lang w:val="ru-RU"/>
              </w:rPr>
            </w:pPr>
            <w:bookmarkStart w:id="8" w:name="CorNot1AgTitle"/>
            <w:r>
              <w:rPr>
                <w:bCs/>
                <w:lang w:val="ru-RU"/>
              </w:rPr>
              <w:t>Доклад Исполнительного секретаря о ходе осуществления скользящей программы работы на период до 2030 года</w:t>
            </w:r>
            <w:bookmarkEnd w:id="8"/>
          </w:p>
        </w:tc>
        <w:tc>
          <w:tcPr>
            <w:tcW w:w="4109" w:type="dxa"/>
            <w:shd w:val="clear" w:color="auto" w:fill="auto"/>
          </w:tcPr>
          <w:p w14:paraId="512FAA21" w14:textId="77777777" w:rsidR="00F555F7" w:rsidRPr="00173A69" w:rsidRDefault="00F555F7" w:rsidP="00116447">
            <w:pPr>
              <w:pStyle w:val="Normal-pool"/>
              <w:tabs>
                <w:tab w:val="clear" w:pos="624"/>
                <w:tab w:val="clear" w:pos="1247"/>
                <w:tab w:val="clear" w:pos="1871"/>
                <w:tab w:val="clear" w:pos="2495"/>
                <w:tab w:val="clear" w:pos="3119"/>
                <w:tab w:val="clear" w:pos="3742"/>
                <w:tab w:val="clear" w:pos="4366"/>
              </w:tabs>
              <w:rPr>
                <w:lang w:val="ru-RU"/>
              </w:rPr>
            </w:pPr>
          </w:p>
        </w:tc>
      </w:tr>
    </w:tbl>
    <w:p w14:paraId="59D64E22" w14:textId="77777777" w:rsidR="00A87016" w:rsidRPr="00173A69" w:rsidRDefault="00A87016" w:rsidP="006552E0">
      <w:pPr>
        <w:pStyle w:val="ASpacer"/>
        <w:rPr>
          <w:lang w:val="ru-RU"/>
        </w:rPr>
      </w:pPr>
    </w:p>
    <w:p w14:paraId="0D806305" w14:textId="77777777" w:rsidR="007413F6" w:rsidRPr="00173A69" w:rsidRDefault="007413F6" w:rsidP="006552E0">
      <w:pPr>
        <w:pStyle w:val="ASpacer"/>
        <w:rPr>
          <w:lang w:val="ru-RU"/>
        </w:rPr>
      </w:pPr>
    </w:p>
    <w:p w14:paraId="1163632D" w14:textId="77777777" w:rsidR="007413F6" w:rsidRPr="00173A69" w:rsidRDefault="007413F6" w:rsidP="006552E0">
      <w:pPr>
        <w:pStyle w:val="ASpacer"/>
        <w:rPr>
          <w:lang w:val="ru-RU"/>
        </w:rPr>
      </w:pPr>
    </w:p>
    <w:p w14:paraId="2CE07D35" w14:textId="77777777" w:rsidR="00473B0A" w:rsidRPr="00066EF4" w:rsidRDefault="00032F57" w:rsidP="00066EF4">
      <w:pPr>
        <w:pStyle w:val="ANormal"/>
        <w:tabs>
          <w:tab w:val="clear" w:pos="624"/>
          <w:tab w:val="clear" w:pos="1247"/>
          <w:tab w:val="clear" w:pos="1871"/>
          <w:tab w:val="clear" w:pos="2495"/>
          <w:tab w:val="clear" w:pos="3119"/>
          <w:tab w:val="clear" w:pos="3742"/>
          <w:tab w:val="clear" w:pos="4366"/>
        </w:tabs>
        <w:spacing w:before="320" w:after="240"/>
        <w:ind w:left="1247" w:right="567"/>
        <w:rPr>
          <w:b/>
          <w:bCs/>
          <w:sz w:val="28"/>
          <w:szCs w:val="28"/>
          <w:lang w:val="ru-RU"/>
        </w:rPr>
      </w:pPr>
      <w:r w:rsidRPr="00066EF4">
        <w:rPr>
          <w:b/>
          <w:bCs/>
          <w:sz w:val="28"/>
          <w:szCs w:val="28"/>
          <w:lang w:val="ru-RU"/>
        </w:rPr>
        <w:t>Ход осуществления скользящей программы работы на период до 2030 года</w:t>
      </w:r>
    </w:p>
    <w:p w14:paraId="3B301526" w14:textId="009CC0C4" w:rsidR="00473B0A" w:rsidRPr="00066EF4" w:rsidRDefault="00473B0A" w:rsidP="00066EF4">
      <w:pPr>
        <w:pStyle w:val="ANormal"/>
        <w:tabs>
          <w:tab w:val="clear" w:pos="624"/>
          <w:tab w:val="clear" w:pos="1247"/>
          <w:tab w:val="clear" w:pos="1871"/>
          <w:tab w:val="clear" w:pos="2495"/>
          <w:tab w:val="clear" w:pos="3119"/>
          <w:tab w:val="clear" w:pos="3742"/>
          <w:tab w:val="clear" w:pos="4366"/>
        </w:tabs>
        <w:spacing w:after="120"/>
        <w:ind w:left="1247"/>
        <w:rPr>
          <w:b/>
          <w:bCs/>
          <w:sz w:val="24"/>
          <w:szCs w:val="24"/>
          <w:lang w:val="ru-RU"/>
        </w:rPr>
      </w:pPr>
      <w:r w:rsidRPr="00066EF4">
        <w:rPr>
          <w:b/>
          <w:bCs/>
          <w:sz w:val="24"/>
          <w:szCs w:val="24"/>
          <w:lang w:val="ru-RU"/>
        </w:rPr>
        <w:tab/>
        <w:t>Доклад Исполнительного секретаря</w:t>
      </w:r>
    </w:p>
    <w:p w14:paraId="3EA823CD" w14:textId="189BC040" w:rsidR="00473B0A" w:rsidRPr="00066EF4" w:rsidRDefault="00473B0A" w:rsidP="00066EF4">
      <w:pPr>
        <w:pStyle w:val="ANormal"/>
        <w:tabs>
          <w:tab w:val="clear" w:pos="624"/>
          <w:tab w:val="clear" w:pos="1247"/>
          <w:tab w:val="clear" w:pos="1871"/>
          <w:tab w:val="clear" w:pos="2495"/>
          <w:tab w:val="clear" w:pos="3119"/>
          <w:tab w:val="clear" w:pos="3742"/>
          <w:tab w:val="clear" w:pos="4366"/>
        </w:tabs>
        <w:spacing w:after="120"/>
        <w:ind w:left="1247"/>
        <w:rPr>
          <w:b/>
          <w:bCs/>
          <w:sz w:val="28"/>
          <w:szCs w:val="28"/>
          <w:lang w:val="ru-RU"/>
        </w:rPr>
      </w:pPr>
      <w:r w:rsidRPr="00066EF4">
        <w:rPr>
          <w:b/>
          <w:bCs/>
          <w:sz w:val="28"/>
          <w:szCs w:val="28"/>
          <w:lang w:val="ru-RU"/>
        </w:rPr>
        <w:tab/>
        <w:t>Введение</w:t>
      </w:r>
    </w:p>
    <w:p w14:paraId="537256DF" w14:textId="319E7345" w:rsidR="007413F6" w:rsidRPr="00066EF4" w:rsidRDefault="00066EF4"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66EF4">
        <w:rPr>
          <w:lang w:val="ru-RU"/>
        </w:rPr>
        <w:t>1.</w:t>
      </w:r>
      <w:r>
        <w:rPr>
          <w:lang w:val="ru-RU"/>
        </w:rPr>
        <w:tab/>
      </w:r>
      <w:r w:rsidR="00E81275" w:rsidRPr="00066EF4">
        <w:rPr>
          <w:lang w:val="ru-RU"/>
        </w:rPr>
        <w:t xml:space="preserve">В решении МПБЭУ-7/1 Пленум Межправительственной научно-политической платформы по биоразнообразию и экосистемным услугам (МПБЭУ) принял скользящую программу работы Платформы на период до 2030 года, изложенную в приложении I к этому решению. В том же решении Пленум постановил приступить к выполнению программы работы в соответствии с утвержденным бюджетом, изложенным в решении МПБЭУ-7/4, и в </w:t>
      </w:r>
      <w:r w:rsidR="00F0493D" w:rsidRPr="00066EF4">
        <w:rPr>
          <w:lang w:val="ru-RU"/>
        </w:rPr>
        <w:t>пределах</w:t>
      </w:r>
      <w:r w:rsidR="00E81275" w:rsidRPr="00066EF4">
        <w:rPr>
          <w:lang w:val="ru-RU"/>
        </w:rPr>
        <w:t xml:space="preserve"> имеющихся ресурсов.</w:t>
      </w:r>
    </w:p>
    <w:p w14:paraId="647B9C53" w14:textId="46FB4370" w:rsidR="005A26E9" w:rsidRPr="00066EF4" w:rsidRDefault="00066EF4"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66EF4">
        <w:rPr>
          <w:lang w:val="ru-RU"/>
        </w:rPr>
        <w:t>2.</w:t>
      </w:r>
      <w:r>
        <w:rPr>
          <w:lang w:val="ru-RU"/>
        </w:rPr>
        <w:tab/>
      </w:r>
      <w:r w:rsidR="00D94458" w:rsidRPr="00066EF4">
        <w:rPr>
          <w:lang w:val="ru-RU"/>
        </w:rPr>
        <w:t>В решениях МПБЭУ-8/1 и МПБЭУ-9/1 Пленум представил дальнейшие указания по достижению всех целей в рамках скользящей программы работы.</w:t>
      </w:r>
    </w:p>
    <w:p w14:paraId="75290AE5" w14:textId="4F5D97DE" w:rsidR="0087153E" w:rsidRPr="00066EF4" w:rsidRDefault="00066EF4" w:rsidP="00066EF4">
      <w:pPr>
        <w:pStyle w:val="ANormal"/>
        <w:tabs>
          <w:tab w:val="clear" w:pos="624"/>
          <w:tab w:val="clear" w:pos="1247"/>
          <w:tab w:val="clear" w:pos="1871"/>
          <w:tab w:val="clear" w:pos="2495"/>
          <w:tab w:val="clear" w:pos="3119"/>
          <w:tab w:val="clear" w:pos="3742"/>
          <w:tab w:val="clear" w:pos="4366"/>
        </w:tabs>
        <w:spacing w:after="240"/>
        <w:ind w:left="1247"/>
        <w:rPr>
          <w:lang w:val="ru-RU"/>
        </w:rPr>
      </w:pPr>
      <w:r w:rsidRPr="00066EF4">
        <w:rPr>
          <w:lang w:val="ru-RU"/>
        </w:rPr>
        <w:t>3.</w:t>
      </w:r>
      <w:r>
        <w:rPr>
          <w:lang w:val="ru-RU"/>
        </w:rPr>
        <w:tab/>
      </w:r>
      <w:r w:rsidR="00BA317D" w:rsidRPr="00066EF4">
        <w:rPr>
          <w:lang w:val="ru-RU"/>
        </w:rPr>
        <w:t>В соответствии с содержащимся в пункте 2 раздела I решения МПБЭУ</w:t>
      </w:r>
      <w:r w:rsidR="00A57D4F" w:rsidRPr="00066EF4">
        <w:rPr>
          <w:lang w:val="ru-RU"/>
        </w:rPr>
        <w:t>-</w:t>
      </w:r>
      <w:r w:rsidR="00BA317D" w:rsidRPr="00066EF4">
        <w:rPr>
          <w:lang w:val="ru-RU"/>
        </w:rPr>
        <w:t xml:space="preserve">9/1 поручением Исполнительному секретарю представить доклад о ходе выполнения программы работы Пленуму на его десятой сессии, Исполнительный секретарь в консультации с Многодисциплинарной группой экспертов и Бюро подготовил для рассмотрения Пленумом настоящий доклад о выполнении скользящей программы работы. В докладе представлена информация о ходе осуществления всех аспектов программы работы и обновленная информация о </w:t>
      </w:r>
      <w:r w:rsidR="00694FE6">
        <w:rPr>
          <w:lang w:val="ru-RU"/>
        </w:rPr>
        <w:t>найме</w:t>
      </w:r>
      <w:r w:rsidR="00694FE6" w:rsidRPr="00066EF4">
        <w:rPr>
          <w:lang w:val="ru-RU"/>
        </w:rPr>
        <w:t xml:space="preserve"> </w:t>
      </w:r>
      <w:r w:rsidR="00BA317D" w:rsidRPr="00066EF4">
        <w:rPr>
          <w:lang w:val="ru-RU"/>
        </w:rPr>
        <w:t xml:space="preserve">сотрудников в секретариат в межсессионный период 2022–2023 годов. </w:t>
      </w:r>
    </w:p>
    <w:p w14:paraId="4293DEDD" w14:textId="23E261DE" w:rsidR="00C53438" w:rsidRPr="00066EF4" w:rsidRDefault="00066EF4" w:rsidP="00066EF4">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b/>
          <w:bCs/>
          <w:sz w:val="28"/>
          <w:szCs w:val="28"/>
          <w:lang w:val="ru-RU"/>
        </w:rPr>
      </w:pPr>
      <w:r>
        <w:rPr>
          <w:b/>
          <w:bCs/>
          <w:sz w:val="28"/>
          <w:szCs w:val="28"/>
          <w:lang w:val="ru-RU"/>
        </w:rPr>
        <w:tab/>
      </w:r>
      <w:r w:rsidR="00F2449F" w:rsidRPr="00066EF4">
        <w:rPr>
          <w:b/>
          <w:bCs/>
          <w:sz w:val="28"/>
          <w:szCs w:val="28"/>
          <w:lang w:val="ru-RU"/>
        </w:rPr>
        <w:t>I.</w:t>
      </w:r>
      <w:r w:rsidR="00F2449F" w:rsidRPr="00066EF4">
        <w:rPr>
          <w:b/>
          <w:bCs/>
          <w:sz w:val="28"/>
          <w:szCs w:val="28"/>
          <w:lang w:val="ru-RU"/>
        </w:rPr>
        <w:tab/>
        <w:t>Ход осуществления программы работы</w:t>
      </w:r>
    </w:p>
    <w:p w14:paraId="3DD99EE0" w14:textId="77E67167" w:rsidR="004B55F1" w:rsidRPr="00066EF4" w:rsidRDefault="00066EF4"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bookmarkStart w:id="9" w:name="_Hlk136612989"/>
      <w:r w:rsidRPr="00066EF4">
        <w:rPr>
          <w:lang w:val="ru-RU"/>
        </w:rPr>
        <w:t>4.</w:t>
      </w:r>
      <w:r>
        <w:rPr>
          <w:lang w:val="ru-RU"/>
        </w:rPr>
        <w:tab/>
      </w:r>
      <w:r w:rsidR="00410C6B" w:rsidRPr="00066EF4">
        <w:rPr>
          <w:lang w:val="ru-RU"/>
        </w:rPr>
        <w:t>За более чем 10 лет МПБЭУ, благодаря работе около 2500 экспертов, подготовил</w:t>
      </w:r>
      <w:r w:rsidR="00F0493D" w:rsidRPr="00066EF4">
        <w:rPr>
          <w:lang w:val="ru-RU"/>
        </w:rPr>
        <w:t>а</w:t>
      </w:r>
      <w:r w:rsidR="00410C6B" w:rsidRPr="00066EF4">
        <w:rPr>
          <w:lang w:val="ru-RU"/>
        </w:rPr>
        <w:t xml:space="preserve"> 10</w:t>
      </w:r>
      <w:r>
        <w:rPr>
          <w:lang w:val="en-US"/>
        </w:rPr>
        <w:t> </w:t>
      </w:r>
      <w:r w:rsidR="00410C6B" w:rsidRPr="00066EF4">
        <w:rPr>
          <w:lang w:val="ru-RU"/>
        </w:rPr>
        <w:t>докладов об оценке, которые вместе формируют наиболее достоверный источник знаний о биоразнообразии и обеспечиваемом природой вкладе на благо человека. Оценка по вопросам инвазивных чужеродных видов и борьбы с ними, которая, как ожидается, будет утверждена на десятой сессии Пленума, завершит цикл оценок, начатый в рамках первой программы работы МПБЭУ с 2014 по 2018 год.</w:t>
      </w:r>
    </w:p>
    <w:p w14:paraId="60B0C200" w14:textId="30D84832" w:rsidR="002B1C8A" w:rsidRPr="00066EF4" w:rsidRDefault="00066EF4"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66EF4">
        <w:rPr>
          <w:lang w:val="ru-RU"/>
        </w:rPr>
        <w:t>5.</w:t>
      </w:r>
      <w:r>
        <w:rPr>
          <w:lang w:val="ru-RU"/>
        </w:rPr>
        <w:tab/>
      </w:r>
      <w:r w:rsidR="000B50C2" w:rsidRPr="00066EF4">
        <w:rPr>
          <w:lang w:val="ru-RU"/>
        </w:rPr>
        <w:t xml:space="preserve">Работа МПБЭУ сыграла важную роль, среди прочего, в информационном наполнении недавно утвержденной Куньминско-Монреальской глобальной рамочной программы в области </w:t>
      </w:r>
      <w:r w:rsidR="000B50C2" w:rsidRPr="00066EF4">
        <w:rPr>
          <w:lang w:val="ru-RU"/>
        </w:rPr>
        <w:lastRenderedPageBreak/>
        <w:t xml:space="preserve">биоразнообразия </w:t>
      </w:r>
      <w:r w:rsidR="00F0493D" w:rsidRPr="00066EF4">
        <w:rPr>
          <w:lang w:val="ru-RU"/>
        </w:rPr>
        <w:t xml:space="preserve">на период до </w:t>
      </w:r>
      <w:r w:rsidR="000B50C2" w:rsidRPr="00066EF4">
        <w:rPr>
          <w:lang w:val="ru-RU"/>
        </w:rPr>
        <w:t>2030 год</w:t>
      </w:r>
      <w:r w:rsidR="00F0493D" w:rsidRPr="00066EF4">
        <w:rPr>
          <w:lang w:val="ru-RU"/>
        </w:rPr>
        <w:t>а</w:t>
      </w:r>
      <w:r w:rsidR="000B50C2" w:rsidRPr="00066EF4">
        <w:rPr>
          <w:lang w:val="ru-RU"/>
        </w:rPr>
        <w:t>, в которую включено множество цитат из Доклада МПБЭУ о глобальной оценке по вопросам биоразнообразия и экосистемных услуг (2019 год). В рамках МПБЭУ осваиваются новые тематические области в трех оценках, проводимых в настоящее время согласно скользящей программе работы на период до 2030 года, а именно: тематическая оценка по вопросам взаимосвязей между биоразнообразием, водными ресурсами, продовольствием и здоровьем (оценка совокупности), тематическая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w:t>
      </w:r>
      <w:r>
        <w:rPr>
          <w:lang w:val="en-US"/>
        </w:rPr>
        <w:t> </w:t>
      </w:r>
      <w:r w:rsidR="000B50C2" w:rsidRPr="00066EF4">
        <w:rPr>
          <w:lang w:val="ru-RU"/>
        </w:rPr>
        <w:t xml:space="preserve">года (оценка по вопросам преобразовательных изменений) и методологическая оценка по вопросам о воздействии хозяйственной деятельности на биоразнообразие и обеспечиваемый природой вклад на благо человека и ее зависимости от них (оценка по вопросам хозяйственной деятельности и биоразнообразия). Ожидается, что эти оценки </w:t>
      </w:r>
      <w:r w:rsidR="0092510E" w:rsidRPr="00066EF4">
        <w:rPr>
          <w:lang w:val="ru-RU"/>
        </w:rPr>
        <w:t>сформируют обоснование для</w:t>
      </w:r>
      <w:r w:rsidR="000B50C2" w:rsidRPr="00066EF4">
        <w:rPr>
          <w:lang w:val="ru-RU"/>
        </w:rPr>
        <w:t xml:space="preserve"> изменений, необходимых для достижения целей и задач Куньминско-Монреальской глобальной рамочной программы в области биоразнообразия и Концепции в области биоразнообразия на период до 2050 года, а также для работы над новыми тематическими направлениями, которые будут определены Пленумом на его десятой сессии в ответ на запросы правительств и других организаций.</w:t>
      </w:r>
    </w:p>
    <w:p w14:paraId="780F76E7" w14:textId="7A393248" w:rsidR="004B55F1" w:rsidRPr="00066EF4" w:rsidRDefault="00066EF4"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66EF4">
        <w:rPr>
          <w:lang w:val="ru-RU"/>
        </w:rPr>
        <w:t>6.</w:t>
      </w:r>
      <w:r>
        <w:rPr>
          <w:lang w:val="ru-RU"/>
        </w:rPr>
        <w:tab/>
      </w:r>
      <w:r w:rsidR="004B55F1" w:rsidRPr="00066EF4">
        <w:rPr>
          <w:lang w:val="ru-RU"/>
        </w:rPr>
        <w:t>МПБЭУ удалось добиться этих результатов благодаря приверженности, активному участию и неподдельному интересу его членов, многочисленных экспертов и других заинтересованных сторон, в том числе в течение всей пандемии коронавирусного заболевания (COVID-19). Во время пандемии все участники МПБЭУ освоили навыки удаленной работы, о чем свидетельствует тот факт, что, начиная с девятой сессии Пленума, МПБЭУ удалось провести около половины из 40 своих совещаний в онлайн-режиме, что позволило существенно сэкономить средства.</w:t>
      </w:r>
    </w:p>
    <w:p w14:paraId="04517442" w14:textId="0BFCEDB1" w:rsidR="00C15F64" w:rsidRPr="00BB5535" w:rsidRDefault="00066EF4"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66EF4">
        <w:rPr>
          <w:lang w:val="ru-RU"/>
        </w:rPr>
        <w:t>7.</w:t>
      </w:r>
      <w:r>
        <w:rPr>
          <w:lang w:val="ru-RU"/>
        </w:rPr>
        <w:tab/>
      </w:r>
      <w:r w:rsidR="00C15F64" w:rsidRPr="00066EF4">
        <w:rPr>
          <w:lang w:val="ru-RU"/>
        </w:rPr>
        <w:t xml:space="preserve">В связи с завершением срока полномочий членов целевых групп МПБЭУ на десятой сессии Пленума и в свете принятого на его седьмой сессии постановления Пленума пересмотреть мандат целевых групп и положение о них на его десятой сессии, была проведена </w:t>
      </w:r>
      <w:r w:rsidR="0092510E" w:rsidRPr="00066EF4">
        <w:rPr>
          <w:lang w:val="ru-RU"/>
        </w:rPr>
        <w:t>масштабная</w:t>
      </w:r>
      <w:r w:rsidR="00C15F64" w:rsidRPr="00066EF4">
        <w:rPr>
          <w:lang w:val="ru-RU"/>
        </w:rPr>
        <w:t xml:space="preserve"> работа по подготовке предложения для Пленума о будущих мандатах, положении и планах работы целевых групп. На рассмотрение Пленума также представлены сведения о дополнительных усилиях по стимулированию реализации цели 4 a) программы работы, касающейся политических инструментов, инструментов и методологий поддержки политики. Дополнительная информация имеется в документе IPBES/10/8.</w:t>
      </w:r>
    </w:p>
    <w:bookmarkEnd w:id="9"/>
    <w:p w14:paraId="43E5B083" w14:textId="542971A3" w:rsidR="001C16D3" w:rsidRPr="00066EF4" w:rsidRDefault="00066EF4" w:rsidP="00066EF4">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b/>
          <w:bCs/>
          <w:sz w:val="24"/>
          <w:szCs w:val="24"/>
          <w:lang w:val="ru-RU"/>
        </w:rPr>
      </w:pPr>
      <w:r>
        <w:rPr>
          <w:b/>
          <w:bCs/>
          <w:sz w:val="24"/>
          <w:szCs w:val="24"/>
          <w:lang w:val="ru-RU"/>
        </w:rPr>
        <w:tab/>
      </w:r>
      <w:r w:rsidR="001C16D3" w:rsidRPr="00066EF4">
        <w:rPr>
          <w:b/>
          <w:bCs/>
          <w:sz w:val="24"/>
          <w:szCs w:val="24"/>
          <w:lang w:val="ru-RU"/>
        </w:rPr>
        <w:t>A.</w:t>
      </w:r>
      <w:r w:rsidR="001C16D3" w:rsidRPr="00066EF4">
        <w:rPr>
          <w:b/>
          <w:bCs/>
          <w:sz w:val="24"/>
          <w:szCs w:val="24"/>
          <w:lang w:val="ru-RU"/>
        </w:rPr>
        <w:tab/>
        <w:t>Цель 1: Оценка знаний</w:t>
      </w:r>
    </w:p>
    <w:p w14:paraId="5DB175B1" w14:textId="1B743F9C" w:rsidR="00C8164A" w:rsidRPr="00066EF4" w:rsidRDefault="00066EF4"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66EF4">
        <w:rPr>
          <w:lang w:val="ru-RU"/>
        </w:rPr>
        <w:t>8.</w:t>
      </w:r>
      <w:r>
        <w:rPr>
          <w:lang w:val="ru-RU"/>
        </w:rPr>
        <w:tab/>
      </w:r>
      <w:r w:rsidR="00ED4717" w:rsidRPr="00066EF4">
        <w:rPr>
          <w:lang w:val="ru-RU"/>
        </w:rPr>
        <w:t>В решении МПБЭУ-6/1 Пленум одобрил проведение тематической оценки по вопросам инвазивных чужеродных видов после седьмой сессии Пленума для рассмотрения Пленумом на его десятой сессии. Это последняя незавершенная оценка из тех, которые были начаты в рамках первой программы работы МПБЭУ. На своей девятой сессии Пленум постановил, несмотря на раздел 3.1 и соответствующие положения процедур подготовки итоговых документов МПБЭУ</w:t>
      </w:r>
      <w:r w:rsidR="000668E8" w:rsidRPr="00066EF4">
        <w:rPr>
          <w:rStyle w:val="FootnoteReference"/>
          <w:szCs w:val="20"/>
          <w:lang w:val="ru-RU"/>
        </w:rPr>
        <w:footnoteReference w:id="3"/>
      </w:r>
      <w:r w:rsidR="00ED4717" w:rsidRPr="00066EF4">
        <w:rPr>
          <w:lang w:val="ru-RU"/>
        </w:rPr>
        <w:t>, предоставить правительствам возможность провести дополнительный обзор резюме для директивных органов. Этот обзор, проведенный правительствами и экспертами, проходил с 20</w:t>
      </w:r>
      <w:r>
        <w:rPr>
          <w:lang w:val="en-US"/>
        </w:rPr>
        <w:t> </w:t>
      </w:r>
      <w:r w:rsidR="00ED4717" w:rsidRPr="00066EF4">
        <w:rPr>
          <w:lang w:val="ru-RU"/>
        </w:rPr>
        <w:t>июля по 15 сентября 2022 года. С 24 по 27 октября 2022 года в Сантьяго был проведен семинар-практикум для рассмотрения замечаний по результатам обзора и дальнейшего составления резюме для директивных органов. Пленуму будет предложено рассмотреть главы доклада об оценке для принятия (IPBES/10/INF/1) и его резюме для директивных органов (IPBES/10/6) для утверждения. Обзор процесса проведения оценки имеется в документе IPBES/10/INF/5.</w:t>
      </w:r>
    </w:p>
    <w:p w14:paraId="7BFCFAE9" w14:textId="6A53AC3F" w:rsidR="00ED4717" w:rsidRPr="00066EF4" w:rsidRDefault="00066EF4"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66EF4">
        <w:rPr>
          <w:lang w:val="ru-RU"/>
        </w:rPr>
        <w:t>9.</w:t>
      </w:r>
      <w:r>
        <w:rPr>
          <w:lang w:val="ru-RU"/>
        </w:rPr>
        <w:tab/>
      </w:r>
      <w:r w:rsidR="00A07B04" w:rsidRPr="00066EF4">
        <w:rPr>
          <w:lang w:val="ru-RU"/>
        </w:rPr>
        <w:t>После девятой сессии Пленума был</w:t>
      </w:r>
      <w:r w:rsidR="00694FE6">
        <w:rPr>
          <w:lang w:val="ru-RU"/>
        </w:rPr>
        <w:t xml:space="preserve">и </w:t>
      </w:r>
      <w:r w:rsidR="00A07B04" w:rsidRPr="00066EF4">
        <w:rPr>
          <w:lang w:val="ru-RU"/>
        </w:rPr>
        <w:t>достигнут</w:t>
      </w:r>
      <w:r w:rsidR="00694FE6">
        <w:rPr>
          <w:lang w:val="ru-RU"/>
        </w:rPr>
        <w:t>ы</w:t>
      </w:r>
      <w:r w:rsidR="00A07B04" w:rsidRPr="00066EF4">
        <w:rPr>
          <w:lang w:val="ru-RU"/>
        </w:rPr>
        <w:t xml:space="preserve"> следующи</w:t>
      </w:r>
      <w:r w:rsidR="00694FE6">
        <w:rPr>
          <w:lang w:val="ru-RU"/>
        </w:rPr>
        <w:t>е</w:t>
      </w:r>
      <w:r w:rsidR="00A07B04" w:rsidRPr="00066EF4">
        <w:rPr>
          <w:lang w:val="ru-RU"/>
        </w:rPr>
        <w:t xml:space="preserve"> </w:t>
      </w:r>
      <w:r w:rsidR="00694FE6">
        <w:rPr>
          <w:lang w:val="ru-RU"/>
        </w:rPr>
        <w:t>результаты</w:t>
      </w:r>
      <w:r w:rsidR="00694FE6" w:rsidRPr="00066EF4">
        <w:rPr>
          <w:lang w:val="ru-RU"/>
        </w:rPr>
        <w:t xml:space="preserve"> </w:t>
      </w:r>
      <w:r w:rsidR="00A07B04" w:rsidRPr="00066EF4">
        <w:rPr>
          <w:lang w:val="ru-RU"/>
        </w:rPr>
        <w:t xml:space="preserve">в </w:t>
      </w:r>
      <w:r w:rsidR="0092510E" w:rsidRPr="00066EF4">
        <w:rPr>
          <w:lang w:val="ru-RU"/>
        </w:rPr>
        <w:t>подготовке</w:t>
      </w:r>
      <w:r w:rsidR="00A07B04" w:rsidRPr="00066EF4">
        <w:rPr>
          <w:lang w:val="ru-RU"/>
        </w:rPr>
        <w:t xml:space="preserve"> оценок в рамках цели 1 скользящей программы работы:</w:t>
      </w:r>
    </w:p>
    <w:p w14:paraId="3332C743" w14:textId="0B4F76C1" w:rsidR="005C0584" w:rsidRPr="00066EF4" w:rsidRDefault="00066EF4" w:rsidP="00066EF4">
      <w:pPr>
        <w:pStyle w:val="ANormal"/>
        <w:tabs>
          <w:tab w:val="clear" w:pos="624"/>
          <w:tab w:val="clear" w:pos="1247"/>
          <w:tab w:val="clear" w:pos="1871"/>
          <w:tab w:val="clear" w:pos="2495"/>
          <w:tab w:val="clear" w:pos="3119"/>
          <w:tab w:val="clear" w:pos="3742"/>
          <w:tab w:val="clear" w:pos="4366"/>
        </w:tabs>
        <w:spacing w:after="120"/>
        <w:ind w:left="1247" w:firstLine="624"/>
        <w:rPr>
          <w:lang w:val="ru-RU"/>
        </w:rPr>
      </w:pPr>
      <w:r w:rsidRPr="00066EF4">
        <w:rPr>
          <w:lang w:val="en-US"/>
        </w:rPr>
        <w:t>a</w:t>
      </w:r>
      <w:r w:rsidRPr="00066EF4">
        <w:rPr>
          <w:lang w:val="ru-RU"/>
        </w:rPr>
        <w:t>)</w:t>
      </w:r>
      <w:r>
        <w:rPr>
          <w:i/>
          <w:iCs/>
          <w:lang w:val="ru-RU"/>
        </w:rPr>
        <w:tab/>
      </w:r>
      <w:r w:rsidR="00615A50" w:rsidRPr="00066EF4">
        <w:rPr>
          <w:i/>
          <w:iCs/>
          <w:lang w:val="ru-RU"/>
        </w:rPr>
        <w:t>Тематическая оценка по вопросам взаимосвязей между биоразнообразием, водными ресурсами, продовольствием и здоровьем (оценка совокупности).</w:t>
      </w:r>
      <w:r w:rsidR="00615A50" w:rsidRPr="00066EF4">
        <w:rPr>
          <w:lang w:val="ru-RU"/>
        </w:rPr>
        <w:t xml:space="preserve"> Авторский коллектив состоит из 170 экспертов, включая научных специалистов. Младший специалист по управлению программами, который оказывает поддержку руководителю группы технической поддержки этой оценки, приступил к работе в секретариате МПБЭУ в октябре 2022 года. Второе совещание авторов и первое </w:t>
      </w:r>
      <w:r w:rsidR="00615A50" w:rsidRPr="00BE3797">
        <w:rPr>
          <w:lang w:val="ru-RU"/>
        </w:rPr>
        <w:t>совещание для содействия составлению резюме</w:t>
      </w:r>
      <w:r w:rsidR="00615A50" w:rsidRPr="00066EF4">
        <w:rPr>
          <w:lang w:val="ru-RU"/>
        </w:rPr>
        <w:t xml:space="preserve"> для директивных органов оценки были проведены в национальном парке Крюгер, Южная Африка, с 20 по 24 марта и 25 и 26 марта 2023 года, соответственно. Второе совещание для </w:t>
      </w:r>
      <w:r w:rsidR="0092510E" w:rsidRPr="00066EF4">
        <w:rPr>
          <w:lang w:val="ru-RU"/>
        </w:rPr>
        <w:t xml:space="preserve">содействия составлению резюме </w:t>
      </w:r>
      <w:r w:rsidR="00615A50" w:rsidRPr="00066EF4">
        <w:rPr>
          <w:lang w:val="ru-RU"/>
        </w:rPr>
        <w:t xml:space="preserve">для директивных органов пройдет в Гармиш-Партенкирхене, Германия, в </w:t>
      </w:r>
      <w:r w:rsidR="00615A50" w:rsidRPr="00066EF4">
        <w:rPr>
          <w:lang w:val="ru-RU"/>
        </w:rPr>
        <w:lastRenderedPageBreak/>
        <w:t xml:space="preserve">июле 2023 года. Ожидается, что второй внешний обзор пройдет с ноября 2023 года по январь 2024 года, в ходе которого будут </w:t>
      </w:r>
      <w:r w:rsidR="00B326FF" w:rsidRPr="00066EF4">
        <w:rPr>
          <w:lang w:val="ru-RU"/>
        </w:rPr>
        <w:t>организованы</w:t>
      </w:r>
      <w:r w:rsidR="00615A50" w:rsidRPr="00066EF4">
        <w:rPr>
          <w:lang w:val="ru-RU"/>
        </w:rPr>
        <w:t xml:space="preserve"> диалоги с участием представителей правительств и заинтересованных сторон. Третий диалог по вопросам знаний коренного и местного населения также будет проведен во время второго внешнего обзора. Третье совещание авторов и третье совещание для содействия составлению резюме для директивных органов состоятся в первом квартале 2024 года. Итоговое совещание для содействия составлению резюме для директивных органов пройдет во втором квартале 2024 года. Информация о ходе подготовки оценки совокупности содержится в документе IPBES/10/INF/6</w:t>
      </w:r>
      <w:r w:rsidR="00B326FF" w:rsidRPr="00066EF4">
        <w:rPr>
          <w:lang w:val="ru-RU"/>
        </w:rPr>
        <w:t>.</w:t>
      </w:r>
    </w:p>
    <w:p w14:paraId="3E133087" w14:textId="242AE33A" w:rsidR="00EA5F23" w:rsidRPr="00066EF4" w:rsidRDefault="00066EF4" w:rsidP="00066EF4">
      <w:pPr>
        <w:pStyle w:val="ANormal"/>
        <w:tabs>
          <w:tab w:val="clear" w:pos="624"/>
          <w:tab w:val="clear" w:pos="1247"/>
          <w:tab w:val="clear" w:pos="1871"/>
          <w:tab w:val="clear" w:pos="2495"/>
          <w:tab w:val="clear" w:pos="3119"/>
          <w:tab w:val="clear" w:pos="3742"/>
          <w:tab w:val="clear" w:pos="4366"/>
        </w:tabs>
        <w:spacing w:after="120"/>
        <w:ind w:left="1247" w:firstLine="624"/>
        <w:rPr>
          <w:lang w:val="ru-RU"/>
        </w:rPr>
      </w:pPr>
      <w:r w:rsidRPr="00066EF4">
        <w:rPr>
          <w:lang w:val="en-US"/>
        </w:rPr>
        <w:t>b</w:t>
      </w:r>
      <w:r w:rsidRPr="00066EF4">
        <w:rPr>
          <w:lang w:val="ru-RU"/>
        </w:rPr>
        <w:t>)</w:t>
      </w:r>
      <w:r>
        <w:rPr>
          <w:i/>
          <w:iCs/>
          <w:lang w:val="ru-RU"/>
        </w:rPr>
        <w:tab/>
      </w:r>
      <w:r w:rsidR="009B1BD3" w:rsidRPr="00066EF4">
        <w:rPr>
          <w:i/>
          <w:iCs/>
          <w:lang w:val="ru-RU"/>
        </w:rPr>
        <w:t>Тематическая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(оценка по вопросам преобразовательных изменений)</w:t>
      </w:r>
      <w:r w:rsidR="00B326FF" w:rsidRPr="00066EF4">
        <w:rPr>
          <w:i/>
          <w:iCs/>
          <w:lang w:val="ru-RU"/>
        </w:rPr>
        <w:t>.</w:t>
      </w:r>
      <w:r w:rsidR="009B1BD3" w:rsidRPr="00066EF4">
        <w:rPr>
          <w:lang w:val="ru-RU"/>
        </w:rPr>
        <w:t xml:space="preserve"> Авторский коллектив состоит из 170 экспертов, включая научных специалистов. Третий сотрудник группы технической поддержки (административный сотрудник) начал работу в Университете Монпелье, Франция, в октябре 2022 года. Второе совещание авторов и первое совещание для содействия составлению резюме для директивных органов прошли с 22</w:t>
      </w:r>
      <w:r>
        <w:rPr>
          <w:lang w:val="en-US"/>
        </w:rPr>
        <w:t> </w:t>
      </w:r>
      <w:r w:rsidR="009B1BD3" w:rsidRPr="00066EF4">
        <w:rPr>
          <w:lang w:val="ru-RU"/>
        </w:rPr>
        <w:t xml:space="preserve">по 26 мая и с 27 по 29 мая 2023 года, соответственно, в </w:t>
      </w:r>
      <w:proofErr w:type="spellStart"/>
      <w:r w:rsidR="009B1BD3" w:rsidRPr="00066EF4">
        <w:rPr>
          <w:lang w:val="ru-RU"/>
        </w:rPr>
        <w:t>Турриальбе</w:t>
      </w:r>
      <w:proofErr w:type="spellEnd"/>
      <w:r w:rsidR="009B1BD3" w:rsidRPr="00066EF4">
        <w:rPr>
          <w:lang w:val="ru-RU"/>
        </w:rPr>
        <w:t>, Коста-Рика. Второе совещание для содействия составлению резюме для директивных органов состоится в сентябре 2023 года в Тронхейме, Норвегия. Ожидается, что второй внешний обзор пройдет с ноября 2023</w:t>
      </w:r>
      <w:r>
        <w:rPr>
          <w:lang w:val="en-US"/>
        </w:rPr>
        <w:t> </w:t>
      </w:r>
      <w:r w:rsidR="009B1BD3" w:rsidRPr="00066EF4">
        <w:rPr>
          <w:lang w:val="ru-RU"/>
        </w:rPr>
        <w:t xml:space="preserve">года по январь 2024 года, в ходе которого будут </w:t>
      </w:r>
      <w:r w:rsidR="00B326FF" w:rsidRPr="00066EF4">
        <w:rPr>
          <w:lang w:val="ru-RU"/>
        </w:rPr>
        <w:t>организованы</w:t>
      </w:r>
      <w:r w:rsidR="009B1BD3" w:rsidRPr="00066EF4">
        <w:rPr>
          <w:lang w:val="ru-RU"/>
        </w:rPr>
        <w:t xml:space="preserve"> диалоги с участием представителей правительств и заинтересованных сторон. Третий диалог по вопросам знаний коренного и местного населения также будет проведен во время второго внешнего обзора. Третье совещание авторов и третье совещание для содействия составлению резюме для директивных органов состоятся в первом квартале 2024 года. Итоговое совещание для содействия составлению резюме для директивных органов пройдет во втором квартале 2024</w:t>
      </w:r>
      <w:r>
        <w:rPr>
          <w:lang w:val="en-US"/>
        </w:rPr>
        <w:t> </w:t>
      </w:r>
      <w:r w:rsidR="009B1BD3" w:rsidRPr="00066EF4">
        <w:rPr>
          <w:lang w:val="ru-RU"/>
        </w:rPr>
        <w:t>года. Информация о ходе подготовки оценки по вопросам преобразовательных изменений содержится в документе IPBES/10/INF/6</w:t>
      </w:r>
      <w:r w:rsidR="00B326FF" w:rsidRPr="00066EF4">
        <w:rPr>
          <w:lang w:val="ru-RU"/>
        </w:rPr>
        <w:t>.</w:t>
      </w:r>
    </w:p>
    <w:p w14:paraId="0139870F" w14:textId="0C2191F8" w:rsidR="00FB01A8" w:rsidRPr="00066EF4" w:rsidRDefault="00066EF4" w:rsidP="00066EF4">
      <w:pPr>
        <w:pStyle w:val="ANormal"/>
        <w:tabs>
          <w:tab w:val="clear" w:pos="624"/>
          <w:tab w:val="clear" w:pos="1247"/>
          <w:tab w:val="clear" w:pos="1871"/>
          <w:tab w:val="clear" w:pos="2495"/>
          <w:tab w:val="clear" w:pos="3119"/>
          <w:tab w:val="clear" w:pos="3742"/>
          <w:tab w:val="clear" w:pos="4366"/>
        </w:tabs>
        <w:spacing w:after="120"/>
        <w:ind w:left="1247" w:firstLine="624"/>
        <w:rPr>
          <w:lang w:val="ru-RU"/>
        </w:rPr>
      </w:pPr>
      <w:r w:rsidRPr="00066EF4">
        <w:rPr>
          <w:lang w:val="en-US"/>
        </w:rPr>
        <w:t>c</w:t>
      </w:r>
      <w:r w:rsidRPr="00066EF4">
        <w:rPr>
          <w:lang w:val="ru-RU"/>
        </w:rPr>
        <w:t>)</w:t>
      </w:r>
      <w:r>
        <w:rPr>
          <w:i/>
          <w:iCs/>
          <w:lang w:val="ru-RU"/>
        </w:rPr>
        <w:tab/>
      </w:r>
      <w:r w:rsidR="00A730B7" w:rsidRPr="00066EF4">
        <w:rPr>
          <w:i/>
          <w:iCs/>
          <w:lang w:val="ru-RU"/>
        </w:rPr>
        <w:t>Методологическая оценка по вопросам о воздействии хозяйственной деятельности на биоразнообразие и обеспечиваемый природой вклад на благо человека и ее зависимости от них (оценка по вопросам хозяйственной деятельности и биоразнообразия).</w:t>
      </w:r>
      <w:r w:rsidR="00A730B7" w:rsidRPr="00066EF4">
        <w:rPr>
          <w:lang w:val="ru-RU"/>
        </w:rPr>
        <w:t xml:space="preserve"> По состоянию на 31 мая 2023 года Многодисциплинарная группа экспертов в консультации с Бюро отобрала группу в составе 79 экспертов для оказания помощи в подготовке оценки. В ноябре 2022 года Бюро определило Институт им. Александра фон Гумбольдта (Колумбия) и Всемирный центр мониторинга охраны природы Программы Организации Объединенных Наций по окружающей среде в Соединенном Королевстве Великобритании и Северной Ирландии в качестве коллективного места размещения группы технической поддержки для проведения этой оценки, предложив Институту им. Александра фон Гумбольдта назначить руководителя этой группы. Группа технической поддержки была сформирована в марте 2023</w:t>
      </w:r>
      <w:r>
        <w:rPr>
          <w:lang w:val="en-US"/>
        </w:rPr>
        <w:t> </w:t>
      </w:r>
      <w:r w:rsidR="00A730B7" w:rsidRPr="00066EF4">
        <w:rPr>
          <w:lang w:val="ru-RU"/>
        </w:rPr>
        <w:t>года. Вводные совещания для сопредседателей и ведущих авторов-координаторов этой оценки были проведены в онлайн-режиме 8 и 9 июня 2023 года. 29 и 30 июня 2023 года состоялось вводное совещание в онлайн-режиме для всех экспертов по оценке. Первое совещание авторов для проведения оценки запланировано на 18</w:t>
      </w:r>
      <w:r w:rsidR="00B326FF" w:rsidRPr="00066EF4">
        <w:rPr>
          <w:lang w:val="ru-RU"/>
        </w:rPr>
        <w:t>–</w:t>
      </w:r>
      <w:r w:rsidR="00A730B7" w:rsidRPr="00066EF4">
        <w:rPr>
          <w:lang w:val="ru-RU"/>
        </w:rPr>
        <w:t>22 сентября 2023 года. Первый семинар-практикум</w:t>
      </w:r>
      <w:r w:rsidR="00B326FF" w:rsidRPr="00066EF4">
        <w:rPr>
          <w:lang w:val="ru-RU"/>
        </w:rPr>
        <w:t xml:space="preserve"> в формате диалога</w:t>
      </w:r>
      <w:r w:rsidR="00A730B7" w:rsidRPr="00066EF4">
        <w:rPr>
          <w:lang w:val="ru-RU"/>
        </w:rPr>
        <w:t xml:space="preserve"> по вопросам знаний коренного и местного населения для целей оценки запланирован на 23 и 24 сентября 2023 года. Информация о ходе подготовки оценки по вопросам хозяйственной деятельности и биоразнообразия содержится в документе IPBES/10/INF/6.</w:t>
      </w:r>
    </w:p>
    <w:p w14:paraId="4A088565" w14:textId="665650F7" w:rsidR="00811810" w:rsidRPr="00066EF4" w:rsidRDefault="00066EF4"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66EF4">
        <w:rPr>
          <w:lang w:val="ru-RU"/>
        </w:rPr>
        <w:t>10.</w:t>
      </w:r>
      <w:r w:rsidRPr="00066EF4">
        <w:rPr>
          <w:lang w:val="ru-RU"/>
        </w:rPr>
        <w:tab/>
      </w:r>
      <w:r w:rsidR="00290225" w:rsidRPr="00066EF4">
        <w:rPr>
          <w:lang w:val="ru-RU"/>
        </w:rPr>
        <w:t xml:space="preserve">На десятой сессии Пленуму будет предложено добавить дополнительные тематические оценки в программу работы МПБЭУ на период до 2030 года. Многодисциплинарная группа экспертов и Бюро определили приоритетность запросов, материалов и предложений в отношении дополнительных элементов скользящей программы работы Платформы на период до 2030 года. Доклад об определении приоритетности, включая рекомендации Пленуму для рассмотрения на его десятой сессии, содержится в документе IPBES/10/10. </w:t>
      </w:r>
    </w:p>
    <w:p w14:paraId="43F25B18" w14:textId="21B418A6" w:rsidR="00811810" w:rsidRPr="00A03607" w:rsidRDefault="00066EF4" w:rsidP="00066EF4">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b/>
          <w:bCs/>
          <w:sz w:val="24"/>
          <w:szCs w:val="24"/>
          <w:lang w:val="ru-RU"/>
        </w:rPr>
      </w:pPr>
      <w:r>
        <w:rPr>
          <w:b/>
          <w:bCs/>
          <w:sz w:val="24"/>
          <w:szCs w:val="24"/>
          <w:lang w:val="ru-RU"/>
        </w:rPr>
        <w:tab/>
      </w:r>
      <w:r w:rsidR="00C7372A" w:rsidRPr="00066EF4">
        <w:rPr>
          <w:b/>
          <w:bCs/>
          <w:sz w:val="24"/>
          <w:szCs w:val="24"/>
          <w:lang w:val="ru-RU"/>
        </w:rPr>
        <w:t>B.</w:t>
      </w:r>
      <w:r w:rsidR="00C7372A" w:rsidRPr="00066EF4">
        <w:rPr>
          <w:b/>
          <w:bCs/>
          <w:sz w:val="24"/>
          <w:szCs w:val="24"/>
          <w:lang w:val="ru-RU"/>
        </w:rPr>
        <w:tab/>
        <w:t>Цель 2: Создание потенциала</w:t>
      </w:r>
    </w:p>
    <w:p w14:paraId="439D74AC" w14:textId="30E22193" w:rsidR="00811810" w:rsidRPr="00066EF4" w:rsidRDefault="00A03607"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bookmarkStart w:id="10" w:name="_Hlk67561997"/>
      <w:r w:rsidRPr="00A03607">
        <w:rPr>
          <w:lang w:val="ru-RU"/>
        </w:rPr>
        <w:t>11.</w:t>
      </w:r>
      <w:r w:rsidRPr="00A03607">
        <w:rPr>
          <w:lang w:val="ru-RU"/>
        </w:rPr>
        <w:tab/>
      </w:r>
      <w:r w:rsidR="00811810" w:rsidRPr="00066EF4">
        <w:rPr>
          <w:lang w:val="ru-RU"/>
        </w:rPr>
        <w:t xml:space="preserve">В пункте 1 раздела III решения МПБЭУ-7/1 Пленум продлил мандат целевой группы по вопросам создания потенциала для достижения цели 2 в соответствии с пересмотренным </w:t>
      </w:r>
      <w:r w:rsidR="00B326FF" w:rsidRPr="00066EF4">
        <w:rPr>
          <w:lang w:val="ru-RU"/>
        </w:rPr>
        <w:t>п</w:t>
      </w:r>
      <w:r w:rsidR="00811810" w:rsidRPr="00066EF4">
        <w:rPr>
          <w:lang w:val="ru-RU"/>
        </w:rPr>
        <w:t xml:space="preserve">оложением, изложенным в разделах I и II приложения II к этому решению. Во исполнение этого решения Бюро и Многодисциплинарная группа экспертов сформировали целевую группу в соответствии с пересмотренным </w:t>
      </w:r>
      <w:r w:rsidR="00525560" w:rsidRPr="00066EF4">
        <w:rPr>
          <w:lang w:val="ru-RU"/>
        </w:rPr>
        <w:t>п</w:t>
      </w:r>
      <w:r w:rsidR="00811810" w:rsidRPr="00066EF4">
        <w:rPr>
          <w:lang w:val="ru-RU"/>
        </w:rPr>
        <w:t xml:space="preserve">оложением. </w:t>
      </w:r>
    </w:p>
    <w:p w14:paraId="0A91B2DE" w14:textId="5F1FFD82" w:rsidR="00A424CF" w:rsidRPr="00066EF4" w:rsidRDefault="00A03607" w:rsidP="00066EF4">
      <w:pPr>
        <w:pStyle w:val="ANormal"/>
        <w:tabs>
          <w:tab w:val="clear" w:pos="624"/>
          <w:tab w:val="clear" w:pos="1247"/>
          <w:tab w:val="clear" w:pos="1871"/>
          <w:tab w:val="clear" w:pos="2495"/>
          <w:tab w:val="clear" w:pos="3119"/>
          <w:tab w:val="clear" w:pos="3742"/>
          <w:tab w:val="clear" w:pos="4366"/>
        </w:tabs>
        <w:spacing w:after="120"/>
        <w:ind w:left="1247"/>
        <w:rPr>
          <w:rFonts w:cstheme="minorBidi"/>
          <w:lang w:val="ru-RU"/>
        </w:rPr>
      </w:pPr>
      <w:r w:rsidRPr="00A03607">
        <w:rPr>
          <w:lang w:val="ru-RU"/>
        </w:rPr>
        <w:t>12.</w:t>
      </w:r>
      <w:r w:rsidRPr="00A03607">
        <w:rPr>
          <w:lang w:val="ru-RU"/>
        </w:rPr>
        <w:tab/>
      </w:r>
      <w:r w:rsidR="00A07B04" w:rsidRPr="00066EF4">
        <w:rPr>
          <w:lang w:val="ru-RU"/>
        </w:rPr>
        <w:t xml:space="preserve">Первое совещание пяти целевых групп МПБЭУ в рамках скользящей программы работы на период до 2030 года было организовано в виде совместного совещания с проведением как </w:t>
      </w:r>
      <w:r w:rsidR="00A07B04" w:rsidRPr="00066EF4">
        <w:rPr>
          <w:lang w:val="ru-RU"/>
        </w:rPr>
        <w:lastRenderedPageBreak/>
        <w:t>совместных, так и отдельных сессий в Бонне, Германия, с 11 по 14 ноября 2019 года. Второе и третье совещания целевой группы по вопросам создания потенциала были проведены в онлайн</w:t>
      </w:r>
      <w:r>
        <w:rPr>
          <w:lang w:val="ru-RU"/>
        </w:rPr>
        <w:noBreakHyphen/>
      </w:r>
      <w:r w:rsidR="00A07B04" w:rsidRPr="00066EF4">
        <w:rPr>
          <w:lang w:val="ru-RU"/>
        </w:rPr>
        <w:t xml:space="preserve">режиме 28 апреля 2020 года и 22 и 23 октября 2021 года, соответственно. Четвертое совещание целевой группы по вопросам создания потенциала состоялось в Марселе, Франция, 2–4 ноября 2022 года. </w:t>
      </w:r>
      <w:bookmarkEnd w:id="10"/>
    </w:p>
    <w:p w14:paraId="1287B3F6" w14:textId="4B3BCA3A" w:rsidR="00A424CF" w:rsidRPr="00066EF4" w:rsidRDefault="00A03607"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A03607">
        <w:rPr>
          <w:lang w:val="ru-RU"/>
        </w:rPr>
        <w:t>13.</w:t>
      </w:r>
      <w:r w:rsidRPr="00A03607">
        <w:rPr>
          <w:lang w:val="ru-RU"/>
        </w:rPr>
        <w:tab/>
      </w:r>
      <w:r w:rsidR="00A424CF" w:rsidRPr="00066EF4">
        <w:rPr>
          <w:lang w:val="ru-RU"/>
        </w:rPr>
        <w:t>Информация о ходе достижения цели 2 после девятой сессии Пленума имеется в документе IPBES/10/INF/9 и включает следующие мероприятия:</w:t>
      </w:r>
    </w:p>
    <w:p w14:paraId="7B0F9884" w14:textId="59E27D19" w:rsidR="00A424CF" w:rsidRPr="00066EF4" w:rsidRDefault="00A03607" w:rsidP="00A03607">
      <w:pPr>
        <w:pStyle w:val="ANormal"/>
        <w:tabs>
          <w:tab w:val="clear" w:pos="624"/>
          <w:tab w:val="clear" w:pos="1247"/>
          <w:tab w:val="clear" w:pos="1871"/>
          <w:tab w:val="clear" w:pos="2495"/>
          <w:tab w:val="clear" w:pos="3119"/>
          <w:tab w:val="clear" w:pos="3742"/>
          <w:tab w:val="clear" w:pos="4366"/>
        </w:tabs>
        <w:spacing w:after="120"/>
        <w:ind w:left="1247" w:firstLine="624"/>
        <w:rPr>
          <w:iCs/>
          <w:lang w:val="ru-RU"/>
        </w:rPr>
      </w:pPr>
      <w:r>
        <w:rPr>
          <w:lang w:val="en-US"/>
        </w:rPr>
        <w:t>a</w:t>
      </w:r>
      <w:r w:rsidRPr="00A03607">
        <w:rPr>
          <w:lang w:val="ru-RU"/>
        </w:rPr>
        <w:t>)</w:t>
      </w:r>
      <w:r>
        <w:rPr>
          <w:lang w:val="ru-RU"/>
        </w:rPr>
        <w:tab/>
      </w:r>
      <w:r w:rsidR="00694FE6">
        <w:rPr>
          <w:lang w:val="ru-RU"/>
        </w:rPr>
        <w:t>ход</w:t>
      </w:r>
      <w:r w:rsidR="00A424CF" w:rsidRPr="00066EF4">
        <w:rPr>
          <w:lang w:val="ru-RU"/>
        </w:rPr>
        <w:t xml:space="preserve"> достижени</w:t>
      </w:r>
      <w:r w:rsidR="00694FE6">
        <w:rPr>
          <w:lang w:val="ru-RU"/>
        </w:rPr>
        <w:t>я</w:t>
      </w:r>
      <w:r w:rsidR="00A424CF" w:rsidRPr="00066EF4">
        <w:rPr>
          <w:lang w:val="ru-RU"/>
        </w:rPr>
        <w:t xml:space="preserve"> цели 2 a) «Расширение обучения и привлечения к работе» включает осуществление программы для научных специалистов в области оценки по вопросам инвазивных чужеродных видов, оценки совокупности, </w:t>
      </w:r>
      <w:r w:rsidR="00525560" w:rsidRPr="00066EF4">
        <w:rPr>
          <w:lang w:val="ru-RU"/>
        </w:rPr>
        <w:t xml:space="preserve">оценки </w:t>
      </w:r>
      <w:r w:rsidR="00A424CF" w:rsidRPr="00066EF4">
        <w:rPr>
          <w:lang w:val="ru-RU"/>
        </w:rPr>
        <w:t>по вопросам преобразовательных изменений с участием целевой группы по вопросам сценариев и моделей биоразнообразия и экосистемных услуг, включая проведение учебного семинара-практикума для научных специалистов 9–12 мая 2023 года в Найроби; проведение 8 декабря 2022 года в онлайн-режиме совещания сети научных специалистов и выпускников с целью активизации их участия в мероприятиях по стимулированию создания потенциала в рамках МПБЭУ; определение комитетом по управлению оценкой в мае 2023 года научных специалистов для проведения оценки по вопросам хозяйственной деятельности и биоразнообразия и участие научных специалистов во вводном онлайновом совещании в июне 2023 года; международный молодежный семинар-практикум, проведенный 19–23 октября 2022 года на острове Вильм (Германия) с целью стимулирования участия молодежи в процессах МПБЭУ и расширения ее знаний об основных результатах оценок и других итоговых документах; два дискуссионных совещания в онлайн-режиме для национальных координаторов: первый – в поддержку дальнейшей разработки проекта методологического руководства по использованию системы прогнозирования будущего природной среды – гибкого инструмента для разработки сценариев и моделей желаемого будущего для людей, природы и Матери-Земли</w:t>
      </w:r>
      <w:r w:rsidR="004A049B" w:rsidRPr="00066EF4">
        <w:rPr>
          <w:rStyle w:val="FootnoteReference"/>
          <w:bCs/>
          <w:iCs/>
          <w:szCs w:val="20"/>
          <w:lang w:val="ru-RU"/>
        </w:rPr>
        <w:footnoteReference w:id="4"/>
      </w:r>
      <w:r w:rsidR="00A424CF" w:rsidRPr="00066EF4">
        <w:rPr>
          <w:lang w:val="ru-RU"/>
        </w:rPr>
        <w:t>, который состоялся 20</w:t>
      </w:r>
      <w:r>
        <w:rPr>
          <w:lang w:val="en-US"/>
        </w:rPr>
        <w:t> </w:t>
      </w:r>
      <w:r w:rsidR="00A424CF" w:rsidRPr="00066EF4">
        <w:rPr>
          <w:lang w:val="ru-RU"/>
        </w:rPr>
        <w:t>сентября 2022 года</w:t>
      </w:r>
      <w:r w:rsidR="00525560" w:rsidRPr="00066EF4">
        <w:rPr>
          <w:lang w:val="ru-RU"/>
        </w:rPr>
        <w:t>,</w:t>
      </w:r>
      <w:r w:rsidR="00A424CF" w:rsidRPr="00066EF4">
        <w:rPr>
          <w:lang w:val="ru-RU"/>
        </w:rPr>
        <w:t xml:space="preserve"> и второй –</w:t>
      </w:r>
      <w:r w:rsidR="0078561C">
        <w:rPr>
          <w:lang w:val="ru-RU"/>
        </w:rPr>
        <w:t xml:space="preserve"> </w:t>
      </w:r>
      <w:r w:rsidR="00A424CF" w:rsidRPr="00066EF4">
        <w:rPr>
          <w:lang w:val="ru-RU"/>
        </w:rPr>
        <w:t>в поддержку процесса выдвижения кандидатур экспертов и научных специалистов для оценки по вопросам хозяйственной деятельности и биоразнообразия, который состоялся 4 октября 2022 года, и соответствующего диалога с участием заинтересованных сторон, который состоялся 6 октября 2022 года; онлайновые диалоги с участием национальных координаторов и заинтересованных сторон, а также специалистов-практиков, проведенные в рамках первых внешних обзоров оценки совокупности и оценки по вопросам преобразовательных изменений 9 февраля и 8 марта 2023 года, соответственно, с целью оказания участникам помощи в подготовке и представлении письменных замечаний по итогам обзора; очное дискуссионное совещание с новыми членами и наблюдателями МПБЭУ, которое состоится 18–20 апреля 2023 года в Риме и будет посвящено дальнейшему созданию потенциала в области результатов и процессов МПБЭУ, а также стимулировани</w:t>
      </w:r>
      <w:r w:rsidR="00525560" w:rsidRPr="00066EF4">
        <w:rPr>
          <w:lang w:val="ru-RU"/>
        </w:rPr>
        <w:t>ю</w:t>
      </w:r>
      <w:r w:rsidR="00A424CF" w:rsidRPr="00066EF4">
        <w:rPr>
          <w:lang w:val="ru-RU"/>
        </w:rPr>
        <w:t xml:space="preserve"> членства в МПБЭУ; и разработк</w:t>
      </w:r>
      <w:r w:rsidR="00525560" w:rsidRPr="00066EF4">
        <w:rPr>
          <w:lang w:val="ru-RU"/>
        </w:rPr>
        <w:t>у</w:t>
      </w:r>
      <w:r w:rsidR="00A424CF" w:rsidRPr="00066EF4">
        <w:rPr>
          <w:lang w:val="ru-RU"/>
        </w:rPr>
        <w:t xml:space="preserve"> дополнительных онлайновых ресурсов для Платформы;</w:t>
      </w:r>
    </w:p>
    <w:p w14:paraId="205AE9FB" w14:textId="026E748D" w:rsidR="00A424CF" w:rsidRPr="00066EF4" w:rsidRDefault="00A03607" w:rsidP="00A03607">
      <w:pPr>
        <w:pStyle w:val="ANormal"/>
        <w:tabs>
          <w:tab w:val="clear" w:pos="624"/>
          <w:tab w:val="clear" w:pos="1247"/>
          <w:tab w:val="clear" w:pos="1871"/>
          <w:tab w:val="clear" w:pos="2495"/>
          <w:tab w:val="clear" w:pos="3119"/>
          <w:tab w:val="clear" w:pos="3742"/>
          <w:tab w:val="clear" w:pos="4366"/>
        </w:tabs>
        <w:spacing w:after="120"/>
        <w:ind w:left="1247" w:firstLine="624"/>
        <w:rPr>
          <w:lang w:val="ru-RU"/>
        </w:rPr>
      </w:pPr>
      <w:r>
        <w:rPr>
          <w:lang w:val="en-US"/>
        </w:rPr>
        <w:t>b</w:t>
      </w:r>
      <w:r w:rsidRPr="00A03607">
        <w:rPr>
          <w:lang w:val="ru-RU"/>
        </w:rPr>
        <w:t>)</w:t>
      </w:r>
      <w:r>
        <w:rPr>
          <w:lang w:val="ru-RU"/>
        </w:rPr>
        <w:tab/>
      </w:r>
      <w:r w:rsidR="00694FE6">
        <w:rPr>
          <w:lang w:val="ru-RU"/>
        </w:rPr>
        <w:t>ход</w:t>
      </w:r>
      <w:r w:rsidR="00694FE6" w:rsidRPr="00066EF4">
        <w:rPr>
          <w:lang w:val="ru-RU"/>
        </w:rPr>
        <w:t xml:space="preserve"> достижени</w:t>
      </w:r>
      <w:r w:rsidR="00694FE6">
        <w:rPr>
          <w:lang w:val="ru-RU"/>
        </w:rPr>
        <w:t>я</w:t>
      </w:r>
      <w:r w:rsidR="00694FE6" w:rsidRPr="00066EF4">
        <w:rPr>
          <w:lang w:val="ru-RU"/>
        </w:rPr>
        <w:t xml:space="preserve"> цели </w:t>
      </w:r>
      <w:r w:rsidR="00A424CF" w:rsidRPr="00066EF4">
        <w:rPr>
          <w:lang w:val="ru-RU"/>
        </w:rPr>
        <w:t>2 b) «Обеспечение доступа к экспертным знаниям и информации» включает оказание поддержки ряду учреждений и организаций в представлении лицам, принимающим решения, и различным группам заинтересованных сторон основных выводов по итогам оценок МПБЭУ и других результатов деятельности; непрерывную разработку онлайнового образовательного интерактивного инструмента, отражающего результаты оценки по вопросам инвазивных чужеродных видов; и проведение 12 мая 2023 года в Найроби шестого совещания форума по вопросам создания потенциала, посвященного усилиям по дальнейшему созданию потенциала молодежи для понимания результатов оценок МПБЭУ и принятия мер с их учетом, а также участию молодежи в механизме научно</w:t>
      </w:r>
      <w:r w:rsidR="00102C99">
        <w:rPr>
          <w:lang w:val="ru-RU"/>
        </w:rPr>
        <w:noBreakHyphen/>
      </w:r>
      <w:r w:rsidR="00A424CF" w:rsidRPr="00066EF4">
        <w:rPr>
          <w:lang w:val="ru-RU"/>
        </w:rPr>
        <w:t>политического взаимодействия;</w:t>
      </w:r>
    </w:p>
    <w:p w14:paraId="5ACEF68F" w14:textId="27409F8E" w:rsidR="00A424CF" w:rsidRPr="00066EF4" w:rsidRDefault="00A03607" w:rsidP="00A03607">
      <w:pPr>
        <w:pStyle w:val="ANormal"/>
        <w:tabs>
          <w:tab w:val="clear" w:pos="624"/>
          <w:tab w:val="clear" w:pos="1247"/>
          <w:tab w:val="clear" w:pos="1871"/>
          <w:tab w:val="clear" w:pos="2495"/>
          <w:tab w:val="clear" w:pos="3119"/>
          <w:tab w:val="clear" w:pos="3742"/>
          <w:tab w:val="clear" w:pos="4366"/>
        </w:tabs>
        <w:spacing w:after="120"/>
        <w:ind w:left="1247" w:firstLine="624"/>
        <w:rPr>
          <w:lang w:val="ru-RU"/>
        </w:rPr>
      </w:pPr>
      <w:r>
        <w:rPr>
          <w:lang w:val="en-US"/>
        </w:rPr>
        <w:t>c</w:t>
      </w:r>
      <w:r w:rsidRPr="00A03607">
        <w:rPr>
          <w:lang w:val="ru-RU"/>
        </w:rPr>
        <w:t>)</w:t>
      </w:r>
      <w:r>
        <w:rPr>
          <w:lang w:val="ru-RU"/>
        </w:rPr>
        <w:tab/>
      </w:r>
      <w:r w:rsidR="00694FE6">
        <w:rPr>
          <w:lang w:val="ru-RU"/>
        </w:rPr>
        <w:t>ход</w:t>
      </w:r>
      <w:r w:rsidR="00694FE6" w:rsidRPr="00066EF4">
        <w:rPr>
          <w:lang w:val="ru-RU"/>
        </w:rPr>
        <w:t xml:space="preserve"> достижени</w:t>
      </w:r>
      <w:r w:rsidR="00694FE6">
        <w:rPr>
          <w:lang w:val="ru-RU"/>
        </w:rPr>
        <w:t>я</w:t>
      </w:r>
      <w:r w:rsidR="00694FE6" w:rsidRPr="00066EF4">
        <w:rPr>
          <w:lang w:val="ru-RU"/>
        </w:rPr>
        <w:t xml:space="preserve"> цели </w:t>
      </w:r>
      <w:r w:rsidR="00A424CF" w:rsidRPr="00066EF4">
        <w:rPr>
          <w:lang w:val="ru-RU"/>
        </w:rPr>
        <w:t xml:space="preserve">2 c) «Укрепление национального и регионального потенциала» включает продолжение диалога с действующими национальными, субрегиональными и региональными платформами, сетями и группами по оценке, участвующими в работе МПБЭУ и вносящими в нее свой вклад, а также </w:t>
      </w:r>
      <w:r w:rsidR="008057C9" w:rsidRPr="00066EF4">
        <w:rPr>
          <w:lang w:val="ru-RU"/>
        </w:rPr>
        <w:t>лицами и субъектами</w:t>
      </w:r>
      <w:r w:rsidR="00A424CF" w:rsidRPr="00066EF4">
        <w:rPr>
          <w:lang w:val="ru-RU"/>
        </w:rPr>
        <w:t>, заинтересован</w:t>
      </w:r>
      <w:r w:rsidR="008057C9" w:rsidRPr="00066EF4">
        <w:rPr>
          <w:lang w:val="ru-RU"/>
        </w:rPr>
        <w:t>ными</w:t>
      </w:r>
      <w:r w:rsidR="00A424CF" w:rsidRPr="00066EF4">
        <w:rPr>
          <w:lang w:val="ru-RU"/>
        </w:rPr>
        <w:t xml:space="preserve"> в создании новой платформы, и организациями и учреждениями, которые </w:t>
      </w:r>
      <w:r w:rsidR="008057C9" w:rsidRPr="00066EF4">
        <w:rPr>
          <w:lang w:val="ru-RU"/>
        </w:rPr>
        <w:t>располагают возможностями</w:t>
      </w:r>
      <w:r w:rsidR="00A424CF" w:rsidRPr="00066EF4">
        <w:rPr>
          <w:lang w:val="ru-RU"/>
        </w:rPr>
        <w:t xml:space="preserve"> поддержать такие усилия. В ходе онлайнового семинара</w:t>
      </w:r>
      <w:r>
        <w:rPr>
          <w:lang w:val="ru-RU"/>
        </w:rPr>
        <w:noBreakHyphen/>
      </w:r>
      <w:r w:rsidR="00A424CF" w:rsidRPr="00066EF4">
        <w:rPr>
          <w:lang w:val="ru-RU"/>
        </w:rPr>
        <w:t xml:space="preserve">практикума в формате диалога с участием национальных, региональных и субрегиональных платформ и сетей, а также национальных координационных центров, </w:t>
      </w:r>
      <w:r w:rsidR="00A424CF" w:rsidRPr="00066EF4">
        <w:rPr>
          <w:lang w:val="ru-RU"/>
        </w:rPr>
        <w:lastRenderedPageBreak/>
        <w:t>который состоится 23 июня 2023 года, будут рассмотрены усилия по стимулированию синергии и сотрудничества в интересах содействия реализации скользящей программы работы МПБЭУ на период до 2030 года и Куньминско-Монреальской глобальной рамочной программы в области биоразнообразия. Кроме того, целевая группа по вопросам создания потенциала планирует провести два семинара-практикума в формате диалога, один для Африканского региона и один для Азиатско-Тихоокеанского региона, 13 и 20 июня 2023 года, соответственно, совместно с целевой группой по вопросам знаний и данных и целевой группой по вопросам инструментов и методологий политики.</w:t>
      </w:r>
    </w:p>
    <w:p w14:paraId="50D5A484" w14:textId="431ED578" w:rsidR="007037E9" w:rsidRPr="00A03607" w:rsidRDefault="00A03607" w:rsidP="00A03607">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b/>
          <w:bCs/>
          <w:sz w:val="24"/>
          <w:szCs w:val="24"/>
          <w:lang w:val="ru-RU"/>
        </w:rPr>
      </w:pPr>
      <w:r>
        <w:rPr>
          <w:b/>
          <w:bCs/>
          <w:sz w:val="24"/>
          <w:szCs w:val="24"/>
          <w:lang w:val="ru-RU"/>
        </w:rPr>
        <w:tab/>
      </w:r>
      <w:r w:rsidR="007037E9" w:rsidRPr="00A03607">
        <w:rPr>
          <w:b/>
          <w:bCs/>
          <w:sz w:val="24"/>
          <w:szCs w:val="24"/>
          <w:lang w:val="ru-RU"/>
        </w:rPr>
        <w:t>C.</w:t>
      </w:r>
      <w:r w:rsidR="007037E9" w:rsidRPr="00A03607">
        <w:rPr>
          <w:b/>
          <w:bCs/>
          <w:sz w:val="24"/>
          <w:szCs w:val="24"/>
          <w:lang w:val="ru-RU"/>
        </w:rPr>
        <w:tab/>
        <w:t>Цель 3: Укрепление базы знаний</w:t>
      </w:r>
    </w:p>
    <w:p w14:paraId="2F152A41" w14:textId="10F04426" w:rsidR="00DA057F" w:rsidRPr="00A03607" w:rsidRDefault="00A03607" w:rsidP="00A03607">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lang w:val="ru-RU"/>
        </w:rPr>
      </w:pPr>
      <w:r>
        <w:rPr>
          <w:b/>
          <w:bCs/>
          <w:lang w:val="ru-RU"/>
        </w:rPr>
        <w:tab/>
      </w:r>
      <w:r w:rsidR="004B0870" w:rsidRPr="00A03607">
        <w:rPr>
          <w:b/>
          <w:bCs/>
          <w:lang w:val="ru-RU"/>
        </w:rPr>
        <w:t>1.</w:t>
      </w:r>
      <w:r w:rsidR="004B0870" w:rsidRPr="00A03607">
        <w:rPr>
          <w:b/>
          <w:bCs/>
          <w:lang w:val="ru-RU"/>
        </w:rPr>
        <w:tab/>
        <w:t>Цель 3 a): Углубленная работа над знаниями и данными</w:t>
      </w:r>
    </w:p>
    <w:p w14:paraId="5A02D255" w14:textId="44B15CD8" w:rsidR="00C934EA" w:rsidRPr="00066EF4" w:rsidRDefault="00A03607"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A03607">
        <w:rPr>
          <w:lang w:val="ru-RU"/>
        </w:rPr>
        <w:t>14.</w:t>
      </w:r>
      <w:r w:rsidRPr="00A03607">
        <w:rPr>
          <w:lang w:val="ru-RU"/>
        </w:rPr>
        <w:tab/>
      </w:r>
      <w:r w:rsidR="0067713A" w:rsidRPr="00066EF4">
        <w:rPr>
          <w:lang w:val="ru-RU"/>
        </w:rPr>
        <w:t xml:space="preserve">В пункте 1 раздела IV решения МПБЭУ-7/1 Пленум продлил мандат целевой группы по вопросам знаний и данных для достижения цели 3 а) в соответствии с пересмотренным положением, изложенным в разделах I и III приложения II к </w:t>
      </w:r>
      <w:r w:rsidR="008057C9" w:rsidRPr="00066EF4">
        <w:rPr>
          <w:lang w:val="ru-RU"/>
        </w:rPr>
        <w:t>указанному</w:t>
      </w:r>
      <w:r w:rsidR="0067713A" w:rsidRPr="00066EF4">
        <w:rPr>
          <w:lang w:val="ru-RU"/>
        </w:rPr>
        <w:t xml:space="preserve"> решению. Во исполнение этого решения Бюро и Многодисциплинарная группа экспертов сформировали целевую группу в соответствии с пересмотренным положением.</w:t>
      </w:r>
    </w:p>
    <w:p w14:paraId="394BF519" w14:textId="0B09ED3D" w:rsidR="002753A6" w:rsidRPr="00066EF4" w:rsidRDefault="00A03607"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A03607">
        <w:rPr>
          <w:lang w:val="ru-RU"/>
        </w:rPr>
        <w:t>15.</w:t>
      </w:r>
      <w:r w:rsidRPr="00A03607">
        <w:rPr>
          <w:lang w:val="ru-RU"/>
        </w:rPr>
        <w:tab/>
      </w:r>
      <w:r w:rsidR="002753A6" w:rsidRPr="00066EF4">
        <w:rPr>
          <w:lang w:val="ru-RU"/>
        </w:rPr>
        <w:t xml:space="preserve">Первое совещание пяти целевых групп МПБЭУ в рамках скользящей программы работы на период до 2030 года было организовано в виде совместного совещания с проведением как совместных, так и отдельных сессий в Бонне, Германия, с 11 по 14 ноября 2019 года. Второе, третье и четвертое совещания целевой группы по вопросам знаний и данных были проведены в онлайн-режиме с 13 по 16 июля 2020 года, 29 и 30 ноября 2021 года и 10 и 11 мая 2023 года, соответственно. </w:t>
      </w:r>
    </w:p>
    <w:p w14:paraId="3206A157" w14:textId="5D974532" w:rsidR="006D7F08" w:rsidRPr="00066EF4" w:rsidRDefault="00A03607"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A03607">
        <w:rPr>
          <w:lang w:val="ru-RU"/>
        </w:rPr>
        <w:t>16.</w:t>
      </w:r>
      <w:r w:rsidRPr="00A03607">
        <w:rPr>
          <w:lang w:val="ru-RU"/>
        </w:rPr>
        <w:tab/>
      </w:r>
      <w:r w:rsidR="008057C9" w:rsidRPr="00066EF4">
        <w:rPr>
          <w:lang w:val="ru-RU"/>
        </w:rPr>
        <w:t>Информация о ходе достижения цели 3 a) после девятой сессии Пленума</w:t>
      </w:r>
      <w:r w:rsidR="00DB2CC3" w:rsidRPr="00066EF4">
        <w:rPr>
          <w:lang w:val="ru-RU"/>
        </w:rPr>
        <w:t xml:space="preserve"> подробно изложен</w:t>
      </w:r>
      <w:r w:rsidR="008057C9" w:rsidRPr="00066EF4">
        <w:rPr>
          <w:lang w:val="ru-RU"/>
        </w:rPr>
        <w:t>а</w:t>
      </w:r>
      <w:r w:rsidR="00DB2CC3" w:rsidRPr="00066EF4">
        <w:rPr>
          <w:lang w:val="ru-RU"/>
        </w:rPr>
        <w:t xml:space="preserve"> в документе IPBES/10/INF/11.</w:t>
      </w:r>
    </w:p>
    <w:p w14:paraId="4368579A" w14:textId="102FF1EC" w:rsidR="00DB2CC3" w:rsidRPr="00066EF4" w:rsidRDefault="00A03607"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A03607">
        <w:rPr>
          <w:lang w:val="ru-RU"/>
        </w:rPr>
        <w:t>17.</w:t>
      </w:r>
      <w:r w:rsidRPr="00A03607">
        <w:rPr>
          <w:lang w:val="ru-RU"/>
        </w:rPr>
        <w:tab/>
      </w:r>
      <w:r w:rsidR="00694FE6">
        <w:rPr>
          <w:lang w:val="ru-RU"/>
        </w:rPr>
        <w:t>Результаты</w:t>
      </w:r>
      <w:r w:rsidR="005B4156" w:rsidRPr="00066EF4">
        <w:rPr>
          <w:lang w:val="ru-RU"/>
        </w:rPr>
        <w:t xml:space="preserve"> углубленной работы по стимулированию формирования знаний включа</w:t>
      </w:r>
      <w:r w:rsidR="00694FE6">
        <w:rPr>
          <w:lang w:val="ru-RU"/>
        </w:rPr>
        <w:t>ю</w:t>
      </w:r>
      <w:r w:rsidR="008057C9" w:rsidRPr="00066EF4">
        <w:rPr>
          <w:lang w:val="ru-RU"/>
        </w:rPr>
        <w:t>т</w:t>
      </w:r>
      <w:r w:rsidR="005B4156" w:rsidRPr="00066EF4">
        <w:rPr>
          <w:lang w:val="ru-RU"/>
        </w:rPr>
        <w:t xml:space="preserve"> оказание поддержки авторам оценки по вопросам инвазивных чужеродных видов, оценки совокупности и оценки по вопросам преобразовательных изменений в определении пробелов в знаниях путем проведения онлайновых совещаний и сессий на совещаниях авторов; организацию онлайновых диалогов для информирования о пробелах в знаниях, выявленных в Докладе об оценке МПБЭУ по вопросам разнообразных ценностей и оценке природы (2022</w:t>
      </w:r>
      <w:r>
        <w:rPr>
          <w:lang w:val="en-US"/>
        </w:rPr>
        <w:t> </w:t>
      </w:r>
      <w:r w:rsidR="005B4156" w:rsidRPr="00066EF4">
        <w:rPr>
          <w:lang w:val="ru-RU"/>
        </w:rPr>
        <w:t>год) и Докладе об оценке МПБЭУ по вопросам устойчивого использования диких видов (2022 год), совместно с «</w:t>
      </w:r>
      <w:proofErr w:type="spellStart"/>
      <w:r w:rsidR="005B4156" w:rsidRPr="00066EF4">
        <w:rPr>
          <w:lang w:val="ru-RU"/>
        </w:rPr>
        <w:t>Биодиверса</w:t>
      </w:r>
      <w:proofErr w:type="spellEnd"/>
      <w:r w:rsidR="005B4156" w:rsidRPr="00066EF4">
        <w:rPr>
          <w:lang w:val="ru-RU"/>
        </w:rPr>
        <w:t xml:space="preserve"> +» и Европейской комиссией 8 сентября и 20 октября 2022</w:t>
      </w:r>
      <w:r>
        <w:rPr>
          <w:lang w:val="en-US"/>
        </w:rPr>
        <w:t> </w:t>
      </w:r>
      <w:r w:rsidR="005B4156" w:rsidRPr="00066EF4">
        <w:rPr>
          <w:lang w:val="ru-RU"/>
        </w:rPr>
        <w:t xml:space="preserve">года, после семинара-практикума в формате диалога с </w:t>
      </w:r>
      <w:proofErr w:type="spellStart"/>
      <w:r w:rsidR="005B4156" w:rsidRPr="00066EF4">
        <w:rPr>
          <w:lang w:val="ru-RU"/>
        </w:rPr>
        <w:t>Бельмонтским</w:t>
      </w:r>
      <w:proofErr w:type="spellEnd"/>
      <w:r w:rsidR="005B4156" w:rsidRPr="00066EF4">
        <w:rPr>
          <w:lang w:val="ru-RU"/>
        </w:rPr>
        <w:t xml:space="preserve"> форумом в июне 2022 года и с национальными координаторами из стран Африканского и Азиатско</w:t>
      </w:r>
      <w:r w:rsidR="00894D82">
        <w:rPr>
          <w:lang w:val="ru-RU"/>
        </w:rPr>
        <w:noBreakHyphen/>
      </w:r>
      <w:r w:rsidR="005B4156" w:rsidRPr="00066EF4">
        <w:rPr>
          <w:lang w:val="ru-RU"/>
        </w:rPr>
        <w:t>Тихоокеанского региона 13 и 20 июня 2023 года, соответственно; начало разработки на веб</w:t>
      </w:r>
      <w:r>
        <w:rPr>
          <w:lang w:val="ru-RU"/>
        </w:rPr>
        <w:noBreakHyphen/>
      </w:r>
      <w:r w:rsidR="005B4156" w:rsidRPr="00066EF4">
        <w:rPr>
          <w:lang w:val="ru-RU"/>
        </w:rPr>
        <w:t>сайте МПБЭУ раздела, посвященного пробелам в знаниях, выявленным в ходе оценок МПБЭУ; и завершение разработки плана мониторинга активизации накопления новых знаний.</w:t>
      </w:r>
    </w:p>
    <w:p w14:paraId="08173843" w14:textId="5E8F0447" w:rsidR="00082FCA" w:rsidRDefault="00A03607"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A03607">
        <w:rPr>
          <w:lang w:val="ru-RU"/>
        </w:rPr>
        <w:t>18.</w:t>
      </w:r>
      <w:r w:rsidRPr="00A03607">
        <w:rPr>
          <w:lang w:val="ru-RU"/>
        </w:rPr>
        <w:tab/>
      </w:r>
      <w:r w:rsidR="00AE75DC" w:rsidRPr="00066EF4">
        <w:rPr>
          <w:lang w:val="ru-RU"/>
        </w:rPr>
        <w:t>На своей девятой сессии Пленум приветствовал версию 2.0 политики МПБЭУ в области управления данными и знаниями, которая содержит четкие положения, касающиеся обработки</w:t>
      </w:r>
      <w:r w:rsidR="008057C9" w:rsidRPr="00066EF4">
        <w:rPr>
          <w:lang w:val="ru-RU"/>
        </w:rPr>
        <w:t xml:space="preserve"> </w:t>
      </w:r>
      <w:r w:rsidR="00AE75DC" w:rsidRPr="00066EF4">
        <w:rPr>
          <w:lang w:val="ru-RU"/>
        </w:rPr>
        <w:t>знани</w:t>
      </w:r>
      <w:r w:rsidR="008057C9" w:rsidRPr="00066EF4">
        <w:rPr>
          <w:lang w:val="ru-RU"/>
        </w:rPr>
        <w:t>й</w:t>
      </w:r>
      <w:r w:rsidR="00AE75DC" w:rsidRPr="00066EF4">
        <w:rPr>
          <w:lang w:val="ru-RU"/>
        </w:rPr>
        <w:t xml:space="preserve"> коренного и местного населения</w:t>
      </w:r>
      <w:r w:rsidR="008057C9" w:rsidRPr="00066EF4">
        <w:rPr>
          <w:lang w:val="ru-RU"/>
        </w:rPr>
        <w:t xml:space="preserve"> и управления ими</w:t>
      </w:r>
      <w:r w:rsidR="00AE75DC" w:rsidRPr="00066EF4">
        <w:rPr>
          <w:lang w:val="ru-RU"/>
        </w:rPr>
        <w:t xml:space="preserve">. </w:t>
      </w:r>
      <w:r w:rsidR="00694FE6">
        <w:rPr>
          <w:lang w:val="ru-RU"/>
        </w:rPr>
        <w:t>Результаты</w:t>
      </w:r>
      <w:r w:rsidR="00694FE6" w:rsidRPr="00066EF4">
        <w:rPr>
          <w:lang w:val="ru-RU"/>
        </w:rPr>
        <w:t xml:space="preserve"> </w:t>
      </w:r>
      <w:r w:rsidR="00AE75DC" w:rsidRPr="00066EF4">
        <w:rPr>
          <w:lang w:val="ru-RU"/>
        </w:rPr>
        <w:t>углубленной работы по управлению данными включа</w:t>
      </w:r>
      <w:r w:rsidR="00694FE6">
        <w:rPr>
          <w:lang w:val="ru-RU"/>
        </w:rPr>
        <w:t>ю</w:t>
      </w:r>
      <w:r w:rsidR="00AE75DC" w:rsidRPr="00066EF4">
        <w:rPr>
          <w:lang w:val="ru-RU"/>
        </w:rPr>
        <w:t>т дальнейшую разработку долгосрочной (на период до 2030</w:t>
      </w:r>
      <w:r w:rsidR="00BE4394">
        <w:rPr>
          <w:lang w:val="ru-RU"/>
        </w:rPr>
        <w:t> </w:t>
      </w:r>
      <w:r w:rsidR="00AE75DC" w:rsidRPr="00066EF4">
        <w:rPr>
          <w:lang w:val="ru-RU"/>
        </w:rPr>
        <w:t>года) концепции управления данными и знаниями в качестве основы для положения о целевой группе на период после десятой сессии Пленума; оказание поддержки авторам Доклада об оценке по вопросам разнообразных ценностей и оценке природы, Доклада об оценке по вопросам устойчивого использования диких видов и доклада об оценке инвазивных чужеродных видов в отношении аспектов, связанных с управлением данными (таких как работа с пространственными данными, систематический поиск и анализ литературы, передовые технологии обработки данных) и соответствующими докладами об управлении данными; выступления по теме управления данными и знаниями, а также по теме имеющихся технических руководств и ресурсов для экспертов на вводном, первом и втором совещаниях авторов оценки совокупности и оценки по вопросам преобразовательных изменений; разработкой дополнительных технических руководств для авторов с целью повышения операционной совместимости продуктов МПБЭУ, а также для повышения транспарентности процесса оценки; и изложение политики управления данными и знаниями МПБЭУ на нескольких международных конференциях.</w:t>
      </w:r>
      <w:r w:rsidR="00173A69" w:rsidRPr="00066EF4">
        <w:rPr>
          <w:lang w:val="ru-RU"/>
        </w:rPr>
        <w:t xml:space="preserve"> </w:t>
      </w:r>
    </w:p>
    <w:p w14:paraId="2E8F307B" w14:textId="07BAC26F" w:rsidR="00635C09" w:rsidRPr="006B3DD6" w:rsidRDefault="006B3DD6" w:rsidP="006B3DD6">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lang w:val="ru-RU"/>
        </w:rPr>
      </w:pPr>
      <w:r>
        <w:rPr>
          <w:b/>
          <w:bCs/>
          <w:lang w:val="ru-RU"/>
        </w:rPr>
        <w:tab/>
      </w:r>
      <w:r w:rsidR="00635C09" w:rsidRPr="006B3DD6">
        <w:rPr>
          <w:b/>
          <w:bCs/>
          <w:lang w:val="ru-RU"/>
        </w:rPr>
        <w:t>2.</w:t>
      </w:r>
      <w:r w:rsidR="00635C09" w:rsidRPr="006B3DD6">
        <w:rPr>
          <w:b/>
          <w:bCs/>
          <w:lang w:val="ru-RU"/>
        </w:rPr>
        <w:tab/>
        <w:t>Цель 3 b)</w:t>
      </w:r>
      <w:proofErr w:type="gramStart"/>
      <w:r w:rsidR="00635C09" w:rsidRPr="006B3DD6">
        <w:rPr>
          <w:b/>
          <w:bCs/>
          <w:lang w:val="ru-RU"/>
        </w:rPr>
        <w:t>: Более</w:t>
      </w:r>
      <w:proofErr w:type="gramEnd"/>
      <w:r w:rsidR="00635C09" w:rsidRPr="006B3DD6">
        <w:rPr>
          <w:b/>
          <w:bCs/>
          <w:lang w:val="ru-RU"/>
        </w:rPr>
        <w:t xml:space="preserve"> широкое признание систем знаний коренных народов и местного населения и работа с ними</w:t>
      </w:r>
    </w:p>
    <w:p w14:paraId="4643AC29" w14:textId="4BB8B2BC" w:rsidR="00635C09" w:rsidRPr="005F0BA6" w:rsidRDefault="006B3DD6"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6B3DD6">
        <w:rPr>
          <w:lang w:val="ru-RU"/>
        </w:rPr>
        <w:t>19.</w:t>
      </w:r>
      <w:r w:rsidRPr="006B3DD6">
        <w:rPr>
          <w:lang w:val="ru-RU"/>
        </w:rPr>
        <w:tab/>
      </w:r>
      <w:r w:rsidR="00635C09" w:rsidRPr="005F0BA6">
        <w:rPr>
          <w:lang w:val="ru-RU"/>
        </w:rPr>
        <w:t xml:space="preserve">В пункте 2 раздела IV решения МПБЭУ-7/1 Пленум продлил мандат целевой группы по вопросам знаний коренного и местного населения в достижении цели 3 b) в соответствии с </w:t>
      </w:r>
      <w:r w:rsidR="00635C09" w:rsidRPr="005F0BA6">
        <w:rPr>
          <w:lang w:val="ru-RU"/>
        </w:rPr>
        <w:lastRenderedPageBreak/>
        <w:t>пересмотренным положением, изложенным в разделах I и IV приложения II к этому решению. Во исполнение этого решения Бюро и Многодисциплинарная группа экспертов сформировали целевую группу в соответствии с пересмотренным положением.</w:t>
      </w:r>
    </w:p>
    <w:p w14:paraId="2D3073B1" w14:textId="12071613" w:rsidR="00635C09" w:rsidRPr="005F0BA6" w:rsidRDefault="006B3DD6"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6B3DD6">
        <w:rPr>
          <w:lang w:val="ru-RU"/>
        </w:rPr>
        <w:t>20.</w:t>
      </w:r>
      <w:r w:rsidRPr="006B3DD6">
        <w:rPr>
          <w:lang w:val="ru-RU"/>
        </w:rPr>
        <w:tab/>
      </w:r>
      <w:r w:rsidR="00635C09" w:rsidRPr="005F0BA6">
        <w:rPr>
          <w:lang w:val="ru-RU"/>
        </w:rPr>
        <w:t>Первое совещание пяти целевых групп МПБЭУ в рамках скользящей программы работы на период до 2030 года было организовано в виде совместного совещания с проведением как совместных, так и отдельных сессий в Бонне, Германия, с 11 по 14 ноября 2019 года. Второе и третье совещания целевой группы по вопросам знаний коренного и местного населения были проведены в онлайн-режиме с 11 июня по 2 июля 2020 года и 9, 16 и 29 ноября 2021 года, соответственно. Четвертое совещание проходило в онлайн-режиме с 22 по 24 ноября</w:t>
      </w:r>
      <w:r w:rsidR="0097244C">
        <w:rPr>
          <w:lang w:val="ru-RU"/>
        </w:rPr>
        <w:t>, было приостановлено</w:t>
      </w:r>
      <w:r w:rsidR="00635C09" w:rsidRPr="005F0BA6">
        <w:rPr>
          <w:lang w:val="ru-RU"/>
        </w:rPr>
        <w:t xml:space="preserve"> и завершилось в январе 2023 года.</w:t>
      </w:r>
    </w:p>
    <w:p w14:paraId="36D31C20" w14:textId="7DD41661" w:rsidR="00635C09" w:rsidRPr="005F0BA6" w:rsidRDefault="006B3DD6"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6B3DD6">
        <w:rPr>
          <w:lang w:val="ru-RU"/>
        </w:rPr>
        <w:t>21.</w:t>
      </w:r>
      <w:r w:rsidRPr="006B3DD6">
        <w:rPr>
          <w:lang w:val="ru-RU"/>
        </w:rPr>
        <w:tab/>
      </w:r>
      <w:r w:rsidR="00635C09" w:rsidRPr="005F0BA6">
        <w:rPr>
          <w:lang w:val="ru-RU"/>
        </w:rPr>
        <w:t>Ход достижения цели 3 b) подробно описан в документе IPBES/10/INF/10.</w:t>
      </w:r>
    </w:p>
    <w:p w14:paraId="5BEAD4C2" w14:textId="342E11C3" w:rsidR="00635C09" w:rsidRPr="005F0BA6" w:rsidRDefault="006B3DD6"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6B3DD6">
        <w:rPr>
          <w:lang w:val="ru-RU"/>
        </w:rPr>
        <w:t>22.</w:t>
      </w:r>
      <w:r w:rsidRPr="006B3DD6">
        <w:rPr>
          <w:lang w:val="ru-RU"/>
        </w:rPr>
        <w:tab/>
      </w:r>
      <w:r w:rsidR="00635C09" w:rsidRPr="005F0BA6">
        <w:rPr>
          <w:lang w:val="ru-RU"/>
        </w:rPr>
        <w:t>К мероприятиям, проведенным после девятой сессии Пленума, относится работа с группами взаимодействия по вопросам знаний коренного и местного населения для содействия проведению оценок, регулярные совещания групп взаимодействия и оказание методологической поддержки этим группам по мере необходимости, а также привлечение авторов, вносящих свой вклад в работу в области знаний коренного и местного населения; организация семинаров-практикумов в формате диалога в ходе первых внешних обзоров оценки совокупности, проведенных в Чиангмае (Таиланд) 17–19 января 2023 года, и оценки по вопросам преобразовательных изменений, проведенных в Летисии (Колумбия) 13–16 февраля 2023 года, с участием целевой группы по вопросам сценариев и моделей, причем в рамках обоих семинаров-практикумов состоялось посещение общин для стимулирования участия коренных народов и местных общин в этих процессах; призыв представлять в период с 23</w:t>
      </w:r>
      <w:r>
        <w:rPr>
          <w:lang w:val="en-US"/>
        </w:rPr>
        <w:t> </w:t>
      </w:r>
      <w:r w:rsidR="00635C09" w:rsidRPr="005F0BA6">
        <w:rPr>
          <w:lang w:val="ru-RU"/>
        </w:rPr>
        <w:t>апреля по 31 мая 2023 года материалы о знаниях коренного и местного населения с целью дальнейшего расширения библиотеки знаний коренного и местного населения и реестра экспертов для проведения оценки совокупности, оценки по вопросам преобразовательных изменений и оценки по вопросам хозяйственной деятельности и биоразнообразия; подготовка материалов для коренных народов и местных общин на основе резюме для директивных органов Доклада об оценке по вопросам разнообразных ценностей и оценке природы и Доклада об оценке по вопросам устойчивого использования диких видов; вебинар, посвященный актуальным для коренных народов и местных общин выводам, сделанным по итогам оценки по вопросам устойчивого использования диких видов и оценки по вопросам ценностей, который опубликован на трех языках на веб-сайте МПБЭУ в качестве постоянного ресурса; дальнейшая разработка методологического руководства по реализации подхода к признанию знаний коренного и местного населения и работе с ними в рамках МПБЭУ; работа с целевой группой по вопросам знаний и данных и группой технической поддержки в области управления данными в отношении принципов работы со знаниями коренного и местного населения, включая запись учебного пособия по управлению данными, посвященного работе со свободным, предварительным и осознанным согласием и принципам ЛДСПИ</w:t>
      </w:r>
      <w:r w:rsidR="00635C09" w:rsidRPr="005F0BA6">
        <w:rPr>
          <w:rStyle w:val="FootnoteReference"/>
          <w:bCs/>
          <w:szCs w:val="20"/>
          <w:lang w:val="ru-RU"/>
        </w:rPr>
        <w:footnoteReference w:id="5"/>
      </w:r>
      <w:r w:rsidR="00635C09" w:rsidRPr="005F0BA6">
        <w:rPr>
          <w:lang w:val="ru-RU"/>
        </w:rPr>
        <w:t xml:space="preserve"> и ОБПКОЭ</w:t>
      </w:r>
      <w:r w:rsidR="00635C09" w:rsidRPr="005F0BA6">
        <w:rPr>
          <w:rStyle w:val="FootnoteReference"/>
          <w:bCs/>
          <w:szCs w:val="20"/>
          <w:lang w:val="ru-RU"/>
        </w:rPr>
        <w:footnoteReference w:id="6"/>
      </w:r>
      <w:r w:rsidR="00635C09" w:rsidRPr="005F0BA6">
        <w:rPr>
          <w:lang w:val="ru-RU"/>
        </w:rPr>
        <w:t xml:space="preserve"> в МПБЭУ; дальнейшая разработка веб-страниц, посвященных знаниям коренного и местного населения, на веб-сайте МПБЭУ с целью упрощения доступа и оптимизации представления информации и материалов; активизация информационной и разъяснительной работы, в том числе с Международным форумом коренных народов по биоразнообразию и экосистемным услугам; а также разработка, реализация и представление сведений в отношении обзора знаний коренного и местного населения в рамках МПБЭУ (см. документ IPBES/10/INF/10).</w:t>
      </w:r>
    </w:p>
    <w:p w14:paraId="5AF10E36" w14:textId="66168218" w:rsidR="00635C09" w:rsidRPr="00EE0D28" w:rsidRDefault="00EE0D28" w:rsidP="00EE0D28">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b/>
          <w:bCs/>
          <w:sz w:val="24"/>
          <w:szCs w:val="24"/>
          <w:lang w:val="ru-RU"/>
        </w:rPr>
      </w:pPr>
      <w:r>
        <w:rPr>
          <w:b/>
          <w:bCs/>
          <w:sz w:val="24"/>
          <w:szCs w:val="24"/>
          <w:lang w:val="ru-RU"/>
        </w:rPr>
        <w:tab/>
      </w:r>
      <w:r w:rsidR="00635C09" w:rsidRPr="00EE0D28">
        <w:rPr>
          <w:b/>
          <w:bCs/>
          <w:sz w:val="24"/>
          <w:szCs w:val="24"/>
          <w:lang w:val="ru-RU"/>
        </w:rPr>
        <w:t>D.</w:t>
      </w:r>
      <w:r w:rsidR="00635C09" w:rsidRPr="00EE0D28">
        <w:rPr>
          <w:b/>
          <w:bCs/>
          <w:sz w:val="24"/>
          <w:szCs w:val="24"/>
          <w:lang w:val="ru-RU"/>
        </w:rPr>
        <w:tab/>
        <w:t>Цель 4: Поддержка политики</w:t>
      </w:r>
    </w:p>
    <w:p w14:paraId="6CBB117F" w14:textId="48E7222A" w:rsidR="00635C09" w:rsidRPr="00EE0D28" w:rsidRDefault="00EE0D28" w:rsidP="00EE0D28">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lang w:val="ru-RU"/>
        </w:rPr>
      </w:pPr>
      <w:r>
        <w:rPr>
          <w:b/>
          <w:bCs/>
          <w:lang w:val="ru-RU"/>
        </w:rPr>
        <w:tab/>
      </w:r>
      <w:r w:rsidR="00635C09" w:rsidRPr="00EE0D28">
        <w:rPr>
          <w:b/>
          <w:bCs/>
          <w:lang w:val="ru-RU"/>
        </w:rPr>
        <w:t>1.</w:t>
      </w:r>
      <w:r w:rsidR="00635C09" w:rsidRPr="00EE0D28">
        <w:rPr>
          <w:b/>
          <w:bCs/>
          <w:lang w:val="ru-RU"/>
        </w:rPr>
        <w:tab/>
        <w:t xml:space="preserve">Цель 4 a): Продвижение работы в области политических инструментов, инструментов и методологий поддержки политики </w:t>
      </w:r>
    </w:p>
    <w:p w14:paraId="5F9B13D8" w14:textId="1A84C7DE"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23.</w:t>
      </w:r>
      <w:r w:rsidRPr="00EE0D28">
        <w:rPr>
          <w:lang w:val="ru-RU"/>
        </w:rPr>
        <w:tab/>
      </w:r>
      <w:r w:rsidR="00635C09" w:rsidRPr="005F0BA6">
        <w:rPr>
          <w:lang w:val="ru-RU"/>
        </w:rPr>
        <w:t xml:space="preserve">В пункте 1 раздела V решения МПБЭУ-7/1 Пленум учредил целевую группу по вопросам инструментов и методологий политики для достижения цели 4 a) в соответствии с положением, изложенным в разделах I и VI приложения II к этому решению. Во исполнение этого решения Бюро и Многодисциплинарная группа экспертов сформировали целевую группу в соответствии с указанным положением. </w:t>
      </w:r>
    </w:p>
    <w:p w14:paraId="5B553616" w14:textId="07CDAD0D"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24.</w:t>
      </w:r>
      <w:r w:rsidRPr="00EE0D28">
        <w:rPr>
          <w:lang w:val="ru-RU"/>
        </w:rPr>
        <w:tab/>
      </w:r>
      <w:r w:rsidR="00635C09" w:rsidRPr="005F0BA6">
        <w:rPr>
          <w:lang w:val="ru-RU"/>
        </w:rPr>
        <w:t xml:space="preserve">Первое совещание пяти целевых групп МПБЭУ в рамках скользящей программы работы на период до 2030 года было организовано в виде совместного совещания с проведением как </w:t>
      </w:r>
      <w:r w:rsidR="00635C09" w:rsidRPr="005F0BA6">
        <w:rPr>
          <w:lang w:val="ru-RU"/>
        </w:rPr>
        <w:lastRenderedPageBreak/>
        <w:t>совместных, так и отдельных сессий в Бонне, Германия, с 11 по 14 ноября 2019 года. Второе, третье и четвертое совещания целевой группы по вопросам инструментов и методологий политики были проведены в онлайн-режиме с 4 по 7 мая 2020 года, с 27 по 29 сентября 2021</w:t>
      </w:r>
      <w:r>
        <w:rPr>
          <w:lang w:val="en-US"/>
        </w:rPr>
        <w:t> </w:t>
      </w:r>
      <w:r w:rsidR="00635C09" w:rsidRPr="005F0BA6">
        <w:rPr>
          <w:lang w:val="ru-RU"/>
        </w:rPr>
        <w:t xml:space="preserve">года и 31 октября и 1 ноября 2023 года, соответственно. </w:t>
      </w:r>
    </w:p>
    <w:p w14:paraId="6F08C40E" w14:textId="35327D55"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25.</w:t>
      </w:r>
      <w:r w:rsidRPr="00EE0D28">
        <w:rPr>
          <w:lang w:val="ru-RU"/>
        </w:rPr>
        <w:tab/>
      </w:r>
      <w:r w:rsidR="00635C09" w:rsidRPr="005F0BA6">
        <w:rPr>
          <w:lang w:val="ru-RU"/>
        </w:rPr>
        <w:t>Информация о ходе достижения цели 4 a) после девятой сессии Пленума изложена в документе IPBES/10/INF/12. К основным мероприятиям относятся стимулирование и поддержание использования результатов продуктов МПБЭУ в процессе принятия решений путем организации дополнительных онлайновых диалогов, посвященных государствам Западной Европы и другим государствам, 13 марта 2023 года и государствам Восточной Европы, 17 марта 2023 года. Целевая группа по вопросам инструментов и методологий политики совместно с целевой группой по вопросам знаний и данных и целевой группой по вопросам создания потенциала также провела два семинара-практикума в формате диалога: один для Африканского региона, состоявшийся 13 июня 2023 года, и один для Азиатско</w:t>
      </w:r>
      <w:r>
        <w:rPr>
          <w:lang w:val="ru-RU"/>
        </w:rPr>
        <w:noBreakHyphen/>
      </w:r>
      <w:r w:rsidR="00635C09" w:rsidRPr="005F0BA6">
        <w:rPr>
          <w:lang w:val="ru-RU"/>
        </w:rPr>
        <w:t>Тихоокеанского региона, состоявшийся 20 июня 2023 года, в ходе которых, помимо работы над достижением прочих целей, участникам была предоставлена возможность обменяться опытом использования завершенных оценок МПБЭУ. При организации этих семинаров-практикумов был учтен опыт, накопленный в ходе семинаров-практикумов, проведенных в преддверии девятой сессии Пленума: для региона Латинской Америки и Карибского бассейна – 3 мая 2022 года, Азиатско-Тихоокеанского региона – 19 апреля 2022</w:t>
      </w:r>
      <w:r>
        <w:rPr>
          <w:lang w:val="en-US"/>
        </w:rPr>
        <w:t> </w:t>
      </w:r>
      <w:r w:rsidR="00635C09" w:rsidRPr="005F0BA6">
        <w:rPr>
          <w:lang w:val="ru-RU"/>
        </w:rPr>
        <w:t>года и Африканского региона –18 марта 2021 года. Кроме того, эта целевая группа совместно с сопредседателями и группами технической поддержки оценки по вопросам устойчивого использования диких видов и оценки по вопросам ценностей подготовила информационные бюллетени, предназначенные для директивных органов. В стремлении повысить политическую значимость оценок МПБЭУ, целевая группа также рассмотрела проекты глав проводимых в настоящее время оценок.</w:t>
      </w:r>
    </w:p>
    <w:p w14:paraId="3E5633AA" w14:textId="64E9DB7D" w:rsidR="00635C09" w:rsidRPr="00EE0D28" w:rsidRDefault="00EE0D28" w:rsidP="00EE0D28">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lang w:val="ru-RU"/>
        </w:rPr>
      </w:pPr>
      <w:r>
        <w:rPr>
          <w:b/>
          <w:bCs/>
          <w:lang w:val="ru-RU"/>
        </w:rPr>
        <w:tab/>
      </w:r>
      <w:r w:rsidR="00635C09" w:rsidRPr="00EE0D28">
        <w:rPr>
          <w:b/>
          <w:bCs/>
          <w:lang w:val="ru-RU"/>
        </w:rPr>
        <w:t>2.</w:t>
      </w:r>
      <w:r w:rsidR="00635C09" w:rsidRPr="00EE0D28">
        <w:rPr>
          <w:b/>
          <w:bCs/>
          <w:lang w:val="ru-RU"/>
        </w:rPr>
        <w:tab/>
        <w:t>Цель 4 b): Продвижение работы в области сценариев и моделей биоразнообразия и экосистемных функций и услуг</w:t>
      </w:r>
    </w:p>
    <w:p w14:paraId="0C08CDDD" w14:textId="2A2AE3EE"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26.</w:t>
      </w:r>
      <w:r w:rsidRPr="00EE0D28">
        <w:rPr>
          <w:lang w:val="ru-RU"/>
        </w:rPr>
        <w:tab/>
      </w:r>
      <w:r w:rsidR="00635C09" w:rsidRPr="005F0BA6">
        <w:rPr>
          <w:lang w:val="ru-RU"/>
        </w:rPr>
        <w:t>В пункте 2 раздела V решения МПБЭУ-7/1 Пленум учредил целевую группу по вопросам сценариев и моделей биоразнообразия и экосистемных услуг для достижения цели4</w:t>
      </w:r>
      <w:r>
        <w:rPr>
          <w:lang w:val="en-US"/>
        </w:rPr>
        <w:t> </w:t>
      </w:r>
      <w:r w:rsidR="00635C09" w:rsidRPr="005F0BA6">
        <w:rPr>
          <w:lang w:val="ru-RU"/>
        </w:rPr>
        <w:t>b) в соответствии с положением, изложенным в разделах I и V приложения II к этому решению. Во исполнение этого решения Бюро и Многодисциплинарная группа экспертов сформировали целевую группу в соответствии с указанным положением.</w:t>
      </w:r>
    </w:p>
    <w:p w14:paraId="48CE473D" w14:textId="0430FBA4"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27.</w:t>
      </w:r>
      <w:r w:rsidRPr="00EE0D28">
        <w:rPr>
          <w:lang w:val="ru-RU"/>
        </w:rPr>
        <w:tab/>
      </w:r>
      <w:r w:rsidR="00635C09" w:rsidRPr="005F0BA6">
        <w:rPr>
          <w:lang w:val="ru-RU"/>
        </w:rPr>
        <w:t>Первое совещание пяти целевых групп МПБЭУ в рамках скользящей программы работы на период до 2030 года было организовано в виде совместного совещания с проведением как совместных, так и отдельных сессий в Бонне, Германия, с 11 по 14 ноября 2019 года. Второе и третье совещания целевой группы по вопросам сценариев и моделей биоразнообразия и экосистемных услуг были проведены в онлайн-режиме с 6 по 8 мая 2020 года и с 8 по 10 ноября 2021 года, соответственно. Четвертое совещание целевой группы состоялось 17 ноября 2022</w:t>
      </w:r>
      <w:r>
        <w:rPr>
          <w:lang w:val="en-US"/>
        </w:rPr>
        <w:t> </w:t>
      </w:r>
      <w:r w:rsidR="00635C09" w:rsidRPr="005F0BA6">
        <w:rPr>
          <w:lang w:val="ru-RU"/>
        </w:rPr>
        <w:t xml:space="preserve">года в </w:t>
      </w:r>
      <w:proofErr w:type="spellStart"/>
      <w:r w:rsidR="00635C09" w:rsidRPr="005F0BA6">
        <w:rPr>
          <w:lang w:val="ru-RU"/>
        </w:rPr>
        <w:t>Акорнхуке</w:t>
      </w:r>
      <w:proofErr w:type="spellEnd"/>
      <w:r w:rsidR="00635C09" w:rsidRPr="005F0BA6">
        <w:rPr>
          <w:lang w:val="ru-RU"/>
        </w:rPr>
        <w:t xml:space="preserve"> (ЮАР). </w:t>
      </w:r>
    </w:p>
    <w:p w14:paraId="2C8FD297" w14:textId="362D482F"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28.</w:t>
      </w:r>
      <w:r w:rsidRPr="00EE0D28">
        <w:rPr>
          <w:lang w:val="ru-RU"/>
        </w:rPr>
        <w:tab/>
      </w:r>
      <w:r w:rsidR="00635C09" w:rsidRPr="005F0BA6">
        <w:rPr>
          <w:lang w:val="ru-RU"/>
        </w:rPr>
        <w:t xml:space="preserve">Информация о ходе достижения цели 4 b) после девятой сессии Пленума изложена в документе IPBES/10/INF/13. Основные мероприятия включали оказание поддержки в разработке сценариев и моделей для оценок МПБЭУ, в том числе анализ проектов оценок; подготовку публикаций для обоснования предстоящих оценок и более широкого привлечения научного сообщества; совместную организацию диалога, посвященного знаниям коренного и местного населения, под руководством целевой группы по вопросам знаний коренного и местного населения, в ходе которого обсуждались будущие сценарии для оценки по вопросам преобразовательных изменений в рамках МПБЭУ; стимулирование дальнейшей разработки сценариев и моделей для будущих оценок МПБЭУ, включая обновление основ системы прогнозирования будущего природной среды; рассмотрение правительствами проекта методологического руководства по применению системы прогнозирования будущего природной среды с 5 сентября по 14 октября 2022 года и актуализация этого методологического руководства (см. документ IPBES/10/INF/13); совместную организацию молодежного семинара-практикума под руководством целевой группы по вопросам создания потенциала, который прошел на острове Вильм (Германия) с 19 по 23 октября 2022 года; и организацию семинара-практикума по стимулированию дальнейшей разработки сценариев, в том числе с использованием системы прогнозирования будущего природной среды, который прошел в </w:t>
      </w:r>
      <w:proofErr w:type="spellStart"/>
      <w:r w:rsidR="00635C09" w:rsidRPr="005F0BA6">
        <w:rPr>
          <w:lang w:val="ru-RU"/>
        </w:rPr>
        <w:t>Акорнхуке</w:t>
      </w:r>
      <w:proofErr w:type="spellEnd"/>
      <w:r w:rsidR="00635C09" w:rsidRPr="005F0BA6">
        <w:rPr>
          <w:lang w:val="ru-RU"/>
        </w:rPr>
        <w:t xml:space="preserve"> (ЮАР) с 14 по 16 ноября 2022 года. </w:t>
      </w:r>
    </w:p>
    <w:p w14:paraId="248EC61F" w14:textId="47A91328" w:rsidR="00635C09" w:rsidRPr="00EE0D28" w:rsidRDefault="00EE0D28" w:rsidP="00EE0D28">
      <w:pPr>
        <w:pStyle w:val="ANormal"/>
        <w:keepNext/>
        <w:keepLines/>
        <w:tabs>
          <w:tab w:val="clear" w:pos="624"/>
          <w:tab w:val="clear" w:pos="1247"/>
          <w:tab w:val="clear" w:pos="1871"/>
          <w:tab w:val="clear" w:pos="2495"/>
          <w:tab w:val="clear" w:pos="3119"/>
          <w:tab w:val="clear" w:pos="3742"/>
          <w:tab w:val="clear" w:pos="4366"/>
          <w:tab w:val="right" w:pos="851"/>
        </w:tabs>
        <w:spacing w:after="120"/>
        <w:ind w:left="1247" w:right="284" w:hanging="1247"/>
        <w:rPr>
          <w:b/>
          <w:bCs/>
          <w:sz w:val="24"/>
          <w:szCs w:val="24"/>
          <w:lang w:val="ru-RU"/>
        </w:rPr>
      </w:pPr>
      <w:r>
        <w:rPr>
          <w:b/>
          <w:bCs/>
          <w:sz w:val="24"/>
          <w:szCs w:val="24"/>
          <w:lang w:val="ru-RU"/>
        </w:rPr>
        <w:lastRenderedPageBreak/>
        <w:tab/>
      </w:r>
      <w:r w:rsidR="00635C09" w:rsidRPr="00EE0D28">
        <w:rPr>
          <w:b/>
          <w:bCs/>
          <w:sz w:val="24"/>
          <w:szCs w:val="24"/>
          <w:lang w:val="ru-RU"/>
        </w:rPr>
        <w:t>E.</w:t>
      </w:r>
      <w:r w:rsidR="00635C09" w:rsidRPr="00EE0D28">
        <w:rPr>
          <w:b/>
          <w:bCs/>
          <w:sz w:val="24"/>
          <w:szCs w:val="24"/>
          <w:lang w:val="ru-RU"/>
        </w:rPr>
        <w:tab/>
        <w:t xml:space="preserve">Цель 5: Коммуникация и привлечение к участию </w:t>
      </w:r>
    </w:p>
    <w:p w14:paraId="14534FE2" w14:textId="61BA6B09" w:rsidR="00635C09" w:rsidRPr="00EE0D28" w:rsidRDefault="00EE0D28" w:rsidP="00EE0D28">
      <w:pPr>
        <w:pStyle w:val="ANormal"/>
        <w:keepNext/>
        <w:keepLines/>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lang w:val="ru-RU"/>
        </w:rPr>
      </w:pPr>
      <w:r>
        <w:rPr>
          <w:b/>
          <w:bCs/>
          <w:lang w:val="ru-RU"/>
        </w:rPr>
        <w:tab/>
      </w:r>
      <w:r w:rsidR="00635C09" w:rsidRPr="00EE0D28">
        <w:rPr>
          <w:b/>
          <w:bCs/>
          <w:lang w:val="ru-RU"/>
        </w:rPr>
        <w:t>1.</w:t>
      </w:r>
      <w:r w:rsidR="00635C09" w:rsidRPr="00EE0D28">
        <w:rPr>
          <w:b/>
          <w:bCs/>
          <w:lang w:val="ru-RU"/>
        </w:rPr>
        <w:tab/>
        <w:t>Цель 5 a): Укрепление коммуникации</w:t>
      </w:r>
    </w:p>
    <w:p w14:paraId="5B2C428E" w14:textId="75F122B9"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29.</w:t>
      </w:r>
      <w:r w:rsidRPr="00EE0D28">
        <w:rPr>
          <w:lang w:val="ru-RU"/>
        </w:rPr>
        <w:tab/>
      </w:r>
      <w:r w:rsidR="00635C09" w:rsidRPr="005F0BA6">
        <w:rPr>
          <w:lang w:val="ru-RU"/>
        </w:rPr>
        <w:t>Ход достижения цели 5 a) после девятой сессии Пленума подробно описан в документе IPBES/10/INF/14, а основные достигнутые результаты описаны в настоящем разделе.</w:t>
      </w:r>
    </w:p>
    <w:p w14:paraId="4C0216EE" w14:textId="2D2BF5CE" w:rsidR="00635C09" w:rsidRPr="00EE0D28" w:rsidRDefault="00EE0D28" w:rsidP="00EE0D28">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b/>
          <w:bCs/>
          <w:lang w:val="ru-RU"/>
        </w:rPr>
      </w:pPr>
      <w:r>
        <w:rPr>
          <w:b/>
          <w:bCs/>
          <w:lang w:val="ru-RU"/>
        </w:rPr>
        <w:tab/>
      </w:r>
      <w:r w:rsidR="00635C09" w:rsidRPr="00EE0D28">
        <w:rPr>
          <w:b/>
          <w:bCs/>
          <w:lang w:val="ru-RU"/>
        </w:rPr>
        <w:t>a)</w:t>
      </w:r>
      <w:r w:rsidR="00635C09" w:rsidRPr="00EE0D28">
        <w:rPr>
          <w:b/>
          <w:bCs/>
          <w:lang w:val="ru-RU"/>
        </w:rPr>
        <w:tab/>
        <w:t xml:space="preserve">Традиционные СМИ </w:t>
      </w:r>
    </w:p>
    <w:p w14:paraId="07367E08" w14:textId="7815CDB3"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30.</w:t>
      </w:r>
      <w:r w:rsidRPr="00EE0D28">
        <w:rPr>
          <w:lang w:val="ru-RU"/>
        </w:rPr>
        <w:tab/>
      </w:r>
      <w:r w:rsidR="00635C09" w:rsidRPr="005F0BA6">
        <w:rPr>
          <w:lang w:val="ru-RU"/>
        </w:rPr>
        <w:t>В период с 1 января по 31 декабря 2022 года МПБЭУ обнаружила в онлайновых СМИ в общей сложности 26 342 статьи, касающиеся МПБЭУ и результатов программы работы МПБЭУ. Эти статьи, не считая печатных и вещательных репортажей, были опубликованы почти в 154 странах и на 54 языках. Они демонстрируют освещение более чем в 7468 СМИ, а их вероятный абсолютный охват аудиторий измеряется более чем 2,01 млрд просмотров (на основе стандартной отраслевой оценки в 2,5 процента от общего вероятного охвата). Для сравнения, в 2021 году общее число онлайновых статей, в которых упоминалась работа МПБЭУ, составило около 17 100, они были опубликованы в 145 странах и на 46 языках. В 2018</w:t>
      </w:r>
      <w:r>
        <w:rPr>
          <w:lang w:val="en-US"/>
        </w:rPr>
        <w:t> </w:t>
      </w:r>
      <w:r w:rsidR="00635C09" w:rsidRPr="005F0BA6">
        <w:rPr>
          <w:lang w:val="ru-RU"/>
        </w:rPr>
        <w:t>году, когда МПБЭУ успешно представила четыре доклада о региональных оценках и Доклад об оценке по вопросам деградации и восстановления земель, упоминания о работе МПБЭУ в Интернете были обнаружены в 6553 статьях на 37 языках в 126 странах.</w:t>
      </w:r>
    </w:p>
    <w:p w14:paraId="508DBD04" w14:textId="39121F5C" w:rsidR="00635C09" w:rsidRPr="00EE0D28" w:rsidRDefault="00EE0D28" w:rsidP="00EE0D28">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b/>
          <w:bCs/>
          <w:lang w:val="ru-RU"/>
        </w:rPr>
      </w:pPr>
      <w:r>
        <w:rPr>
          <w:b/>
          <w:bCs/>
          <w:lang w:val="ru-RU"/>
        </w:rPr>
        <w:tab/>
      </w:r>
      <w:r w:rsidR="00635C09" w:rsidRPr="00EE0D28">
        <w:rPr>
          <w:b/>
          <w:bCs/>
          <w:lang w:val="ru-RU"/>
        </w:rPr>
        <w:t>b)</w:t>
      </w:r>
      <w:r w:rsidR="00635C09" w:rsidRPr="00EE0D28">
        <w:rPr>
          <w:b/>
          <w:bCs/>
          <w:lang w:val="ru-RU"/>
        </w:rPr>
        <w:tab/>
        <w:t>Социальные сети</w:t>
      </w:r>
    </w:p>
    <w:p w14:paraId="68992090" w14:textId="46BF0EC9"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31.</w:t>
      </w:r>
      <w:r w:rsidRPr="00EE0D28">
        <w:rPr>
          <w:lang w:val="ru-RU"/>
        </w:rPr>
        <w:tab/>
      </w:r>
      <w:r w:rsidR="00635C09" w:rsidRPr="005F0BA6">
        <w:rPr>
          <w:lang w:val="ru-RU"/>
        </w:rPr>
        <w:t>В 2022 году англоязычная аудитория МПБЭУ во всех своих социальных сетях продолжила расширяться: число подписчиков на аккаунты МПБЭУ увеличилось на 59</w:t>
      </w:r>
      <w:r>
        <w:rPr>
          <w:lang w:val="en-US"/>
        </w:rPr>
        <w:t> </w:t>
      </w:r>
      <w:r w:rsidR="00635C09" w:rsidRPr="005F0BA6">
        <w:rPr>
          <w:lang w:val="ru-RU"/>
        </w:rPr>
        <w:t>процентов в сети «Фейсбук», на 27 процентов в сети «Твиттер», на 92 процента в сети «Линкдин» и на 35 процентов в сети «Инстаграм» по сравнению с 2021 годом.</w:t>
      </w:r>
    </w:p>
    <w:p w14:paraId="5583138C" w14:textId="073F02B0"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32.</w:t>
      </w:r>
      <w:r w:rsidRPr="00EE0D28">
        <w:rPr>
          <w:lang w:val="ru-RU"/>
        </w:rPr>
        <w:tab/>
      </w:r>
      <w:r w:rsidR="00635C09" w:rsidRPr="005F0BA6">
        <w:rPr>
          <w:lang w:val="ru-RU"/>
        </w:rPr>
        <w:t>В 2022 году публикации МПБЭУ во всех социальных сетях просмотрели более 146</w:t>
      </w:r>
      <w:r w:rsidR="004D4CBA">
        <w:rPr>
          <w:lang w:val="en-US"/>
        </w:rPr>
        <w:t> </w:t>
      </w:r>
      <w:r w:rsidR="00635C09" w:rsidRPr="005F0BA6">
        <w:rPr>
          <w:lang w:val="ru-RU"/>
        </w:rPr>
        <w:t>млн</w:t>
      </w:r>
      <w:r w:rsidR="004D4CBA">
        <w:rPr>
          <w:lang w:val="en-US"/>
        </w:rPr>
        <w:t> </w:t>
      </w:r>
      <w:r w:rsidR="00635C09" w:rsidRPr="005F0BA6">
        <w:rPr>
          <w:lang w:val="ru-RU"/>
        </w:rPr>
        <w:t xml:space="preserve">раз. Для сравнения, в 2020 году их просмотрели 41 млн раз. Хотя в 2021 </w:t>
      </w:r>
      <w:r w:rsidR="00745582">
        <w:rPr>
          <w:lang w:val="ru-RU"/>
        </w:rPr>
        <w:t xml:space="preserve">году </w:t>
      </w:r>
      <w:r w:rsidR="00635C09" w:rsidRPr="005F0BA6">
        <w:rPr>
          <w:lang w:val="ru-RU"/>
        </w:rPr>
        <w:t>был достигнут рекорд</w:t>
      </w:r>
      <w:r>
        <w:rPr>
          <w:lang w:val="en-US"/>
        </w:rPr>
        <w:t> </w:t>
      </w:r>
      <w:r w:rsidR="00635C09" w:rsidRPr="005F0BA6">
        <w:rPr>
          <w:lang w:val="ru-RU"/>
        </w:rPr>
        <w:t>– 163,9 млн просмотров, он является исключением, поскольку эти просмотры обеспечила одна публикация, которая стала «вирусной», при этом результаты 2022 года близки к повторению этого уровня успеха.</w:t>
      </w:r>
    </w:p>
    <w:p w14:paraId="2091B688" w14:textId="504BF411"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33.</w:t>
      </w:r>
      <w:r w:rsidRPr="00EE0D28">
        <w:rPr>
          <w:lang w:val="ru-RU"/>
        </w:rPr>
        <w:tab/>
      </w:r>
      <w:r w:rsidR="00635C09" w:rsidRPr="005F0BA6">
        <w:rPr>
          <w:lang w:val="ru-RU"/>
        </w:rPr>
        <w:t>Как и в 2021 году, в 2022 году наиболее значительный прирост аудитории в социальных сетях МПБЭУ произошел в сети «Линкдин», где число подписчиков увеличилось на 92</w:t>
      </w:r>
      <w:r>
        <w:rPr>
          <w:lang w:val="en-US"/>
        </w:rPr>
        <w:t> </w:t>
      </w:r>
      <w:r w:rsidR="00635C09" w:rsidRPr="005F0BA6">
        <w:rPr>
          <w:lang w:val="ru-RU"/>
        </w:rPr>
        <w:t>процента, а среднее количество просмотров в месяц выросло на 127 процентов по сравнению с 2021 годом. В сети «Инстаграм» также произошел значительный прирост аудитории МПБЭУ, особенно в части месячного охвата пользователей.</w:t>
      </w:r>
    </w:p>
    <w:p w14:paraId="11143CA0" w14:textId="67D71024"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34.</w:t>
      </w:r>
      <w:r w:rsidRPr="00EE0D28">
        <w:rPr>
          <w:lang w:val="ru-RU"/>
        </w:rPr>
        <w:tab/>
      </w:r>
      <w:r w:rsidR="00635C09" w:rsidRPr="005F0BA6">
        <w:rPr>
          <w:lang w:val="ru-RU"/>
        </w:rPr>
        <w:t>Аудитория аккаунтов МПБЭУ на других языках также демонстрировала устойчивый прирост в 2022 году: число подписчиков аккаунта на французском языке в сети «Твиттер» увеличилось на 70 процентов, аккаунта на французском языке в сети «Фейсбук» – на 131</w:t>
      </w:r>
      <w:r>
        <w:rPr>
          <w:lang w:val="en-US"/>
        </w:rPr>
        <w:t> </w:t>
      </w:r>
      <w:r w:rsidR="00635C09" w:rsidRPr="005F0BA6">
        <w:rPr>
          <w:lang w:val="ru-RU"/>
        </w:rPr>
        <w:t>процент, аккаунта на испанском языке в сети «Твиттер» – на 28 процентов, аккаунта на испанском языке в сети «Фейсбук» – на 93 процента по сравнению с 2021 годом.</w:t>
      </w:r>
    </w:p>
    <w:p w14:paraId="506688F6" w14:textId="40931908" w:rsidR="00635C09" w:rsidRPr="00EE0D28" w:rsidRDefault="00EE0D28" w:rsidP="00EE0D28">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b/>
          <w:bCs/>
          <w:lang w:val="ru-RU"/>
        </w:rPr>
      </w:pPr>
      <w:r>
        <w:rPr>
          <w:b/>
          <w:bCs/>
          <w:lang w:val="ru-RU"/>
        </w:rPr>
        <w:tab/>
      </w:r>
      <w:r w:rsidR="00635C09" w:rsidRPr="00EE0D28">
        <w:rPr>
          <w:b/>
          <w:bCs/>
          <w:lang w:val="ru-RU"/>
        </w:rPr>
        <w:t>c)</w:t>
      </w:r>
      <w:r w:rsidR="00635C09" w:rsidRPr="00EE0D28">
        <w:rPr>
          <w:b/>
          <w:bCs/>
          <w:lang w:val="ru-RU"/>
        </w:rPr>
        <w:tab/>
        <w:t>Отслеживание воздействия</w:t>
      </w:r>
    </w:p>
    <w:p w14:paraId="08A1201C" w14:textId="5D159C71"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i/>
          <w:lang w:val="ru-RU"/>
        </w:rPr>
      </w:pPr>
      <w:bookmarkStart w:id="11" w:name="_Hlk100212768"/>
      <w:r w:rsidRPr="00EE0D28">
        <w:rPr>
          <w:lang w:val="ru-RU"/>
        </w:rPr>
        <w:t>35.</w:t>
      </w:r>
      <w:r w:rsidRPr="00EE0D28">
        <w:rPr>
          <w:lang w:val="ru-RU"/>
        </w:rPr>
        <w:tab/>
      </w:r>
      <w:r w:rsidR="00635C09" w:rsidRPr="005F0BA6">
        <w:rPr>
          <w:lang w:val="ru-RU"/>
        </w:rPr>
        <w:t>Чтобы помочь сообществу МПБЭУ представить убедительные примеры конкретного воздействия работы Платформы, в 2022 году секретариат продолжал обновлять и расширять базу данных для фиксирования воздействия МПБЭУ («Трэк»). В настоящее время в базе «Трэк» содержатся более 500 отдельных примеров воздействия МПБЭУ. Этот инструмент остается открытым для публичного представления материалов и имеется по адресу: www.ipbes.net/</w:t>
      </w:r>
      <w:proofErr w:type="spellStart"/>
      <w:r w:rsidR="00635C09" w:rsidRPr="005F0BA6">
        <w:rPr>
          <w:lang w:val="ru-RU"/>
        </w:rPr>
        <w:t>impact-tracking-view</w:t>
      </w:r>
      <w:proofErr w:type="spellEnd"/>
      <w:r w:rsidR="00635C09" w:rsidRPr="005F0BA6">
        <w:rPr>
          <w:lang w:val="ru-RU"/>
        </w:rPr>
        <w:t>.</w:t>
      </w:r>
    </w:p>
    <w:p w14:paraId="28598460" w14:textId="211F80CE" w:rsidR="00635C09" w:rsidRPr="00EE0D28" w:rsidRDefault="00EE0D28" w:rsidP="00EE0D28">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b/>
          <w:bCs/>
          <w:lang w:val="ru-RU"/>
        </w:rPr>
      </w:pPr>
      <w:r>
        <w:rPr>
          <w:b/>
          <w:bCs/>
          <w:lang w:val="ru-RU"/>
        </w:rPr>
        <w:tab/>
      </w:r>
      <w:r w:rsidR="00635C09" w:rsidRPr="00EE0D28">
        <w:rPr>
          <w:b/>
          <w:bCs/>
          <w:lang w:val="ru-RU"/>
        </w:rPr>
        <w:t>d)</w:t>
      </w:r>
      <w:r w:rsidR="00635C09" w:rsidRPr="00EE0D28">
        <w:rPr>
          <w:b/>
          <w:bCs/>
          <w:lang w:val="ru-RU"/>
        </w:rPr>
        <w:tab/>
        <w:t>Подкаст «</w:t>
      </w:r>
      <w:proofErr w:type="spellStart"/>
      <w:r w:rsidR="00635C09" w:rsidRPr="00EE0D28">
        <w:rPr>
          <w:b/>
          <w:bCs/>
          <w:lang w:val="ru-RU"/>
        </w:rPr>
        <w:t>Нэйчр</w:t>
      </w:r>
      <w:proofErr w:type="spellEnd"/>
      <w:r w:rsidR="00635C09" w:rsidRPr="00EE0D28">
        <w:rPr>
          <w:b/>
          <w:bCs/>
          <w:lang w:val="ru-RU"/>
        </w:rPr>
        <w:t xml:space="preserve"> инсайт» </w:t>
      </w:r>
    </w:p>
    <w:bookmarkEnd w:id="11"/>
    <w:p w14:paraId="0D38252E" w14:textId="5F703C82" w:rsidR="00635C09" w:rsidRPr="005F0BA6" w:rsidRDefault="00EE0D28"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EE0D28">
        <w:rPr>
          <w:lang w:val="ru-RU"/>
        </w:rPr>
        <w:t>36.</w:t>
      </w:r>
      <w:r w:rsidRPr="00EE0D28">
        <w:rPr>
          <w:lang w:val="ru-RU"/>
        </w:rPr>
        <w:tab/>
      </w:r>
      <w:r w:rsidR="00635C09" w:rsidRPr="005F0BA6">
        <w:rPr>
          <w:lang w:val="ru-RU"/>
        </w:rPr>
        <w:t>В феврале 2022 года МПБЭУ запустила второй сезон своего профессионально подготовленного, распространяемого и рекламируемого подкаста «</w:t>
      </w:r>
      <w:proofErr w:type="spellStart"/>
      <w:r w:rsidR="00635C09" w:rsidRPr="005F0BA6">
        <w:rPr>
          <w:lang w:val="ru-RU"/>
        </w:rPr>
        <w:t>Нэйчр</w:t>
      </w:r>
      <w:proofErr w:type="spellEnd"/>
      <w:r w:rsidR="00635C09" w:rsidRPr="005F0BA6">
        <w:rPr>
          <w:lang w:val="ru-RU"/>
        </w:rPr>
        <w:t xml:space="preserve"> инсайт: </w:t>
      </w:r>
      <w:proofErr w:type="spellStart"/>
      <w:r w:rsidR="00635C09" w:rsidRPr="005F0BA6">
        <w:rPr>
          <w:lang w:val="ru-RU"/>
        </w:rPr>
        <w:t>спиддэйтинг</w:t>
      </w:r>
      <w:proofErr w:type="spellEnd"/>
      <w:r w:rsidR="00635C09" w:rsidRPr="005F0BA6">
        <w:rPr>
          <w:lang w:val="ru-RU"/>
        </w:rPr>
        <w:t xml:space="preserve"> </w:t>
      </w:r>
      <w:proofErr w:type="spellStart"/>
      <w:r w:rsidR="00635C09" w:rsidRPr="005F0BA6">
        <w:rPr>
          <w:lang w:val="ru-RU"/>
        </w:rPr>
        <w:t>уит</w:t>
      </w:r>
      <w:proofErr w:type="spellEnd"/>
      <w:r w:rsidR="00635C09" w:rsidRPr="005F0BA6">
        <w:rPr>
          <w:lang w:val="ru-RU"/>
        </w:rPr>
        <w:t xml:space="preserve"> </w:t>
      </w:r>
      <w:proofErr w:type="spellStart"/>
      <w:r w:rsidR="00635C09" w:rsidRPr="005F0BA6">
        <w:rPr>
          <w:lang w:val="ru-RU"/>
        </w:rPr>
        <w:t>нейчр</w:t>
      </w:r>
      <w:proofErr w:type="spellEnd"/>
      <w:r w:rsidR="00635C09" w:rsidRPr="005F0BA6">
        <w:rPr>
          <w:lang w:val="ru-RU"/>
        </w:rPr>
        <w:t>» (см. www.ipbes.net/</w:t>
      </w:r>
      <w:proofErr w:type="spellStart"/>
      <w:r w:rsidR="00635C09" w:rsidRPr="005F0BA6">
        <w:rPr>
          <w:lang w:val="ru-RU"/>
        </w:rPr>
        <w:t>podcast</w:t>
      </w:r>
      <w:proofErr w:type="spellEnd"/>
      <w:r w:rsidR="00635C09" w:rsidRPr="005F0BA6">
        <w:rPr>
          <w:lang w:val="ru-RU"/>
        </w:rPr>
        <w:t xml:space="preserve">), в который вошли новые выпуски подкаста, чья цель остается прежней – привлечение внимания к менее известным, но важным голосам из широкого сообщества МПБЭУ. Второй сезон оказался весьма успешным: с середины февраля по середину марта выпуски скачали более 16 800 раз, в то время как за весь 2021 год выпуски первого сезона скачали чуть более 16 000 раз. Подкаст МПБЭУ также вошел в топ-100, топ-20 и топ-10 хит-парадов подкастов о природе в ряде стран, а также занял 61 место в глобальном рейтинге топ-200 научных подкастов. Ключевым фактором этого успеха стало использование подкаста для охвата более широких приоритетных аудиторий и для того, чтобы сделать работу МПБЭУ более понятной и доступной как для новых, так и для имеющихся заинтересованных сторон. Был привлечен консультант по вопросам производства и маркетинга подкастов, </w:t>
      </w:r>
      <w:r w:rsidR="00635C09" w:rsidRPr="005F0BA6">
        <w:rPr>
          <w:lang w:val="ru-RU"/>
        </w:rPr>
        <w:lastRenderedPageBreak/>
        <w:t>который будет участвовать в записи третьего сезона, в который войдут шесть дополнительных выпусков. Ожидается, что первые выпуски выйдут до десятой сессии Пленума.</w:t>
      </w:r>
    </w:p>
    <w:p w14:paraId="3DF70212" w14:textId="2B058C5B" w:rsidR="00635C09" w:rsidRPr="00EE0D28" w:rsidRDefault="000F2615" w:rsidP="00EE0D28">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lang w:val="ru-RU"/>
        </w:rPr>
      </w:pPr>
      <w:r>
        <w:rPr>
          <w:b/>
          <w:bCs/>
          <w:lang w:val="ru-RU"/>
        </w:rPr>
        <w:tab/>
      </w:r>
      <w:r w:rsidR="00635C09" w:rsidRPr="00EE0D28">
        <w:rPr>
          <w:b/>
          <w:bCs/>
          <w:lang w:val="ru-RU"/>
        </w:rPr>
        <w:t>2.</w:t>
      </w:r>
      <w:r w:rsidR="00635C09" w:rsidRPr="00EE0D28">
        <w:rPr>
          <w:b/>
          <w:bCs/>
          <w:lang w:val="ru-RU"/>
        </w:rPr>
        <w:tab/>
        <w:t>Цель 5 b): Расширение участия правительств</w:t>
      </w:r>
    </w:p>
    <w:p w14:paraId="48173465" w14:textId="300A3D39" w:rsidR="00635C09" w:rsidRPr="005F0BA6" w:rsidRDefault="000F2615"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F2615">
        <w:rPr>
          <w:lang w:val="ru-RU"/>
        </w:rPr>
        <w:t>37.</w:t>
      </w:r>
      <w:r w:rsidRPr="000F2615">
        <w:rPr>
          <w:lang w:val="ru-RU"/>
        </w:rPr>
        <w:tab/>
      </w:r>
      <w:r w:rsidR="00635C09" w:rsidRPr="005F0BA6">
        <w:rPr>
          <w:lang w:val="ru-RU"/>
        </w:rPr>
        <w:t xml:space="preserve">Продолжались усилия по всестороннему вовлечению правительств в процессы МПБЭУ, включая дискуссионные совещания, </w:t>
      </w:r>
      <w:r w:rsidR="00694FE6">
        <w:rPr>
          <w:lang w:val="ru-RU"/>
        </w:rPr>
        <w:t>которые состоялись</w:t>
      </w:r>
      <w:r w:rsidR="00694FE6" w:rsidRPr="005F0BA6">
        <w:rPr>
          <w:lang w:val="ru-RU"/>
        </w:rPr>
        <w:t xml:space="preserve"> </w:t>
      </w:r>
      <w:r w:rsidR="00635C09" w:rsidRPr="005F0BA6">
        <w:rPr>
          <w:lang w:val="ru-RU"/>
        </w:rPr>
        <w:t>в</w:t>
      </w:r>
      <w:r w:rsidR="00694FE6">
        <w:rPr>
          <w:lang w:val="ru-RU"/>
        </w:rPr>
        <w:t xml:space="preserve">о время </w:t>
      </w:r>
      <w:r w:rsidR="00635C09" w:rsidRPr="005F0BA6">
        <w:rPr>
          <w:lang w:val="ru-RU"/>
        </w:rPr>
        <w:t xml:space="preserve">проведения внешнего обзора оценок и </w:t>
      </w:r>
      <w:r w:rsidR="00694FE6">
        <w:rPr>
          <w:lang w:val="ru-RU"/>
        </w:rPr>
        <w:t>работы над</w:t>
      </w:r>
      <w:r w:rsidR="00694FE6" w:rsidRPr="005F0BA6">
        <w:rPr>
          <w:lang w:val="ru-RU"/>
        </w:rPr>
        <w:t xml:space="preserve"> </w:t>
      </w:r>
      <w:r w:rsidR="00635C09" w:rsidRPr="005F0BA6">
        <w:rPr>
          <w:lang w:val="ru-RU"/>
        </w:rPr>
        <w:t>други</w:t>
      </w:r>
      <w:r w:rsidR="00694FE6">
        <w:rPr>
          <w:lang w:val="ru-RU"/>
        </w:rPr>
        <w:t>ми</w:t>
      </w:r>
      <w:r w:rsidR="00635C09" w:rsidRPr="005F0BA6">
        <w:rPr>
          <w:lang w:val="ru-RU"/>
        </w:rPr>
        <w:t xml:space="preserve"> результат</w:t>
      </w:r>
      <w:r w:rsidR="00694FE6">
        <w:rPr>
          <w:lang w:val="ru-RU"/>
        </w:rPr>
        <w:t>ами</w:t>
      </w:r>
      <w:r w:rsidR="00635C09" w:rsidRPr="005F0BA6">
        <w:rPr>
          <w:lang w:val="ru-RU"/>
        </w:rPr>
        <w:t xml:space="preserve"> было объявлено о назначении экспертов для целей оценки по вопросам хозяйственной деятельности и биоразнообразия (см. цель 2 выше); и состоялись семинары-практикумы в рамках регионального диалога по использованию оценок МПБЭУ при разработке мер политики (см. цель 4 а) выше). </w:t>
      </w:r>
    </w:p>
    <w:p w14:paraId="3D41E7F3" w14:textId="53ADA290" w:rsidR="00635C09" w:rsidRPr="00EE0D28" w:rsidRDefault="000F2615" w:rsidP="00EE0D28">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lang w:val="ru-RU"/>
        </w:rPr>
      </w:pPr>
      <w:r>
        <w:rPr>
          <w:b/>
          <w:bCs/>
          <w:lang w:val="ru-RU"/>
        </w:rPr>
        <w:tab/>
      </w:r>
      <w:r w:rsidR="00635C09" w:rsidRPr="00EE0D28">
        <w:rPr>
          <w:b/>
          <w:bCs/>
          <w:lang w:val="ru-RU"/>
        </w:rPr>
        <w:t>3.</w:t>
      </w:r>
      <w:r w:rsidR="00635C09" w:rsidRPr="00EE0D28">
        <w:rPr>
          <w:b/>
          <w:bCs/>
          <w:lang w:val="ru-RU"/>
        </w:rPr>
        <w:tab/>
        <w:t>Цель 5 c) Расширение участия заинтересованных сторон</w:t>
      </w:r>
    </w:p>
    <w:p w14:paraId="246C2647" w14:textId="38FB2219" w:rsidR="00635C09" w:rsidRPr="005F0BA6" w:rsidRDefault="000F2615"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F2615">
        <w:rPr>
          <w:lang w:val="ru-RU"/>
        </w:rPr>
        <w:t>38.</w:t>
      </w:r>
      <w:r w:rsidRPr="000F2615">
        <w:rPr>
          <w:lang w:val="ru-RU"/>
        </w:rPr>
        <w:tab/>
      </w:r>
      <w:r w:rsidR="00635C09" w:rsidRPr="005F0BA6">
        <w:rPr>
          <w:lang w:val="ru-RU"/>
        </w:rPr>
        <w:t xml:space="preserve">Ход достижения цели 5 с) после девятой сессии Пленума подробно описан в документе IPBES/10/INF/15, а основные достигнутые результаты описаны в настоящем разделе. </w:t>
      </w:r>
    </w:p>
    <w:p w14:paraId="640532D4" w14:textId="2FAA726E" w:rsidR="00635C09" w:rsidRPr="005F0BA6" w:rsidRDefault="000F2615"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F2615">
        <w:rPr>
          <w:lang w:val="ru-RU"/>
        </w:rPr>
        <w:t>39.</w:t>
      </w:r>
      <w:r w:rsidRPr="000F2615">
        <w:rPr>
          <w:lang w:val="ru-RU"/>
        </w:rPr>
        <w:tab/>
      </w:r>
      <w:r w:rsidR="00635C09" w:rsidRPr="005F0BA6">
        <w:rPr>
          <w:lang w:val="ru-RU"/>
        </w:rPr>
        <w:t xml:space="preserve">Мероприятия МПБЭУ по взаимодействию с заинтересованными сторонами после девятой сессии Пленума были направлены на укрепление взаимодействия заинтересованных сторон с рядом элементов программы работы МПБЭУ, наем персонала, оказание поддержки </w:t>
      </w:r>
      <w:proofErr w:type="spellStart"/>
      <w:r w:rsidR="00635C09" w:rsidRPr="005F0BA6">
        <w:rPr>
          <w:lang w:val="ru-RU"/>
        </w:rPr>
        <w:t>самоорганизованным</w:t>
      </w:r>
      <w:proofErr w:type="spellEnd"/>
      <w:r w:rsidR="00635C09" w:rsidRPr="005F0BA6">
        <w:rPr>
          <w:lang w:val="ru-RU"/>
        </w:rPr>
        <w:t xml:space="preserve"> сетям заинтересованных сторон МПБЭУ, а также содействие мероприятиям по освоению данных и соответствующим возможностям для заинтересованных сторон, особенно в отношении недавно опубликованных Доклада об оценке по вопросам устойчивого использования диких видов и Доклада об оценке по вопросам разнообразных ценностей и оценке природы.</w:t>
      </w:r>
    </w:p>
    <w:p w14:paraId="367BE255" w14:textId="22BEC126" w:rsidR="00635C09" w:rsidRPr="005F0BA6" w:rsidRDefault="000F2615"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F2615">
        <w:rPr>
          <w:lang w:val="ru-RU"/>
        </w:rPr>
        <w:t>40.</w:t>
      </w:r>
      <w:r w:rsidRPr="000F2615">
        <w:rPr>
          <w:lang w:val="ru-RU"/>
        </w:rPr>
        <w:tab/>
      </w:r>
      <w:r w:rsidR="00635C09" w:rsidRPr="005F0BA6">
        <w:rPr>
          <w:lang w:val="ru-RU"/>
        </w:rPr>
        <w:t>В рамках дискуссионных совещаний с участием заинтересованных сторон для выдвижения кандидатур экспертов и научных специалистов для проведения новой оценки по вопросам хозяйственной деятельности и биоразнообразия, организованных 6 октября 2022</w:t>
      </w:r>
      <w:r>
        <w:rPr>
          <w:lang w:val="en-US"/>
        </w:rPr>
        <w:t> </w:t>
      </w:r>
      <w:r w:rsidR="00635C09" w:rsidRPr="005F0BA6">
        <w:rPr>
          <w:lang w:val="ru-RU"/>
        </w:rPr>
        <w:t>года, были заслушаны выступления и состоялись обсуждения с участием более чем 230</w:t>
      </w:r>
      <w:r>
        <w:rPr>
          <w:lang w:val="en-US"/>
        </w:rPr>
        <w:t> </w:t>
      </w:r>
      <w:r w:rsidR="00635C09" w:rsidRPr="005F0BA6">
        <w:rPr>
          <w:lang w:val="ru-RU"/>
        </w:rPr>
        <w:t xml:space="preserve">участников, посвященные возможностям более активного вовлечения заинтересованных сторон и важности </w:t>
      </w:r>
      <w:proofErr w:type="spellStart"/>
      <w:r w:rsidR="00635C09" w:rsidRPr="005F0BA6">
        <w:rPr>
          <w:lang w:val="ru-RU"/>
        </w:rPr>
        <w:t>самоорганизованных</w:t>
      </w:r>
      <w:proofErr w:type="spellEnd"/>
      <w:r w:rsidR="00635C09" w:rsidRPr="005F0BA6">
        <w:rPr>
          <w:lang w:val="ru-RU"/>
        </w:rPr>
        <w:t xml:space="preserve"> сетей заинтересованных сторон МПБЭУ. Данное мероприятие соответствовало текущей задаче стимулирования более активного участия субъектов частного сектора в работе МПБЭУ, и после его завершения были проведены пробные предварительные обсуждения с коалицией «Предприниматели в защиту природы» об активизации ее участия в качестве заинтересованной стороны МПБЭУ.</w:t>
      </w:r>
    </w:p>
    <w:p w14:paraId="49A69F42" w14:textId="08F7B0CA" w:rsidR="00635C09" w:rsidRPr="005F0BA6" w:rsidRDefault="000F2615"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F2615">
        <w:rPr>
          <w:lang w:val="ru-RU"/>
        </w:rPr>
        <w:t>41.</w:t>
      </w:r>
      <w:r w:rsidRPr="000F2615">
        <w:rPr>
          <w:lang w:val="ru-RU"/>
        </w:rPr>
        <w:tab/>
      </w:r>
      <w:r w:rsidR="00635C09" w:rsidRPr="005F0BA6">
        <w:rPr>
          <w:lang w:val="ru-RU"/>
        </w:rPr>
        <w:t>Взаимодействие с заинтересованными сторонами также активно обсуждалось в ходе молодежного семинара-практикума МПБЭУ, проходившего на острове Вильм (Германия) с 19</w:t>
      </w:r>
      <w:r>
        <w:rPr>
          <w:lang w:val="en-US"/>
        </w:rPr>
        <w:t> </w:t>
      </w:r>
      <w:r w:rsidR="00635C09" w:rsidRPr="005F0BA6">
        <w:rPr>
          <w:lang w:val="ru-RU"/>
        </w:rPr>
        <w:t>по 23 октября 2022 года. В ходе этого семинара-практикума были освещены возможности участия заинтересованных сторон из числа молодежи в программе работы МПБЭУ, в том числе в рамках программы для научных специалистов, в качестве назначенных экспертов и рецензентов, а также в рамках подгруппы молодых специалистов по экосистемным услугам Сети заинтересованных сторон МПБЭУ открытого состава («</w:t>
      </w:r>
      <w:proofErr w:type="spellStart"/>
      <w:r w:rsidR="00635C09" w:rsidRPr="005F0BA6">
        <w:rPr>
          <w:lang w:val="ru-RU"/>
        </w:rPr>
        <w:t>Онэт</w:t>
      </w:r>
      <w:proofErr w:type="spellEnd"/>
      <w:r w:rsidR="00635C09" w:rsidRPr="005F0BA6">
        <w:rPr>
          <w:lang w:val="ru-RU"/>
        </w:rPr>
        <w:t xml:space="preserve">»). </w:t>
      </w:r>
    </w:p>
    <w:p w14:paraId="183892A7" w14:textId="5C79105C" w:rsidR="00635C09" w:rsidRPr="005F0BA6" w:rsidRDefault="000F2615"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F2615">
        <w:rPr>
          <w:lang w:val="ru-RU"/>
        </w:rPr>
        <w:t>42.</w:t>
      </w:r>
      <w:r w:rsidRPr="000F2615">
        <w:rPr>
          <w:lang w:val="ru-RU"/>
        </w:rPr>
        <w:tab/>
      </w:r>
      <w:r w:rsidR="00635C09" w:rsidRPr="005F0BA6">
        <w:rPr>
          <w:lang w:val="ru-RU"/>
        </w:rPr>
        <w:t>В контексте активизации и расширения участия заинтересованных сторон из числа коренного и местного населения в работе МПБЭУ, 17–19 января 2023 года в Чиангмае (Таиланд) был проведен семинар-практикум в формате диалога с участием представителей коренного и местного населения по вопросу о первом проекте глав оценки совокупности. С 13</w:t>
      </w:r>
      <w:r>
        <w:rPr>
          <w:lang w:val="en-US"/>
        </w:rPr>
        <w:t> </w:t>
      </w:r>
      <w:r w:rsidR="00635C09" w:rsidRPr="005F0BA6">
        <w:rPr>
          <w:lang w:val="ru-RU"/>
        </w:rPr>
        <w:t>по 16 февраля 2023 года в Летисии (Колумбия) также был проведен диалог с заинтересованными сторонами, посвященный сценариям будущего и оценке по вопросам преобразовательных изменений в рамках МПБЭУ.</w:t>
      </w:r>
    </w:p>
    <w:p w14:paraId="4D5EC4D1" w14:textId="3E920628" w:rsidR="00635C09" w:rsidRPr="005F0BA6" w:rsidRDefault="000F2615"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F2615">
        <w:rPr>
          <w:lang w:val="ru-RU"/>
        </w:rPr>
        <w:t>43.</w:t>
      </w:r>
      <w:r w:rsidRPr="000F2615">
        <w:rPr>
          <w:lang w:val="ru-RU"/>
        </w:rPr>
        <w:tab/>
      </w:r>
      <w:r w:rsidR="00635C09" w:rsidRPr="005F0BA6">
        <w:rPr>
          <w:lang w:val="ru-RU"/>
        </w:rPr>
        <w:t xml:space="preserve">Онлайновые диалоги с заинтересованными сторонами и специалистами-практиками были проведены в рамках первого внешнего обзора оценки совокупности 9 февраля 2023 года и в рамках первого внешнего обзора оценки по вопросам преобразовательных изменений 8 марта 2023 года. </w:t>
      </w:r>
    </w:p>
    <w:p w14:paraId="47B16FF3" w14:textId="4DBF439C" w:rsidR="00635C09" w:rsidRPr="005F0BA6" w:rsidRDefault="000F2615"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F2615">
        <w:rPr>
          <w:lang w:val="ru-RU"/>
        </w:rPr>
        <w:t>44.</w:t>
      </w:r>
      <w:r w:rsidRPr="000F2615">
        <w:rPr>
          <w:lang w:val="ru-RU"/>
        </w:rPr>
        <w:tab/>
      </w:r>
      <w:r w:rsidR="00635C09" w:rsidRPr="005F0BA6">
        <w:rPr>
          <w:lang w:val="ru-RU"/>
        </w:rPr>
        <w:t>Секретариат нанял сроком на 12 месяцев нового консультанта, который приступил к работе 20 марта 2023 года, чтобы укрепить поддержку, оказываемую прикомандированным сотрудником Международного союза охраны природы, в части взаимодействия с заинтересованными сторонами МПБЭУ, и чтобы обеспечить дополнительный потенциал для дальнейшей реализации стратегии взаимодействия с заинтересованными сторонами в 2023</w:t>
      </w:r>
      <w:r>
        <w:rPr>
          <w:lang w:val="en-US"/>
        </w:rPr>
        <w:t> </w:t>
      </w:r>
      <w:r w:rsidR="00635C09" w:rsidRPr="005F0BA6">
        <w:rPr>
          <w:lang w:val="ru-RU"/>
        </w:rPr>
        <w:t xml:space="preserve">году. Данная роль предполагает содействие усилиям по стимулированию освоения заинтересованными сторонами Доклада об оценке по вопросам устойчивого использования диких видов и Доклада об оценке по вопросам ценностей, организацию дня заинтересованных сторон в преддверии десятой сессии Пленума и мобилизацию внимания заинтересованных </w:t>
      </w:r>
      <w:r w:rsidR="00635C09" w:rsidRPr="005F0BA6">
        <w:rPr>
          <w:lang w:val="ru-RU"/>
        </w:rPr>
        <w:lastRenderedPageBreak/>
        <w:t>сторон к докладу об оценке по вопросам инвазивных чужеродных видов после его представления.</w:t>
      </w:r>
    </w:p>
    <w:p w14:paraId="7D2097F0" w14:textId="6B90EF6B" w:rsidR="00635C09" w:rsidRPr="005F0BA6" w:rsidRDefault="009D639B"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9D639B">
        <w:rPr>
          <w:lang w:val="ru-RU"/>
        </w:rPr>
        <w:t>45.</w:t>
      </w:r>
      <w:r w:rsidRPr="009D639B">
        <w:rPr>
          <w:lang w:val="ru-RU"/>
        </w:rPr>
        <w:tab/>
      </w:r>
      <w:r w:rsidR="00635C09" w:rsidRPr="005F0BA6">
        <w:rPr>
          <w:lang w:val="ru-RU"/>
        </w:rPr>
        <w:t xml:space="preserve">В первой половине 2023 года основное внимание в рамках мероприятий по взаимодействию с заинтересованными сторонами МПБЭУ уделялось созданию проектной группы для планирования и организации дня заинтересованных сторон в преддверии десятой сессии Пленума и изучению возможностей сотрудничества с заинтересованными сторонами из Восточной Европы, Центральной Азии и Африки, которые являются наименее представленными географическими регионами в текущем взаимодействии с заинтересованными сторонами МПБЭУ. </w:t>
      </w:r>
    </w:p>
    <w:p w14:paraId="6671CA25" w14:textId="0351294C" w:rsidR="00635C09" w:rsidRPr="00373E14" w:rsidRDefault="00596149" w:rsidP="00373E14">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b/>
          <w:bCs/>
          <w:sz w:val="24"/>
          <w:szCs w:val="24"/>
          <w:lang w:val="ru-RU"/>
        </w:rPr>
      </w:pPr>
      <w:r>
        <w:rPr>
          <w:b/>
          <w:bCs/>
          <w:sz w:val="24"/>
          <w:szCs w:val="24"/>
          <w:lang w:val="ru-RU"/>
        </w:rPr>
        <w:tab/>
      </w:r>
      <w:r w:rsidR="00635C09" w:rsidRPr="00373E14">
        <w:rPr>
          <w:b/>
          <w:bCs/>
          <w:sz w:val="24"/>
          <w:szCs w:val="24"/>
          <w:lang w:val="ru-RU"/>
        </w:rPr>
        <w:t>F.</w:t>
      </w:r>
      <w:r w:rsidR="00635C09" w:rsidRPr="00373E14">
        <w:rPr>
          <w:b/>
          <w:bCs/>
          <w:sz w:val="24"/>
          <w:szCs w:val="24"/>
          <w:lang w:val="ru-RU"/>
        </w:rPr>
        <w:tab/>
        <w:t>Цель 6: Повышение эффективности Платформы</w:t>
      </w:r>
    </w:p>
    <w:p w14:paraId="3664E64D" w14:textId="552B08BF" w:rsidR="00635C09" w:rsidRPr="005F0BA6" w:rsidRDefault="00373E14"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373E14">
        <w:rPr>
          <w:lang w:val="ru-RU"/>
        </w:rPr>
        <w:t>46.</w:t>
      </w:r>
      <w:r w:rsidRPr="00373E14">
        <w:rPr>
          <w:lang w:val="ru-RU"/>
        </w:rPr>
        <w:tab/>
      </w:r>
      <w:r w:rsidR="00635C09" w:rsidRPr="005F0BA6">
        <w:rPr>
          <w:lang w:val="ru-RU"/>
        </w:rPr>
        <w:t>Ход достижения цели 6 после девятой сессии Пленума подробно описан в документе IPBES/10/9, а основные достигнутые результаты описаны в настоящем разделе.</w:t>
      </w:r>
    </w:p>
    <w:p w14:paraId="57E3F149" w14:textId="6EFB70E2" w:rsidR="00635C09" w:rsidRPr="00373E14" w:rsidRDefault="00373E14" w:rsidP="00373E14">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lang w:val="ru-RU"/>
        </w:rPr>
      </w:pPr>
      <w:r>
        <w:rPr>
          <w:b/>
          <w:bCs/>
          <w:lang w:val="ru-RU"/>
        </w:rPr>
        <w:tab/>
      </w:r>
      <w:r w:rsidR="00635C09" w:rsidRPr="00373E14">
        <w:rPr>
          <w:b/>
          <w:bCs/>
          <w:lang w:val="ru-RU"/>
        </w:rPr>
        <w:t>1.</w:t>
      </w:r>
      <w:r w:rsidR="00635C09" w:rsidRPr="00373E14">
        <w:rPr>
          <w:b/>
          <w:bCs/>
          <w:lang w:val="ru-RU"/>
        </w:rPr>
        <w:tab/>
        <w:t>Цель 6 a): Периодический обзор эффективности МПБЭУ</w:t>
      </w:r>
    </w:p>
    <w:p w14:paraId="5EAC6B23" w14:textId="6B83430F" w:rsidR="00635C09" w:rsidRPr="005F0BA6" w:rsidRDefault="00373E14" w:rsidP="00635C09">
      <w:pPr>
        <w:pStyle w:val="ANormal"/>
        <w:tabs>
          <w:tab w:val="clear" w:pos="624"/>
          <w:tab w:val="clear" w:pos="1247"/>
          <w:tab w:val="clear" w:pos="1871"/>
          <w:tab w:val="clear" w:pos="2495"/>
          <w:tab w:val="clear" w:pos="3119"/>
          <w:tab w:val="clear" w:pos="3742"/>
          <w:tab w:val="clear" w:pos="4366"/>
        </w:tabs>
        <w:spacing w:after="120"/>
        <w:ind w:left="1247"/>
        <w:rPr>
          <w:rFonts w:eastAsia="SimSun"/>
          <w:lang w:val="ru-RU"/>
        </w:rPr>
      </w:pPr>
      <w:r w:rsidRPr="00373E14">
        <w:rPr>
          <w:lang w:val="ru-RU"/>
        </w:rPr>
        <w:t>47.</w:t>
      </w:r>
      <w:r w:rsidRPr="00373E14">
        <w:rPr>
          <w:lang w:val="ru-RU"/>
        </w:rPr>
        <w:tab/>
      </w:r>
      <w:r w:rsidR="00635C09" w:rsidRPr="005F0BA6">
        <w:rPr>
          <w:lang w:val="ru-RU"/>
        </w:rPr>
        <w:t>В разделе VI решения МПБЭУ-9/1 Пленум с удовлетворением отметил результаты, достигнутые Бюро и Многодисциплинарной группой экспертов в подготовке проекта положения о проведении среднесрочного обзора скользящей программы работы Платформы на период до 2030 года, который будет проведен в период между десятой и двенадцатой сессиями МПБЭУ, и предложил членам, наблюдателям и другим заинтересованным сторонам представить в секретариат их замечания в отношении проекта этого положения не позднее 31 августа 2022 года.</w:t>
      </w:r>
    </w:p>
    <w:p w14:paraId="179713F4" w14:textId="77D4EFE4" w:rsidR="00635C09" w:rsidRPr="005F0BA6" w:rsidRDefault="00373E14"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373E14">
        <w:rPr>
          <w:lang w:val="ru-RU"/>
        </w:rPr>
        <w:t>48.</w:t>
      </w:r>
      <w:r w:rsidRPr="00373E14">
        <w:rPr>
          <w:lang w:val="ru-RU"/>
        </w:rPr>
        <w:tab/>
      </w:r>
      <w:r w:rsidR="00635C09" w:rsidRPr="005F0BA6">
        <w:rPr>
          <w:lang w:val="ru-RU"/>
        </w:rPr>
        <w:t>Многодисциплинарная группа экспертов и Бюро рассмотрели полученные замечания и подготовили пересмотренное положение, которое приводится в приложении к документу IPBES/10/9, для рассмотрения Пленумом с целью его утверждения на десятой сессии.</w:t>
      </w:r>
    </w:p>
    <w:p w14:paraId="19E5433F" w14:textId="3F0401ED" w:rsidR="00635C09" w:rsidRPr="00373E14" w:rsidRDefault="00373E14" w:rsidP="00373E14">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lang w:val="ru-RU"/>
        </w:rPr>
      </w:pPr>
      <w:r>
        <w:rPr>
          <w:b/>
          <w:bCs/>
          <w:lang w:val="ru-RU"/>
        </w:rPr>
        <w:tab/>
      </w:r>
      <w:r w:rsidR="00635C09" w:rsidRPr="00373E14">
        <w:rPr>
          <w:b/>
          <w:bCs/>
          <w:lang w:val="ru-RU"/>
        </w:rPr>
        <w:t>2.</w:t>
      </w:r>
      <w:r w:rsidR="00635C09" w:rsidRPr="00373E14">
        <w:rPr>
          <w:b/>
          <w:bCs/>
          <w:lang w:val="ru-RU"/>
        </w:rPr>
        <w:tab/>
        <w:t>Цель 6 b): Обзор концептуальных рамок МПБЭУ</w:t>
      </w:r>
    </w:p>
    <w:p w14:paraId="0B5185EE" w14:textId="0EC3FA9F" w:rsidR="00635C09" w:rsidRPr="005F0BA6" w:rsidRDefault="00373E14"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373E14">
        <w:rPr>
          <w:lang w:val="ru-RU"/>
        </w:rPr>
        <w:t>49.</w:t>
      </w:r>
      <w:r w:rsidRPr="00373E14">
        <w:rPr>
          <w:lang w:val="ru-RU"/>
        </w:rPr>
        <w:tab/>
      </w:r>
      <w:r w:rsidR="00635C09" w:rsidRPr="005F0BA6">
        <w:rPr>
          <w:lang w:val="ru-RU"/>
        </w:rPr>
        <w:t>В решении МПБЭУ-9/1 Пленум приветствовал записку Бюро и Многодисциплинарной группы экспертов об использовании и воздействии концептуальных рамок Платформы (IPBES/9/INF/20) и предложил Многодисциплинарной группе экспертов и Бюро учесть выводы, представленные в этой записке, при стимулировании использования концептуальных рамок экспертами МПБЭУ и другими лицами и обеспечении рекомендаций в их отношении.</w:t>
      </w:r>
    </w:p>
    <w:p w14:paraId="518BBE39" w14:textId="0F7270EB" w:rsidR="00635C09" w:rsidRPr="00373E14" w:rsidRDefault="00373E14" w:rsidP="00373E14">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lang w:val="ru-RU"/>
        </w:rPr>
      </w:pPr>
      <w:r>
        <w:rPr>
          <w:b/>
          <w:bCs/>
          <w:lang w:val="ru-RU"/>
        </w:rPr>
        <w:tab/>
      </w:r>
      <w:r w:rsidR="00635C09" w:rsidRPr="00373E14">
        <w:rPr>
          <w:b/>
          <w:bCs/>
          <w:lang w:val="ru-RU"/>
        </w:rPr>
        <w:t>3.</w:t>
      </w:r>
      <w:r w:rsidR="00635C09" w:rsidRPr="00373E14">
        <w:rPr>
          <w:b/>
          <w:bCs/>
          <w:lang w:val="ru-RU"/>
        </w:rPr>
        <w:tab/>
        <w:t>Цель 6 c) Повышение эффективности процесса оценки</w:t>
      </w:r>
    </w:p>
    <w:p w14:paraId="790D6479" w14:textId="6B408D19" w:rsidR="00635C09" w:rsidRPr="005F0BA6" w:rsidRDefault="00373E14"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373E14">
        <w:rPr>
          <w:lang w:val="ru-RU"/>
        </w:rPr>
        <w:t>50.</w:t>
      </w:r>
      <w:r w:rsidRPr="00373E14">
        <w:rPr>
          <w:lang w:val="ru-RU"/>
        </w:rPr>
        <w:tab/>
      </w:r>
      <w:r w:rsidR="00635C09" w:rsidRPr="005F0BA6">
        <w:rPr>
          <w:lang w:val="ru-RU"/>
        </w:rPr>
        <w:t>В августе 2022 года был организован дополнительный раунд обзора правительствами резюме для директивных органов оценки по вопросам инвазивных чужеродных видов, и планируется провести аналогичный обзор оценки по вопросам хозяйственной деятельности и биоразнообразия. Возможность проведения таких обзоров будет также рассматриваться и для будущих оценок, как указано в докладе Бюро и Многодисциплинарной группы экспертов об определении приоритетности запросов, материалов и предложений в отношении дополнительных элементов скользящей программы работы Платформы на период до 2030 года (IPBES/10/10).</w:t>
      </w:r>
    </w:p>
    <w:p w14:paraId="11D47902" w14:textId="0DB3BE26" w:rsidR="00635C09" w:rsidRPr="005F0BA6" w:rsidRDefault="00373E14" w:rsidP="00373E14">
      <w:pPr>
        <w:pStyle w:val="ANormal"/>
        <w:tabs>
          <w:tab w:val="clear" w:pos="624"/>
          <w:tab w:val="clear" w:pos="1247"/>
          <w:tab w:val="clear" w:pos="1871"/>
          <w:tab w:val="clear" w:pos="2495"/>
          <w:tab w:val="clear" w:pos="3119"/>
          <w:tab w:val="clear" w:pos="3742"/>
          <w:tab w:val="clear" w:pos="4366"/>
        </w:tabs>
        <w:spacing w:after="240"/>
        <w:ind w:left="1247"/>
        <w:rPr>
          <w:lang w:val="ru-RU"/>
        </w:rPr>
      </w:pPr>
      <w:r w:rsidRPr="00373E14">
        <w:rPr>
          <w:lang w:val="ru-RU"/>
        </w:rPr>
        <w:t>51.</w:t>
      </w:r>
      <w:r w:rsidRPr="00373E14">
        <w:rPr>
          <w:lang w:val="ru-RU"/>
        </w:rPr>
        <w:tab/>
      </w:r>
      <w:r w:rsidR="00635C09" w:rsidRPr="005F0BA6">
        <w:rPr>
          <w:lang w:val="ru-RU"/>
        </w:rPr>
        <w:t>Многодисциплинарная группа экспертов и Бюро продолжали оказывать поддержку экспериментальному использованию новых и новаторских методов и средств в ходе текущих оценок МПБЭУ. Соответствующие усилия возглавляет целевая группа по вопросам знаний и данных. Информация о результатах этих усилий изложена в документе IPBES/10/INF/11.</w:t>
      </w:r>
    </w:p>
    <w:p w14:paraId="1F330FBB" w14:textId="6BC6DBC0" w:rsidR="00635C09" w:rsidRPr="00373E14" w:rsidRDefault="00373E14" w:rsidP="00373E14">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b/>
          <w:bCs/>
          <w:sz w:val="28"/>
          <w:szCs w:val="28"/>
          <w:lang w:val="ru-RU"/>
        </w:rPr>
      </w:pPr>
      <w:bookmarkStart w:id="12" w:name="_Hlk42180106"/>
      <w:r>
        <w:rPr>
          <w:b/>
          <w:bCs/>
          <w:sz w:val="28"/>
          <w:szCs w:val="28"/>
          <w:lang w:val="ru-RU"/>
        </w:rPr>
        <w:tab/>
      </w:r>
      <w:r w:rsidR="00635C09" w:rsidRPr="00373E14">
        <w:rPr>
          <w:b/>
          <w:bCs/>
          <w:sz w:val="28"/>
          <w:szCs w:val="28"/>
          <w:lang w:val="ru-RU"/>
        </w:rPr>
        <w:t>II.</w:t>
      </w:r>
      <w:r w:rsidR="00635C09" w:rsidRPr="00373E14">
        <w:rPr>
          <w:b/>
          <w:bCs/>
          <w:sz w:val="28"/>
          <w:szCs w:val="28"/>
          <w:lang w:val="ru-RU"/>
        </w:rPr>
        <w:tab/>
        <w:t>На</w:t>
      </w:r>
      <w:r w:rsidR="00744D58">
        <w:rPr>
          <w:b/>
          <w:bCs/>
          <w:sz w:val="28"/>
          <w:szCs w:val="28"/>
          <w:lang w:val="ru-RU"/>
        </w:rPr>
        <w:t>е</w:t>
      </w:r>
      <w:r w:rsidR="00635C09" w:rsidRPr="00373E14">
        <w:rPr>
          <w:b/>
          <w:bCs/>
          <w:sz w:val="28"/>
          <w:szCs w:val="28"/>
          <w:lang w:val="ru-RU"/>
        </w:rPr>
        <w:t>м сотрудников в секретариат в 2021 и 2022 годах</w:t>
      </w:r>
      <w:bookmarkEnd w:id="12"/>
    </w:p>
    <w:p w14:paraId="04EF2FC9" w14:textId="68F40009" w:rsidR="00635C09" w:rsidRPr="005F0BA6" w:rsidRDefault="00373E14"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bookmarkStart w:id="13" w:name="_Hlk499031423"/>
      <w:r w:rsidRPr="00373E14">
        <w:rPr>
          <w:lang w:val="ru-RU"/>
        </w:rPr>
        <w:t>52.</w:t>
      </w:r>
      <w:r w:rsidRPr="00373E14">
        <w:rPr>
          <w:lang w:val="ru-RU"/>
        </w:rPr>
        <w:tab/>
      </w:r>
      <w:r w:rsidR="00635C09" w:rsidRPr="005F0BA6">
        <w:rPr>
          <w:lang w:val="ru-RU"/>
        </w:rPr>
        <w:t xml:space="preserve">В секретариате имеется 20 штатных должностей. Его организационная структура представлена в документе IPBES/10/5 (стр. 27). К должностям категории специалистов относятся: одна должность Исполнительного секретаря (Д-2), одна – руководителя программы работы (С-4), одна – руководителя отдела операций (С-4), одна – руководителя отдела информационного обеспечения (С-4), две – специалистов по управлению программами (С-3), одна – </w:t>
      </w:r>
      <w:r w:rsidR="004D4CBA" w:rsidRPr="005F0BA6">
        <w:rPr>
          <w:lang w:val="ru-RU"/>
        </w:rPr>
        <w:t>специалиста</w:t>
      </w:r>
      <w:r w:rsidR="00635C09" w:rsidRPr="005F0BA6">
        <w:rPr>
          <w:lang w:val="ru-RU"/>
        </w:rPr>
        <w:t xml:space="preserve"> по управлению информацией (С-3), одна – </w:t>
      </w:r>
      <w:r w:rsidR="004D4CBA" w:rsidRPr="005F0BA6">
        <w:rPr>
          <w:lang w:val="ru-RU"/>
        </w:rPr>
        <w:t>специалиста</w:t>
      </w:r>
      <w:r w:rsidR="00635C09" w:rsidRPr="005F0BA6">
        <w:rPr>
          <w:lang w:val="ru-RU"/>
        </w:rPr>
        <w:t xml:space="preserve"> по управлению фондами (С-3), одна – руководителя отдела развития (С-3) и две – младших специалистов по общественной информации (С-2). К должностям категории общего обслуживания относятся: две должности помощника по управлению программами (одна должность категории КОО-6 и одна – категории КОО-5), две – помощника по информационным системам (КОО-6), три – административных помощника (одна должность категории КОО-6 и две – категории КОО-5), </w:t>
      </w:r>
      <w:r w:rsidR="00635C09" w:rsidRPr="005F0BA6">
        <w:rPr>
          <w:lang w:val="ru-RU"/>
        </w:rPr>
        <w:lastRenderedPageBreak/>
        <w:t xml:space="preserve">одна – помощника </w:t>
      </w:r>
      <w:r w:rsidR="0058368E">
        <w:rPr>
          <w:lang w:val="ru-RU"/>
        </w:rPr>
        <w:t xml:space="preserve">по </w:t>
      </w:r>
      <w:r w:rsidR="00635C09" w:rsidRPr="005F0BA6">
        <w:rPr>
          <w:lang w:val="ru-RU"/>
        </w:rPr>
        <w:t xml:space="preserve">финансовым и бюджетным вопросам (КОО-6) и одна – помощника по коммуникациям (КОО-6). </w:t>
      </w:r>
    </w:p>
    <w:p w14:paraId="6708E3FF" w14:textId="657D6F94" w:rsidR="00635C09" w:rsidRPr="005F0BA6" w:rsidRDefault="00510444"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510444">
        <w:rPr>
          <w:lang w:val="ru-RU"/>
        </w:rPr>
        <w:t>53.</w:t>
      </w:r>
      <w:r w:rsidRPr="00510444">
        <w:rPr>
          <w:lang w:val="ru-RU"/>
        </w:rPr>
        <w:tab/>
      </w:r>
      <w:r w:rsidR="00635C09" w:rsidRPr="005F0BA6">
        <w:rPr>
          <w:lang w:val="ru-RU"/>
        </w:rPr>
        <w:t xml:space="preserve">В решении МПБЭУ-9/3 о финансовой и бюджетной основе Пленум утвердил финансирование одной новой должности младшего специалиста по общественной информации категории С-2 (включена в приведенный выше перечень) и реклассификацию трех должностей. Наем на новую должность находится на завершающей стадии, и в настоящее время проводится реклассификация трех должностей. </w:t>
      </w:r>
    </w:p>
    <w:p w14:paraId="5B1F8D65" w14:textId="753CC6E9" w:rsidR="00635C09" w:rsidRPr="005F0BA6" w:rsidRDefault="00510444"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510444">
        <w:rPr>
          <w:lang w:val="ru-RU"/>
        </w:rPr>
        <w:t>54.</w:t>
      </w:r>
      <w:r w:rsidRPr="00510444">
        <w:rPr>
          <w:lang w:val="ru-RU"/>
        </w:rPr>
        <w:tab/>
      </w:r>
      <w:r w:rsidR="00635C09" w:rsidRPr="005F0BA6">
        <w:rPr>
          <w:lang w:val="ru-RU"/>
        </w:rPr>
        <w:t>Наем на должность руководителя отдела развития (С-3) находится на завершающей стадии. Одна должность помощника по управлению программами (КОО-5) остается вакантной после того, как занимавший ее сотрудник занял другую позицию внутри организации, и в ближайшее время будет начат наем на эту должность. В настоящее время ведется наем на одну должность помощника по информационным системам (КОО-6) в связи с уходом в 2022 году сотрудника, занимавшего эту должность.</w:t>
      </w:r>
    </w:p>
    <w:p w14:paraId="64803AC6" w14:textId="0D3F4476" w:rsidR="00635C09" w:rsidRPr="005F0BA6" w:rsidRDefault="00510444"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510444">
        <w:rPr>
          <w:lang w:val="ru-RU"/>
        </w:rPr>
        <w:t>55.</w:t>
      </w:r>
      <w:r w:rsidRPr="00510444">
        <w:rPr>
          <w:lang w:val="ru-RU"/>
        </w:rPr>
        <w:tab/>
      </w:r>
      <w:r w:rsidR="00635C09" w:rsidRPr="005F0BA6">
        <w:rPr>
          <w:lang w:val="ru-RU"/>
        </w:rPr>
        <w:t xml:space="preserve">Десятой сессии Пленума направляется запрос на реклассификацию двух должностей административных помощников из категории КОО-5 в категорию КОО-6. </w:t>
      </w:r>
    </w:p>
    <w:p w14:paraId="265BAB07" w14:textId="3F9D1E5C" w:rsidR="00635C09" w:rsidRPr="005F0BA6" w:rsidRDefault="00510444" w:rsidP="00635C09">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510444">
        <w:rPr>
          <w:lang w:val="ru-RU"/>
        </w:rPr>
        <w:t>56.</w:t>
      </w:r>
      <w:r w:rsidRPr="00510444">
        <w:rPr>
          <w:lang w:val="ru-RU"/>
        </w:rPr>
        <w:tab/>
      </w:r>
      <w:r w:rsidR="00635C09" w:rsidRPr="005F0BA6">
        <w:rPr>
          <w:lang w:val="ru-RU"/>
        </w:rPr>
        <w:t>Информация о созданных организационных механизмах оказания технической поддержки при осуществлении программы работы изложена в документе IPBES/10/INF/4.</w:t>
      </w:r>
    </w:p>
    <w:bookmarkEnd w:id="13"/>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635C09" w:rsidRPr="00DB233A" w14:paraId="5A693135" w14:textId="77777777" w:rsidTr="00A36B8C">
        <w:tc>
          <w:tcPr>
            <w:tcW w:w="1898" w:type="dxa"/>
          </w:tcPr>
          <w:p w14:paraId="7CB888B3" w14:textId="77777777" w:rsidR="00635C09" w:rsidRPr="00A40222" w:rsidRDefault="00635C09" w:rsidP="00A36B8C">
            <w:pPr>
              <w:pStyle w:val="Normal-pool"/>
              <w:spacing w:before="520"/>
              <w:rPr>
                <w:lang w:val="ru-RU"/>
              </w:rPr>
            </w:pPr>
          </w:p>
        </w:tc>
        <w:tc>
          <w:tcPr>
            <w:tcW w:w="1899" w:type="dxa"/>
          </w:tcPr>
          <w:p w14:paraId="4E613FBA" w14:textId="77777777" w:rsidR="00635C09" w:rsidRPr="00A40222" w:rsidRDefault="00635C09" w:rsidP="00A36B8C">
            <w:pPr>
              <w:pStyle w:val="Normal-pool"/>
              <w:spacing w:before="520"/>
              <w:rPr>
                <w:lang w:val="ru-RU"/>
              </w:rPr>
            </w:pPr>
          </w:p>
        </w:tc>
        <w:tc>
          <w:tcPr>
            <w:tcW w:w="1899" w:type="dxa"/>
            <w:tcBorders>
              <w:bottom w:val="single" w:sz="4" w:space="0" w:color="auto"/>
            </w:tcBorders>
          </w:tcPr>
          <w:p w14:paraId="03D6906D" w14:textId="77777777" w:rsidR="00635C09" w:rsidRPr="00A40222" w:rsidRDefault="00635C09" w:rsidP="00A36B8C">
            <w:pPr>
              <w:pStyle w:val="Normal-pool"/>
              <w:spacing w:before="520"/>
              <w:rPr>
                <w:lang w:val="ru-RU"/>
              </w:rPr>
            </w:pPr>
          </w:p>
        </w:tc>
        <w:tc>
          <w:tcPr>
            <w:tcW w:w="1900" w:type="dxa"/>
          </w:tcPr>
          <w:p w14:paraId="596F4E82" w14:textId="77777777" w:rsidR="00635C09" w:rsidRPr="00A40222" w:rsidRDefault="00635C09" w:rsidP="00A36B8C">
            <w:pPr>
              <w:pStyle w:val="Normal-pool"/>
              <w:spacing w:before="520"/>
              <w:rPr>
                <w:lang w:val="ru-RU"/>
              </w:rPr>
            </w:pPr>
          </w:p>
        </w:tc>
        <w:tc>
          <w:tcPr>
            <w:tcW w:w="1900" w:type="dxa"/>
          </w:tcPr>
          <w:p w14:paraId="1E23B1D0" w14:textId="77777777" w:rsidR="00635C09" w:rsidRPr="00A40222" w:rsidRDefault="00635C09" w:rsidP="00A36B8C">
            <w:pPr>
              <w:pStyle w:val="Normal-pool"/>
              <w:spacing w:before="520"/>
              <w:rPr>
                <w:lang w:val="ru-RU"/>
              </w:rPr>
            </w:pPr>
          </w:p>
        </w:tc>
      </w:tr>
    </w:tbl>
    <w:p w14:paraId="517FCAAD" w14:textId="77777777" w:rsidR="00635C09" w:rsidRPr="00066EF4" w:rsidRDefault="00635C09" w:rsidP="00066EF4">
      <w:pPr>
        <w:pStyle w:val="ANormal"/>
        <w:tabs>
          <w:tab w:val="clear" w:pos="624"/>
          <w:tab w:val="clear" w:pos="1247"/>
          <w:tab w:val="clear" w:pos="1871"/>
          <w:tab w:val="clear" w:pos="2495"/>
          <w:tab w:val="clear" w:pos="3119"/>
          <w:tab w:val="clear" w:pos="3742"/>
          <w:tab w:val="clear" w:pos="4366"/>
        </w:tabs>
        <w:spacing w:after="120"/>
        <w:ind w:left="1247"/>
        <w:rPr>
          <w:lang w:val="ru-RU"/>
        </w:rPr>
      </w:pPr>
    </w:p>
    <w:sectPr w:rsidR="00635C09" w:rsidRPr="00066EF4" w:rsidSect="00B44DF7">
      <w:headerReference w:type="even" r:id="rId13"/>
      <w:headerReference w:type="default" r:id="rId14"/>
      <w:footerReference w:type="even" r:id="rId15"/>
      <w:footerReference w:type="default" r:id="rId16"/>
      <w:footerReference w:type="first" r:id="rId17"/>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8FDF" w14:textId="77777777" w:rsidR="00E51831" w:rsidRPr="00F555F7" w:rsidRDefault="00E51831">
      <w:pPr>
        <w:rPr>
          <w:lang w:val="en-US"/>
        </w:rPr>
      </w:pPr>
      <w:r w:rsidRPr="00F555F7">
        <w:rPr>
          <w:lang w:val="en-US"/>
        </w:rPr>
        <w:separator/>
      </w:r>
    </w:p>
  </w:endnote>
  <w:endnote w:type="continuationSeparator" w:id="0">
    <w:p w14:paraId="463F9D3A" w14:textId="77777777" w:rsidR="00E51831" w:rsidRPr="00F555F7" w:rsidRDefault="00E51831">
      <w:pPr>
        <w:rPr>
          <w:lang w:val="en-US"/>
        </w:rPr>
      </w:pPr>
      <w:r w:rsidRPr="00F555F7">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6903" w14:textId="77777777" w:rsidR="007A36F8" w:rsidRPr="00B44DF7" w:rsidRDefault="00B44DF7" w:rsidP="00066EF4">
    <w:pPr>
      <w:pStyle w:val="Footer"/>
      <w:tabs>
        <w:tab w:val="clear" w:pos="1247"/>
        <w:tab w:val="clear" w:pos="1814"/>
        <w:tab w:val="clear" w:pos="2381"/>
        <w:tab w:val="clear" w:pos="2948"/>
        <w:tab w:val="clear" w:pos="3515"/>
        <w:tab w:val="clear" w:pos="4320"/>
        <w:tab w:val="clear" w:pos="8640"/>
      </w:tabs>
    </w:pPr>
    <w:r>
      <w:rPr>
        <w:b/>
      </w:rPr>
      <w:fldChar w:fldCharType="begin"/>
    </w:r>
    <w:r>
      <w:rPr>
        <w:b/>
      </w:rPr>
      <w:instrText xml:space="preserve"> PAGE </w:instrText>
    </w:r>
    <w:r>
      <w:rPr>
        <w:b/>
      </w:rPr>
      <w:fldChar w:fldCharType="separate"/>
    </w:r>
    <w:r>
      <w:rPr>
        <w:b/>
        <w:noProof/>
      </w:rPr>
      <w:t>9</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5EAF" w14:textId="77777777" w:rsidR="007A36F8" w:rsidRPr="00B44DF7" w:rsidRDefault="00B44DF7" w:rsidP="00066EF4">
    <w:pPr>
      <w:pStyle w:val="Footer-pool"/>
      <w:tabs>
        <w:tab w:val="clear" w:pos="624"/>
        <w:tab w:val="clear" w:pos="1247"/>
        <w:tab w:val="clear" w:pos="1871"/>
        <w:tab w:val="clear" w:pos="2495"/>
        <w:tab w:val="clear" w:pos="3119"/>
        <w:tab w:val="clear" w:pos="3742"/>
        <w:tab w:val="clear" w:pos="4366"/>
        <w:tab w:val="clear" w:pos="8641"/>
      </w:tabs>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DB4B" w14:textId="2E7CE60C" w:rsidR="00633783" w:rsidRPr="007765C3" w:rsidRDefault="00633783" w:rsidP="00066EF4">
    <w:pPr>
      <w:pStyle w:val="Normal-pool"/>
      <w:tabs>
        <w:tab w:val="clear" w:pos="624"/>
        <w:tab w:val="clear" w:pos="1247"/>
        <w:tab w:val="clear" w:pos="1871"/>
        <w:tab w:val="clear" w:pos="2495"/>
        <w:tab w:val="clear" w:pos="3119"/>
        <w:tab w:val="clear" w:pos="3742"/>
        <w:tab w:val="clear" w:pos="4366"/>
      </w:tabs>
      <w:spacing w:after="120"/>
    </w:pPr>
    <w:bookmarkStart w:id="14" w:name="FooterJobDate"/>
    <w:r w:rsidRPr="007765C3">
      <w:t>K</w:t>
    </w:r>
    <w:r>
      <w:t>2310610</w:t>
    </w:r>
    <w:r w:rsidRPr="007765C3">
      <w:t>[</w:t>
    </w:r>
    <w:r w:rsidR="00066EF4">
      <w:t>R</w:t>
    </w:r>
    <w:r w:rsidRPr="007765C3">
      <w:t>]</w:t>
    </w:r>
    <w:r w:rsidRPr="007765C3">
      <w:tab/>
    </w:r>
    <w:r>
      <w:t>1</w:t>
    </w:r>
    <w:r w:rsidR="00744D58">
      <w:rPr>
        <w:lang w:val="ru-RU"/>
      </w:rPr>
      <w:t>3</w:t>
    </w:r>
    <w:r w:rsidR="00066EF4">
      <w:t>07</w:t>
    </w:r>
    <w:r w:rsidRPr="007765C3">
      <w:t>23</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22AB" w14:textId="77777777" w:rsidR="00E51831" w:rsidRPr="00633783" w:rsidRDefault="00E51831" w:rsidP="00AF146A">
      <w:pPr>
        <w:pStyle w:val="Normal-pool"/>
        <w:tabs>
          <w:tab w:val="clear" w:pos="1247"/>
          <w:tab w:val="clear" w:pos="1871"/>
          <w:tab w:val="clear" w:pos="2495"/>
          <w:tab w:val="clear" w:pos="3119"/>
          <w:tab w:val="clear" w:pos="3742"/>
          <w:tab w:val="clear" w:pos="4366"/>
        </w:tabs>
        <w:spacing w:before="60"/>
        <w:ind w:left="624"/>
        <w:rPr>
          <w:sz w:val="18"/>
          <w:szCs w:val="18"/>
        </w:rPr>
      </w:pPr>
      <w:r w:rsidRPr="00633783">
        <w:rPr>
          <w:sz w:val="18"/>
          <w:szCs w:val="18"/>
        </w:rPr>
        <w:separator/>
      </w:r>
    </w:p>
  </w:footnote>
  <w:footnote w:type="continuationSeparator" w:id="0">
    <w:p w14:paraId="31325301" w14:textId="77777777" w:rsidR="00E51831" w:rsidRPr="00F555F7" w:rsidRDefault="00E51831" w:rsidP="00F555F7">
      <w:pPr>
        <w:pStyle w:val="Normal-pool"/>
      </w:pPr>
      <w:r w:rsidRPr="00F555F7">
        <w:continuationSeparator/>
      </w:r>
    </w:p>
  </w:footnote>
  <w:footnote w:type="continuationNotice" w:id="1">
    <w:p w14:paraId="0D30FA43" w14:textId="77777777" w:rsidR="00E51831" w:rsidRDefault="00E51831" w:rsidP="00F555F7">
      <w:pPr>
        <w:pStyle w:val="ASpacer"/>
      </w:pPr>
    </w:p>
  </w:footnote>
  <w:footnote w:id="2">
    <w:p w14:paraId="09D03023" w14:textId="01C9E037" w:rsidR="00950443" w:rsidRPr="00173A69" w:rsidRDefault="00950443" w:rsidP="00066EF4">
      <w:pPr>
        <w:pStyle w:val="Footnote-Text"/>
        <w:tabs>
          <w:tab w:val="clear" w:pos="624"/>
          <w:tab w:val="clear" w:pos="1247"/>
          <w:tab w:val="clear" w:pos="1871"/>
          <w:tab w:val="clear" w:pos="2495"/>
          <w:tab w:val="clear" w:pos="3119"/>
          <w:tab w:val="clear" w:pos="3742"/>
          <w:tab w:val="clear" w:pos="4366"/>
        </w:tabs>
        <w:rPr>
          <w:rFonts w:eastAsia="SimSun"/>
          <w:lang w:val="ru-RU"/>
        </w:rPr>
      </w:pPr>
      <w:r>
        <w:rPr>
          <w:lang w:val="ru-RU"/>
        </w:rPr>
        <w:t xml:space="preserve">* </w:t>
      </w:r>
      <w:r w:rsidR="00066EF4">
        <w:rPr>
          <w:lang w:val="ru-RU"/>
        </w:rPr>
        <w:tab/>
      </w:r>
      <w:r>
        <w:rPr>
          <w:lang w:val="ru-RU"/>
        </w:rPr>
        <w:t>IPBES/10/1.</w:t>
      </w:r>
    </w:p>
  </w:footnote>
  <w:footnote w:id="3">
    <w:p w14:paraId="12D366B1" w14:textId="16BC3789" w:rsidR="000668E8" w:rsidRPr="00173A69" w:rsidRDefault="00F555F7" w:rsidP="00066EF4">
      <w:pPr>
        <w:pStyle w:val="Footnote-Text"/>
        <w:tabs>
          <w:tab w:val="clear" w:pos="624"/>
          <w:tab w:val="clear" w:pos="1247"/>
          <w:tab w:val="clear" w:pos="1871"/>
          <w:tab w:val="clear" w:pos="2495"/>
          <w:tab w:val="clear" w:pos="3119"/>
          <w:tab w:val="clear" w:pos="3742"/>
          <w:tab w:val="clear" w:pos="4366"/>
        </w:tabs>
        <w:rPr>
          <w:szCs w:val="18"/>
          <w:lang w:val="ru-RU"/>
        </w:rPr>
      </w:pPr>
      <w:r w:rsidRPr="00633783">
        <w:rPr>
          <w:rStyle w:val="FootnoteReference"/>
          <w:sz w:val="18"/>
          <w:lang w:val="ru-RU"/>
        </w:rPr>
        <w:footnoteRef/>
      </w:r>
      <w:r>
        <w:rPr>
          <w:lang w:val="ru-RU"/>
        </w:rPr>
        <w:t xml:space="preserve"> </w:t>
      </w:r>
      <w:r w:rsidR="00066EF4">
        <w:rPr>
          <w:lang w:val="ru-RU"/>
        </w:rPr>
        <w:tab/>
      </w:r>
      <w:r>
        <w:rPr>
          <w:lang w:val="ru-RU"/>
        </w:rPr>
        <w:t>См. решение МПБЭУ-3/3, приложение I.</w:t>
      </w:r>
    </w:p>
  </w:footnote>
  <w:footnote w:id="4">
    <w:p w14:paraId="531752B5" w14:textId="27969E34" w:rsidR="004A049B" w:rsidRPr="00173A69" w:rsidRDefault="004A049B" w:rsidP="00A03607">
      <w:pPr>
        <w:pStyle w:val="FootnoteText"/>
        <w:tabs>
          <w:tab w:val="clear" w:pos="1247"/>
          <w:tab w:val="clear" w:pos="1814"/>
          <w:tab w:val="clear" w:pos="2381"/>
          <w:tab w:val="clear" w:pos="2948"/>
          <w:tab w:val="clear" w:pos="3515"/>
          <w:tab w:val="clear" w:pos="4082"/>
        </w:tabs>
        <w:rPr>
          <w:szCs w:val="18"/>
          <w:lang w:val="ru-RU"/>
        </w:rPr>
      </w:pPr>
      <w:r w:rsidRPr="00633783">
        <w:rPr>
          <w:rStyle w:val="FootnoteReference"/>
          <w:sz w:val="18"/>
          <w:lang w:val="ru-RU"/>
        </w:rPr>
        <w:footnoteRef/>
      </w:r>
      <w:r>
        <w:rPr>
          <w:lang w:val="ru-RU"/>
        </w:rPr>
        <w:t xml:space="preserve"> </w:t>
      </w:r>
      <w:r w:rsidR="00A03607">
        <w:rPr>
          <w:lang w:val="ru-RU"/>
        </w:rPr>
        <w:tab/>
      </w:r>
      <w:r>
        <w:rPr>
          <w:lang w:val="ru-RU"/>
        </w:rPr>
        <w:t>В настоящем документе при упоминании системы прогнозирования будущего природной среды по умолчанию подразумевается также указанный подзаголовок, даже если он не упоминается в каждом конкретном случае.</w:t>
      </w:r>
    </w:p>
  </w:footnote>
  <w:footnote w:id="5">
    <w:p w14:paraId="6978E11A" w14:textId="0E209249" w:rsidR="00635C09" w:rsidRPr="00A40222" w:rsidRDefault="00635C09" w:rsidP="00EE0D28">
      <w:pPr>
        <w:pStyle w:val="Footnote-Text"/>
        <w:tabs>
          <w:tab w:val="clear" w:pos="624"/>
          <w:tab w:val="clear" w:pos="1247"/>
          <w:tab w:val="clear" w:pos="1871"/>
          <w:tab w:val="clear" w:pos="2495"/>
          <w:tab w:val="clear" w:pos="3119"/>
          <w:tab w:val="clear" w:pos="3742"/>
          <w:tab w:val="clear" w:pos="4366"/>
        </w:tabs>
        <w:rPr>
          <w:szCs w:val="18"/>
          <w:lang w:val="ru-RU"/>
        </w:rPr>
      </w:pPr>
      <w:r w:rsidRPr="00633783">
        <w:rPr>
          <w:rStyle w:val="FootnoteReference"/>
          <w:sz w:val="18"/>
          <w:lang w:val="ru-RU"/>
        </w:rPr>
        <w:footnoteRef/>
      </w:r>
      <w:r>
        <w:rPr>
          <w:lang w:val="ru-RU"/>
        </w:rPr>
        <w:t xml:space="preserve"> </w:t>
      </w:r>
      <w:r w:rsidR="00EE0D28">
        <w:rPr>
          <w:lang w:val="ru-RU"/>
        </w:rPr>
        <w:tab/>
      </w:r>
      <w:r>
        <w:rPr>
          <w:lang w:val="ru-RU"/>
        </w:rPr>
        <w:t>Легкие в поиске, доступные, функционально совместимые и пригодные для повторного использования данные.</w:t>
      </w:r>
    </w:p>
  </w:footnote>
  <w:footnote w:id="6">
    <w:p w14:paraId="5D6081D4" w14:textId="1298BA5D" w:rsidR="00635C09" w:rsidRPr="00A40222" w:rsidRDefault="00635C09" w:rsidP="00EE0D28">
      <w:pPr>
        <w:pStyle w:val="Footnote-Text"/>
        <w:tabs>
          <w:tab w:val="clear" w:pos="624"/>
          <w:tab w:val="clear" w:pos="1247"/>
          <w:tab w:val="clear" w:pos="1871"/>
          <w:tab w:val="clear" w:pos="2495"/>
          <w:tab w:val="clear" w:pos="3119"/>
          <w:tab w:val="clear" w:pos="3742"/>
          <w:tab w:val="clear" w:pos="4366"/>
        </w:tabs>
        <w:rPr>
          <w:szCs w:val="18"/>
          <w:lang w:val="ru-RU"/>
        </w:rPr>
      </w:pPr>
      <w:r w:rsidRPr="00633783">
        <w:rPr>
          <w:szCs w:val="18"/>
          <w:vertAlign w:val="superscript"/>
          <w:lang w:val="ru-RU"/>
        </w:rPr>
        <w:footnoteRef/>
      </w:r>
      <w:r>
        <w:rPr>
          <w:lang w:val="ru-RU"/>
        </w:rPr>
        <w:t xml:space="preserve"> </w:t>
      </w:r>
      <w:r w:rsidR="00EE0D28">
        <w:rPr>
          <w:lang w:val="ru-RU"/>
        </w:rPr>
        <w:tab/>
      </w:r>
      <w:r>
        <w:rPr>
          <w:lang w:val="ru-RU"/>
        </w:rPr>
        <w:t>Данное понятие относится к принципам управления данными коренных народов: общее благо, право контролировать, ответственность и этичность.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AC8" w14:textId="77777777" w:rsidR="007A36F8" w:rsidRPr="00B44DF7" w:rsidRDefault="00E704F9" w:rsidP="00066EF4">
    <w:pPr>
      <w:pStyle w:val="Header-pool"/>
      <w:tabs>
        <w:tab w:val="clear" w:pos="624"/>
        <w:tab w:val="clear" w:pos="1247"/>
        <w:tab w:val="clear" w:pos="1871"/>
        <w:tab w:val="clear" w:pos="2495"/>
        <w:tab w:val="clear" w:pos="3119"/>
        <w:tab w:val="clear" w:pos="3742"/>
        <w:tab w:val="clear" w:pos="4366"/>
        <w:tab w:val="clear" w:pos="9072"/>
      </w:tabs>
    </w:pPr>
    <w:r>
      <w:rPr>
        <w:noProof/>
      </w:rPr>
      <w:t>IPBES/10/4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DD1B" w14:textId="77777777" w:rsidR="007A36F8" w:rsidRPr="00B44DF7" w:rsidRDefault="00E704F9" w:rsidP="00066EF4">
    <w:pPr>
      <w:pStyle w:val="Header-pool"/>
      <w:tabs>
        <w:tab w:val="clear" w:pos="624"/>
        <w:tab w:val="clear" w:pos="1247"/>
        <w:tab w:val="clear" w:pos="1871"/>
        <w:tab w:val="clear" w:pos="2495"/>
        <w:tab w:val="clear" w:pos="3119"/>
        <w:tab w:val="clear" w:pos="3742"/>
        <w:tab w:val="clear" w:pos="4366"/>
        <w:tab w:val="clear" w:pos="9072"/>
      </w:tabs>
      <w:jc w:val="right"/>
    </w:pPr>
    <w:r>
      <w:rPr>
        <w:noProof/>
      </w:rPr>
      <w:t>IPBES/10/4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1132F9"/>
    <w:multiLevelType w:val="multilevel"/>
    <w:tmpl w:val="7D967AAA"/>
    <w:lvl w:ilvl="0">
      <w:start w:val="5"/>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0D6D521F"/>
    <w:multiLevelType w:val="hybridMultilevel"/>
    <w:tmpl w:val="0986D25A"/>
    <w:lvl w:ilvl="0" w:tplc="2FE6FF26">
      <w:start w:val="1"/>
      <w:numFmt w:val="upperRoman"/>
      <w:lvlText w:val="%1."/>
      <w:lvlJc w:val="left"/>
      <w:pPr>
        <w:ind w:left="1396" w:hanging="720"/>
      </w:pPr>
      <w:rPr>
        <w:rFonts w:hint="default"/>
      </w:rPr>
    </w:lvl>
    <w:lvl w:ilvl="1" w:tplc="20000019" w:tentative="1">
      <w:start w:val="1"/>
      <w:numFmt w:val="lowerLetter"/>
      <w:lvlText w:val="%2."/>
      <w:lvlJc w:val="left"/>
      <w:pPr>
        <w:ind w:left="1756" w:hanging="360"/>
      </w:pPr>
    </w:lvl>
    <w:lvl w:ilvl="2" w:tplc="2000001B" w:tentative="1">
      <w:start w:val="1"/>
      <w:numFmt w:val="lowerRoman"/>
      <w:lvlText w:val="%3."/>
      <w:lvlJc w:val="right"/>
      <w:pPr>
        <w:ind w:left="2476" w:hanging="180"/>
      </w:pPr>
    </w:lvl>
    <w:lvl w:ilvl="3" w:tplc="2000000F" w:tentative="1">
      <w:start w:val="1"/>
      <w:numFmt w:val="decimal"/>
      <w:lvlText w:val="%4."/>
      <w:lvlJc w:val="left"/>
      <w:pPr>
        <w:ind w:left="3196" w:hanging="360"/>
      </w:pPr>
    </w:lvl>
    <w:lvl w:ilvl="4" w:tplc="20000019" w:tentative="1">
      <w:start w:val="1"/>
      <w:numFmt w:val="lowerLetter"/>
      <w:lvlText w:val="%5."/>
      <w:lvlJc w:val="left"/>
      <w:pPr>
        <w:ind w:left="3916" w:hanging="360"/>
      </w:pPr>
    </w:lvl>
    <w:lvl w:ilvl="5" w:tplc="2000001B" w:tentative="1">
      <w:start w:val="1"/>
      <w:numFmt w:val="lowerRoman"/>
      <w:lvlText w:val="%6."/>
      <w:lvlJc w:val="right"/>
      <w:pPr>
        <w:ind w:left="4636" w:hanging="180"/>
      </w:pPr>
    </w:lvl>
    <w:lvl w:ilvl="6" w:tplc="2000000F" w:tentative="1">
      <w:start w:val="1"/>
      <w:numFmt w:val="decimal"/>
      <w:lvlText w:val="%7."/>
      <w:lvlJc w:val="left"/>
      <w:pPr>
        <w:ind w:left="5356" w:hanging="360"/>
      </w:pPr>
    </w:lvl>
    <w:lvl w:ilvl="7" w:tplc="20000019" w:tentative="1">
      <w:start w:val="1"/>
      <w:numFmt w:val="lowerLetter"/>
      <w:lvlText w:val="%8."/>
      <w:lvlJc w:val="left"/>
      <w:pPr>
        <w:ind w:left="6076" w:hanging="360"/>
      </w:pPr>
    </w:lvl>
    <w:lvl w:ilvl="8" w:tplc="2000001B" w:tentative="1">
      <w:start w:val="1"/>
      <w:numFmt w:val="lowerRoman"/>
      <w:lvlText w:val="%9."/>
      <w:lvlJc w:val="right"/>
      <w:pPr>
        <w:ind w:left="6796" w:hanging="180"/>
      </w:pPr>
    </w:lvl>
  </w:abstractNum>
  <w:abstractNum w:abstractNumId="12" w15:restartNumberingAfterBreak="0">
    <w:nsid w:val="52A66A9D"/>
    <w:multiLevelType w:val="multilevel"/>
    <w:tmpl w:val="B1244810"/>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097364566">
    <w:abstractNumId w:val="12"/>
    <w:lvlOverride w:ilvl="0">
      <w:lvl w:ilvl="0">
        <w:start w:val="5"/>
        <w:numFmt w:val="decimal"/>
        <w:pStyle w:val="Normalnumber"/>
        <w:lvlText w:val="%1."/>
        <w:lvlJc w:val="left"/>
        <w:pPr>
          <w:tabs>
            <w:tab w:val="num" w:pos="568"/>
          </w:tabs>
          <w:ind w:left="1248" w:firstLine="0"/>
        </w:pPr>
        <w:rPr>
          <w:rFonts w:hint="default"/>
        </w:rPr>
      </w:lvl>
    </w:lvlOverride>
  </w:num>
  <w:num w:numId="2" w16cid:durableId="749620352">
    <w:abstractNumId w:val="13"/>
  </w:num>
  <w:num w:numId="3" w16cid:durableId="1691174981">
    <w:abstractNumId w:val="9"/>
  </w:num>
  <w:num w:numId="4" w16cid:durableId="1436438845">
    <w:abstractNumId w:val="7"/>
  </w:num>
  <w:num w:numId="5" w16cid:durableId="1555966957">
    <w:abstractNumId w:val="6"/>
  </w:num>
  <w:num w:numId="6" w16cid:durableId="409893134">
    <w:abstractNumId w:val="5"/>
  </w:num>
  <w:num w:numId="7" w16cid:durableId="70391415">
    <w:abstractNumId w:val="4"/>
  </w:num>
  <w:num w:numId="8" w16cid:durableId="1007830596">
    <w:abstractNumId w:val="8"/>
  </w:num>
  <w:num w:numId="9" w16cid:durableId="1481653195">
    <w:abstractNumId w:val="3"/>
  </w:num>
  <w:num w:numId="10" w16cid:durableId="1433935676">
    <w:abstractNumId w:val="2"/>
  </w:num>
  <w:num w:numId="11" w16cid:durableId="769813754">
    <w:abstractNumId w:val="1"/>
  </w:num>
  <w:num w:numId="12" w16cid:durableId="535702724">
    <w:abstractNumId w:val="0"/>
  </w:num>
  <w:num w:numId="13" w16cid:durableId="274137805">
    <w:abstractNumId w:val="11"/>
  </w:num>
  <w:num w:numId="14" w16cid:durableId="965351053">
    <w:abstractNumId w:val="12"/>
    <w:lvlOverride w:ilvl="0">
      <w:lvl w:ilvl="0">
        <w:start w:val="1"/>
        <w:numFmt w:val="decimal"/>
        <w:pStyle w:val="Normalnumber"/>
        <w:lvlText w:val="%1."/>
        <w:lvlJc w:val="left"/>
        <w:pPr>
          <w:tabs>
            <w:tab w:val="num" w:pos="624"/>
          </w:tabs>
          <w:ind w:left="1248" w:firstLine="0"/>
        </w:pPr>
        <w:rPr>
          <w:rFonts w:hint="default"/>
          <w:i w:val="0"/>
          <w:iCs/>
        </w:rPr>
      </w:lvl>
    </w:lvlOverride>
  </w:num>
  <w:num w:numId="15" w16cid:durableId="1032340167">
    <w:abstractNumId w:val="10"/>
  </w:num>
  <w:num w:numId="16" w16cid:durableId="173716427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14A7"/>
    <w:rsid w:val="000149E6"/>
    <w:rsid w:val="000247B0"/>
    <w:rsid w:val="00026062"/>
    <w:rsid w:val="0002628B"/>
    <w:rsid w:val="00026997"/>
    <w:rsid w:val="00032F57"/>
    <w:rsid w:val="00033E0B"/>
    <w:rsid w:val="00034165"/>
    <w:rsid w:val="00034A96"/>
    <w:rsid w:val="00035EDE"/>
    <w:rsid w:val="00040DBD"/>
    <w:rsid w:val="00042FD0"/>
    <w:rsid w:val="0004434C"/>
    <w:rsid w:val="00047C98"/>
    <w:rsid w:val="000509B4"/>
    <w:rsid w:val="00054E52"/>
    <w:rsid w:val="0006035B"/>
    <w:rsid w:val="00063B36"/>
    <w:rsid w:val="000668E8"/>
    <w:rsid w:val="00066EF4"/>
    <w:rsid w:val="0007166E"/>
    <w:rsid w:val="00071886"/>
    <w:rsid w:val="00071DA4"/>
    <w:rsid w:val="000742BC"/>
    <w:rsid w:val="000750D4"/>
    <w:rsid w:val="000760D4"/>
    <w:rsid w:val="00077A87"/>
    <w:rsid w:val="00082A0C"/>
    <w:rsid w:val="00082FCA"/>
    <w:rsid w:val="00083504"/>
    <w:rsid w:val="00090E40"/>
    <w:rsid w:val="00091987"/>
    <w:rsid w:val="0009640C"/>
    <w:rsid w:val="0009689E"/>
    <w:rsid w:val="000A3877"/>
    <w:rsid w:val="000B21D5"/>
    <w:rsid w:val="000B22A2"/>
    <w:rsid w:val="000B4DB0"/>
    <w:rsid w:val="000B50C2"/>
    <w:rsid w:val="000C2802"/>
    <w:rsid w:val="000C2A52"/>
    <w:rsid w:val="000C46DF"/>
    <w:rsid w:val="000D1D81"/>
    <w:rsid w:val="000D3263"/>
    <w:rsid w:val="000D33C0"/>
    <w:rsid w:val="000D366C"/>
    <w:rsid w:val="000D662F"/>
    <w:rsid w:val="000D6941"/>
    <w:rsid w:val="000D74C3"/>
    <w:rsid w:val="000E1D5F"/>
    <w:rsid w:val="000E3F94"/>
    <w:rsid w:val="000F2615"/>
    <w:rsid w:val="000F5E4A"/>
    <w:rsid w:val="00100DA9"/>
    <w:rsid w:val="00102C99"/>
    <w:rsid w:val="001059F5"/>
    <w:rsid w:val="00116447"/>
    <w:rsid w:val="001202E3"/>
    <w:rsid w:val="00123699"/>
    <w:rsid w:val="0013059D"/>
    <w:rsid w:val="00140882"/>
    <w:rsid w:val="00141A55"/>
    <w:rsid w:val="001446A3"/>
    <w:rsid w:val="0014491A"/>
    <w:rsid w:val="00147992"/>
    <w:rsid w:val="00153412"/>
    <w:rsid w:val="001536A9"/>
    <w:rsid w:val="001536FF"/>
    <w:rsid w:val="0015502B"/>
    <w:rsid w:val="00155395"/>
    <w:rsid w:val="001564E9"/>
    <w:rsid w:val="0016241F"/>
    <w:rsid w:val="00164F8D"/>
    <w:rsid w:val="00166058"/>
    <w:rsid w:val="001673EA"/>
    <w:rsid w:val="001715B4"/>
    <w:rsid w:val="00173960"/>
    <w:rsid w:val="00173A69"/>
    <w:rsid w:val="00174500"/>
    <w:rsid w:val="00181EC8"/>
    <w:rsid w:val="00183F1B"/>
    <w:rsid w:val="00184349"/>
    <w:rsid w:val="00186BDE"/>
    <w:rsid w:val="0019070F"/>
    <w:rsid w:val="0019155A"/>
    <w:rsid w:val="00195F33"/>
    <w:rsid w:val="001A0B5C"/>
    <w:rsid w:val="001A1196"/>
    <w:rsid w:val="001A4D20"/>
    <w:rsid w:val="001A7DD4"/>
    <w:rsid w:val="001B0DE8"/>
    <w:rsid w:val="001B1617"/>
    <w:rsid w:val="001B504B"/>
    <w:rsid w:val="001B6D54"/>
    <w:rsid w:val="001C16D3"/>
    <w:rsid w:val="001C21E7"/>
    <w:rsid w:val="001D2330"/>
    <w:rsid w:val="001D3874"/>
    <w:rsid w:val="001D6A5A"/>
    <w:rsid w:val="001D7E75"/>
    <w:rsid w:val="001E24C7"/>
    <w:rsid w:val="001E56D2"/>
    <w:rsid w:val="001E7D56"/>
    <w:rsid w:val="001F75DE"/>
    <w:rsid w:val="00200726"/>
    <w:rsid w:val="00200D58"/>
    <w:rsid w:val="002013BE"/>
    <w:rsid w:val="0020144B"/>
    <w:rsid w:val="002063A4"/>
    <w:rsid w:val="00207942"/>
    <w:rsid w:val="0021145B"/>
    <w:rsid w:val="002119C3"/>
    <w:rsid w:val="002150D5"/>
    <w:rsid w:val="0022026A"/>
    <w:rsid w:val="0023340C"/>
    <w:rsid w:val="002343AC"/>
    <w:rsid w:val="00236E3F"/>
    <w:rsid w:val="00243D36"/>
    <w:rsid w:val="0024635C"/>
    <w:rsid w:val="00247707"/>
    <w:rsid w:val="00247FC5"/>
    <w:rsid w:val="00251293"/>
    <w:rsid w:val="00251DFC"/>
    <w:rsid w:val="00253EF2"/>
    <w:rsid w:val="0025524B"/>
    <w:rsid w:val="00266F52"/>
    <w:rsid w:val="002753A6"/>
    <w:rsid w:val="00286740"/>
    <w:rsid w:val="00287704"/>
    <w:rsid w:val="00290225"/>
    <w:rsid w:val="002929D8"/>
    <w:rsid w:val="0029586D"/>
    <w:rsid w:val="00297DA0"/>
    <w:rsid w:val="002A0D92"/>
    <w:rsid w:val="002A237D"/>
    <w:rsid w:val="002A4C53"/>
    <w:rsid w:val="002A519B"/>
    <w:rsid w:val="002A5340"/>
    <w:rsid w:val="002B0672"/>
    <w:rsid w:val="002B1B4C"/>
    <w:rsid w:val="002B1C8A"/>
    <w:rsid w:val="002B247F"/>
    <w:rsid w:val="002B5B98"/>
    <w:rsid w:val="002C145D"/>
    <w:rsid w:val="002C2C3E"/>
    <w:rsid w:val="002C533E"/>
    <w:rsid w:val="002D027F"/>
    <w:rsid w:val="002D40F7"/>
    <w:rsid w:val="002D5CF8"/>
    <w:rsid w:val="002D5F15"/>
    <w:rsid w:val="002D6C9D"/>
    <w:rsid w:val="002D7A85"/>
    <w:rsid w:val="002D7B60"/>
    <w:rsid w:val="002E4EFC"/>
    <w:rsid w:val="002E7E86"/>
    <w:rsid w:val="002F444A"/>
    <w:rsid w:val="002F4761"/>
    <w:rsid w:val="002F510C"/>
    <w:rsid w:val="002F550B"/>
    <w:rsid w:val="002F5971"/>
    <w:rsid w:val="002F5C79"/>
    <w:rsid w:val="003001A6"/>
    <w:rsid w:val="003019E2"/>
    <w:rsid w:val="00303FF6"/>
    <w:rsid w:val="003076DF"/>
    <w:rsid w:val="0031203E"/>
    <w:rsid w:val="0031233C"/>
    <w:rsid w:val="0031413F"/>
    <w:rsid w:val="003148BB"/>
    <w:rsid w:val="00314947"/>
    <w:rsid w:val="00315679"/>
    <w:rsid w:val="00317976"/>
    <w:rsid w:val="00326A10"/>
    <w:rsid w:val="00330A9E"/>
    <w:rsid w:val="00331356"/>
    <w:rsid w:val="00332915"/>
    <w:rsid w:val="00345116"/>
    <w:rsid w:val="003514F9"/>
    <w:rsid w:val="003526C3"/>
    <w:rsid w:val="0035327F"/>
    <w:rsid w:val="00355EA9"/>
    <w:rsid w:val="003578DE"/>
    <w:rsid w:val="00366066"/>
    <w:rsid w:val="00373E14"/>
    <w:rsid w:val="003754CC"/>
    <w:rsid w:val="003816BA"/>
    <w:rsid w:val="003835D9"/>
    <w:rsid w:val="003836D2"/>
    <w:rsid w:val="00396257"/>
    <w:rsid w:val="00397DA6"/>
    <w:rsid w:val="00397EB8"/>
    <w:rsid w:val="003A086E"/>
    <w:rsid w:val="003A2A5D"/>
    <w:rsid w:val="003A375B"/>
    <w:rsid w:val="003A4FD0"/>
    <w:rsid w:val="003A69D1"/>
    <w:rsid w:val="003A6EB5"/>
    <w:rsid w:val="003A70FD"/>
    <w:rsid w:val="003A7705"/>
    <w:rsid w:val="003B0EB4"/>
    <w:rsid w:val="003B1545"/>
    <w:rsid w:val="003B36B9"/>
    <w:rsid w:val="003B3B71"/>
    <w:rsid w:val="003C248B"/>
    <w:rsid w:val="003C409D"/>
    <w:rsid w:val="003C481D"/>
    <w:rsid w:val="003C5BA6"/>
    <w:rsid w:val="003D6083"/>
    <w:rsid w:val="003D7DFA"/>
    <w:rsid w:val="003F0817"/>
    <w:rsid w:val="003F0E85"/>
    <w:rsid w:val="003F152F"/>
    <w:rsid w:val="00401045"/>
    <w:rsid w:val="00402BC7"/>
    <w:rsid w:val="00405251"/>
    <w:rsid w:val="00405A84"/>
    <w:rsid w:val="00410C55"/>
    <w:rsid w:val="00410C6B"/>
    <w:rsid w:val="00416854"/>
    <w:rsid w:val="00417725"/>
    <w:rsid w:val="00423DAF"/>
    <w:rsid w:val="00426347"/>
    <w:rsid w:val="00432F73"/>
    <w:rsid w:val="00437F26"/>
    <w:rsid w:val="004401FC"/>
    <w:rsid w:val="004407B2"/>
    <w:rsid w:val="00444097"/>
    <w:rsid w:val="00445487"/>
    <w:rsid w:val="00450503"/>
    <w:rsid w:val="00454769"/>
    <w:rsid w:val="00454A5D"/>
    <w:rsid w:val="00456F69"/>
    <w:rsid w:val="00460DA5"/>
    <w:rsid w:val="0046306B"/>
    <w:rsid w:val="00466991"/>
    <w:rsid w:val="0047064C"/>
    <w:rsid w:val="00472076"/>
    <w:rsid w:val="00473B0A"/>
    <w:rsid w:val="00476124"/>
    <w:rsid w:val="0048131E"/>
    <w:rsid w:val="00481B29"/>
    <w:rsid w:val="0048227E"/>
    <w:rsid w:val="004861E5"/>
    <w:rsid w:val="00487608"/>
    <w:rsid w:val="00487DFA"/>
    <w:rsid w:val="00487E4C"/>
    <w:rsid w:val="004943BA"/>
    <w:rsid w:val="00495B9E"/>
    <w:rsid w:val="0049687C"/>
    <w:rsid w:val="004A049B"/>
    <w:rsid w:val="004A42E1"/>
    <w:rsid w:val="004B0441"/>
    <w:rsid w:val="004B0870"/>
    <w:rsid w:val="004B162C"/>
    <w:rsid w:val="004B2DA6"/>
    <w:rsid w:val="004B55F1"/>
    <w:rsid w:val="004C3B45"/>
    <w:rsid w:val="004C3DBE"/>
    <w:rsid w:val="004C3F85"/>
    <w:rsid w:val="004C5C7C"/>
    <w:rsid w:val="004C5C96"/>
    <w:rsid w:val="004D06A4"/>
    <w:rsid w:val="004D4CBA"/>
    <w:rsid w:val="004D6443"/>
    <w:rsid w:val="004E0F36"/>
    <w:rsid w:val="004E18FD"/>
    <w:rsid w:val="004E6062"/>
    <w:rsid w:val="004F1A81"/>
    <w:rsid w:val="004F33D6"/>
    <w:rsid w:val="004F45F5"/>
    <w:rsid w:val="004F4B95"/>
    <w:rsid w:val="004F5357"/>
    <w:rsid w:val="004F75D3"/>
    <w:rsid w:val="0050014C"/>
    <w:rsid w:val="005007E2"/>
    <w:rsid w:val="00502EB1"/>
    <w:rsid w:val="0050642C"/>
    <w:rsid w:val="00510444"/>
    <w:rsid w:val="0051733C"/>
    <w:rsid w:val="005212D3"/>
    <w:rsid w:val="00521689"/>
    <w:rsid w:val="005218D9"/>
    <w:rsid w:val="00524426"/>
    <w:rsid w:val="005252DF"/>
    <w:rsid w:val="00525560"/>
    <w:rsid w:val="00525FF9"/>
    <w:rsid w:val="00536186"/>
    <w:rsid w:val="00537F33"/>
    <w:rsid w:val="00543B2F"/>
    <w:rsid w:val="00544CBB"/>
    <w:rsid w:val="005452C0"/>
    <w:rsid w:val="005515C3"/>
    <w:rsid w:val="005544CF"/>
    <w:rsid w:val="00556C12"/>
    <w:rsid w:val="00560DF4"/>
    <w:rsid w:val="005714F7"/>
    <w:rsid w:val="0057315F"/>
    <w:rsid w:val="00574B77"/>
    <w:rsid w:val="00576104"/>
    <w:rsid w:val="0057663C"/>
    <w:rsid w:val="00580A3A"/>
    <w:rsid w:val="0058368E"/>
    <w:rsid w:val="00584C9D"/>
    <w:rsid w:val="00593EC7"/>
    <w:rsid w:val="005943BF"/>
    <w:rsid w:val="00594BA0"/>
    <w:rsid w:val="00595D86"/>
    <w:rsid w:val="00596149"/>
    <w:rsid w:val="005A1EEC"/>
    <w:rsid w:val="005A26E9"/>
    <w:rsid w:val="005A41BC"/>
    <w:rsid w:val="005A4DC4"/>
    <w:rsid w:val="005B0E5E"/>
    <w:rsid w:val="005B252B"/>
    <w:rsid w:val="005B4156"/>
    <w:rsid w:val="005B524F"/>
    <w:rsid w:val="005B6E12"/>
    <w:rsid w:val="005C0584"/>
    <w:rsid w:val="005C05C5"/>
    <w:rsid w:val="005C48C3"/>
    <w:rsid w:val="005C67C8"/>
    <w:rsid w:val="005D0249"/>
    <w:rsid w:val="005D1ACF"/>
    <w:rsid w:val="005D2FD5"/>
    <w:rsid w:val="005D6E8C"/>
    <w:rsid w:val="005E4CB0"/>
    <w:rsid w:val="005F100C"/>
    <w:rsid w:val="005F38DB"/>
    <w:rsid w:val="005F68DA"/>
    <w:rsid w:val="00600B2F"/>
    <w:rsid w:val="006021BD"/>
    <w:rsid w:val="0060509E"/>
    <w:rsid w:val="0060773B"/>
    <w:rsid w:val="0061374F"/>
    <w:rsid w:val="00613A01"/>
    <w:rsid w:val="006157B5"/>
    <w:rsid w:val="00615A50"/>
    <w:rsid w:val="006218E3"/>
    <w:rsid w:val="00626FC6"/>
    <w:rsid w:val="006303B4"/>
    <w:rsid w:val="00633783"/>
    <w:rsid w:val="00633D3D"/>
    <w:rsid w:val="00635C09"/>
    <w:rsid w:val="00636672"/>
    <w:rsid w:val="006368D3"/>
    <w:rsid w:val="00641703"/>
    <w:rsid w:val="006431A6"/>
    <w:rsid w:val="006459F6"/>
    <w:rsid w:val="00646AE2"/>
    <w:rsid w:val="00647C72"/>
    <w:rsid w:val="006501AD"/>
    <w:rsid w:val="00651BFA"/>
    <w:rsid w:val="006552E0"/>
    <w:rsid w:val="00660CCC"/>
    <w:rsid w:val="00665A4B"/>
    <w:rsid w:val="00671826"/>
    <w:rsid w:val="006741A7"/>
    <w:rsid w:val="00675655"/>
    <w:rsid w:val="0067713A"/>
    <w:rsid w:val="00682BE1"/>
    <w:rsid w:val="00684EB9"/>
    <w:rsid w:val="00686ABD"/>
    <w:rsid w:val="00691C40"/>
    <w:rsid w:val="00692E2A"/>
    <w:rsid w:val="00694FE6"/>
    <w:rsid w:val="006965B9"/>
    <w:rsid w:val="006A3FEF"/>
    <w:rsid w:val="006A7378"/>
    <w:rsid w:val="006A76F2"/>
    <w:rsid w:val="006B1603"/>
    <w:rsid w:val="006B195B"/>
    <w:rsid w:val="006B3DD6"/>
    <w:rsid w:val="006B4301"/>
    <w:rsid w:val="006C59BA"/>
    <w:rsid w:val="006D319F"/>
    <w:rsid w:val="006D7EFB"/>
    <w:rsid w:val="006D7F08"/>
    <w:rsid w:val="006E40A1"/>
    <w:rsid w:val="006E582B"/>
    <w:rsid w:val="006E6672"/>
    <w:rsid w:val="006E6722"/>
    <w:rsid w:val="006F314B"/>
    <w:rsid w:val="006F68E5"/>
    <w:rsid w:val="006F6D1B"/>
    <w:rsid w:val="007027B9"/>
    <w:rsid w:val="007037E9"/>
    <w:rsid w:val="00703DCE"/>
    <w:rsid w:val="00704B50"/>
    <w:rsid w:val="00707F62"/>
    <w:rsid w:val="00713D8F"/>
    <w:rsid w:val="007148CF"/>
    <w:rsid w:val="00715E88"/>
    <w:rsid w:val="00720FB6"/>
    <w:rsid w:val="00724254"/>
    <w:rsid w:val="00734CAA"/>
    <w:rsid w:val="00734D46"/>
    <w:rsid w:val="007413F6"/>
    <w:rsid w:val="00744D58"/>
    <w:rsid w:val="00745582"/>
    <w:rsid w:val="00745B64"/>
    <w:rsid w:val="00750E8A"/>
    <w:rsid w:val="0075118F"/>
    <w:rsid w:val="007519D4"/>
    <w:rsid w:val="00751A1C"/>
    <w:rsid w:val="0075533C"/>
    <w:rsid w:val="00757581"/>
    <w:rsid w:val="0075761C"/>
    <w:rsid w:val="007611A0"/>
    <w:rsid w:val="00767C40"/>
    <w:rsid w:val="00770F5F"/>
    <w:rsid w:val="00771B64"/>
    <w:rsid w:val="007771F0"/>
    <w:rsid w:val="00780D58"/>
    <w:rsid w:val="00782D77"/>
    <w:rsid w:val="0078561C"/>
    <w:rsid w:val="00787C93"/>
    <w:rsid w:val="007940B9"/>
    <w:rsid w:val="007969D7"/>
    <w:rsid w:val="00796D3F"/>
    <w:rsid w:val="007A1683"/>
    <w:rsid w:val="007A36F8"/>
    <w:rsid w:val="007A5C12"/>
    <w:rsid w:val="007A5F41"/>
    <w:rsid w:val="007A7CB0"/>
    <w:rsid w:val="007B6509"/>
    <w:rsid w:val="007B68A3"/>
    <w:rsid w:val="007B6977"/>
    <w:rsid w:val="007C2541"/>
    <w:rsid w:val="007C4857"/>
    <w:rsid w:val="007D21B2"/>
    <w:rsid w:val="007D347D"/>
    <w:rsid w:val="007D41A2"/>
    <w:rsid w:val="007D578D"/>
    <w:rsid w:val="007D66A8"/>
    <w:rsid w:val="007E003F"/>
    <w:rsid w:val="007E053D"/>
    <w:rsid w:val="007E165D"/>
    <w:rsid w:val="007E18B2"/>
    <w:rsid w:val="007E4CA1"/>
    <w:rsid w:val="007E67EC"/>
    <w:rsid w:val="007F380E"/>
    <w:rsid w:val="007F4A33"/>
    <w:rsid w:val="007F4AA9"/>
    <w:rsid w:val="007F6133"/>
    <w:rsid w:val="007F75EC"/>
    <w:rsid w:val="007F7825"/>
    <w:rsid w:val="00802E72"/>
    <w:rsid w:val="008057C9"/>
    <w:rsid w:val="00807AC3"/>
    <w:rsid w:val="00811810"/>
    <w:rsid w:val="008164F2"/>
    <w:rsid w:val="00816A3A"/>
    <w:rsid w:val="00821395"/>
    <w:rsid w:val="00821922"/>
    <w:rsid w:val="00825D87"/>
    <w:rsid w:val="0082784B"/>
    <w:rsid w:val="00830E26"/>
    <w:rsid w:val="00843576"/>
    <w:rsid w:val="00843B64"/>
    <w:rsid w:val="0084711F"/>
    <w:rsid w:val="008473DF"/>
    <w:rsid w:val="008478FC"/>
    <w:rsid w:val="00850A06"/>
    <w:rsid w:val="00857C8C"/>
    <w:rsid w:val="00857D82"/>
    <w:rsid w:val="0086479B"/>
    <w:rsid w:val="00864A16"/>
    <w:rsid w:val="00865007"/>
    <w:rsid w:val="00867BFF"/>
    <w:rsid w:val="0087153E"/>
    <w:rsid w:val="0088326D"/>
    <w:rsid w:val="0088480A"/>
    <w:rsid w:val="008855C9"/>
    <w:rsid w:val="0088757A"/>
    <w:rsid w:val="008936CE"/>
    <w:rsid w:val="00894745"/>
    <w:rsid w:val="008947EF"/>
    <w:rsid w:val="00894D82"/>
    <w:rsid w:val="008957DD"/>
    <w:rsid w:val="00897D98"/>
    <w:rsid w:val="008A26B4"/>
    <w:rsid w:val="008A4730"/>
    <w:rsid w:val="008A6DF2"/>
    <w:rsid w:val="008A7807"/>
    <w:rsid w:val="008B30E2"/>
    <w:rsid w:val="008B4CC9"/>
    <w:rsid w:val="008B7B64"/>
    <w:rsid w:val="008C3781"/>
    <w:rsid w:val="008D0411"/>
    <w:rsid w:val="008D3925"/>
    <w:rsid w:val="008D7C99"/>
    <w:rsid w:val="008E0FCB"/>
    <w:rsid w:val="008E1CBB"/>
    <w:rsid w:val="008E3E19"/>
    <w:rsid w:val="008E72C0"/>
    <w:rsid w:val="008F0CCC"/>
    <w:rsid w:val="00903146"/>
    <w:rsid w:val="00911CFA"/>
    <w:rsid w:val="0092028C"/>
    <w:rsid w:val="0092178C"/>
    <w:rsid w:val="009226C0"/>
    <w:rsid w:val="009236A6"/>
    <w:rsid w:val="0092510E"/>
    <w:rsid w:val="00930B88"/>
    <w:rsid w:val="00933C03"/>
    <w:rsid w:val="00933F25"/>
    <w:rsid w:val="0093602D"/>
    <w:rsid w:val="00940DCC"/>
    <w:rsid w:val="0094179A"/>
    <w:rsid w:val="0094459E"/>
    <w:rsid w:val="00944DBC"/>
    <w:rsid w:val="009461E1"/>
    <w:rsid w:val="00950443"/>
    <w:rsid w:val="00950977"/>
    <w:rsid w:val="00951A7B"/>
    <w:rsid w:val="00952177"/>
    <w:rsid w:val="00953257"/>
    <w:rsid w:val="009564A6"/>
    <w:rsid w:val="0095671E"/>
    <w:rsid w:val="009573B3"/>
    <w:rsid w:val="0096317F"/>
    <w:rsid w:val="00963F18"/>
    <w:rsid w:val="00965EBC"/>
    <w:rsid w:val="00966A1E"/>
    <w:rsid w:val="00967621"/>
    <w:rsid w:val="00967E6A"/>
    <w:rsid w:val="0097244C"/>
    <w:rsid w:val="009734A0"/>
    <w:rsid w:val="0097766E"/>
    <w:rsid w:val="00981AD1"/>
    <w:rsid w:val="0099114F"/>
    <w:rsid w:val="009935AC"/>
    <w:rsid w:val="0099453A"/>
    <w:rsid w:val="00997ADD"/>
    <w:rsid w:val="009A217C"/>
    <w:rsid w:val="009B1BD3"/>
    <w:rsid w:val="009B4A0F"/>
    <w:rsid w:val="009B5445"/>
    <w:rsid w:val="009B6962"/>
    <w:rsid w:val="009B7350"/>
    <w:rsid w:val="009C02C7"/>
    <w:rsid w:val="009C11D2"/>
    <w:rsid w:val="009C2B7D"/>
    <w:rsid w:val="009C3C8A"/>
    <w:rsid w:val="009C6C70"/>
    <w:rsid w:val="009D0B63"/>
    <w:rsid w:val="009D52F3"/>
    <w:rsid w:val="009D5F91"/>
    <w:rsid w:val="009D639B"/>
    <w:rsid w:val="009E307E"/>
    <w:rsid w:val="009E3795"/>
    <w:rsid w:val="009E5484"/>
    <w:rsid w:val="009F20BD"/>
    <w:rsid w:val="009F3689"/>
    <w:rsid w:val="009F77AA"/>
    <w:rsid w:val="00A03607"/>
    <w:rsid w:val="00A03690"/>
    <w:rsid w:val="00A07870"/>
    <w:rsid w:val="00A07B04"/>
    <w:rsid w:val="00A07F19"/>
    <w:rsid w:val="00A1255B"/>
    <w:rsid w:val="00A1348D"/>
    <w:rsid w:val="00A13971"/>
    <w:rsid w:val="00A1498A"/>
    <w:rsid w:val="00A16C44"/>
    <w:rsid w:val="00A17256"/>
    <w:rsid w:val="00A21C9D"/>
    <w:rsid w:val="00A232EE"/>
    <w:rsid w:val="00A2441B"/>
    <w:rsid w:val="00A255DD"/>
    <w:rsid w:val="00A27994"/>
    <w:rsid w:val="00A379FB"/>
    <w:rsid w:val="00A37EA9"/>
    <w:rsid w:val="00A4175F"/>
    <w:rsid w:val="00A424CF"/>
    <w:rsid w:val="00A4280A"/>
    <w:rsid w:val="00A42939"/>
    <w:rsid w:val="00A431F8"/>
    <w:rsid w:val="00A44411"/>
    <w:rsid w:val="00A44AA1"/>
    <w:rsid w:val="00A46444"/>
    <w:rsid w:val="00A469FA"/>
    <w:rsid w:val="00A502E5"/>
    <w:rsid w:val="00A54FB7"/>
    <w:rsid w:val="00A55252"/>
    <w:rsid w:val="00A55B01"/>
    <w:rsid w:val="00A56B5B"/>
    <w:rsid w:val="00A57D4F"/>
    <w:rsid w:val="00A603FF"/>
    <w:rsid w:val="00A64E35"/>
    <w:rsid w:val="00A657DD"/>
    <w:rsid w:val="00A666A6"/>
    <w:rsid w:val="00A675FD"/>
    <w:rsid w:val="00A67B83"/>
    <w:rsid w:val="00A72437"/>
    <w:rsid w:val="00A730B7"/>
    <w:rsid w:val="00A74CDF"/>
    <w:rsid w:val="00A76766"/>
    <w:rsid w:val="00A77941"/>
    <w:rsid w:val="00A7795A"/>
    <w:rsid w:val="00A80611"/>
    <w:rsid w:val="00A831B5"/>
    <w:rsid w:val="00A87016"/>
    <w:rsid w:val="00AA0C5B"/>
    <w:rsid w:val="00AB2739"/>
    <w:rsid w:val="00AB3CBF"/>
    <w:rsid w:val="00AB5340"/>
    <w:rsid w:val="00AC3EB4"/>
    <w:rsid w:val="00AC7C96"/>
    <w:rsid w:val="00AD498B"/>
    <w:rsid w:val="00AE237D"/>
    <w:rsid w:val="00AE3D03"/>
    <w:rsid w:val="00AE502A"/>
    <w:rsid w:val="00AE75DC"/>
    <w:rsid w:val="00AE7E5E"/>
    <w:rsid w:val="00AF0846"/>
    <w:rsid w:val="00AF146A"/>
    <w:rsid w:val="00AF7C07"/>
    <w:rsid w:val="00B07A0E"/>
    <w:rsid w:val="00B12D17"/>
    <w:rsid w:val="00B20C4C"/>
    <w:rsid w:val="00B22981"/>
    <w:rsid w:val="00B22C93"/>
    <w:rsid w:val="00B27589"/>
    <w:rsid w:val="00B326FF"/>
    <w:rsid w:val="00B37EC1"/>
    <w:rsid w:val="00B405B7"/>
    <w:rsid w:val="00B407BD"/>
    <w:rsid w:val="00B44DF7"/>
    <w:rsid w:val="00B46F3F"/>
    <w:rsid w:val="00B476A6"/>
    <w:rsid w:val="00B52222"/>
    <w:rsid w:val="00B54064"/>
    <w:rsid w:val="00B54FE7"/>
    <w:rsid w:val="00B619E1"/>
    <w:rsid w:val="00B66901"/>
    <w:rsid w:val="00B716E4"/>
    <w:rsid w:val="00B7170C"/>
    <w:rsid w:val="00B71E6D"/>
    <w:rsid w:val="00B72070"/>
    <w:rsid w:val="00B77174"/>
    <w:rsid w:val="00B779E1"/>
    <w:rsid w:val="00B77FED"/>
    <w:rsid w:val="00B80548"/>
    <w:rsid w:val="00B91280"/>
    <w:rsid w:val="00B91EE1"/>
    <w:rsid w:val="00B94AE6"/>
    <w:rsid w:val="00B96F9C"/>
    <w:rsid w:val="00BA0090"/>
    <w:rsid w:val="00BA0AFA"/>
    <w:rsid w:val="00BA1A67"/>
    <w:rsid w:val="00BA317D"/>
    <w:rsid w:val="00BB1580"/>
    <w:rsid w:val="00BB5535"/>
    <w:rsid w:val="00BB5754"/>
    <w:rsid w:val="00BD1D9B"/>
    <w:rsid w:val="00BD4BB0"/>
    <w:rsid w:val="00BD6783"/>
    <w:rsid w:val="00BE13C0"/>
    <w:rsid w:val="00BE3797"/>
    <w:rsid w:val="00BE4394"/>
    <w:rsid w:val="00BE5B5F"/>
    <w:rsid w:val="00BE7A83"/>
    <w:rsid w:val="00BF0EF8"/>
    <w:rsid w:val="00BF245B"/>
    <w:rsid w:val="00BF380F"/>
    <w:rsid w:val="00BF59BA"/>
    <w:rsid w:val="00BF5D2C"/>
    <w:rsid w:val="00C003D1"/>
    <w:rsid w:val="00C026DF"/>
    <w:rsid w:val="00C054D2"/>
    <w:rsid w:val="00C1139F"/>
    <w:rsid w:val="00C116FC"/>
    <w:rsid w:val="00C13720"/>
    <w:rsid w:val="00C14EFA"/>
    <w:rsid w:val="00C15F64"/>
    <w:rsid w:val="00C2130C"/>
    <w:rsid w:val="00C26F55"/>
    <w:rsid w:val="00C305BA"/>
    <w:rsid w:val="00C30C63"/>
    <w:rsid w:val="00C3573B"/>
    <w:rsid w:val="00C36B8B"/>
    <w:rsid w:val="00C43652"/>
    <w:rsid w:val="00C44682"/>
    <w:rsid w:val="00C45687"/>
    <w:rsid w:val="00C45BA2"/>
    <w:rsid w:val="00C47DBF"/>
    <w:rsid w:val="00C520D1"/>
    <w:rsid w:val="00C53348"/>
    <w:rsid w:val="00C53438"/>
    <w:rsid w:val="00C537B7"/>
    <w:rsid w:val="00C54B55"/>
    <w:rsid w:val="00C552FF"/>
    <w:rsid w:val="00C558DA"/>
    <w:rsid w:val="00C55AF3"/>
    <w:rsid w:val="00C562ED"/>
    <w:rsid w:val="00C62700"/>
    <w:rsid w:val="00C653BC"/>
    <w:rsid w:val="00C7372A"/>
    <w:rsid w:val="00C74C0E"/>
    <w:rsid w:val="00C76DCA"/>
    <w:rsid w:val="00C802D7"/>
    <w:rsid w:val="00C8164A"/>
    <w:rsid w:val="00C81D9F"/>
    <w:rsid w:val="00C83A45"/>
    <w:rsid w:val="00C84759"/>
    <w:rsid w:val="00C86CCD"/>
    <w:rsid w:val="00C87490"/>
    <w:rsid w:val="00C87C57"/>
    <w:rsid w:val="00C90166"/>
    <w:rsid w:val="00C9098B"/>
    <w:rsid w:val="00C90FA2"/>
    <w:rsid w:val="00C934EA"/>
    <w:rsid w:val="00C95090"/>
    <w:rsid w:val="00C9641C"/>
    <w:rsid w:val="00CA6C7F"/>
    <w:rsid w:val="00CB2897"/>
    <w:rsid w:val="00CB4ED9"/>
    <w:rsid w:val="00CB5AE2"/>
    <w:rsid w:val="00CC10A6"/>
    <w:rsid w:val="00CC34B0"/>
    <w:rsid w:val="00CC3F42"/>
    <w:rsid w:val="00CC4E3D"/>
    <w:rsid w:val="00CD4BA9"/>
    <w:rsid w:val="00CD5EB8"/>
    <w:rsid w:val="00CD7044"/>
    <w:rsid w:val="00CE0615"/>
    <w:rsid w:val="00CE08B9"/>
    <w:rsid w:val="00CE497B"/>
    <w:rsid w:val="00CE524C"/>
    <w:rsid w:val="00CE6110"/>
    <w:rsid w:val="00CF141F"/>
    <w:rsid w:val="00CF2E83"/>
    <w:rsid w:val="00CF4777"/>
    <w:rsid w:val="00CF4A3E"/>
    <w:rsid w:val="00CF52CD"/>
    <w:rsid w:val="00D067BB"/>
    <w:rsid w:val="00D0772D"/>
    <w:rsid w:val="00D1352A"/>
    <w:rsid w:val="00D13AD2"/>
    <w:rsid w:val="00D169AF"/>
    <w:rsid w:val="00D16A57"/>
    <w:rsid w:val="00D1730D"/>
    <w:rsid w:val="00D25249"/>
    <w:rsid w:val="00D44172"/>
    <w:rsid w:val="00D44704"/>
    <w:rsid w:val="00D449AD"/>
    <w:rsid w:val="00D4595D"/>
    <w:rsid w:val="00D4763D"/>
    <w:rsid w:val="00D513E2"/>
    <w:rsid w:val="00D54AA9"/>
    <w:rsid w:val="00D5778B"/>
    <w:rsid w:val="00D6131E"/>
    <w:rsid w:val="00D62AB4"/>
    <w:rsid w:val="00D63B8C"/>
    <w:rsid w:val="00D64246"/>
    <w:rsid w:val="00D65819"/>
    <w:rsid w:val="00D739CC"/>
    <w:rsid w:val="00D745C0"/>
    <w:rsid w:val="00D75797"/>
    <w:rsid w:val="00D8093D"/>
    <w:rsid w:val="00D8108C"/>
    <w:rsid w:val="00D842AE"/>
    <w:rsid w:val="00D8784F"/>
    <w:rsid w:val="00D9211C"/>
    <w:rsid w:val="00D92DE0"/>
    <w:rsid w:val="00D92FEF"/>
    <w:rsid w:val="00D93A0F"/>
    <w:rsid w:val="00D94458"/>
    <w:rsid w:val="00DA057F"/>
    <w:rsid w:val="00DA1BCA"/>
    <w:rsid w:val="00DA3CF1"/>
    <w:rsid w:val="00DA3F8E"/>
    <w:rsid w:val="00DA6ACB"/>
    <w:rsid w:val="00DA750A"/>
    <w:rsid w:val="00DB2257"/>
    <w:rsid w:val="00DB233A"/>
    <w:rsid w:val="00DB2CC3"/>
    <w:rsid w:val="00DB6906"/>
    <w:rsid w:val="00DC07C7"/>
    <w:rsid w:val="00DC3143"/>
    <w:rsid w:val="00DC46FF"/>
    <w:rsid w:val="00DC5254"/>
    <w:rsid w:val="00DD1A4F"/>
    <w:rsid w:val="00DD282E"/>
    <w:rsid w:val="00DD3107"/>
    <w:rsid w:val="00DD42DF"/>
    <w:rsid w:val="00DD7C2C"/>
    <w:rsid w:val="00DE29B2"/>
    <w:rsid w:val="00DF5A1B"/>
    <w:rsid w:val="00DF60CC"/>
    <w:rsid w:val="00DF782F"/>
    <w:rsid w:val="00E007A9"/>
    <w:rsid w:val="00E00C76"/>
    <w:rsid w:val="00E06797"/>
    <w:rsid w:val="00E1265B"/>
    <w:rsid w:val="00E13B48"/>
    <w:rsid w:val="00E1404F"/>
    <w:rsid w:val="00E16980"/>
    <w:rsid w:val="00E16FC6"/>
    <w:rsid w:val="00E21BB8"/>
    <w:rsid w:val="00E21C83"/>
    <w:rsid w:val="00E24ADA"/>
    <w:rsid w:val="00E32F59"/>
    <w:rsid w:val="00E33A27"/>
    <w:rsid w:val="00E36579"/>
    <w:rsid w:val="00E412E5"/>
    <w:rsid w:val="00E42BD9"/>
    <w:rsid w:val="00E461C4"/>
    <w:rsid w:val="00E46D9A"/>
    <w:rsid w:val="00E47AAE"/>
    <w:rsid w:val="00E51831"/>
    <w:rsid w:val="00E54C04"/>
    <w:rsid w:val="00E55699"/>
    <w:rsid w:val="00E565FF"/>
    <w:rsid w:val="00E619B7"/>
    <w:rsid w:val="00E65388"/>
    <w:rsid w:val="00E662D8"/>
    <w:rsid w:val="00E704F9"/>
    <w:rsid w:val="00E70F42"/>
    <w:rsid w:val="00E7167C"/>
    <w:rsid w:val="00E74B51"/>
    <w:rsid w:val="00E81275"/>
    <w:rsid w:val="00E83A5B"/>
    <w:rsid w:val="00E83D84"/>
    <w:rsid w:val="00E85AB0"/>
    <w:rsid w:val="00E85B7D"/>
    <w:rsid w:val="00E8729D"/>
    <w:rsid w:val="00E9121B"/>
    <w:rsid w:val="00E92E3D"/>
    <w:rsid w:val="00E957C7"/>
    <w:rsid w:val="00E96258"/>
    <w:rsid w:val="00EA0AE2"/>
    <w:rsid w:val="00EA25C5"/>
    <w:rsid w:val="00EA261F"/>
    <w:rsid w:val="00EA39E5"/>
    <w:rsid w:val="00EA3BA9"/>
    <w:rsid w:val="00EA577B"/>
    <w:rsid w:val="00EA5F23"/>
    <w:rsid w:val="00EA722D"/>
    <w:rsid w:val="00EB3E09"/>
    <w:rsid w:val="00EB51D9"/>
    <w:rsid w:val="00EB5950"/>
    <w:rsid w:val="00EC5A46"/>
    <w:rsid w:val="00EC5EF8"/>
    <w:rsid w:val="00EC63E2"/>
    <w:rsid w:val="00ED42E5"/>
    <w:rsid w:val="00ED4717"/>
    <w:rsid w:val="00ED7053"/>
    <w:rsid w:val="00EE0B6F"/>
    <w:rsid w:val="00EE0D28"/>
    <w:rsid w:val="00EE412F"/>
    <w:rsid w:val="00EE4716"/>
    <w:rsid w:val="00EE4D54"/>
    <w:rsid w:val="00EE58B4"/>
    <w:rsid w:val="00EE6686"/>
    <w:rsid w:val="00EF0486"/>
    <w:rsid w:val="00EF22B3"/>
    <w:rsid w:val="00EF3BC6"/>
    <w:rsid w:val="00F03B69"/>
    <w:rsid w:val="00F0493D"/>
    <w:rsid w:val="00F07A50"/>
    <w:rsid w:val="00F113DA"/>
    <w:rsid w:val="00F12380"/>
    <w:rsid w:val="00F1765F"/>
    <w:rsid w:val="00F205C0"/>
    <w:rsid w:val="00F21383"/>
    <w:rsid w:val="00F21C7B"/>
    <w:rsid w:val="00F2408E"/>
    <w:rsid w:val="00F2449F"/>
    <w:rsid w:val="00F3232B"/>
    <w:rsid w:val="00F37DC8"/>
    <w:rsid w:val="00F413C8"/>
    <w:rsid w:val="00F42BB3"/>
    <w:rsid w:val="00F439B3"/>
    <w:rsid w:val="00F43F3D"/>
    <w:rsid w:val="00F45ED8"/>
    <w:rsid w:val="00F50FDC"/>
    <w:rsid w:val="00F555F7"/>
    <w:rsid w:val="00F556D5"/>
    <w:rsid w:val="00F563BA"/>
    <w:rsid w:val="00F6158D"/>
    <w:rsid w:val="00F62C3F"/>
    <w:rsid w:val="00F64F91"/>
    <w:rsid w:val="00F650C3"/>
    <w:rsid w:val="00F65D85"/>
    <w:rsid w:val="00F750F8"/>
    <w:rsid w:val="00F75E37"/>
    <w:rsid w:val="00F77A52"/>
    <w:rsid w:val="00F8091E"/>
    <w:rsid w:val="00F85A11"/>
    <w:rsid w:val="00F8615C"/>
    <w:rsid w:val="00F90CEF"/>
    <w:rsid w:val="00F9165C"/>
    <w:rsid w:val="00F91C05"/>
    <w:rsid w:val="00F91E42"/>
    <w:rsid w:val="00F9564E"/>
    <w:rsid w:val="00F969E5"/>
    <w:rsid w:val="00F97F49"/>
    <w:rsid w:val="00FA205E"/>
    <w:rsid w:val="00FA37F7"/>
    <w:rsid w:val="00FA6BB0"/>
    <w:rsid w:val="00FB01A8"/>
    <w:rsid w:val="00FB21C4"/>
    <w:rsid w:val="00FB612C"/>
    <w:rsid w:val="00FB7D86"/>
    <w:rsid w:val="00FC2308"/>
    <w:rsid w:val="00FC6508"/>
    <w:rsid w:val="00FD0F40"/>
    <w:rsid w:val="00FD19F7"/>
    <w:rsid w:val="00FD5860"/>
    <w:rsid w:val="00FD7922"/>
    <w:rsid w:val="00FE352D"/>
    <w:rsid w:val="00FE40EB"/>
    <w:rsid w:val="00FE4C13"/>
    <w:rsid w:val="00FE4D02"/>
    <w:rsid w:val="00FE623A"/>
    <w:rsid w:val="00FE6F30"/>
    <w:rsid w:val="00FE7C7B"/>
    <w:rsid w:val="00FE7D62"/>
    <w:rsid w:val="00FF0AEE"/>
    <w:rsid w:val="00FF215D"/>
    <w:rsid w:val="00FF3819"/>
    <w:rsid w:val="00FF7E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99807"/>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34165"/>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rsid w:val="00F555F7"/>
    <w:pPr>
      <w:keepNext/>
      <w:numPr>
        <w:numId w:val="2"/>
      </w:numPr>
      <w:spacing w:before="240" w:after="120"/>
      <w:outlineLvl w:val="0"/>
    </w:pPr>
    <w:rPr>
      <w:b/>
      <w:sz w:val="28"/>
      <w:lang w:val="en-US"/>
    </w:rPr>
  </w:style>
  <w:style w:type="paragraph" w:styleId="Heading2">
    <w:name w:val="heading 2"/>
    <w:basedOn w:val="Normal"/>
    <w:next w:val="Normalnumber"/>
    <w:link w:val="Heading2Char"/>
    <w:semiHidden/>
    <w:rsid w:val="00F555F7"/>
    <w:pPr>
      <w:keepNext/>
      <w:numPr>
        <w:ilvl w:val="1"/>
        <w:numId w:val="2"/>
      </w:numPr>
      <w:spacing w:before="240" w:after="120"/>
      <w:outlineLvl w:val="1"/>
    </w:pPr>
    <w:rPr>
      <w:b/>
      <w:sz w:val="24"/>
      <w:szCs w:val="24"/>
      <w:lang w:val="en-US"/>
    </w:rPr>
  </w:style>
  <w:style w:type="paragraph" w:styleId="Heading3">
    <w:name w:val="heading 3"/>
    <w:basedOn w:val="Normal"/>
    <w:next w:val="Normalnumber"/>
    <w:link w:val="Heading3Char"/>
    <w:semiHidden/>
    <w:rsid w:val="00F555F7"/>
    <w:pPr>
      <w:numPr>
        <w:ilvl w:val="2"/>
        <w:numId w:val="2"/>
      </w:numPr>
      <w:spacing w:after="120"/>
      <w:outlineLvl w:val="2"/>
    </w:pPr>
    <w:rPr>
      <w:b/>
      <w:lang w:val="en-US"/>
    </w:rPr>
  </w:style>
  <w:style w:type="paragraph" w:styleId="Heading4">
    <w:name w:val="heading 4"/>
    <w:basedOn w:val="Heading3"/>
    <w:next w:val="Normalnumber"/>
    <w:link w:val="Heading4Char"/>
    <w:semiHidden/>
    <w:rsid w:val="00F555F7"/>
    <w:pPr>
      <w:keepNext/>
      <w:numPr>
        <w:ilvl w:val="3"/>
      </w:numPr>
      <w:outlineLvl w:val="3"/>
    </w:pPr>
  </w:style>
  <w:style w:type="paragraph" w:styleId="Heading5">
    <w:name w:val="heading 5"/>
    <w:basedOn w:val="Normal"/>
    <w:next w:val="Normal"/>
    <w:link w:val="Heading5Char"/>
    <w:semiHidden/>
    <w:rsid w:val="00F555F7"/>
    <w:pPr>
      <w:keepNext/>
      <w:numPr>
        <w:ilvl w:val="4"/>
        <w:numId w:val="2"/>
      </w:numPr>
      <w:outlineLvl w:val="4"/>
    </w:pPr>
    <w:rPr>
      <w:rFonts w:ascii="Univers" w:hAnsi="Univers"/>
      <w:b/>
      <w:sz w:val="24"/>
      <w:lang w:val="en-US"/>
    </w:rPr>
  </w:style>
  <w:style w:type="paragraph" w:styleId="Heading6">
    <w:name w:val="heading 6"/>
    <w:basedOn w:val="Normal"/>
    <w:next w:val="Normal"/>
    <w:link w:val="Heading6Char"/>
    <w:semiHidden/>
    <w:rsid w:val="00F555F7"/>
    <w:pPr>
      <w:keepNext/>
      <w:numPr>
        <w:ilvl w:val="5"/>
        <w:numId w:val="2"/>
      </w:numPr>
      <w:outlineLvl w:val="5"/>
    </w:pPr>
    <w:rPr>
      <w:b/>
      <w:bCs/>
      <w:sz w:val="24"/>
      <w:lang w:val="en-US"/>
    </w:rPr>
  </w:style>
  <w:style w:type="paragraph" w:styleId="Heading7">
    <w:name w:val="heading 7"/>
    <w:basedOn w:val="Normal"/>
    <w:next w:val="Normal"/>
    <w:link w:val="Heading7Char"/>
    <w:semiHidden/>
    <w:rsid w:val="00F555F7"/>
    <w:pPr>
      <w:keepNext/>
      <w:widowControl w:val="0"/>
      <w:numPr>
        <w:ilvl w:val="6"/>
        <w:numId w:val="2"/>
      </w:numPr>
      <w:jc w:val="center"/>
      <w:outlineLvl w:val="6"/>
    </w:pPr>
    <w:rPr>
      <w:snapToGrid w:val="0"/>
      <w:u w:val="single"/>
      <w:lang w:val="en-US"/>
    </w:rPr>
  </w:style>
  <w:style w:type="paragraph" w:styleId="Heading8">
    <w:name w:val="heading 8"/>
    <w:basedOn w:val="Normal"/>
    <w:next w:val="Normal"/>
    <w:link w:val="Heading8Char"/>
    <w:semiHidden/>
    <w:rsid w:val="00F555F7"/>
    <w:pPr>
      <w:keepNext/>
      <w:widowControl w:val="0"/>
      <w:numPr>
        <w:ilvl w:val="7"/>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semiHidden/>
    <w:rsid w:val="00F555F7"/>
    <w:pPr>
      <w:keepNext/>
      <w:widowControl w:val="0"/>
      <w:numPr>
        <w:ilvl w:val="8"/>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F555F7"/>
    <w:rPr>
      <w:rFonts w:ascii="Times New Roman" w:hAnsi="Times New Roman"/>
      <w:b/>
      <w:sz w:val="18"/>
      <w:lang w:val="en-US"/>
    </w:rPr>
  </w:style>
  <w:style w:type="table" w:customStyle="1" w:styleId="Tabledocright">
    <w:name w:val="Table_doc_right"/>
    <w:basedOn w:val="TableNormal"/>
    <w:rsid w:val="00F555F7"/>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F555F7"/>
    <w:pPr>
      <w:ind w:left="1000"/>
    </w:pPr>
    <w:rPr>
      <w:sz w:val="18"/>
      <w:szCs w:val="18"/>
    </w:rPr>
  </w:style>
  <w:style w:type="paragraph" w:styleId="TOC7">
    <w:name w:val="toc 7"/>
    <w:basedOn w:val="Normal"/>
    <w:next w:val="Normal"/>
    <w:autoRedefine/>
    <w:semiHidden/>
    <w:rsid w:val="00F555F7"/>
    <w:pPr>
      <w:ind w:left="1200"/>
    </w:pPr>
    <w:rPr>
      <w:sz w:val="18"/>
      <w:szCs w:val="18"/>
    </w:rPr>
  </w:style>
  <w:style w:type="paragraph" w:styleId="TOC8">
    <w:name w:val="toc 8"/>
    <w:basedOn w:val="Normal"/>
    <w:next w:val="Normal"/>
    <w:autoRedefine/>
    <w:semiHidden/>
    <w:rsid w:val="00F555F7"/>
    <w:pPr>
      <w:ind w:left="1400"/>
    </w:pPr>
    <w:rPr>
      <w:sz w:val="18"/>
      <w:szCs w:val="18"/>
    </w:rPr>
  </w:style>
  <w:style w:type="paragraph" w:styleId="TOC9">
    <w:name w:val="toc 9"/>
    <w:basedOn w:val="Normal"/>
    <w:next w:val="Normal"/>
    <w:autoRedefine/>
    <w:semiHidden/>
    <w:rsid w:val="00F555F7"/>
    <w:pPr>
      <w:ind w:left="1600"/>
    </w:pPr>
    <w:rPr>
      <w:sz w:val="18"/>
      <w:szCs w:val="18"/>
    </w:rPr>
  </w:style>
  <w:style w:type="paragraph" w:customStyle="1" w:styleId="Titlefigure">
    <w:name w:val="Title_figure"/>
    <w:basedOn w:val="Titletable"/>
    <w:next w:val="NormalNonumber"/>
    <w:rsid w:val="00F555F7"/>
    <w:rPr>
      <w:bCs w:val="0"/>
    </w:rPr>
  </w:style>
  <w:style w:type="paragraph" w:styleId="TableofFigures">
    <w:name w:val="table of figures"/>
    <w:basedOn w:val="Normal"/>
    <w:next w:val="Normal"/>
    <w:autoRedefine/>
    <w:semiHidden/>
    <w:rsid w:val="00F555F7"/>
    <w:pPr>
      <w:ind w:left="1814" w:hanging="567"/>
    </w:pPr>
  </w:style>
  <w:style w:type="paragraph" w:customStyle="1" w:styleId="CH1">
    <w:name w:val="CH1"/>
    <w:basedOn w:val="Normal-pool"/>
    <w:next w:val="CH2"/>
    <w:qFormat/>
    <w:rsid w:val="00F555F7"/>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F555F7"/>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F555F7"/>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F555F7"/>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F555F7"/>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F555F7"/>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Normal"/>
    <w:next w:val="Normal"/>
    <w:semiHidden/>
    <w:rsid w:val="00F555F7"/>
    <w:pPr>
      <w:tabs>
        <w:tab w:val="left" w:pos="4321"/>
        <w:tab w:val="right" w:pos="8641"/>
      </w:tabs>
      <w:spacing w:before="60" w:after="120"/>
    </w:pPr>
    <w:rPr>
      <w:b/>
      <w:sz w:val="18"/>
      <w:lang w:val="en-US"/>
    </w:rPr>
  </w:style>
  <w:style w:type="paragraph" w:customStyle="1" w:styleId="Footer-pool">
    <w:name w:val="Footer-pool"/>
    <w:basedOn w:val="Normal"/>
    <w:next w:val="Normal"/>
    <w:rsid w:val="000D3263"/>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0D3263"/>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0D3263"/>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sz w:val="20"/>
      <w:szCs w:val="20"/>
      <w:lang w:val="en-GB" w:eastAsia="en-US"/>
    </w:rPr>
  </w:style>
  <w:style w:type="character" w:styleId="FootnoteReference">
    <w:name w:val="footnote reference"/>
    <w:aliases w:val="ftref,16 Point,Superscript 6 Point,number,SUPERS,Footnote Reference Superscript,(Ref. de nota al pie),fr,-E Fußnotenzeichen,(Diplomarbeit FZ),(Diplomarbeit FZ)1,(Diplomarbeit FZ)2,(Diplomarbeit FZ)3,(Diplomarbeit FZ)4,Ref"/>
    <w:link w:val="BVIfnrChar"/>
    <w:semiHidden/>
    <w:rsid w:val="00034165"/>
    <w:rPr>
      <w:rFonts w:ascii="Times New Roman" w:hAnsi="Times New Roman"/>
      <w:sz w:val="20"/>
      <w:szCs w:val="18"/>
      <w:vertAlign w:val="superscript"/>
      <w:lang w:val="en-US"/>
    </w:rPr>
  </w:style>
  <w:style w:type="paragraph" w:styleId="FootnoteText">
    <w:name w:val="footnote text"/>
    <w:aliases w:val="Geneva 9,Font: Geneva 9,Boston 10,f,fn,Footnotes,Footnote ak,ft,fn cafc,Footnotes Char Char,Footnote Text Char Char,fn Char Char,footnote text Char Char Char Ch,footnote text Char Char Char Ch Char,DNV-FT,Fußnotentextf,Footnote Text1,ADB"/>
    <w:basedOn w:val="Normal"/>
    <w:link w:val="FootnoteTextChar"/>
    <w:semiHidden/>
    <w:rsid w:val="00F555F7"/>
    <w:pPr>
      <w:tabs>
        <w:tab w:val="left" w:pos="4082"/>
      </w:tabs>
      <w:spacing w:before="20" w:after="40"/>
      <w:ind w:left="1247"/>
    </w:pPr>
    <w:rPr>
      <w:sz w:val="18"/>
      <w:lang w:val="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semiHidden/>
    <w:rsid w:val="00034165"/>
    <w:rPr>
      <w:rFonts w:ascii="Times New Roman" w:eastAsia="Times New Roman" w:hAnsi="Times New Roman" w:cs="Times New Roman"/>
      <w:sz w:val="18"/>
      <w:szCs w:val="20"/>
      <w:lang w:val="en-US" w:eastAsia="en-US"/>
    </w:rPr>
  </w:style>
  <w:style w:type="table" w:customStyle="1" w:styleId="AATable">
    <w:name w:val="AA_Table"/>
    <w:basedOn w:val="TableNormal"/>
    <w:semiHidden/>
    <w:rsid w:val="00F555F7"/>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F555F7"/>
    <w:pPr>
      <w:keepNext/>
      <w:keepLines/>
      <w:suppressAutoHyphens/>
    </w:pPr>
    <w:rPr>
      <w:b/>
    </w:rPr>
  </w:style>
  <w:style w:type="paragraph" w:customStyle="1" w:styleId="AATitle2">
    <w:name w:val="AA_Title2"/>
    <w:basedOn w:val="AATitle"/>
    <w:qFormat/>
    <w:rsid w:val="00F555F7"/>
    <w:pPr>
      <w:keepNext w:val="0"/>
      <w:keepLines w:val="0"/>
      <w:spacing w:before="120" w:after="120"/>
    </w:pPr>
  </w:style>
  <w:style w:type="paragraph" w:customStyle="1" w:styleId="BBTitle">
    <w:name w:val="BB_Title"/>
    <w:basedOn w:val="Normal-pool"/>
    <w:qFormat/>
    <w:rsid w:val="00F555F7"/>
    <w:pPr>
      <w:keepNext/>
      <w:keepLines/>
      <w:suppressAutoHyphens/>
      <w:spacing w:before="320" w:after="240"/>
      <w:ind w:left="1247" w:right="567"/>
    </w:pPr>
    <w:rPr>
      <w:b/>
      <w:sz w:val="28"/>
      <w:szCs w:val="28"/>
    </w:rPr>
  </w:style>
  <w:style w:type="paragraph" w:styleId="Footer">
    <w:name w:val="footer"/>
    <w:basedOn w:val="Normal"/>
    <w:link w:val="FooterChar"/>
    <w:semiHidden/>
    <w:rsid w:val="00F555F7"/>
    <w:pPr>
      <w:tabs>
        <w:tab w:val="center" w:pos="4320"/>
        <w:tab w:val="right" w:pos="8640"/>
      </w:tabs>
      <w:spacing w:before="60" w:after="120"/>
    </w:pPr>
    <w:rPr>
      <w:sz w:val="18"/>
      <w:lang w:val="en-US"/>
    </w:rPr>
  </w:style>
  <w:style w:type="character" w:customStyle="1" w:styleId="FooterChar">
    <w:name w:val="Footer Char"/>
    <w:basedOn w:val="DefaultParagraphFont"/>
    <w:link w:val="Footer"/>
    <w:semiHidden/>
    <w:rsid w:val="00F555F7"/>
    <w:rPr>
      <w:rFonts w:ascii="Times New Roman" w:eastAsia="Times New Roman" w:hAnsi="Times New Roman" w:cs="Times New Roman"/>
      <w:sz w:val="18"/>
      <w:szCs w:val="20"/>
      <w:lang w:eastAsia="en-US"/>
    </w:rPr>
  </w:style>
  <w:style w:type="paragraph" w:styleId="Header">
    <w:name w:val="header"/>
    <w:basedOn w:val="Normal"/>
    <w:link w:val="HeaderChar"/>
    <w:semiHidden/>
    <w:rsid w:val="00F555F7"/>
    <w:pPr>
      <w:tabs>
        <w:tab w:val="center" w:pos="4536"/>
        <w:tab w:val="right" w:pos="9072"/>
      </w:tabs>
    </w:pPr>
    <w:rPr>
      <w:b/>
      <w:sz w:val="18"/>
      <w:lang w:val="en-US"/>
    </w:rPr>
  </w:style>
  <w:style w:type="character" w:customStyle="1" w:styleId="HeaderChar">
    <w:name w:val="Header Char"/>
    <w:basedOn w:val="DefaultParagraphFont"/>
    <w:link w:val="Header"/>
    <w:semiHidden/>
    <w:rsid w:val="00F555F7"/>
    <w:rPr>
      <w:rFonts w:ascii="Times New Roman" w:eastAsia="Times New Roman" w:hAnsi="Times New Roman" w:cs="Times New Roman"/>
      <w:b/>
      <w:sz w:val="18"/>
      <w:szCs w:val="20"/>
      <w:lang w:eastAsia="en-US"/>
    </w:rPr>
  </w:style>
  <w:style w:type="character" w:styleId="Hyperlink">
    <w:name w:val="Hyperlink"/>
    <w:uiPriority w:val="99"/>
    <w:unhideWhenUsed/>
    <w:rsid w:val="00F555F7"/>
    <w:rPr>
      <w:rFonts w:ascii="Times New Roman" w:hAnsi="Times New Roman"/>
      <w:color w:val="0000FF"/>
      <w:sz w:val="20"/>
      <w:szCs w:val="20"/>
      <w:u w:val="none"/>
      <w:lang w:val="en-US"/>
    </w:rPr>
  </w:style>
  <w:style w:type="numbering" w:customStyle="1" w:styleId="Normallist">
    <w:name w:val="Normal_list"/>
    <w:basedOn w:val="NoList"/>
    <w:rsid w:val="00F555F7"/>
    <w:pPr>
      <w:numPr>
        <w:numId w:val="16"/>
      </w:numPr>
    </w:pPr>
  </w:style>
  <w:style w:type="paragraph" w:customStyle="1" w:styleId="NormalNonumber">
    <w:name w:val="Normal_No_number"/>
    <w:basedOn w:val="Normal-pool"/>
    <w:qFormat/>
    <w:rsid w:val="00F555F7"/>
    <w:pPr>
      <w:spacing w:after="120"/>
      <w:ind w:left="1247"/>
    </w:pPr>
  </w:style>
  <w:style w:type="paragraph" w:customStyle="1" w:styleId="Normalnumber">
    <w:name w:val="Normal_number"/>
    <w:basedOn w:val="Normal"/>
    <w:link w:val="NormalnumberChar"/>
    <w:rsid w:val="00140882"/>
    <w:pPr>
      <w:numPr>
        <w:numId w:val="14"/>
      </w:numPr>
      <w:tabs>
        <w:tab w:val="clear" w:pos="1247"/>
        <w:tab w:val="clear" w:pos="1814"/>
        <w:tab w:val="clear" w:pos="2381"/>
        <w:tab w:val="clear" w:pos="2948"/>
        <w:tab w:val="clear" w:pos="3515"/>
        <w:tab w:val="left" w:pos="624"/>
      </w:tabs>
      <w:spacing w:after="120"/>
      <w:ind w:left="1247"/>
    </w:pPr>
  </w:style>
  <w:style w:type="paragraph" w:customStyle="1" w:styleId="Titletable">
    <w:name w:val="Title_table"/>
    <w:basedOn w:val="Normal-pool"/>
    <w:next w:val="NormalNonumber"/>
    <w:rsid w:val="00F555F7"/>
    <w:pPr>
      <w:keepNext/>
      <w:keepLines/>
      <w:suppressAutoHyphens/>
      <w:spacing w:after="60"/>
      <w:ind w:left="1247"/>
    </w:pPr>
    <w:rPr>
      <w:b/>
      <w:bCs/>
    </w:rPr>
  </w:style>
  <w:style w:type="paragraph" w:styleId="TOC1">
    <w:name w:val="toc 1"/>
    <w:basedOn w:val="Normal-pool"/>
    <w:next w:val="Normal-pool"/>
    <w:uiPriority w:val="39"/>
    <w:unhideWhenUsed/>
    <w:rsid w:val="00F555F7"/>
    <w:pPr>
      <w:tabs>
        <w:tab w:val="right" w:leader="dot" w:pos="9486"/>
      </w:tabs>
      <w:spacing w:before="240"/>
      <w:ind w:left="1814" w:hanging="567"/>
    </w:pPr>
    <w:rPr>
      <w:bCs/>
    </w:rPr>
  </w:style>
  <w:style w:type="paragraph" w:styleId="TOC2">
    <w:name w:val="toc 2"/>
    <w:basedOn w:val="Normal-pool"/>
    <w:next w:val="Normal-pool"/>
    <w:uiPriority w:val="39"/>
    <w:unhideWhenUsed/>
    <w:rsid w:val="00F555F7"/>
    <w:pPr>
      <w:tabs>
        <w:tab w:val="right" w:leader="dot" w:pos="9486"/>
      </w:tabs>
      <w:ind w:left="2381" w:hanging="567"/>
    </w:pPr>
  </w:style>
  <w:style w:type="paragraph" w:styleId="TOC3">
    <w:name w:val="toc 3"/>
    <w:basedOn w:val="Normal-pool"/>
    <w:next w:val="Normal-pool"/>
    <w:unhideWhenUsed/>
    <w:rsid w:val="00F555F7"/>
    <w:pPr>
      <w:tabs>
        <w:tab w:val="right" w:leader="dot" w:pos="9486"/>
      </w:tabs>
      <w:ind w:left="2948" w:hanging="567"/>
    </w:pPr>
    <w:rPr>
      <w:iCs/>
    </w:rPr>
  </w:style>
  <w:style w:type="paragraph" w:styleId="TOC4">
    <w:name w:val="toc 4"/>
    <w:basedOn w:val="Normal-pool"/>
    <w:next w:val="Normal-pool"/>
    <w:unhideWhenUsed/>
    <w:rsid w:val="00F555F7"/>
    <w:pPr>
      <w:tabs>
        <w:tab w:val="left" w:pos="1000"/>
        <w:tab w:val="right" w:leader="dot" w:pos="9486"/>
      </w:tabs>
      <w:ind w:left="3515" w:hanging="567"/>
    </w:pPr>
    <w:rPr>
      <w:szCs w:val="18"/>
    </w:rPr>
  </w:style>
  <w:style w:type="paragraph" w:styleId="TOC5">
    <w:name w:val="toc 5"/>
    <w:basedOn w:val="Normal-pool"/>
    <w:next w:val="Normal-pool"/>
    <w:rsid w:val="00F555F7"/>
    <w:pPr>
      <w:ind w:left="800"/>
    </w:pPr>
    <w:rPr>
      <w:sz w:val="18"/>
      <w:szCs w:val="18"/>
    </w:rPr>
  </w:style>
  <w:style w:type="paragraph" w:customStyle="1" w:styleId="ZZAnxheader">
    <w:name w:val="ZZ_Anx_header"/>
    <w:basedOn w:val="Normal-pool"/>
    <w:rsid w:val="00F555F7"/>
    <w:rPr>
      <w:b/>
      <w:bCs/>
      <w:sz w:val="28"/>
      <w:szCs w:val="22"/>
    </w:rPr>
  </w:style>
  <w:style w:type="paragraph" w:customStyle="1" w:styleId="ZZAnxtitle">
    <w:name w:val="ZZ_Anx_title"/>
    <w:basedOn w:val="Normal-pool"/>
    <w:rsid w:val="00F555F7"/>
    <w:pPr>
      <w:spacing w:before="360" w:after="120"/>
      <w:ind w:left="1247"/>
    </w:pPr>
    <w:rPr>
      <w:b/>
      <w:bCs/>
      <w:sz w:val="28"/>
      <w:szCs w:val="26"/>
    </w:rPr>
  </w:style>
  <w:style w:type="paragraph" w:styleId="NormalWeb">
    <w:name w:val="Normal (Web)"/>
    <w:basedOn w:val="Normal"/>
    <w:uiPriority w:val="99"/>
    <w:semiHidden/>
    <w:unhideWhenUsed/>
    <w:rsid w:val="00F555F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F555F7"/>
    <w:pPr>
      <w:spacing w:before="40" w:after="40"/>
    </w:pPr>
    <w:rPr>
      <w:sz w:val="18"/>
    </w:rPr>
  </w:style>
  <w:style w:type="paragraph" w:customStyle="1" w:styleId="Footnote-Text">
    <w:name w:val="Footnote-Text"/>
    <w:basedOn w:val="Normal-pool"/>
    <w:rsid w:val="00F555F7"/>
    <w:pPr>
      <w:spacing w:before="20" w:after="40"/>
      <w:ind w:left="1247"/>
    </w:pPr>
    <w:rPr>
      <w:sz w:val="18"/>
    </w:rPr>
  </w:style>
  <w:style w:type="character" w:customStyle="1" w:styleId="Normal-poolChar">
    <w:name w:val="Normal-pool Char"/>
    <w:link w:val="Normal-pool"/>
    <w:locked/>
    <w:rsid w:val="000D3263"/>
    <w:rPr>
      <w:rFonts w:ascii="Times New Roman" w:eastAsia="Times New Roman" w:hAnsi="Times New Roman" w:cs="Times New Roman"/>
      <w:sz w:val="20"/>
      <w:szCs w:val="20"/>
      <w:lang w:val="en-GB" w:eastAsia="en-US"/>
    </w:rPr>
  </w:style>
  <w:style w:type="paragraph" w:customStyle="1" w:styleId="AConvName">
    <w:name w:val="A_ConvName"/>
    <w:basedOn w:val="Normal-pool"/>
    <w:next w:val="Normal-pool"/>
    <w:rsid w:val="00F555F7"/>
    <w:pPr>
      <w:spacing w:before="120" w:after="240"/>
    </w:pPr>
    <w:rPr>
      <w:rFonts w:ascii="Arial" w:hAnsi="Arial"/>
      <w:b/>
      <w:sz w:val="28"/>
    </w:rPr>
  </w:style>
  <w:style w:type="paragraph" w:customStyle="1" w:styleId="ASymbol">
    <w:name w:val="A_Symbol"/>
    <w:basedOn w:val="Normal-pool"/>
    <w:rsid w:val="00B44DF7"/>
    <w:pPr>
      <w:tabs>
        <w:tab w:val="clear" w:pos="624"/>
        <w:tab w:val="clear" w:pos="1247"/>
        <w:tab w:val="right" w:pos="2920"/>
      </w:tabs>
    </w:pPr>
    <w:rPr>
      <w:rFonts w:eastAsia="SimSun"/>
    </w:rPr>
  </w:style>
  <w:style w:type="paragraph" w:customStyle="1" w:styleId="AText">
    <w:name w:val="A_Text"/>
    <w:basedOn w:val="Normal-pool"/>
    <w:rsid w:val="00F555F7"/>
    <w:pPr>
      <w:spacing w:before="120"/>
    </w:pPr>
  </w:style>
  <w:style w:type="paragraph" w:customStyle="1" w:styleId="ATwoLetters">
    <w:name w:val="A_TwoLetters"/>
    <w:basedOn w:val="Normal-pool"/>
    <w:next w:val="Normal-pool"/>
    <w:rsid w:val="00F555F7"/>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F555F7"/>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semiHidden/>
    <w:rsid w:val="00F555F7"/>
    <w:rPr>
      <w:rFonts w:ascii="Tahoma" w:hAnsi="Tahoma" w:cs="Tahoma"/>
      <w:sz w:val="16"/>
      <w:szCs w:val="16"/>
      <w:lang w:val="en-US"/>
    </w:rPr>
  </w:style>
  <w:style w:type="character" w:customStyle="1" w:styleId="BalloonTextChar">
    <w:name w:val="Balloon Text Char"/>
    <w:basedOn w:val="DefaultParagraphFont"/>
    <w:link w:val="BalloonText"/>
    <w:semiHidden/>
    <w:rsid w:val="00034165"/>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F555F7"/>
    <w:rPr>
      <w:sz w:val="16"/>
      <w:szCs w:val="16"/>
      <w:lang w:val="en-US"/>
    </w:rPr>
  </w:style>
  <w:style w:type="paragraph" w:styleId="CommentText">
    <w:name w:val="annotation text"/>
    <w:basedOn w:val="Normal"/>
    <w:link w:val="CommentTextChar"/>
    <w:semiHidden/>
    <w:rsid w:val="00F555F7"/>
    <w:rPr>
      <w:lang w:val="en-US"/>
    </w:rPr>
  </w:style>
  <w:style w:type="character" w:customStyle="1" w:styleId="CommentTextChar">
    <w:name w:val="Comment Text Char"/>
    <w:basedOn w:val="DefaultParagraphFont"/>
    <w:link w:val="CommentText"/>
    <w:semiHidden/>
    <w:rsid w:val="00034165"/>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F555F7"/>
    <w:rPr>
      <w:b/>
      <w:bCs/>
    </w:rPr>
  </w:style>
  <w:style w:type="character" w:customStyle="1" w:styleId="CommentSubjectChar">
    <w:name w:val="Comment Subject Char"/>
    <w:basedOn w:val="CommentTextChar"/>
    <w:link w:val="CommentSubject"/>
    <w:semiHidden/>
    <w:rsid w:val="00F555F7"/>
    <w:rPr>
      <w:rFonts w:ascii="Times New Roman" w:eastAsia="Times New Roman" w:hAnsi="Times New Roman" w:cs="Times New Roman"/>
      <w:b/>
      <w:bCs/>
      <w:sz w:val="20"/>
      <w:szCs w:val="20"/>
      <w:lang w:val="en-US" w:eastAsia="en-US"/>
    </w:rPr>
  </w:style>
  <w:style w:type="character" w:styleId="FollowedHyperlink">
    <w:name w:val="FollowedHyperlink"/>
    <w:uiPriority w:val="99"/>
    <w:semiHidden/>
    <w:rsid w:val="00F555F7"/>
    <w:rPr>
      <w:color w:val="0000FF"/>
      <w:u w:val="none"/>
      <w:lang w:val="en-US"/>
    </w:rPr>
  </w:style>
  <w:style w:type="character" w:customStyle="1" w:styleId="Heading1Char">
    <w:name w:val="Heading 1 Char"/>
    <w:basedOn w:val="DefaultParagraphFont"/>
    <w:link w:val="Heading1"/>
    <w:rsid w:val="00F555F7"/>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semiHidden/>
    <w:rsid w:val="00034165"/>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semiHidden/>
    <w:rsid w:val="00034165"/>
    <w:rPr>
      <w:rFonts w:ascii="Times New Roman" w:eastAsia="Times New Roman" w:hAnsi="Times New Roman" w:cs="Times New Roman"/>
      <w:b/>
      <w:sz w:val="20"/>
      <w:szCs w:val="20"/>
      <w:lang w:val="en-US" w:eastAsia="en-US"/>
    </w:rPr>
  </w:style>
  <w:style w:type="character" w:customStyle="1" w:styleId="Heading4Char">
    <w:name w:val="Heading 4 Char"/>
    <w:basedOn w:val="DefaultParagraphFont"/>
    <w:link w:val="Heading4"/>
    <w:semiHidden/>
    <w:rsid w:val="00034165"/>
    <w:rPr>
      <w:rFonts w:ascii="Times New Roman" w:eastAsia="Times New Roman" w:hAnsi="Times New Roman" w:cs="Times New Roman"/>
      <w:b/>
      <w:sz w:val="20"/>
      <w:szCs w:val="20"/>
      <w:lang w:val="en-US" w:eastAsia="en-US"/>
    </w:rPr>
  </w:style>
  <w:style w:type="character" w:customStyle="1" w:styleId="Heading5Char">
    <w:name w:val="Heading 5 Char"/>
    <w:basedOn w:val="DefaultParagraphFont"/>
    <w:link w:val="Heading5"/>
    <w:semiHidden/>
    <w:rsid w:val="00034165"/>
    <w:rPr>
      <w:rFonts w:ascii="Univers" w:eastAsia="Times New Roman" w:hAnsi="Univers" w:cs="Times New Roman"/>
      <w:b/>
      <w:sz w:val="24"/>
      <w:szCs w:val="20"/>
      <w:lang w:val="en-US" w:eastAsia="en-US"/>
    </w:rPr>
  </w:style>
  <w:style w:type="character" w:customStyle="1" w:styleId="Heading6Char">
    <w:name w:val="Heading 6 Char"/>
    <w:basedOn w:val="DefaultParagraphFont"/>
    <w:link w:val="Heading6"/>
    <w:semiHidden/>
    <w:rsid w:val="00034165"/>
    <w:rPr>
      <w:rFonts w:ascii="Times New Roman" w:eastAsia="Times New Roman" w:hAnsi="Times New Roman" w:cs="Times New Roman"/>
      <w:b/>
      <w:bCs/>
      <w:sz w:val="24"/>
      <w:szCs w:val="20"/>
      <w:lang w:val="en-US" w:eastAsia="en-US"/>
    </w:rPr>
  </w:style>
  <w:style w:type="character" w:customStyle="1" w:styleId="Heading7Char">
    <w:name w:val="Heading 7 Char"/>
    <w:basedOn w:val="DefaultParagraphFont"/>
    <w:link w:val="Heading7"/>
    <w:semiHidden/>
    <w:rsid w:val="00034165"/>
    <w:rPr>
      <w:rFonts w:ascii="Times New Roman" w:eastAsia="Times New Roman" w:hAnsi="Times New Roman" w:cs="Times New Roman"/>
      <w:snapToGrid w:val="0"/>
      <w:sz w:val="20"/>
      <w:szCs w:val="20"/>
      <w:u w:val="single"/>
      <w:lang w:val="en-US" w:eastAsia="en-US"/>
    </w:rPr>
  </w:style>
  <w:style w:type="character" w:customStyle="1" w:styleId="Heading8Char">
    <w:name w:val="Heading 8 Char"/>
    <w:basedOn w:val="DefaultParagraphFont"/>
    <w:link w:val="Heading8"/>
    <w:semiHidden/>
    <w:rsid w:val="00034165"/>
    <w:rPr>
      <w:rFonts w:ascii="Times New Roman" w:eastAsia="Times New Roman" w:hAnsi="Times New Roman" w:cs="Times New Roman"/>
      <w:snapToGrid w:val="0"/>
      <w:sz w:val="20"/>
      <w:szCs w:val="20"/>
      <w:u w:val="single"/>
      <w:lang w:val="en-US" w:eastAsia="en-US"/>
    </w:rPr>
  </w:style>
  <w:style w:type="character" w:customStyle="1" w:styleId="Heading9Char">
    <w:name w:val="Heading 9 Char"/>
    <w:basedOn w:val="DefaultParagraphFont"/>
    <w:link w:val="Heading9"/>
    <w:semiHidden/>
    <w:rsid w:val="00034165"/>
    <w:rPr>
      <w:rFonts w:ascii="Times New Roman" w:eastAsia="Times New Roman" w:hAnsi="Times New Roman" w:cs="Times New Roman"/>
      <w:snapToGrid w:val="0"/>
      <w:sz w:val="20"/>
      <w:szCs w:val="20"/>
      <w:u w:val="single"/>
      <w:lang w:val="en-US" w:eastAsia="en-US"/>
    </w:rPr>
  </w:style>
  <w:style w:type="paragraph" w:styleId="ListParagraph">
    <w:name w:val="List Paragraph"/>
    <w:basedOn w:val="Normal"/>
    <w:uiPriority w:val="34"/>
    <w:qFormat/>
    <w:rsid w:val="00F555F7"/>
    <w:pPr>
      <w:ind w:left="720"/>
      <w:contextualSpacing/>
    </w:pPr>
    <w:rPr>
      <w:lang w:val="en-US"/>
    </w:rPr>
  </w:style>
  <w:style w:type="paragraph" w:styleId="NoSpacing">
    <w:name w:val="No Spacing"/>
    <w:uiPriority w:val="1"/>
    <w:qFormat/>
    <w:rsid w:val="00F555F7"/>
    <w:pPr>
      <w:spacing w:after="0" w:line="240" w:lineRule="auto"/>
    </w:pPr>
    <w:rPr>
      <w:rFonts w:eastAsiaTheme="minorHAnsi"/>
      <w:lang w:val="en-US" w:eastAsia="en-US"/>
    </w:rPr>
  </w:style>
  <w:style w:type="character" w:customStyle="1" w:styleId="NormalnumberChar">
    <w:name w:val="Normal_number Char"/>
    <w:link w:val="Normalnumber"/>
    <w:rsid w:val="00140882"/>
    <w:rPr>
      <w:rFonts w:ascii="Times New Roman" w:eastAsia="Times New Roman" w:hAnsi="Times New Roman" w:cs="Times New Roman"/>
      <w:sz w:val="20"/>
      <w:szCs w:val="20"/>
      <w:lang w:val="en-GB" w:eastAsia="en-US"/>
    </w:rPr>
  </w:style>
  <w:style w:type="character" w:styleId="PlaceholderText">
    <w:name w:val="Placeholder Text"/>
    <w:basedOn w:val="DefaultParagraphFont"/>
    <w:uiPriority w:val="99"/>
    <w:semiHidden/>
    <w:rsid w:val="00F555F7"/>
    <w:rPr>
      <w:color w:val="808080"/>
    </w:rPr>
  </w:style>
  <w:style w:type="table" w:styleId="TableGrid">
    <w:name w:val="Table Grid"/>
    <w:basedOn w:val="TableNormal"/>
    <w:rsid w:val="00F555F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F555F7"/>
    <w:pPr>
      <w:spacing w:before="120" w:after="240"/>
    </w:pPr>
  </w:style>
  <w:style w:type="character" w:customStyle="1" w:styleId="ALogoChar">
    <w:name w:val="A_Logo Char"/>
    <w:basedOn w:val="Normal-poolChar"/>
    <w:link w:val="ALogo"/>
    <w:rsid w:val="00F555F7"/>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F555F7"/>
    <w:rPr>
      <w:sz w:val="2"/>
    </w:rPr>
  </w:style>
  <w:style w:type="character" w:customStyle="1" w:styleId="ASpacerChar">
    <w:name w:val="A_Spacer Char"/>
    <w:basedOn w:val="Normal-poolChar"/>
    <w:link w:val="ASpacer"/>
    <w:rsid w:val="00F555F7"/>
    <w:rPr>
      <w:rFonts w:ascii="Times New Roman" w:eastAsia="Times New Roman" w:hAnsi="Times New Roman" w:cs="Times New Roman"/>
      <w:sz w:val="2"/>
      <w:szCs w:val="20"/>
      <w:lang w:val="en-US" w:eastAsia="en-US"/>
    </w:rPr>
  </w:style>
  <w:style w:type="paragraph" w:customStyle="1" w:styleId="AATitle1">
    <w:name w:val="AA_Title1"/>
    <w:basedOn w:val="Normal-pool"/>
    <w:qFormat/>
    <w:rsid w:val="00F555F7"/>
  </w:style>
  <w:style w:type="character" w:styleId="UnresolvedMention">
    <w:name w:val="Unresolved Mention"/>
    <w:basedOn w:val="DefaultParagraphFont"/>
    <w:uiPriority w:val="99"/>
    <w:semiHidden/>
    <w:rsid w:val="00F555F7"/>
    <w:rPr>
      <w:color w:val="605E5C"/>
      <w:shd w:val="clear" w:color="auto" w:fill="E1DFDD"/>
    </w:rPr>
  </w:style>
  <w:style w:type="paragraph" w:styleId="Bibliography">
    <w:name w:val="Bibliography"/>
    <w:basedOn w:val="Normal"/>
    <w:next w:val="Normal"/>
    <w:uiPriority w:val="37"/>
    <w:semiHidden/>
    <w:unhideWhenUsed/>
    <w:rsid w:val="007413F6"/>
    <w:rPr>
      <w:lang w:val="en-US"/>
    </w:rPr>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en-US"/>
    </w:rPr>
  </w:style>
  <w:style w:type="paragraph" w:styleId="BodyText">
    <w:name w:val="Body Text"/>
    <w:basedOn w:val="Normal"/>
    <w:link w:val="BodyTextChar"/>
    <w:semiHidden/>
    <w:unhideWhenUsed/>
    <w:rsid w:val="007413F6"/>
    <w:pPr>
      <w:spacing w:after="120"/>
    </w:pPr>
    <w:rPr>
      <w:lang w:val="en-US"/>
    </w:r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unhideWhenUsed/>
    <w:rsid w:val="007413F6"/>
    <w:pPr>
      <w:spacing w:after="120" w:line="480" w:lineRule="auto"/>
    </w:pPr>
    <w:rPr>
      <w:lang w:val="en-US"/>
    </w:r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7413F6"/>
    <w:pPr>
      <w:spacing w:after="120"/>
    </w:pPr>
    <w:rPr>
      <w:sz w:val="16"/>
      <w:szCs w:val="16"/>
      <w:lang w:val="en-US"/>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semiHidden/>
    <w:unhideWhenUsed/>
    <w:rsid w:val="007413F6"/>
    <w:pPr>
      <w:spacing w:after="120"/>
      <w:ind w:left="283"/>
    </w:pPr>
    <w:rPr>
      <w:lang w:val="en-US"/>
    </w:r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unhideWhenUsed/>
    <w:rsid w:val="007413F6"/>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semiHidden/>
    <w:unhideWhenUsed/>
    <w:rsid w:val="007413F6"/>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7413F6"/>
    <w:rPr>
      <w:b/>
      <w:bCs/>
      <w:i/>
      <w:iCs/>
      <w:spacing w:val="5"/>
      <w:lang w:val="en-US"/>
    </w:rPr>
  </w:style>
  <w:style w:type="paragraph" w:styleId="Caption">
    <w:name w:val="caption"/>
    <w:basedOn w:val="Normal"/>
    <w:next w:val="Normal"/>
    <w:semiHidden/>
    <w:unhideWhenUsed/>
    <w:qFormat/>
    <w:rsid w:val="007413F6"/>
    <w:pPr>
      <w:spacing w:after="200"/>
    </w:pPr>
    <w:rPr>
      <w:i/>
      <w:iCs/>
      <w:color w:val="1F497D" w:themeColor="text2"/>
      <w:sz w:val="18"/>
      <w:szCs w:val="18"/>
      <w:lang w:val="en-US"/>
    </w:rPr>
  </w:style>
  <w:style w:type="paragraph" w:styleId="Closing">
    <w:name w:val="Closing"/>
    <w:basedOn w:val="Normal"/>
    <w:link w:val="ClosingChar"/>
    <w:semiHidden/>
    <w:unhideWhenUsed/>
    <w:rsid w:val="007413F6"/>
    <w:pPr>
      <w:ind w:left="4252"/>
    </w:pPr>
    <w:rPr>
      <w:lang w:val="en-US"/>
    </w:r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val="en-US"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rPr>
      <w:lang w:val="en-US"/>
    </w:rPr>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val="en-US" w:eastAsia="en-US"/>
    </w:rPr>
  </w:style>
  <w:style w:type="paragraph" w:styleId="DocumentMap">
    <w:name w:val="Document Map"/>
    <w:basedOn w:val="Normal"/>
    <w:link w:val="DocumentMapChar"/>
    <w:semiHidden/>
    <w:unhideWhenUsed/>
    <w:rsid w:val="007413F6"/>
    <w:rPr>
      <w:rFonts w:ascii="Segoe UI" w:hAnsi="Segoe UI" w:cs="Segoe UI"/>
      <w:sz w:val="16"/>
      <w:szCs w:val="16"/>
      <w:lang w:val="en-US"/>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7413F6"/>
    <w:rPr>
      <w:lang w:val="en-US"/>
    </w:rPr>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eastAsia="en-US"/>
    </w:rPr>
  </w:style>
  <w:style w:type="character" w:styleId="Emphasis">
    <w:name w:val="Emphasis"/>
    <w:basedOn w:val="DefaultParagraphFont"/>
    <w:semiHidden/>
    <w:qFormat/>
    <w:rsid w:val="007413F6"/>
    <w:rPr>
      <w:i/>
      <w:iCs/>
    </w:rPr>
  </w:style>
  <w:style w:type="character" w:styleId="EndnoteReference">
    <w:name w:val="endnote reference"/>
    <w:basedOn w:val="DefaultParagraphFont"/>
    <w:semiHidden/>
    <w:unhideWhenUsed/>
    <w:rsid w:val="007413F6"/>
    <w:rPr>
      <w:vertAlign w:val="superscript"/>
    </w:rPr>
  </w:style>
  <w:style w:type="paragraph" w:styleId="EndnoteText">
    <w:name w:val="endnote text"/>
    <w:basedOn w:val="Normal"/>
    <w:link w:val="EndnoteTextChar"/>
    <w:semiHidden/>
    <w:unhideWhenUsed/>
    <w:rsid w:val="007413F6"/>
    <w:rPr>
      <w:lang w:val="en-US"/>
    </w:rPr>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lang w:val="en-US"/>
    </w:rPr>
  </w:style>
  <w:style w:type="paragraph" w:styleId="EnvelopeReturn">
    <w:name w:val="envelope return"/>
    <w:basedOn w:val="Normal"/>
    <w:semiHidden/>
    <w:unhideWhenUsed/>
    <w:rsid w:val="007413F6"/>
    <w:rPr>
      <w:rFonts w:asciiTheme="majorHAnsi" w:eastAsiaTheme="majorEastAsia" w:hAnsiTheme="majorHAnsi" w:cstheme="majorBidi"/>
      <w:lang w:val="en-US"/>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rPr>
  </w:style>
  <w:style w:type="character" w:styleId="HTMLAcronym">
    <w:name w:val="HTML Acronym"/>
    <w:basedOn w:val="DefaultParagraphFont"/>
    <w:semiHidden/>
    <w:unhideWhenUsed/>
    <w:rsid w:val="007413F6"/>
  </w:style>
  <w:style w:type="paragraph" w:styleId="HTMLAddress">
    <w:name w:val="HTML Address"/>
    <w:basedOn w:val="Normal"/>
    <w:link w:val="HTMLAddressChar"/>
    <w:semiHidden/>
    <w:unhideWhenUsed/>
    <w:rsid w:val="007413F6"/>
    <w:rPr>
      <w:i/>
      <w:iCs/>
      <w:lang w:val="en-U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eastAsia="en-US"/>
    </w:rPr>
  </w:style>
  <w:style w:type="character" w:styleId="HTMLCite">
    <w:name w:val="HTML Cite"/>
    <w:basedOn w:val="DefaultParagraphFont"/>
    <w:semiHidden/>
    <w:unhideWhenUsed/>
    <w:rsid w:val="007413F6"/>
    <w:rPr>
      <w:i/>
      <w:iCs/>
    </w:rPr>
  </w:style>
  <w:style w:type="character" w:styleId="HTMLCode">
    <w:name w:val="HTML Code"/>
    <w:basedOn w:val="DefaultParagraphFont"/>
    <w:semiHidden/>
    <w:unhideWhenUsed/>
    <w:rsid w:val="007413F6"/>
    <w:rPr>
      <w:rFonts w:ascii="Consolas" w:hAnsi="Consolas"/>
      <w:sz w:val="20"/>
      <w:szCs w:val="20"/>
    </w:rPr>
  </w:style>
  <w:style w:type="character" w:styleId="HTMLDefinition">
    <w:name w:val="HTML Definition"/>
    <w:basedOn w:val="DefaultParagraphFont"/>
    <w:semiHidden/>
    <w:unhideWhenUsed/>
    <w:rsid w:val="007413F6"/>
    <w:rPr>
      <w:i/>
      <w:iCs/>
    </w:rPr>
  </w:style>
  <w:style w:type="character" w:styleId="HTMLKeyboard">
    <w:name w:val="HTML Keyboard"/>
    <w:basedOn w:val="DefaultParagraphFont"/>
    <w:semiHidden/>
    <w:unhideWhenUsed/>
    <w:rsid w:val="007413F6"/>
    <w:rPr>
      <w:rFonts w:ascii="Consolas" w:hAnsi="Consolas"/>
      <w:sz w:val="20"/>
      <w:szCs w:val="20"/>
    </w:rPr>
  </w:style>
  <w:style w:type="paragraph" w:styleId="HTMLPreformatted">
    <w:name w:val="HTML Preformatted"/>
    <w:basedOn w:val="Normal"/>
    <w:link w:val="HTMLPreformattedChar"/>
    <w:semiHidden/>
    <w:unhideWhenUsed/>
    <w:rsid w:val="007413F6"/>
    <w:rPr>
      <w:rFonts w:ascii="Consolas" w:hAnsi="Consolas"/>
      <w:lang w:val="en-U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eastAsia="en-US"/>
    </w:rPr>
  </w:style>
  <w:style w:type="character" w:styleId="HTMLSample">
    <w:name w:val="HTML Sample"/>
    <w:basedOn w:val="DefaultParagraphFont"/>
    <w:semiHidden/>
    <w:unhideWhenUsed/>
    <w:rsid w:val="007413F6"/>
    <w:rPr>
      <w:rFonts w:ascii="Consolas" w:hAnsi="Consolas"/>
      <w:sz w:val="24"/>
      <w:szCs w:val="24"/>
    </w:rPr>
  </w:style>
  <w:style w:type="character" w:styleId="HTMLTypewriter">
    <w:name w:val="HTML Typewriter"/>
    <w:basedOn w:val="DefaultParagraphFont"/>
    <w:semiHidden/>
    <w:unhideWhenUsed/>
    <w:rsid w:val="007413F6"/>
    <w:rPr>
      <w:rFonts w:ascii="Consolas" w:hAnsi="Consolas"/>
      <w:sz w:val="20"/>
      <w:szCs w:val="20"/>
    </w:rPr>
  </w:style>
  <w:style w:type="character" w:styleId="HTMLVariable">
    <w:name w:val="HTML Variable"/>
    <w:basedOn w:val="DefaultParagraphFont"/>
    <w:semiHidden/>
    <w:unhideWhenUsed/>
    <w:rsid w:val="007413F6"/>
    <w:rPr>
      <w:i/>
      <w:iC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rPr>
      <w:lang w:val="en-US"/>
    </w:r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rPr>
      <w:lang w:val="en-US"/>
    </w:r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rPr>
      <w:lang w:val="en-US"/>
    </w:r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rPr>
      <w:lang w:val="en-US"/>
    </w:r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rPr>
      <w:lang w:val="en-US"/>
    </w:r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rPr>
      <w:lang w:val="en-US"/>
    </w:r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rPr>
      <w:lang w:val="en-US"/>
    </w:r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rPr>
      <w:lang w:val="en-US"/>
    </w:r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rPr>
      <w:lang w:val="en-US"/>
    </w:rPr>
  </w:style>
  <w:style w:type="paragraph" w:styleId="IndexHeading">
    <w:name w:val="index heading"/>
    <w:basedOn w:val="Normal"/>
    <w:next w:val="Index1"/>
    <w:semiHidden/>
    <w:unhideWhenUsed/>
    <w:rsid w:val="007413F6"/>
    <w:rPr>
      <w:rFonts w:asciiTheme="majorHAnsi" w:eastAsiaTheme="majorEastAsia" w:hAnsiTheme="majorHAnsi" w:cstheme="majorBidi"/>
      <w:b/>
      <w:bCs/>
      <w:lang w:val="en-US"/>
    </w:rPr>
  </w:style>
  <w:style w:type="character" w:styleId="IntenseEmphasis">
    <w:name w:val="Intense Emphasis"/>
    <w:basedOn w:val="DefaultParagraphFont"/>
    <w:uiPriority w:val="21"/>
    <w:qFormat/>
    <w:rsid w:val="007413F6"/>
    <w:rPr>
      <w:i/>
      <w:iCs/>
      <w:color w:val="4F81BD" w:themeColor="accent1"/>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eastAsia="en-US"/>
    </w:rPr>
  </w:style>
  <w:style w:type="character" w:styleId="IntenseReference">
    <w:name w:val="Intense Reference"/>
    <w:basedOn w:val="DefaultParagraphFont"/>
    <w:uiPriority w:val="32"/>
    <w:qFormat/>
    <w:rsid w:val="007413F6"/>
    <w:rPr>
      <w:b/>
      <w:bCs/>
      <w:smallCaps/>
      <w:color w:val="4F81BD" w:themeColor="accent1"/>
      <w:spacing w:val="5"/>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style>
  <w:style w:type="paragraph" w:styleId="List">
    <w:name w:val="List"/>
    <w:basedOn w:val="Normal"/>
    <w:semiHidden/>
    <w:unhideWhenUsed/>
    <w:rsid w:val="007413F6"/>
    <w:pPr>
      <w:ind w:left="283" w:hanging="283"/>
      <w:contextualSpacing/>
    </w:pPr>
    <w:rPr>
      <w:lang w:val="en-US"/>
    </w:rPr>
  </w:style>
  <w:style w:type="paragraph" w:styleId="List2">
    <w:name w:val="List 2"/>
    <w:basedOn w:val="Normal"/>
    <w:semiHidden/>
    <w:unhideWhenUsed/>
    <w:rsid w:val="007413F6"/>
    <w:pPr>
      <w:ind w:left="566" w:hanging="283"/>
      <w:contextualSpacing/>
    </w:pPr>
    <w:rPr>
      <w:lang w:val="en-US"/>
    </w:rPr>
  </w:style>
  <w:style w:type="paragraph" w:styleId="List3">
    <w:name w:val="List 3"/>
    <w:basedOn w:val="Normal"/>
    <w:semiHidden/>
    <w:unhideWhenUsed/>
    <w:rsid w:val="007413F6"/>
    <w:pPr>
      <w:ind w:left="849" w:hanging="283"/>
      <w:contextualSpacing/>
    </w:pPr>
    <w:rPr>
      <w:lang w:val="en-US"/>
    </w:rPr>
  </w:style>
  <w:style w:type="paragraph" w:styleId="List4">
    <w:name w:val="List 4"/>
    <w:basedOn w:val="Normal"/>
    <w:semiHidden/>
    <w:unhideWhenUsed/>
    <w:rsid w:val="007413F6"/>
    <w:pPr>
      <w:ind w:left="1132" w:hanging="283"/>
      <w:contextualSpacing/>
    </w:pPr>
    <w:rPr>
      <w:lang w:val="en-US"/>
    </w:rPr>
  </w:style>
  <w:style w:type="paragraph" w:styleId="List5">
    <w:name w:val="List 5"/>
    <w:basedOn w:val="Normal"/>
    <w:semiHidden/>
    <w:unhideWhenUsed/>
    <w:rsid w:val="007413F6"/>
    <w:pPr>
      <w:ind w:left="1415" w:hanging="283"/>
      <w:contextualSpacing/>
    </w:pPr>
    <w:rPr>
      <w:lang w:val="en-US"/>
    </w:rPr>
  </w:style>
  <w:style w:type="paragraph" w:styleId="ListBullet">
    <w:name w:val="List Bullet"/>
    <w:basedOn w:val="Normal"/>
    <w:semiHidden/>
    <w:rsid w:val="007413F6"/>
    <w:pPr>
      <w:numPr>
        <w:numId w:val="3"/>
      </w:numPr>
      <w:contextualSpacing/>
    </w:pPr>
    <w:rPr>
      <w:lang w:val="en-US"/>
    </w:rPr>
  </w:style>
  <w:style w:type="paragraph" w:styleId="ListBullet2">
    <w:name w:val="List Bullet 2"/>
    <w:basedOn w:val="Normal"/>
    <w:semiHidden/>
    <w:unhideWhenUsed/>
    <w:rsid w:val="007413F6"/>
    <w:pPr>
      <w:numPr>
        <w:numId w:val="4"/>
      </w:numPr>
      <w:contextualSpacing/>
    </w:pPr>
    <w:rPr>
      <w:lang w:val="en-US"/>
    </w:rPr>
  </w:style>
  <w:style w:type="paragraph" w:styleId="ListBullet3">
    <w:name w:val="List Bullet 3"/>
    <w:basedOn w:val="Normal"/>
    <w:semiHidden/>
    <w:unhideWhenUsed/>
    <w:rsid w:val="007413F6"/>
    <w:pPr>
      <w:numPr>
        <w:numId w:val="5"/>
      </w:numPr>
      <w:contextualSpacing/>
    </w:pPr>
    <w:rPr>
      <w:lang w:val="en-US"/>
    </w:rPr>
  </w:style>
  <w:style w:type="paragraph" w:styleId="ListBullet4">
    <w:name w:val="List Bullet 4"/>
    <w:basedOn w:val="Normal"/>
    <w:semiHidden/>
    <w:unhideWhenUsed/>
    <w:rsid w:val="007413F6"/>
    <w:pPr>
      <w:numPr>
        <w:numId w:val="6"/>
      </w:numPr>
      <w:contextualSpacing/>
    </w:pPr>
    <w:rPr>
      <w:lang w:val="en-US"/>
    </w:rPr>
  </w:style>
  <w:style w:type="paragraph" w:styleId="ListBullet5">
    <w:name w:val="List Bullet 5"/>
    <w:basedOn w:val="Normal"/>
    <w:semiHidden/>
    <w:unhideWhenUsed/>
    <w:rsid w:val="007413F6"/>
    <w:pPr>
      <w:numPr>
        <w:numId w:val="7"/>
      </w:numPr>
      <w:contextualSpacing/>
    </w:pPr>
    <w:rPr>
      <w:lang w:val="en-US"/>
    </w:rPr>
  </w:style>
  <w:style w:type="paragraph" w:styleId="ListContinue">
    <w:name w:val="List Continue"/>
    <w:basedOn w:val="Normal"/>
    <w:semiHidden/>
    <w:unhideWhenUsed/>
    <w:rsid w:val="007413F6"/>
    <w:pPr>
      <w:spacing w:after="120"/>
      <w:ind w:left="283"/>
      <w:contextualSpacing/>
    </w:pPr>
    <w:rPr>
      <w:lang w:val="en-US"/>
    </w:rPr>
  </w:style>
  <w:style w:type="paragraph" w:styleId="ListContinue2">
    <w:name w:val="List Continue 2"/>
    <w:basedOn w:val="Normal"/>
    <w:semiHidden/>
    <w:unhideWhenUsed/>
    <w:rsid w:val="007413F6"/>
    <w:pPr>
      <w:spacing w:after="120"/>
      <w:ind w:left="566"/>
      <w:contextualSpacing/>
    </w:pPr>
    <w:rPr>
      <w:lang w:val="en-US"/>
    </w:rPr>
  </w:style>
  <w:style w:type="paragraph" w:styleId="ListContinue3">
    <w:name w:val="List Continue 3"/>
    <w:basedOn w:val="Normal"/>
    <w:semiHidden/>
    <w:rsid w:val="007413F6"/>
    <w:pPr>
      <w:spacing w:after="120"/>
      <w:ind w:left="849"/>
      <w:contextualSpacing/>
    </w:pPr>
    <w:rPr>
      <w:lang w:val="en-US"/>
    </w:rPr>
  </w:style>
  <w:style w:type="paragraph" w:styleId="ListContinue4">
    <w:name w:val="List Continue 4"/>
    <w:basedOn w:val="Normal"/>
    <w:semiHidden/>
    <w:rsid w:val="007413F6"/>
    <w:pPr>
      <w:spacing w:after="120"/>
      <w:ind w:left="1132"/>
      <w:contextualSpacing/>
    </w:pPr>
    <w:rPr>
      <w:lang w:val="en-US"/>
    </w:rPr>
  </w:style>
  <w:style w:type="paragraph" w:styleId="ListContinue5">
    <w:name w:val="List Continue 5"/>
    <w:basedOn w:val="Normal"/>
    <w:semiHidden/>
    <w:rsid w:val="007413F6"/>
    <w:pPr>
      <w:spacing w:after="120"/>
      <w:ind w:left="1415"/>
      <w:contextualSpacing/>
    </w:pPr>
    <w:rPr>
      <w:lang w:val="en-US"/>
    </w:rPr>
  </w:style>
  <w:style w:type="paragraph" w:styleId="ListNumber">
    <w:name w:val="List Number"/>
    <w:basedOn w:val="Normal"/>
    <w:semiHidden/>
    <w:rsid w:val="007413F6"/>
    <w:pPr>
      <w:numPr>
        <w:numId w:val="8"/>
      </w:numPr>
      <w:contextualSpacing/>
    </w:pPr>
    <w:rPr>
      <w:lang w:val="en-US"/>
    </w:rPr>
  </w:style>
  <w:style w:type="paragraph" w:styleId="ListNumber2">
    <w:name w:val="List Number 2"/>
    <w:basedOn w:val="Normal"/>
    <w:semiHidden/>
    <w:unhideWhenUsed/>
    <w:rsid w:val="007413F6"/>
    <w:pPr>
      <w:numPr>
        <w:numId w:val="9"/>
      </w:numPr>
      <w:contextualSpacing/>
    </w:pPr>
    <w:rPr>
      <w:lang w:val="en-US"/>
    </w:rPr>
  </w:style>
  <w:style w:type="paragraph" w:styleId="ListNumber3">
    <w:name w:val="List Number 3"/>
    <w:basedOn w:val="Normal"/>
    <w:semiHidden/>
    <w:unhideWhenUsed/>
    <w:rsid w:val="007413F6"/>
    <w:pPr>
      <w:numPr>
        <w:numId w:val="10"/>
      </w:numPr>
      <w:contextualSpacing/>
    </w:pPr>
    <w:rPr>
      <w:lang w:val="en-US"/>
    </w:rPr>
  </w:style>
  <w:style w:type="paragraph" w:styleId="ListNumber4">
    <w:name w:val="List Number 4"/>
    <w:basedOn w:val="Normal"/>
    <w:semiHidden/>
    <w:unhideWhenUsed/>
    <w:rsid w:val="007413F6"/>
    <w:pPr>
      <w:numPr>
        <w:numId w:val="11"/>
      </w:numPr>
      <w:contextualSpacing/>
    </w:pPr>
    <w:rPr>
      <w:lang w:val="en-US"/>
    </w:rPr>
  </w:style>
  <w:style w:type="paragraph" w:styleId="ListNumber5">
    <w:name w:val="List Number 5"/>
    <w:basedOn w:val="Normal"/>
    <w:semiHidden/>
    <w:unhideWhenUsed/>
    <w:rsid w:val="007413F6"/>
    <w:pPr>
      <w:numPr>
        <w:numId w:val="12"/>
      </w:numPr>
      <w:contextualSpacing/>
    </w:pPr>
    <w:rPr>
      <w:lang w:val="en-US"/>
    </w:r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semiHidden/>
    <w:rsid w:val="00034165"/>
    <w:rPr>
      <w:rFonts w:ascii="Consolas" w:eastAsia="Times New Roman" w:hAnsi="Consolas" w:cs="Times New Roman"/>
      <w:sz w:val="20"/>
      <w:szCs w:val="20"/>
      <w:lang w:val="en-US"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rPr>
  </w:style>
  <w:style w:type="paragraph" w:styleId="MessageHeader">
    <w:name w:val="Message Header"/>
    <w:basedOn w:val="Normal"/>
    <w:link w:val="MessageHeaderChar"/>
    <w:semiHidden/>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semiHidden/>
    <w:rsid w:val="00034165"/>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eastAsia="en-US"/>
    </w:rPr>
  </w:style>
  <w:style w:type="character" w:styleId="SmartHyperlink">
    <w:name w:val="Smart Hyperlink"/>
    <w:basedOn w:val="DefaultParagraphFont"/>
    <w:uiPriority w:val="99"/>
    <w:semiHidden/>
    <w:unhideWhenUsed/>
    <w:rsid w:val="007413F6"/>
    <w:rPr>
      <w:u w:val="dotted"/>
    </w:rPr>
  </w:style>
  <w:style w:type="character" w:styleId="SmartLink">
    <w:name w:val="Smart Link"/>
    <w:basedOn w:val="DefaultParagraphFont"/>
    <w:uiPriority w:val="99"/>
    <w:semiHidden/>
    <w:unhideWhenUsed/>
    <w:rsid w:val="007413F6"/>
    <w:rPr>
      <w:color w:val="0000FF"/>
      <w:u w:val="single"/>
      <w:shd w:val="clear" w:color="auto" w:fill="F3F2F1"/>
    </w:rPr>
  </w:style>
  <w:style w:type="character" w:styleId="Strong">
    <w:name w:val="Strong"/>
    <w:basedOn w:val="DefaultParagraphFont"/>
    <w:qFormat/>
    <w:rsid w:val="007413F6"/>
    <w:rPr>
      <w:b/>
      <w:bC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eastAsia="en-US"/>
    </w:rPr>
  </w:style>
  <w:style w:type="character" w:styleId="SubtleEmphasis">
    <w:name w:val="Subtle Emphasis"/>
    <w:basedOn w:val="DefaultParagraphFont"/>
    <w:uiPriority w:val="19"/>
    <w:qFormat/>
    <w:rsid w:val="007413F6"/>
    <w:rPr>
      <w:i/>
      <w:iCs/>
      <w:color w:val="404040" w:themeColor="text1" w:themeTint="BF"/>
    </w:rPr>
  </w:style>
  <w:style w:type="character" w:styleId="SubtleReference">
    <w:name w:val="Subtle Reference"/>
    <w:basedOn w:val="DefaultParagraphFont"/>
    <w:uiPriority w:val="31"/>
    <w:qFormat/>
    <w:rsid w:val="007413F6"/>
    <w:rPr>
      <w:smallCaps/>
      <w:color w:val="5A5A5A" w:themeColor="text1" w:themeTint="A5"/>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73B0A"/>
    <w:rPr>
      <w:rFonts w:ascii="Times New Roman" w:eastAsia="Times New Roman" w:hAnsi="Times New Roman" w:cs="Times New Roman"/>
      <w:b/>
      <w:sz w:val="24"/>
      <w:szCs w:val="24"/>
      <w:lang w:val="en-US" w:eastAsia="en-US"/>
    </w:rPr>
  </w:style>
  <w:style w:type="paragraph" w:styleId="Revision">
    <w:name w:val="Revision"/>
    <w:hidden/>
    <w:uiPriority w:val="99"/>
    <w:semiHidden/>
    <w:rsid w:val="00615A50"/>
    <w:pPr>
      <w:spacing w:after="0" w:line="240" w:lineRule="auto"/>
    </w:pPr>
    <w:rPr>
      <w:rFonts w:ascii="Times New Roman" w:eastAsia="Times New Roman" w:hAnsi="Times New Roman" w:cs="Times New Roman"/>
      <w:sz w:val="20"/>
      <w:szCs w:val="20"/>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537F33"/>
    <w:pPr>
      <w:tabs>
        <w:tab w:val="clear" w:pos="1247"/>
        <w:tab w:val="clear" w:pos="1814"/>
        <w:tab w:val="clear" w:pos="2381"/>
        <w:tab w:val="clear" w:pos="2948"/>
        <w:tab w:val="clear" w:pos="3515"/>
      </w:tabs>
      <w:spacing w:after="160" w:line="240" w:lineRule="exact"/>
    </w:pPr>
    <w:rPr>
      <w:rFonts w:eastAsiaTheme="minorEastAsia" w:cstheme="minorBidi"/>
      <w:szCs w:val="18"/>
      <w:vertAlign w:val="superscript"/>
      <w:lang w:val="en-US" w:eastAsia="zh-CN"/>
    </w:rPr>
  </w:style>
  <w:style w:type="paragraph" w:customStyle="1" w:styleId="ANormal">
    <w:name w:val="A_Normal"/>
    <w:basedOn w:val="Normal-pool"/>
    <w:qFormat/>
    <w:rsid w:val="000D3263"/>
  </w:style>
  <w:style w:type="paragraph" w:customStyle="1" w:styleId="AText0">
    <w:name w:val="A_Text0"/>
    <w:basedOn w:val="AText"/>
    <w:next w:val="AText"/>
    <w:qFormat/>
    <w:rsid w:val="00F555F7"/>
    <w:pPr>
      <w:spacing w:before="0" w:after="120"/>
    </w:pPr>
  </w:style>
  <w:style w:type="character" w:customStyle="1" w:styleId="cf01">
    <w:name w:val="cf01"/>
    <w:basedOn w:val="DefaultParagraphFont"/>
    <w:semiHidden/>
    <w:rsid w:val="00A379FB"/>
    <w:rPr>
      <w:rFonts w:ascii="Segoe UI" w:hAnsi="Segoe UI" w:cs="Segoe UI" w:hint="default"/>
      <w:sz w:val="18"/>
      <w:szCs w:val="18"/>
    </w:rPr>
  </w:style>
  <w:style w:type="character" w:customStyle="1" w:styleId="cf11">
    <w:name w:val="cf11"/>
    <w:basedOn w:val="DefaultParagraphFont"/>
    <w:semiHidden/>
    <w:rsid w:val="000B4D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2023-07-19T15:20:41+00:00</Uploadeddate>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3.xml><?xml version="1.0" encoding="utf-8"?>
<ds:datastoreItem xmlns:ds="http://schemas.openxmlformats.org/officeDocument/2006/customXml" ds:itemID="{CC6D4A3F-AB71-4DCF-8ACD-4B577E869744}"/>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6333</Words>
  <Characters>37117</Characters>
  <Application>Microsoft Office Word</Application>
  <DocSecurity>0</DocSecurity>
  <PresentationFormat/>
  <Lines>727</Lines>
  <Paragraphs>249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Gathu</dc:creator>
  <cp:keywords/>
  <dc:description/>
  <cp:lastModifiedBy>Natalia Cherutich</cp:lastModifiedBy>
  <cp:revision>2</cp:revision>
  <cp:lastPrinted>2023-06-19T12:03:00Z</cp:lastPrinted>
  <dcterms:created xsi:type="dcterms:W3CDTF">2023-07-13T11:35:00Z</dcterms:created>
  <dcterms:modified xsi:type="dcterms:W3CDTF">2023-07-13T11:35:00Z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Category">
    <vt:lpwstr>UNEP-IPBES</vt:lpwstr>
  </property>
  <property fmtid="{D5CDD505-2E9C-101B-9397-08002B2CF9AE}" pid="4" name="UNONDCSTES-Language">
    <vt:lpwstr>EN</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ContentTypeId">
    <vt:lpwstr>0x010100A8527E0A0837F64083645E115EB57567</vt:lpwstr>
  </property>
  <property fmtid="{D5CDD505-2E9C-101B-9397-08002B2CF9AE}" pid="8" name="TranslatedWith">
    <vt:lpwstr>Mercury</vt:lpwstr>
  </property>
  <property fmtid="{D5CDD505-2E9C-101B-9397-08002B2CF9AE}" pid="9" name="GeneratedBy">
    <vt:lpwstr>yauheniya.yakouchyk</vt:lpwstr>
  </property>
  <property fmtid="{D5CDD505-2E9C-101B-9397-08002B2CF9AE}" pid="10" name="GeneratedDate">
    <vt:lpwstr>07/12/2023 05:01:09</vt:lpwstr>
  </property>
  <property fmtid="{D5CDD505-2E9C-101B-9397-08002B2CF9AE}" pid="11" name="OriginalDocID">
    <vt:lpwstr>c3a90cfd-6792-47c3-9d83-f2b1aa086205</vt:lpwstr>
  </property>
</Properties>
</file>