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36574" w:rsidRPr="00C5575D" w14:paraId="1746FF38" w14:textId="77777777" w:rsidTr="00543A53">
        <w:trPr>
          <w:cantSplit/>
          <w:trHeight w:val="57"/>
          <w:jc w:val="right"/>
        </w:trPr>
        <w:tc>
          <w:tcPr>
            <w:tcW w:w="1560" w:type="dxa"/>
          </w:tcPr>
          <w:p w14:paraId="35948008" w14:textId="77777777" w:rsidR="00A36574" w:rsidRPr="00D4106F" w:rsidRDefault="00A36574" w:rsidP="00A36574">
            <w:pPr>
              <w:pStyle w:val="AUnitedNations"/>
            </w:pPr>
            <w:r w:rsidRPr="00C5575D">
              <w:t xml:space="preserve">UNITED </w:t>
            </w:r>
            <w:r w:rsidRPr="00C5575D">
              <w:br/>
              <w:t>NATIONS</w:t>
            </w:r>
          </w:p>
        </w:tc>
        <w:tc>
          <w:tcPr>
            <w:tcW w:w="5953" w:type="dxa"/>
            <w:gridSpan w:val="3"/>
          </w:tcPr>
          <w:p w14:paraId="1D008E8C" w14:textId="77777777" w:rsidR="00A36574" w:rsidRPr="00D4106F" w:rsidRDefault="00A36574" w:rsidP="00A36574">
            <w:pPr>
              <w:pStyle w:val="AText"/>
              <w:spacing w:before="20"/>
              <w:ind w:left="-113"/>
            </w:pPr>
            <w:r w:rsidRPr="003854ED">
              <w:rPr>
                <w:noProof/>
                <w:lang w:val="sv-SE" w:eastAsia="sv-SE"/>
              </w:rPr>
              <w:drawing>
                <wp:inline distT="0" distB="0" distL="0" distR="0" wp14:anchorId="0CE5DA4B" wp14:editId="68F42185">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396949F5" w14:textId="77777777" w:rsidR="00A36574" w:rsidRPr="00C5575D" w:rsidRDefault="00A36574" w:rsidP="00A36574">
            <w:pPr>
              <w:pStyle w:val="ATwoLetters"/>
              <w:rPr>
                <w:sz w:val="24"/>
                <w:szCs w:val="24"/>
              </w:rPr>
            </w:pPr>
            <w:r w:rsidRPr="00C5575D">
              <w:t>BES</w:t>
            </w:r>
          </w:p>
        </w:tc>
      </w:tr>
      <w:tr w:rsidR="00A36574" w:rsidRPr="00D4106F" w14:paraId="5068FA9B" w14:textId="77777777" w:rsidTr="00543A53">
        <w:trPr>
          <w:cantSplit/>
          <w:trHeight w:val="57"/>
          <w:jc w:val="right"/>
        </w:trPr>
        <w:tc>
          <w:tcPr>
            <w:tcW w:w="1985" w:type="dxa"/>
            <w:gridSpan w:val="2"/>
            <w:tcBorders>
              <w:bottom w:val="single" w:sz="4" w:space="0" w:color="auto"/>
            </w:tcBorders>
          </w:tcPr>
          <w:p w14:paraId="19B9B833" w14:textId="77777777" w:rsidR="00A36574" w:rsidRPr="00D4106F" w:rsidRDefault="00A36574" w:rsidP="00543A53">
            <w:pPr>
              <w:pStyle w:val="Normal-pool"/>
            </w:pPr>
          </w:p>
        </w:tc>
        <w:tc>
          <w:tcPr>
            <w:tcW w:w="4819" w:type="dxa"/>
            <w:tcBorders>
              <w:bottom w:val="single" w:sz="4" w:space="0" w:color="auto"/>
            </w:tcBorders>
          </w:tcPr>
          <w:p w14:paraId="04DC407E" w14:textId="77777777" w:rsidR="00A36574" w:rsidRPr="00D4106F" w:rsidRDefault="00A36574" w:rsidP="00543A53">
            <w:pPr>
              <w:pStyle w:val="Normal-pool"/>
            </w:pPr>
          </w:p>
        </w:tc>
        <w:tc>
          <w:tcPr>
            <w:tcW w:w="2692" w:type="dxa"/>
            <w:gridSpan w:val="2"/>
            <w:tcBorders>
              <w:bottom w:val="single" w:sz="4" w:space="0" w:color="auto"/>
            </w:tcBorders>
          </w:tcPr>
          <w:p w14:paraId="10A2CB96" w14:textId="7F8F78D3" w:rsidR="00A36574" w:rsidRPr="00D4106F" w:rsidRDefault="00A36574" w:rsidP="00A61EFC">
            <w:pPr>
              <w:pStyle w:val="ASymbol"/>
            </w:pPr>
            <w:r w:rsidRPr="00D27340">
              <w:rPr>
                <w:b/>
                <w:sz w:val="28"/>
                <w:szCs w:val="28"/>
              </w:rPr>
              <w:t>IPBES</w:t>
            </w:r>
            <w:r w:rsidRPr="00C5575D">
              <w:t>/</w:t>
            </w:r>
            <w:r w:rsidR="00FA1F59">
              <w:t>9</w:t>
            </w:r>
            <w:r w:rsidRPr="00C5575D">
              <w:t>/</w:t>
            </w:r>
            <w:r w:rsidR="00A73564">
              <w:t>INF/</w:t>
            </w:r>
            <w:r w:rsidR="006419C5">
              <w:t>10</w:t>
            </w:r>
          </w:p>
        </w:tc>
      </w:tr>
      <w:tr w:rsidR="00A36574" w:rsidRPr="00C60946" w14:paraId="5DCEC74F" w14:textId="77777777" w:rsidTr="00543A53">
        <w:trPr>
          <w:cantSplit/>
          <w:trHeight w:val="2098"/>
          <w:jc w:val="right"/>
        </w:trPr>
        <w:tc>
          <w:tcPr>
            <w:tcW w:w="1985" w:type="dxa"/>
            <w:gridSpan w:val="2"/>
            <w:tcBorders>
              <w:top w:val="single" w:sz="4" w:space="0" w:color="auto"/>
              <w:bottom w:val="single" w:sz="24" w:space="0" w:color="auto"/>
            </w:tcBorders>
          </w:tcPr>
          <w:p w14:paraId="6662E03A" w14:textId="77777777" w:rsidR="00A36574" w:rsidRPr="00C5575D" w:rsidRDefault="00A36574" w:rsidP="00A36574">
            <w:pPr>
              <w:pStyle w:val="AText"/>
              <w:spacing w:before="160"/>
            </w:pPr>
            <w:r w:rsidRPr="00C5575D">
              <w:rPr>
                <w:noProof/>
                <w:lang w:val="sv-SE" w:eastAsia="sv-SE"/>
              </w:rPr>
              <w:drawing>
                <wp:inline distT="0" distB="0" distL="0" distR="0" wp14:anchorId="78B6E6F2" wp14:editId="1BC6C6E1">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7A40FBB1" w14:textId="77777777" w:rsidR="00A36574" w:rsidRPr="00C5575D" w:rsidRDefault="00A36574" w:rsidP="00A36574">
            <w:pPr>
              <w:pStyle w:val="AConvName"/>
              <w:spacing w:before="120"/>
            </w:pPr>
            <w:r w:rsidRPr="00C5575D">
              <w:t xml:space="preserve">Intergovernmental </w:t>
            </w:r>
            <w:r w:rsidRPr="00D11D35">
              <w:t>Science-Policy</w:t>
            </w:r>
            <w:r w:rsidRPr="00C5575D">
              <w:t xml:space="preserve"> </w:t>
            </w:r>
            <w:r>
              <w:br/>
            </w:r>
            <w:r w:rsidRPr="00C5575D">
              <w:t xml:space="preserve">Platform on Biodiversity and </w:t>
            </w:r>
            <w:r>
              <w:br/>
            </w:r>
            <w:r w:rsidRPr="00C5575D">
              <w:t>Ecosystem Services</w:t>
            </w:r>
          </w:p>
        </w:tc>
        <w:tc>
          <w:tcPr>
            <w:tcW w:w="2692" w:type="dxa"/>
            <w:gridSpan w:val="2"/>
            <w:tcBorders>
              <w:top w:val="single" w:sz="4" w:space="0" w:color="auto"/>
              <w:bottom w:val="single" w:sz="24" w:space="0" w:color="auto"/>
            </w:tcBorders>
          </w:tcPr>
          <w:p w14:paraId="2A04A159" w14:textId="5145EEB6" w:rsidR="00A36574" w:rsidRPr="007D1C00" w:rsidRDefault="00A36574" w:rsidP="00A61EFC">
            <w:pPr>
              <w:pStyle w:val="AText"/>
            </w:pPr>
            <w:r w:rsidRPr="00C5575D">
              <w:t xml:space="preserve">Distr.: </w:t>
            </w:r>
            <w:r w:rsidR="00FA1F59" w:rsidRPr="007D1C00">
              <w:t xml:space="preserve">General </w:t>
            </w:r>
            <w:r w:rsidRPr="007D1C00">
              <w:br/>
            </w:r>
            <w:r w:rsidR="007D1C00" w:rsidRPr="007D1C00">
              <w:t>26 May</w:t>
            </w:r>
            <w:r w:rsidR="004408AB" w:rsidRPr="007D1C00">
              <w:t xml:space="preserve"> 2022</w:t>
            </w:r>
          </w:p>
          <w:p w14:paraId="0EAEAA7A" w14:textId="264631CB" w:rsidR="00A36574" w:rsidRPr="00A61EFC" w:rsidRDefault="00A36574" w:rsidP="00A61EFC">
            <w:pPr>
              <w:pStyle w:val="AText"/>
            </w:pPr>
            <w:r w:rsidRPr="007D1C00">
              <w:t>English</w:t>
            </w:r>
            <w:r w:rsidR="007D1C00">
              <w:t xml:space="preserve"> only</w:t>
            </w:r>
          </w:p>
        </w:tc>
      </w:tr>
    </w:tbl>
    <w:p w14:paraId="60C11C5B" w14:textId="77777777" w:rsidR="007A5FCD" w:rsidRPr="00C5575D" w:rsidRDefault="007A5FCD" w:rsidP="00A36574">
      <w:pPr>
        <w:pStyle w:val="AATitle"/>
      </w:pPr>
      <w:r w:rsidRPr="00C5575D">
        <w:t xml:space="preserve">Plenary of the Intergovernmental Science-Policy </w:t>
      </w:r>
      <w:r w:rsidRPr="00C5575D">
        <w:br/>
        <w:t>Platform on Biodiversity and Ecosystem Services</w:t>
      </w:r>
    </w:p>
    <w:p w14:paraId="6B69B628" w14:textId="77777777" w:rsidR="007A5FCD" w:rsidRPr="00C5575D" w:rsidRDefault="00FA1F59" w:rsidP="007A5FCD">
      <w:pPr>
        <w:pStyle w:val="AATitle"/>
      </w:pPr>
      <w:r>
        <w:t>Nint</w:t>
      </w:r>
      <w:r w:rsidR="007A5FCD" w:rsidRPr="00C5575D">
        <w:t>h session</w:t>
      </w:r>
    </w:p>
    <w:p w14:paraId="517E1A56" w14:textId="77777777" w:rsidR="007A5FCD" w:rsidRPr="00C5575D" w:rsidRDefault="00FA1F59" w:rsidP="007A5FCD">
      <w:pPr>
        <w:pStyle w:val="AATitle"/>
        <w:rPr>
          <w:b w:val="0"/>
        </w:rPr>
      </w:pPr>
      <w:r>
        <w:rPr>
          <w:b w:val="0"/>
          <w:lang w:eastAsia="ja-JP"/>
        </w:rPr>
        <w:t>Bonn, Germany, 3</w:t>
      </w:r>
      <w:r w:rsidR="007A5FCD" w:rsidRPr="00C5575D">
        <w:rPr>
          <w:b w:val="0"/>
          <w:lang w:eastAsia="ja-JP"/>
        </w:rPr>
        <w:t>–</w:t>
      </w:r>
      <w:r>
        <w:rPr>
          <w:b w:val="0"/>
          <w:lang w:eastAsia="ja-JP"/>
        </w:rPr>
        <w:t>9</w:t>
      </w:r>
      <w:r w:rsidR="007A5FCD" w:rsidRPr="00C5575D">
        <w:rPr>
          <w:b w:val="0"/>
          <w:lang w:eastAsia="ja-JP"/>
        </w:rPr>
        <w:t xml:space="preserve"> Ju</w:t>
      </w:r>
      <w:r>
        <w:rPr>
          <w:b w:val="0"/>
          <w:lang w:eastAsia="ja-JP"/>
        </w:rPr>
        <w:t>ly</w:t>
      </w:r>
      <w:r w:rsidR="007A5FCD" w:rsidRPr="00C5575D">
        <w:rPr>
          <w:b w:val="0"/>
          <w:lang w:eastAsia="ja-JP"/>
        </w:rPr>
        <w:t xml:space="preserve"> 202</w:t>
      </w:r>
      <w:r>
        <w:rPr>
          <w:b w:val="0"/>
          <w:lang w:eastAsia="ja-JP"/>
        </w:rPr>
        <w:t>2</w:t>
      </w:r>
    </w:p>
    <w:p w14:paraId="6DC52E2E" w14:textId="61169A33" w:rsidR="00B2156E" w:rsidRPr="00770E89" w:rsidRDefault="004A0FE9" w:rsidP="003805DB">
      <w:pPr>
        <w:pStyle w:val="AATitle"/>
        <w:rPr>
          <w:b w:val="0"/>
          <w:szCs w:val="18"/>
        </w:rPr>
      </w:pPr>
      <w:r w:rsidRPr="00770E89">
        <w:rPr>
          <w:b w:val="0"/>
        </w:rPr>
        <w:t xml:space="preserve">Item </w:t>
      </w:r>
      <w:r w:rsidR="00BA4C22" w:rsidRPr="00770E89">
        <w:rPr>
          <w:b w:val="0"/>
        </w:rPr>
        <w:t>7 (</w:t>
      </w:r>
      <w:r w:rsidR="00185197" w:rsidRPr="00770E89">
        <w:rPr>
          <w:b w:val="0"/>
        </w:rPr>
        <w:t>c</w:t>
      </w:r>
      <w:r w:rsidR="00BA4C22" w:rsidRPr="00770E89">
        <w:rPr>
          <w:b w:val="0"/>
        </w:rPr>
        <w:t>)</w:t>
      </w:r>
      <w:r w:rsidR="00E5536E" w:rsidRPr="00770E89">
        <w:rPr>
          <w:b w:val="0"/>
        </w:rPr>
        <w:t xml:space="preserve"> </w:t>
      </w:r>
      <w:r w:rsidR="00B2156E" w:rsidRPr="00770E89">
        <w:rPr>
          <w:b w:val="0"/>
        </w:rPr>
        <w:t>of the provisional agenda</w:t>
      </w:r>
      <w:r w:rsidR="00B2156E" w:rsidRPr="00770E89">
        <w:rPr>
          <w:b w:val="0"/>
          <w:szCs w:val="18"/>
        </w:rPr>
        <w:footnoteReference w:customMarkFollows="1" w:id="2"/>
        <w:t>*</w:t>
      </w:r>
    </w:p>
    <w:p w14:paraId="40898BDA" w14:textId="430F19EC" w:rsidR="003442DB" w:rsidRPr="00770E89" w:rsidRDefault="003B221A" w:rsidP="008E340B">
      <w:pPr>
        <w:pStyle w:val="AATitle2"/>
      </w:pPr>
      <w:r>
        <w:t>Assessing knowledge: s</w:t>
      </w:r>
      <w:r w:rsidR="000C5426" w:rsidRPr="00770E89">
        <w:t xml:space="preserve">coping report </w:t>
      </w:r>
      <w:r w:rsidR="003056F2" w:rsidRPr="00770E89">
        <w:t xml:space="preserve">for a methodological </w:t>
      </w:r>
      <w:r w:rsidR="00593001" w:rsidRPr="00770E89">
        <w:t xml:space="preserve">assessment of the </w:t>
      </w:r>
      <w:r w:rsidR="00843A18" w:rsidRPr="00770E89">
        <w:t xml:space="preserve">impact and </w:t>
      </w:r>
      <w:r w:rsidR="00546C13" w:rsidRPr="00770E89">
        <w:t xml:space="preserve">dependence </w:t>
      </w:r>
      <w:r w:rsidR="00D32B02" w:rsidRPr="00770E89">
        <w:t xml:space="preserve">of business </w:t>
      </w:r>
      <w:r w:rsidR="009D5461" w:rsidRPr="00770E89">
        <w:t xml:space="preserve">on biodiversity </w:t>
      </w:r>
      <w:r w:rsidR="00E534DC" w:rsidRPr="00770E89">
        <w:t xml:space="preserve">and nature’s </w:t>
      </w:r>
      <w:r w:rsidR="00372621" w:rsidRPr="00770E89">
        <w:t xml:space="preserve">contributions </w:t>
      </w:r>
      <w:r w:rsidR="00465886" w:rsidRPr="00770E89">
        <w:t>to people</w:t>
      </w:r>
    </w:p>
    <w:p w14:paraId="77C70ED2" w14:textId="70BEF41D" w:rsidR="00FA1F59" w:rsidRDefault="003D3D59" w:rsidP="007D1C00">
      <w:pPr>
        <w:pStyle w:val="BBTitle"/>
      </w:pPr>
      <w:r w:rsidRPr="007D1C00">
        <w:t>Overview</w:t>
      </w:r>
      <w:r>
        <w:t xml:space="preserve"> </w:t>
      </w:r>
      <w:r w:rsidR="00DE4E73">
        <w:t xml:space="preserve">of the process followed for </w:t>
      </w:r>
      <w:r w:rsidR="00CB44C8">
        <w:t xml:space="preserve">the preparation </w:t>
      </w:r>
      <w:r w:rsidR="00356EC1">
        <w:t xml:space="preserve">of the </w:t>
      </w:r>
      <w:r w:rsidR="0036692B">
        <w:t xml:space="preserve">scoping report </w:t>
      </w:r>
      <w:r w:rsidR="00F50DA2">
        <w:t xml:space="preserve">for the methodological assessment </w:t>
      </w:r>
      <w:r w:rsidR="0020751E">
        <w:t xml:space="preserve">of the impact and </w:t>
      </w:r>
      <w:r w:rsidR="00CA3827">
        <w:t xml:space="preserve">dependence </w:t>
      </w:r>
      <w:r w:rsidR="001F2F1B">
        <w:t xml:space="preserve">of business </w:t>
      </w:r>
      <w:r w:rsidR="00F53E55">
        <w:t xml:space="preserve">on biodiversity </w:t>
      </w:r>
      <w:r w:rsidR="003A1CD0">
        <w:t xml:space="preserve">and nature’s contributions </w:t>
      </w:r>
      <w:r w:rsidR="00E776B8">
        <w:t>to people</w:t>
      </w:r>
    </w:p>
    <w:p w14:paraId="68A7FF5C" w14:textId="6E43DF99" w:rsidR="004A1842" w:rsidRPr="006D490C" w:rsidRDefault="007D1C00" w:rsidP="007D1C00">
      <w:pPr>
        <w:pStyle w:val="CH2"/>
        <w:rPr>
          <w:lang w:eastAsia="ko-KR"/>
        </w:rPr>
      </w:pPr>
      <w:r>
        <w:rPr>
          <w:lang w:eastAsia="ko-KR"/>
        </w:rPr>
        <w:tab/>
      </w:r>
      <w:r>
        <w:rPr>
          <w:lang w:eastAsia="ko-KR"/>
        </w:rPr>
        <w:tab/>
      </w:r>
      <w:r w:rsidR="004A1842" w:rsidRPr="00DB4D05">
        <w:rPr>
          <w:lang w:eastAsia="ko-KR"/>
        </w:rPr>
        <w:t>Note by the secretariat</w:t>
      </w:r>
    </w:p>
    <w:p w14:paraId="16671938" w14:textId="7006196C" w:rsidR="00556D44" w:rsidRPr="002852D7" w:rsidRDefault="00556D44" w:rsidP="002852D7">
      <w:pPr>
        <w:pStyle w:val="Normalnumber"/>
        <w:tabs>
          <w:tab w:val="clear" w:pos="567"/>
        </w:tabs>
        <w:rPr>
          <w:rFonts w:eastAsiaTheme="minorEastAsia"/>
        </w:rPr>
      </w:pPr>
      <w:r w:rsidRPr="002852D7">
        <w:rPr>
          <w:rFonts w:eastAsiaTheme="minorEastAsia"/>
        </w:rPr>
        <w:t xml:space="preserve">In paragraph 4 of section II of decision IPBES-7/1, the Plenary </w:t>
      </w:r>
      <w:r w:rsidR="008C2C14">
        <w:rPr>
          <w:rFonts w:eastAsiaTheme="minorEastAsia"/>
        </w:rPr>
        <w:t xml:space="preserve">of the Intergovernmental Science-Policy Platform on Biodiversity and Ecosystem Services </w:t>
      </w:r>
      <w:r w:rsidR="00BF0332">
        <w:rPr>
          <w:rFonts w:eastAsiaTheme="minorEastAsia"/>
        </w:rPr>
        <w:t xml:space="preserve">(IPBES) </w:t>
      </w:r>
      <w:r w:rsidRPr="002852D7">
        <w:rPr>
          <w:rFonts w:eastAsiaTheme="minorEastAsia"/>
        </w:rPr>
        <w:t xml:space="preserve">approved the scoping process for a </w:t>
      </w:r>
      <w:r w:rsidRPr="002852D7">
        <w:rPr>
          <w:rFonts w:eastAsiaTheme="majorEastAsia"/>
        </w:rPr>
        <w:t>methodological assessment of the impact and dependence of business</w:t>
      </w:r>
      <w:r w:rsidRPr="002852D7">
        <w:rPr>
          <w:rFonts w:eastAsia="Calibri"/>
        </w:rPr>
        <w:t xml:space="preserve"> on biodiversity and nature’s contributions to people (</w:t>
      </w:r>
      <w:r w:rsidR="00DE0258">
        <w:rPr>
          <w:rFonts w:eastAsia="Calibri"/>
        </w:rPr>
        <w:t>referred to as the “</w:t>
      </w:r>
      <w:r w:rsidRPr="002852D7">
        <w:rPr>
          <w:rFonts w:eastAsia="Calibri"/>
        </w:rPr>
        <w:t>business and biodiversity assessment</w:t>
      </w:r>
      <w:r w:rsidR="00DE0258">
        <w:rPr>
          <w:rFonts w:eastAsia="Calibri"/>
        </w:rPr>
        <w:t>”</w:t>
      </w:r>
      <w:r w:rsidRPr="002852D7">
        <w:rPr>
          <w:rFonts w:eastAsia="Calibri"/>
        </w:rPr>
        <w:t>), for consideration by the Plenary at its ninth session, in accordance with the procedures for the preparation of Platform deliverables</w:t>
      </w:r>
      <w:r w:rsidRPr="002852D7">
        <w:rPr>
          <w:rFonts w:eastAsia="Calibri"/>
          <w:vertAlign w:val="superscript"/>
        </w:rPr>
        <w:footnoteReference w:id="3"/>
      </w:r>
      <w:r w:rsidRPr="002852D7">
        <w:rPr>
          <w:rFonts w:eastAsia="Calibri"/>
        </w:rPr>
        <w:t xml:space="preserve"> and based on the initial scoping report for the assessment</w:t>
      </w:r>
      <w:r w:rsidRPr="002852D7">
        <w:rPr>
          <w:rFonts w:eastAsiaTheme="minorEastAsia"/>
        </w:rPr>
        <w:t xml:space="preserve"> set out in section IV of appendix II to </w:t>
      </w:r>
      <w:r w:rsidR="00796A33">
        <w:rPr>
          <w:rFonts w:eastAsiaTheme="minorEastAsia"/>
        </w:rPr>
        <w:t>th</w:t>
      </w:r>
      <w:r w:rsidR="0097791E">
        <w:rPr>
          <w:rFonts w:eastAsiaTheme="minorEastAsia"/>
        </w:rPr>
        <w:t xml:space="preserve">e annex to </w:t>
      </w:r>
      <w:r w:rsidRPr="002852D7">
        <w:rPr>
          <w:rFonts w:eastAsiaTheme="minorEastAsia"/>
        </w:rPr>
        <w:t>document IPBES/7/6</w:t>
      </w:r>
      <w:r w:rsidRPr="002852D7">
        <w:rPr>
          <w:rFonts w:eastAsia="Calibri"/>
        </w:rPr>
        <w:t>, and decided to consider conducting the assessment over a period of two years following a fast-track approach.</w:t>
      </w:r>
      <w:r w:rsidRPr="002852D7">
        <w:rPr>
          <w:rFonts w:eastAsia="Calibri"/>
          <w:vertAlign w:val="superscript"/>
        </w:rPr>
        <w:footnoteReference w:id="4"/>
      </w:r>
    </w:p>
    <w:p w14:paraId="154B24E7" w14:textId="46CAC16E" w:rsidR="0098482E" w:rsidRPr="002852D7" w:rsidRDefault="0098482E" w:rsidP="002852D7">
      <w:pPr>
        <w:pStyle w:val="Normalnumber"/>
        <w:tabs>
          <w:tab w:val="clear" w:pos="567"/>
        </w:tabs>
        <w:rPr>
          <w:rFonts w:eastAsiaTheme="minorEastAsia"/>
        </w:rPr>
      </w:pPr>
      <w:bookmarkStart w:id="0" w:name="_Hlk70878102"/>
      <w:r w:rsidRPr="002852D7">
        <w:rPr>
          <w:rFonts w:eastAsiaTheme="minorEastAsia"/>
        </w:rPr>
        <w:t xml:space="preserve">In response to that decision, the Multidisciplinary Expert Panel, supported by a group of scoping experts, produced the scoping report set out in </w:t>
      </w:r>
      <w:r w:rsidR="0076276A">
        <w:rPr>
          <w:rFonts w:eastAsiaTheme="minorEastAsia"/>
        </w:rPr>
        <w:t xml:space="preserve">the annex to </w:t>
      </w:r>
      <w:r w:rsidRPr="002852D7">
        <w:rPr>
          <w:rFonts w:eastAsiaTheme="minorEastAsia"/>
        </w:rPr>
        <w:t>document IPBES/9/8.</w:t>
      </w:r>
    </w:p>
    <w:p w14:paraId="0C3F4733" w14:textId="13765BC7" w:rsidR="00556D44" w:rsidRPr="0098482E" w:rsidRDefault="00556D44" w:rsidP="002852D7">
      <w:pPr>
        <w:pStyle w:val="Normalnumber"/>
        <w:tabs>
          <w:tab w:val="clear" w:pos="567"/>
        </w:tabs>
        <w:rPr>
          <w:rFonts w:eastAsiaTheme="minorEastAsia"/>
        </w:rPr>
      </w:pPr>
      <w:r w:rsidRPr="002852D7">
        <w:rPr>
          <w:rFonts w:eastAsiaTheme="minorEastAsia"/>
        </w:rPr>
        <w:t xml:space="preserve">The annex to the present note, which is presented without formal editing, </w:t>
      </w:r>
      <w:r w:rsidR="0098482E" w:rsidRPr="002852D7">
        <w:rPr>
          <w:rFonts w:eastAsiaTheme="minorEastAsia"/>
        </w:rPr>
        <w:t>sets out the process followed for the production</w:t>
      </w:r>
      <w:r w:rsidR="0098482E">
        <w:rPr>
          <w:rFonts w:eastAsiaTheme="minorEastAsia"/>
        </w:rPr>
        <w:t xml:space="preserve"> of the scoping report</w:t>
      </w:r>
      <w:r w:rsidRPr="0098482E">
        <w:rPr>
          <w:rFonts w:eastAsiaTheme="minorEastAsia"/>
        </w:rPr>
        <w:t xml:space="preserve"> since </w:t>
      </w:r>
      <w:r w:rsidR="0098482E" w:rsidRPr="0098482E">
        <w:rPr>
          <w:rFonts w:eastAsiaTheme="minorEastAsia"/>
        </w:rPr>
        <w:t>the eighth session of the Plenary</w:t>
      </w:r>
      <w:r w:rsidRPr="0098482E">
        <w:rPr>
          <w:rFonts w:eastAsiaTheme="minorEastAsia"/>
        </w:rPr>
        <w:t>.</w:t>
      </w:r>
      <w:r w:rsidR="0098482E" w:rsidRPr="0098482E">
        <w:rPr>
          <w:rFonts w:eastAsiaTheme="minorEastAsia"/>
        </w:rPr>
        <w:t xml:space="preserve"> </w:t>
      </w:r>
      <w:r w:rsidR="00755E3C">
        <w:rPr>
          <w:rFonts w:eastAsiaTheme="minorEastAsia"/>
        </w:rPr>
        <w:t>I</w:t>
      </w:r>
      <w:r w:rsidRPr="0098482E">
        <w:rPr>
          <w:rFonts w:eastAsiaTheme="minorEastAsia"/>
        </w:rPr>
        <w:t xml:space="preserve">nformation on the scoping process prior to </w:t>
      </w:r>
      <w:r w:rsidR="0098482E">
        <w:rPr>
          <w:rFonts w:eastAsiaTheme="minorEastAsia"/>
        </w:rPr>
        <w:t>the eighth session of the Plenary</w:t>
      </w:r>
      <w:r w:rsidR="00727293">
        <w:rPr>
          <w:rFonts w:eastAsiaTheme="minorEastAsia"/>
        </w:rPr>
        <w:t xml:space="preserve"> </w:t>
      </w:r>
      <w:r w:rsidR="00755E3C">
        <w:rPr>
          <w:rFonts w:eastAsiaTheme="minorEastAsia"/>
        </w:rPr>
        <w:t>is set out in</w:t>
      </w:r>
      <w:r w:rsidRPr="0098482E">
        <w:rPr>
          <w:rFonts w:eastAsiaTheme="minorEastAsia"/>
        </w:rPr>
        <w:t xml:space="preserve"> document IPBES/8/INF/7.</w:t>
      </w:r>
    </w:p>
    <w:bookmarkEnd w:id="0"/>
    <w:p w14:paraId="3F0CE67F" w14:textId="78B021EB" w:rsidR="00556D44" w:rsidRPr="00556D44" w:rsidRDefault="00FA1F59" w:rsidP="00556D44">
      <w:pPr>
        <w:pStyle w:val="ZZAnxheader"/>
        <w:rPr>
          <w:rFonts w:eastAsiaTheme="minorEastAsia"/>
        </w:rPr>
      </w:pPr>
      <w:r>
        <w:br w:type="page"/>
      </w:r>
      <w:r w:rsidR="00556D44" w:rsidRPr="00556D44">
        <w:rPr>
          <w:rFonts w:eastAsiaTheme="minorEastAsia"/>
        </w:rPr>
        <w:lastRenderedPageBreak/>
        <w:t>Annex</w:t>
      </w:r>
      <w:bookmarkStart w:id="1" w:name="_Hlk76459712"/>
      <w:bookmarkStart w:id="2" w:name="_Hlk69114350"/>
      <w:r w:rsidR="007D1C00" w:rsidRPr="004E3F21">
        <w:rPr>
          <w:b w:val="0"/>
          <w:bCs w:val="0"/>
        </w:rPr>
        <w:footnoteReference w:customMarkFollows="1" w:id="5"/>
        <w:t>*</w:t>
      </w:r>
      <w:bookmarkEnd w:id="1"/>
      <w:bookmarkEnd w:id="2"/>
    </w:p>
    <w:p w14:paraId="6CF36B2E" w14:textId="5F322926" w:rsidR="00556D44" w:rsidRDefault="00556D44" w:rsidP="00F5316E">
      <w:pPr>
        <w:pStyle w:val="ZZAnxtitle"/>
        <w:rPr>
          <w:lang w:val="en-US"/>
        </w:rPr>
      </w:pPr>
      <w:r w:rsidRPr="00556D44">
        <w:rPr>
          <w:lang w:val="en-US"/>
        </w:rPr>
        <w:t>Progress in scoping the methodological assessment of the impact and dependence of business on biodiversity and nature’s contributions to people</w:t>
      </w:r>
    </w:p>
    <w:p w14:paraId="04E43204" w14:textId="7AAACE87" w:rsidR="001B0D2C" w:rsidRPr="00C90A6A" w:rsidRDefault="00C90A6A" w:rsidP="007D1C00">
      <w:pPr>
        <w:pStyle w:val="CH1"/>
        <w:rPr>
          <w:lang w:val="en-US"/>
        </w:rPr>
      </w:pPr>
      <w:r>
        <w:rPr>
          <w:lang w:val="en-US"/>
        </w:rPr>
        <w:tab/>
        <w:t>I.</w:t>
      </w:r>
      <w:r>
        <w:rPr>
          <w:lang w:val="en-US"/>
        </w:rPr>
        <w:tab/>
      </w:r>
      <w:r w:rsidR="001B0D2C" w:rsidRPr="00C90A6A">
        <w:rPr>
          <w:lang w:val="en-US"/>
        </w:rPr>
        <w:t>Context</w:t>
      </w:r>
    </w:p>
    <w:p w14:paraId="6AC7DEBE" w14:textId="77777777" w:rsidR="001B0D2C" w:rsidRPr="00712303" w:rsidRDefault="001B0D2C" w:rsidP="00E90B2D">
      <w:pPr>
        <w:pStyle w:val="Normalnumber"/>
        <w:numPr>
          <w:ilvl w:val="0"/>
          <w:numId w:val="31"/>
        </w:numPr>
      </w:pPr>
      <w:r w:rsidRPr="00FE41AD">
        <w:t>In its decision IPBES-7/1</w:t>
      </w:r>
      <w:r w:rsidRPr="00E90B2D">
        <w:t>, the Plenary adopted the rolling work programme of IPBES up to 2030. The work programme includes</w:t>
      </w:r>
      <w:r w:rsidRPr="00712303">
        <w:t xml:space="preserve"> three initial priority topics, including topic 3, measuring business impact and dependence on biodiversity and nature’s contributions to people, described as follows in annex I to decision IPBES-7/1, which sets out the approved work programme up to 2030: </w:t>
      </w:r>
    </w:p>
    <w:p w14:paraId="10B91A82" w14:textId="77777777" w:rsidR="001B0D2C" w:rsidRPr="005D5985" w:rsidRDefault="001B0D2C" w:rsidP="001B0D2C">
      <w:pPr>
        <w:pStyle w:val="Normalnumber"/>
        <w:numPr>
          <w:ilvl w:val="0"/>
          <w:numId w:val="0"/>
        </w:numPr>
        <w:tabs>
          <w:tab w:val="left" w:pos="1276"/>
        </w:tabs>
        <w:ind w:left="1814"/>
        <w:rPr>
          <w:i/>
          <w:iCs/>
        </w:rPr>
      </w:pPr>
      <w:r w:rsidRPr="00E75801">
        <w:rPr>
          <w:i/>
          <w:iCs/>
        </w:rPr>
        <w:t>Measuring business impact and dependence on biodiversity and nature’s contributions to people</w:t>
      </w:r>
      <w:r>
        <w:t xml:space="preserve">: </w:t>
      </w:r>
      <w:r w:rsidRPr="00E75801">
        <w:t>Appropriate tools for measuring, assessing and monitoring the dependence and impact of the business sector on biodiversity are important for reducing adverse effects. Such tools are also important for promoting business actions contributing to the conservation, restoration and sustainable use of biodiversity and to developing the business case for long-term sustainability. They are also important for promoting public accountability, informing regulatory agencies and guiding financial investments and in influencing consumer behaviour. Deliverables under this topic include categorization of the ways in which businesses depend on, and impact, biodiversity and nature’s contributions to people, and work related to criteria and indicators for measuring this dependence and impact, taking into consideration how such metrics can be integrated into other aspects of sustainability.</w:t>
      </w:r>
    </w:p>
    <w:p w14:paraId="283AADE4" w14:textId="07BB02C7" w:rsidR="001B0D2C" w:rsidRPr="005D5985" w:rsidRDefault="001B0D2C" w:rsidP="00712303">
      <w:pPr>
        <w:pStyle w:val="Normalnumber"/>
        <w:tabs>
          <w:tab w:val="clear" w:pos="567"/>
        </w:tabs>
      </w:pPr>
      <w:r>
        <w:t>In the same decision, the Plenary approved the scoping process for</w:t>
      </w:r>
      <w:r w:rsidR="00D96C92">
        <w:t xml:space="preserve"> the</w:t>
      </w:r>
      <w:r>
        <w:t xml:space="preserve"> </w:t>
      </w:r>
      <w:r w:rsidRPr="00E75801">
        <w:t xml:space="preserve">business </w:t>
      </w:r>
      <w:r w:rsidR="00D96C92">
        <w:t>and</w:t>
      </w:r>
      <w:r w:rsidRPr="00E75801">
        <w:t xml:space="preserve"> biodiversity </w:t>
      </w:r>
      <w:r w:rsidR="00D96C92">
        <w:t>assessment</w:t>
      </w:r>
      <w:r w:rsidRPr="00E75801">
        <w:t>.</w:t>
      </w:r>
      <w:r w:rsidRPr="005D5985">
        <w:rPr>
          <w:i/>
          <w:iCs/>
        </w:rPr>
        <w:t xml:space="preserve"> </w:t>
      </w:r>
    </w:p>
    <w:p w14:paraId="24480A0F" w14:textId="59D71DBF" w:rsidR="00B473B0" w:rsidRPr="00C90A6A" w:rsidRDefault="00C90A6A" w:rsidP="007D1C00">
      <w:pPr>
        <w:pStyle w:val="CH1"/>
        <w:rPr>
          <w:rFonts w:eastAsiaTheme="minorEastAsia"/>
          <w:b w:val="0"/>
          <w:bCs/>
          <w:szCs w:val="26"/>
          <w:lang w:val="en-US"/>
        </w:rPr>
      </w:pPr>
      <w:r>
        <w:rPr>
          <w:rFonts w:eastAsiaTheme="minorEastAsia"/>
          <w:bCs/>
          <w:szCs w:val="26"/>
          <w:lang w:val="en-US"/>
        </w:rPr>
        <w:tab/>
        <w:t>II.</w:t>
      </w:r>
      <w:r>
        <w:rPr>
          <w:rFonts w:eastAsiaTheme="minorEastAsia"/>
          <w:bCs/>
          <w:szCs w:val="26"/>
          <w:lang w:val="en-US"/>
        </w:rPr>
        <w:tab/>
      </w:r>
      <w:r w:rsidR="00B473B0" w:rsidRPr="007D1C00">
        <w:rPr>
          <w:lang w:val="en-US"/>
        </w:rPr>
        <w:t>Process</w:t>
      </w:r>
      <w:r w:rsidR="00B473B0" w:rsidRPr="00C90A6A">
        <w:rPr>
          <w:rFonts w:eastAsiaTheme="minorEastAsia"/>
          <w:bCs/>
          <w:szCs w:val="26"/>
          <w:lang w:val="en-US"/>
        </w:rPr>
        <w:t xml:space="preserve"> following the online scoping meeting</w:t>
      </w:r>
    </w:p>
    <w:p w14:paraId="50D4A1B1" w14:textId="502A1F51" w:rsidR="00B473B0" w:rsidRDefault="00B473B0" w:rsidP="00712303">
      <w:pPr>
        <w:pStyle w:val="Normalnumber"/>
        <w:tabs>
          <w:tab w:val="clear" w:pos="567"/>
        </w:tabs>
        <w:rPr>
          <w:lang w:eastAsia="en-GB"/>
        </w:rPr>
      </w:pPr>
      <w:r>
        <w:t>Following</w:t>
      </w:r>
      <w:r>
        <w:rPr>
          <w:lang w:eastAsia="en-GB"/>
        </w:rPr>
        <w:t xml:space="preserve"> the online scoping meeting,</w:t>
      </w:r>
      <w:r w:rsidR="00E07353">
        <w:rPr>
          <w:lang w:eastAsia="en-GB"/>
        </w:rPr>
        <w:t xml:space="preserve"> held</w:t>
      </w:r>
      <w:r w:rsidR="00E07353" w:rsidRPr="00E07353">
        <w:rPr>
          <w:lang w:eastAsia="en-GB"/>
        </w:rPr>
        <w:t xml:space="preserve"> online from 26 to 30 April 2021</w:t>
      </w:r>
      <w:r w:rsidR="00E07353">
        <w:rPr>
          <w:lang w:eastAsia="en-GB"/>
        </w:rPr>
        <w:t>,</w:t>
      </w:r>
      <w:r>
        <w:rPr>
          <w:lang w:eastAsia="en-GB"/>
        </w:rPr>
        <w:t xml:space="preserve"> a draft of the scoping report was prepared by experts </w:t>
      </w:r>
      <w:r w:rsidR="004A1842">
        <w:rPr>
          <w:lang w:eastAsia="en-GB"/>
        </w:rPr>
        <w:t xml:space="preserve">in </w:t>
      </w:r>
      <w:r w:rsidR="00E07353">
        <w:rPr>
          <w:lang w:eastAsia="en-GB"/>
        </w:rPr>
        <w:t>the period until</w:t>
      </w:r>
      <w:r>
        <w:rPr>
          <w:lang w:eastAsia="en-GB"/>
        </w:rPr>
        <w:t xml:space="preserve"> August 2021</w:t>
      </w:r>
      <w:r w:rsidR="00E07353">
        <w:rPr>
          <w:lang w:eastAsia="en-GB"/>
        </w:rPr>
        <w:t xml:space="preserve"> </w:t>
      </w:r>
      <w:r>
        <w:rPr>
          <w:lang w:eastAsia="en-GB"/>
        </w:rPr>
        <w:t xml:space="preserve">and reviewed by the management committee. </w:t>
      </w:r>
    </w:p>
    <w:p w14:paraId="6211E157" w14:textId="217D0EA4" w:rsidR="00B473B0" w:rsidRDefault="00B473B0" w:rsidP="00712303">
      <w:pPr>
        <w:pStyle w:val="Normalnumber"/>
        <w:tabs>
          <w:tab w:val="clear" w:pos="567"/>
        </w:tabs>
        <w:rPr>
          <w:lang w:eastAsia="en-GB"/>
        </w:rPr>
      </w:pPr>
      <w:r>
        <w:t>The</w:t>
      </w:r>
      <w:r>
        <w:rPr>
          <w:lang w:eastAsia="en-GB"/>
        </w:rPr>
        <w:t xml:space="preserve"> draft scoping report followed the recommendations summarized in IPBES/9/8 based on a review of scoping reports of earlier IPBES assessments and scoping reports prepared under the I</w:t>
      </w:r>
      <w:r w:rsidR="00E07353">
        <w:rPr>
          <w:lang w:eastAsia="en-GB"/>
        </w:rPr>
        <w:t xml:space="preserve">ntergovernmental </w:t>
      </w:r>
      <w:r>
        <w:rPr>
          <w:lang w:eastAsia="en-GB"/>
        </w:rPr>
        <w:t>P</w:t>
      </w:r>
      <w:r w:rsidR="00E07353">
        <w:rPr>
          <w:lang w:eastAsia="en-GB"/>
        </w:rPr>
        <w:t xml:space="preserve">anel on </w:t>
      </w:r>
      <w:r>
        <w:rPr>
          <w:lang w:eastAsia="en-GB"/>
        </w:rPr>
        <w:t>C</w:t>
      </w:r>
      <w:r w:rsidR="00E07353">
        <w:rPr>
          <w:lang w:eastAsia="en-GB"/>
        </w:rPr>
        <w:t xml:space="preserve">limate </w:t>
      </w:r>
      <w:r>
        <w:rPr>
          <w:lang w:eastAsia="en-GB"/>
        </w:rPr>
        <w:t>C</w:t>
      </w:r>
      <w:r w:rsidR="00E07353">
        <w:rPr>
          <w:lang w:eastAsia="en-GB"/>
        </w:rPr>
        <w:t>hange</w:t>
      </w:r>
      <w:r>
        <w:rPr>
          <w:lang w:eastAsia="en-GB"/>
        </w:rPr>
        <w:t>.</w:t>
      </w:r>
    </w:p>
    <w:p w14:paraId="435EB087" w14:textId="0F7ACF44" w:rsidR="005F5EEF" w:rsidRPr="00C90A6A" w:rsidRDefault="00C90A6A" w:rsidP="007D1C00">
      <w:pPr>
        <w:pStyle w:val="CH1"/>
        <w:rPr>
          <w:rFonts w:eastAsiaTheme="minorEastAsia"/>
          <w:b w:val="0"/>
          <w:bCs/>
          <w:szCs w:val="26"/>
          <w:lang w:val="en-US"/>
        </w:rPr>
      </w:pPr>
      <w:r>
        <w:rPr>
          <w:rFonts w:eastAsiaTheme="minorEastAsia"/>
          <w:bCs/>
          <w:szCs w:val="26"/>
          <w:lang w:val="en-US"/>
        </w:rPr>
        <w:tab/>
        <w:t>III.</w:t>
      </w:r>
      <w:r>
        <w:rPr>
          <w:rFonts w:eastAsiaTheme="minorEastAsia"/>
          <w:bCs/>
          <w:szCs w:val="26"/>
          <w:lang w:val="en-US"/>
        </w:rPr>
        <w:tab/>
      </w:r>
      <w:r w:rsidR="001B0D2C" w:rsidRPr="007D1C00">
        <w:rPr>
          <w:lang w:val="en-US"/>
        </w:rPr>
        <w:t>External</w:t>
      </w:r>
      <w:r w:rsidR="001B0D2C" w:rsidRPr="00C90A6A">
        <w:rPr>
          <w:rFonts w:eastAsiaTheme="minorEastAsia"/>
          <w:bCs/>
          <w:szCs w:val="26"/>
          <w:lang w:val="en-US"/>
        </w:rPr>
        <w:t xml:space="preserve"> review by Governments and </w:t>
      </w:r>
      <w:r w:rsidR="00E07353">
        <w:rPr>
          <w:rFonts w:eastAsiaTheme="minorEastAsia"/>
          <w:bCs/>
          <w:szCs w:val="26"/>
          <w:lang w:val="en-US"/>
        </w:rPr>
        <w:t>experts</w:t>
      </w:r>
    </w:p>
    <w:p w14:paraId="39294D43" w14:textId="244E1E19" w:rsidR="001B0D2C" w:rsidRDefault="001B0D2C" w:rsidP="00712303">
      <w:pPr>
        <w:pStyle w:val="Normalnumber"/>
        <w:tabs>
          <w:tab w:val="clear" w:pos="567"/>
        </w:tabs>
        <w:rPr>
          <w:lang w:eastAsia="en-GB"/>
        </w:rPr>
      </w:pPr>
      <w:r>
        <w:rPr>
          <w:lang w:eastAsia="en-GB"/>
        </w:rPr>
        <w:t>The draft scoping report</w:t>
      </w:r>
      <w:r w:rsidR="00130EAF">
        <w:rPr>
          <w:lang w:eastAsia="en-GB"/>
        </w:rPr>
        <w:t xml:space="preserve"> </w:t>
      </w:r>
      <w:r>
        <w:rPr>
          <w:lang w:eastAsia="en-GB"/>
        </w:rPr>
        <w:t>was available for external review for a period of six weeks, from 1</w:t>
      </w:r>
      <w:r w:rsidR="004B627B">
        <w:rPr>
          <w:lang w:eastAsia="en-GB"/>
        </w:rPr>
        <w:t> </w:t>
      </w:r>
      <w:r>
        <w:rPr>
          <w:lang w:eastAsia="en-GB"/>
        </w:rPr>
        <w:t>November to 12 December 2021</w:t>
      </w:r>
      <w:r w:rsidR="00873198">
        <w:rPr>
          <w:lang w:eastAsia="en-GB"/>
        </w:rPr>
        <w:t>.</w:t>
      </w:r>
    </w:p>
    <w:p w14:paraId="1A46C35E" w14:textId="24540D12" w:rsidR="00873198" w:rsidRDefault="001B0D2C" w:rsidP="00712303">
      <w:pPr>
        <w:pStyle w:val="Normalnumber"/>
        <w:tabs>
          <w:tab w:val="clear" w:pos="567"/>
        </w:tabs>
        <w:rPr>
          <w:lang w:eastAsia="en-GB"/>
        </w:rPr>
      </w:pPr>
      <w:r>
        <w:rPr>
          <w:lang w:eastAsia="en-GB"/>
        </w:rPr>
        <w:t xml:space="preserve">An online dialogue meeting with national focal points was held on 16 and 18 November 2021 in support of the external review. </w:t>
      </w:r>
    </w:p>
    <w:p w14:paraId="2C20ECC3" w14:textId="356C9AA1" w:rsidR="001B0D2C" w:rsidRDefault="001B0D2C" w:rsidP="00712303">
      <w:pPr>
        <w:pStyle w:val="Normalnumber"/>
        <w:tabs>
          <w:tab w:val="clear" w:pos="567"/>
        </w:tabs>
        <w:rPr>
          <w:lang w:eastAsia="en-GB"/>
        </w:rPr>
      </w:pPr>
      <w:r>
        <w:rPr>
          <w:lang w:eastAsia="en-GB"/>
        </w:rPr>
        <w:t>To further strengthen their participation in the review, a webinar for stakeholders was held on 18 November 2021. As part of the implementation of the IPBES approach to recognizing and working with indigenous and local knowledge in IPBES for the scoping process, an online indigenous and local knowledge dialogue with experts on indigenous and local knowledge and representatives of indigenous peoples and local communities was held on 22 November 2021.</w:t>
      </w:r>
    </w:p>
    <w:p w14:paraId="0627BC40" w14:textId="01DD7346" w:rsidR="001B0D2C" w:rsidRDefault="004A1842" w:rsidP="00712303">
      <w:pPr>
        <w:pStyle w:val="Normalnumber"/>
        <w:tabs>
          <w:tab w:val="clear" w:pos="567"/>
        </w:tabs>
        <w:rPr>
          <w:lang w:eastAsia="en-GB"/>
        </w:rPr>
      </w:pPr>
      <w:r>
        <w:rPr>
          <w:lang w:eastAsia="en-GB"/>
        </w:rPr>
        <w:t>The main i</w:t>
      </w:r>
      <w:r w:rsidR="001B0D2C">
        <w:rPr>
          <w:lang w:eastAsia="en-GB"/>
        </w:rPr>
        <w:t xml:space="preserve">ssues </w:t>
      </w:r>
      <w:r w:rsidR="00E31809">
        <w:rPr>
          <w:lang w:eastAsia="en-GB"/>
        </w:rPr>
        <w:t>raised</w:t>
      </w:r>
      <w:r>
        <w:rPr>
          <w:lang w:eastAsia="en-GB"/>
        </w:rPr>
        <w:t xml:space="preserve"> in </w:t>
      </w:r>
      <w:r w:rsidR="001B0D2C">
        <w:rPr>
          <w:lang w:eastAsia="en-GB"/>
        </w:rPr>
        <w:t xml:space="preserve">the </w:t>
      </w:r>
      <w:r w:rsidR="00E31809">
        <w:rPr>
          <w:lang w:eastAsia="en-GB"/>
        </w:rPr>
        <w:t xml:space="preserve">comments received, and addressed in the revised version of the scoping report, following the external review, </w:t>
      </w:r>
      <w:r w:rsidR="001B0D2C">
        <w:rPr>
          <w:lang w:eastAsia="en-GB"/>
        </w:rPr>
        <w:t>included the following:</w:t>
      </w:r>
    </w:p>
    <w:p w14:paraId="3D6DA633" w14:textId="475A33B6" w:rsidR="001B0D2C" w:rsidRDefault="001B0D2C" w:rsidP="004B627B">
      <w:pPr>
        <w:pStyle w:val="Normalnumber"/>
        <w:numPr>
          <w:ilvl w:val="1"/>
          <w:numId w:val="6"/>
        </w:numPr>
        <w:tabs>
          <w:tab w:val="clear" w:pos="567"/>
        </w:tabs>
        <w:ind w:firstLine="624"/>
        <w:rPr>
          <w:lang w:eastAsia="en-GB"/>
        </w:rPr>
      </w:pPr>
      <w:r>
        <w:rPr>
          <w:lang w:eastAsia="en-GB"/>
        </w:rPr>
        <w:t>Strengthen</w:t>
      </w:r>
      <w:r w:rsidR="007354A3">
        <w:rPr>
          <w:lang w:eastAsia="en-GB"/>
        </w:rPr>
        <w:t>ing the</w:t>
      </w:r>
      <w:r>
        <w:rPr>
          <w:lang w:eastAsia="en-GB"/>
        </w:rPr>
        <w:t xml:space="preserve"> rationale for the assessment;</w:t>
      </w:r>
    </w:p>
    <w:p w14:paraId="328DC48A" w14:textId="71304D15" w:rsidR="001B0D2C" w:rsidRDefault="001B0D2C" w:rsidP="004B627B">
      <w:pPr>
        <w:pStyle w:val="Normalnumber"/>
        <w:numPr>
          <w:ilvl w:val="1"/>
          <w:numId w:val="6"/>
        </w:numPr>
        <w:tabs>
          <w:tab w:val="clear" w:pos="567"/>
        </w:tabs>
        <w:ind w:firstLine="624"/>
        <w:rPr>
          <w:lang w:eastAsia="en-GB"/>
        </w:rPr>
      </w:pPr>
      <w:r>
        <w:rPr>
          <w:lang w:eastAsia="en-GB"/>
        </w:rPr>
        <w:t>Defin</w:t>
      </w:r>
      <w:r w:rsidR="007354A3">
        <w:rPr>
          <w:lang w:eastAsia="en-GB"/>
        </w:rPr>
        <w:t>ing</w:t>
      </w:r>
      <w:r>
        <w:rPr>
          <w:lang w:eastAsia="en-GB"/>
        </w:rPr>
        <w:t xml:space="preserve"> more clearly the intended audiences of the assessment;</w:t>
      </w:r>
    </w:p>
    <w:p w14:paraId="03B9A160" w14:textId="1ED1A325" w:rsidR="001B0D2C" w:rsidRDefault="001B0D2C" w:rsidP="004B627B">
      <w:pPr>
        <w:pStyle w:val="Normalnumber"/>
        <w:numPr>
          <w:ilvl w:val="1"/>
          <w:numId w:val="6"/>
        </w:numPr>
        <w:tabs>
          <w:tab w:val="clear" w:pos="567"/>
        </w:tabs>
        <w:ind w:firstLine="624"/>
        <w:rPr>
          <w:lang w:eastAsia="en-GB"/>
        </w:rPr>
      </w:pPr>
      <w:r>
        <w:rPr>
          <w:lang w:eastAsia="en-GB"/>
        </w:rPr>
        <w:t>Focus</w:t>
      </w:r>
      <w:r w:rsidR="007354A3">
        <w:rPr>
          <w:lang w:eastAsia="en-GB"/>
        </w:rPr>
        <w:t>sing</w:t>
      </w:r>
      <w:r w:rsidDel="00FD218D">
        <w:rPr>
          <w:lang w:eastAsia="en-GB"/>
        </w:rPr>
        <w:t xml:space="preserve"> </w:t>
      </w:r>
      <w:r>
        <w:rPr>
          <w:lang w:eastAsia="en-GB"/>
        </w:rPr>
        <w:t xml:space="preserve">more on the practical </w:t>
      </w:r>
      <w:r w:rsidR="007354A3">
        <w:rPr>
          <w:lang w:eastAsia="en-GB"/>
        </w:rPr>
        <w:t xml:space="preserve">relevance </w:t>
      </w:r>
      <w:r>
        <w:rPr>
          <w:lang w:eastAsia="en-GB"/>
        </w:rPr>
        <w:t xml:space="preserve">of the assessment for the business sector; </w:t>
      </w:r>
    </w:p>
    <w:p w14:paraId="03709F0B" w14:textId="27EFCE55" w:rsidR="001B0D2C" w:rsidRDefault="007354A3" w:rsidP="004B627B">
      <w:pPr>
        <w:pStyle w:val="Normalnumber"/>
        <w:numPr>
          <w:ilvl w:val="1"/>
          <w:numId w:val="6"/>
        </w:numPr>
        <w:tabs>
          <w:tab w:val="clear" w:pos="567"/>
        </w:tabs>
        <w:ind w:firstLine="624"/>
        <w:rPr>
          <w:lang w:eastAsia="en-GB"/>
        </w:rPr>
      </w:pPr>
      <w:r>
        <w:rPr>
          <w:lang w:eastAsia="en-GB"/>
        </w:rPr>
        <w:t>Clarifying</w:t>
      </w:r>
      <w:r w:rsidR="001B0D2C">
        <w:rPr>
          <w:lang w:eastAsia="en-GB"/>
        </w:rPr>
        <w:t xml:space="preserve"> that cases studies will be included</w:t>
      </w:r>
      <w:r>
        <w:rPr>
          <w:lang w:eastAsia="en-GB"/>
        </w:rPr>
        <w:t xml:space="preserve"> in the assessment</w:t>
      </w:r>
      <w:r w:rsidR="001B0D2C">
        <w:rPr>
          <w:lang w:eastAsia="en-GB"/>
        </w:rPr>
        <w:t>;</w:t>
      </w:r>
    </w:p>
    <w:p w14:paraId="12922132" w14:textId="6C7669FA" w:rsidR="001B0D2C" w:rsidRDefault="001B0D2C" w:rsidP="004B627B">
      <w:pPr>
        <w:pStyle w:val="Normalnumber"/>
        <w:numPr>
          <w:ilvl w:val="1"/>
          <w:numId w:val="6"/>
        </w:numPr>
        <w:tabs>
          <w:tab w:val="clear" w:pos="567"/>
        </w:tabs>
        <w:ind w:firstLine="624"/>
        <w:rPr>
          <w:lang w:eastAsia="en-GB"/>
        </w:rPr>
      </w:pPr>
      <w:r>
        <w:rPr>
          <w:lang w:eastAsia="en-GB"/>
        </w:rPr>
        <w:lastRenderedPageBreak/>
        <w:t>Clarify</w:t>
      </w:r>
      <w:r w:rsidR="007354A3">
        <w:rPr>
          <w:lang w:eastAsia="en-GB"/>
        </w:rPr>
        <w:t>ing that</w:t>
      </w:r>
      <w:r>
        <w:rPr>
          <w:lang w:eastAsia="en-GB"/>
        </w:rPr>
        <w:t xml:space="preserve"> scenarios</w:t>
      </w:r>
      <w:r w:rsidR="009A5AD5">
        <w:rPr>
          <w:lang w:eastAsia="en-GB"/>
        </w:rPr>
        <w:t xml:space="preserve"> for assessing business impacts</w:t>
      </w:r>
      <w:r>
        <w:rPr>
          <w:lang w:eastAsia="en-GB"/>
        </w:rPr>
        <w:t xml:space="preserve"> will be </w:t>
      </w:r>
      <w:r w:rsidR="009A5AD5">
        <w:rPr>
          <w:lang w:eastAsia="en-GB"/>
        </w:rPr>
        <w:t>described</w:t>
      </w:r>
      <w:r>
        <w:rPr>
          <w:lang w:eastAsia="en-GB"/>
        </w:rPr>
        <w:t xml:space="preserve"> in the assessment;</w:t>
      </w:r>
    </w:p>
    <w:p w14:paraId="0B10377C" w14:textId="7F4355AB" w:rsidR="001B0D2C" w:rsidRDefault="001B0D2C" w:rsidP="004B627B">
      <w:pPr>
        <w:pStyle w:val="Normalnumber"/>
        <w:numPr>
          <w:ilvl w:val="1"/>
          <w:numId w:val="6"/>
        </w:numPr>
        <w:tabs>
          <w:tab w:val="clear" w:pos="567"/>
        </w:tabs>
        <w:ind w:firstLine="624"/>
        <w:rPr>
          <w:lang w:eastAsia="en-GB"/>
        </w:rPr>
      </w:pPr>
      <w:r>
        <w:rPr>
          <w:lang w:eastAsia="en-GB"/>
        </w:rPr>
        <w:t>Incorporat</w:t>
      </w:r>
      <w:r w:rsidR="007354A3">
        <w:rPr>
          <w:lang w:eastAsia="en-GB"/>
        </w:rPr>
        <w:t>ing</w:t>
      </w:r>
      <w:r>
        <w:rPr>
          <w:lang w:eastAsia="en-GB"/>
        </w:rPr>
        <w:t xml:space="preserve"> climate change more prominently as an important driver;</w:t>
      </w:r>
    </w:p>
    <w:p w14:paraId="082D4BFE" w14:textId="14E4AD40" w:rsidR="001B0D2C" w:rsidRDefault="009A3BB2" w:rsidP="004B627B">
      <w:pPr>
        <w:pStyle w:val="Normalnumber"/>
        <w:numPr>
          <w:ilvl w:val="1"/>
          <w:numId w:val="6"/>
        </w:numPr>
        <w:tabs>
          <w:tab w:val="clear" w:pos="567"/>
        </w:tabs>
        <w:ind w:firstLine="624"/>
        <w:rPr>
          <w:lang w:eastAsia="en-GB"/>
        </w:rPr>
      </w:pPr>
      <w:r>
        <w:rPr>
          <w:lang w:eastAsia="en-GB"/>
        </w:rPr>
        <w:t>Clarifying</w:t>
      </w:r>
      <w:r w:rsidR="001B0D2C">
        <w:rPr>
          <w:lang w:eastAsia="en-GB"/>
        </w:rPr>
        <w:t xml:space="preserve"> that the assessment should build on or use existing typologies and follow existing business definitions and groupings;</w:t>
      </w:r>
    </w:p>
    <w:p w14:paraId="4CC90EBD" w14:textId="4C1EDB7B" w:rsidR="001B0D2C" w:rsidRDefault="009A3BB2" w:rsidP="004B627B">
      <w:pPr>
        <w:pStyle w:val="Normalnumber"/>
        <w:numPr>
          <w:ilvl w:val="1"/>
          <w:numId w:val="6"/>
        </w:numPr>
        <w:tabs>
          <w:tab w:val="clear" w:pos="567"/>
        </w:tabs>
        <w:ind w:firstLine="624"/>
        <w:rPr>
          <w:lang w:eastAsia="en-GB"/>
        </w:rPr>
      </w:pPr>
      <w:r>
        <w:rPr>
          <w:lang w:eastAsia="en-GB"/>
        </w:rPr>
        <w:t>Clarifying</w:t>
      </w:r>
      <w:r w:rsidR="001B0D2C">
        <w:rPr>
          <w:lang w:eastAsia="en-GB"/>
        </w:rPr>
        <w:t xml:space="preserve"> that the assessment will include a </w:t>
      </w:r>
      <w:r>
        <w:rPr>
          <w:lang w:eastAsia="en-GB"/>
        </w:rPr>
        <w:t xml:space="preserve">variety </w:t>
      </w:r>
      <w:r w:rsidR="001B0D2C">
        <w:rPr>
          <w:lang w:eastAsia="en-GB"/>
        </w:rPr>
        <w:t xml:space="preserve">of businesses, including </w:t>
      </w:r>
      <w:r>
        <w:rPr>
          <w:lang w:eastAsia="en-GB"/>
        </w:rPr>
        <w:t>businesses of different</w:t>
      </w:r>
      <w:r w:rsidR="001B0D2C">
        <w:rPr>
          <w:lang w:eastAsia="en-GB"/>
        </w:rPr>
        <w:t xml:space="preserve"> size, scale, and governance structure;</w:t>
      </w:r>
    </w:p>
    <w:p w14:paraId="58473CBB" w14:textId="3792A5B5" w:rsidR="001B0D2C" w:rsidRDefault="001B0D2C" w:rsidP="004B627B">
      <w:pPr>
        <w:pStyle w:val="Normalnumber"/>
        <w:numPr>
          <w:ilvl w:val="1"/>
          <w:numId w:val="6"/>
        </w:numPr>
        <w:tabs>
          <w:tab w:val="clear" w:pos="567"/>
        </w:tabs>
        <w:ind w:firstLine="624"/>
        <w:rPr>
          <w:lang w:eastAsia="en-GB"/>
        </w:rPr>
      </w:pPr>
      <w:r>
        <w:rPr>
          <w:lang w:eastAsia="en-GB"/>
        </w:rPr>
        <w:t>Clarify</w:t>
      </w:r>
      <w:r w:rsidR="009A3BB2">
        <w:rPr>
          <w:lang w:eastAsia="en-GB"/>
        </w:rPr>
        <w:t>ing</w:t>
      </w:r>
      <w:r>
        <w:rPr>
          <w:lang w:eastAsia="en-GB"/>
        </w:rPr>
        <w:t xml:space="preserve"> why the financial system is considered in a chapter (chapter 6)</w:t>
      </w:r>
      <w:r w:rsidR="009A3BB2">
        <w:rPr>
          <w:lang w:eastAsia="en-GB"/>
        </w:rPr>
        <w:t xml:space="preserve"> </w:t>
      </w:r>
      <w:r>
        <w:rPr>
          <w:lang w:eastAsia="en-GB"/>
        </w:rPr>
        <w:t xml:space="preserve">separate from business (chapter 5); </w:t>
      </w:r>
    </w:p>
    <w:p w14:paraId="3FF1A421" w14:textId="29AFE2B8" w:rsidR="001B0D2C" w:rsidRDefault="001B0D2C" w:rsidP="004B627B">
      <w:pPr>
        <w:pStyle w:val="Normalnumber"/>
        <w:numPr>
          <w:ilvl w:val="1"/>
          <w:numId w:val="6"/>
        </w:numPr>
        <w:tabs>
          <w:tab w:val="clear" w:pos="567"/>
        </w:tabs>
        <w:ind w:firstLine="624"/>
        <w:rPr>
          <w:lang w:eastAsia="en-GB"/>
        </w:rPr>
      </w:pPr>
      <w:r>
        <w:rPr>
          <w:lang w:eastAsia="en-GB"/>
        </w:rPr>
        <w:t>Includ</w:t>
      </w:r>
      <w:r w:rsidR="009A3BB2">
        <w:rPr>
          <w:lang w:eastAsia="en-GB"/>
        </w:rPr>
        <w:t>ing</w:t>
      </w:r>
      <w:r>
        <w:rPr>
          <w:lang w:eastAsia="en-GB"/>
        </w:rPr>
        <w:t xml:space="preserve"> trade, where relevant;</w:t>
      </w:r>
    </w:p>
    <w:p w14:paraId="343269CB" w14:textId="15C80378" w:rsidR="001B0D2C" w:rsidRDefault="001B0D2C" w:rsidP="004B627B">
      <w:pPr>
        <w:pStyle w:val="Normalnumber"/>
        <w:numPr>
          <w:ilvl w:val="1"/>
          <w:numId w:val="6"/>
        </w:numPr>
        <w:tabs>
          <w:tab w:val="clear" w:pos="567"/>
        </w:tabs>
        <w:ind w:firstLine="624"/>
        <w:rPr>
          <w:lang w:eastAsia="en-GB"/>
        </w:rPr>
      </w:pPr>
      <w:r>
        <w:rPr>
          <w:lang w:eastAsia="en-GB"/>
        </w:rPr>
        <w:t xml:space="preserve">Better </w:t>
      </w:r>
      <w:r w:rsidR="009A3BB2">
        <w:rPr>
          <w:lang w:eastAsia="en-GB"/>
        </w:rPr>
        <w:t>reflecting the role of</w:t>
      </w:r>
      <w:r>
        <w:rPr>
          <w:lang w:eastAsia="en-GB"/>
        </w:rPr>
        <w:t xml:space="preserve"> indigenous and local knowledge and indigenous peoples and local communities</w:t>
      </w:r>
      <w:r w:rsidR="009A3BB2">
        <w:rPr>
          <w:lang w:eastAsia="en-GB"/>
        </w:rPr>
        <w:t>’</w:t>
      </w:r>
      <w:r>
        <w:rPr>
          <w:lang w:eastAsia="en-GB"/>
        </w:rPr>
        <w:t xml:space="preserve"> methodologies and concepts;</w:t>
      </w:r>
    </w:p>
    <w:p w14:paraId="0D11687E" w14:textId="2D828BF7" w:rsidR="001B0D2C" w:rsidRDefault="001B0D2C" w:rsidP="00712303">
      <w:pPr>
        <w:pStyle w:val="Normalnumber"/>
        <w:tabs>
          <w:tab w:val="clear" w:pos="567"/>
        </w:tabs>
        <w:rPr>
          <w:lang w:eastAsia="en-GB"/>
        </w:rPr>
      </w:pPr>
      <w:r>
        <w:rPr>
          <w:lang w:eastAsia="en-GB"/>
        </w:rPr>
        <w:t xml:space="preserve">In </w:t>
      </w:r>
      <w:r>
        <w:t>addition</w:t>
      </w:r>
      <w:r>
        <w:rPr>
          <w:lang w:eastAsia="en-GB"/>
        </w:rPr>
        <w:t xml:space="preserve"> to </w:t>
      </w:r>
      <w:r w:rsidR="00E31809">
        <w:rPr>
          <w:lang w:eastAsia="en-GB"/>
        </w:rPr>
        <w:t xml:space="preserve">the above </w:t>
      </w:r>
      <w:r>
        <w:rPr>
          <w:lang w:eastAsia="en-GB"/>
        </w:rPr>
        <w:t>issues</w:t>
      </w:r>
      <w:r w:rsidR="00E31809">
        <w:rPr>
          <w:lang w:eastAsia="en-GB"/>
        </w:rPr>
        <w:t>,</w:t>
      </w:r>
      <w:r>
        <w:rPr>
          <w:lang w:eastAsia="en-GB"/>
        </w:rPr>
        <w:t xml:space="preserve"> comments </w:t>
      </w:r>
      <w:r w:rsidR="00E31809">
        <w:rPr>
          <w:lang w:eastAsia="en-GB"/>
        </w:rPr>
        <w:t xml:space="preserve">also </w:t>
      </w:r>
      <w:r>
        <w:rPr>
          <w:lang w:eastAsia="en-GB"/>
        </w:rPr>
        <w:t xml:space="preserve">provided </w:t>
      </w:r>
      <w:r w:rsidR="00E31809">
        <w:rPr>
          <w:lang w:eastAsia="en-GB"/>
        </w:rPr>
        <w:t xml:space="preserve">suggestions for </w:t>
      </w:r>
      <w:r>
        <w:rPr>
          <w:lang w:eastAsia="en-GB"/>
        </w:rPr>
        <w:t xml:space="preserve">literature </w:t>
      </w:r>
      <w:r w:rsidR="009A3BB2">
        <w:rPr>
          <w:lang w:eastAsia="en-GB"/>
        </w:rPr>
        <w:t xml:space="preserve">and case study </w:t>
      </w:r>
      <w:r w:rsidR="00E31809">
        <w:rPr>
          <w:lang w:eastAsia="en-GB"/>
        </w:rPr>
        <w:t>which will be communicated to the future authors of the assessment</w:t>
      </w:r>
      <w:r>
        <w:rPr>
          <w:lang w:eastAsia="en-GB"/>
        </w:rPr>
        <w:t xml:space="preserve">. </w:t>
      </w:r>
    </w:p>
    <w:p w14:paraId="6FE251C8" w14:textId="586BAEE0" w:rsidR="001B0D2C" w:rsidRDefault="001B0D2C" w:rsidP="00712303">
      <w:pPr>
        <w:pStyle w:val="Normalnumber"/>
        <w:tabs>
          <w:tab w:val="clear" w:pos="567"/>
        </w:tabs>
        <w:rPr>
          <w:lang w:eastAsia="en-GB"/>
        </w:rPr>
      </w:pPr>
      <w:r>
        <w:rPr>
          <w:lang w:eastAsia="en-GB"/>
        </w:rPr>
        <w:t xml:space="preserve">The </w:t>
      </w:r>
      <w:r>
        <w:t>scoping</w:t>
      </w:r>
      <w:r>
        <w:rPr>
          <w:lang w:eastAsia="en-GB"/>
        </w:rPr>
        <w:t xml:space="preserve"> report </w:t>
      </w:r>
      <w:r w:rsidR="009A3BB2">
        <w:rPr>
          <w:lang w:eastAsia="en-GB"/>
        </w:rPr>
        <w:t xml:space="preserve">was finalized in line with the review comments and is </w:t>
      </w:r>
      <w:r w:rsidR="005133B7">
        <w:rPr>
          <w:lang w:eastAsia="en-GB"/>
        </w:rPr>
        <w:t>set out in</w:t>
      </w:r>
      <w:r w:rsidR="009A3BB2">
        <w:rPr>
          <w:lang w:eastAsia="en-GB"/>
        </w:rPr>
        <w:t xml:space="preserve"> document</w:t>
      </w:r>
      <w:r w:rsidR="00084DB0">
        <w:rPr>
          <w:lang w:eastAsia="en-GB"/>
        </w:rPr>
        <w:t xml:space="preserve"> IPBES/9/8</w:t>
      </w:r>
      <w:r>
        <w:rPr>
          <w:lang w:eastAsia="en-GB"/>
        </w:rPr>
        <w:t>.</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C90A6A" w:rsidRPr="00F5316E" w14:paraId="70F5E123" w14:textId="77777777" w:rsidTr="009A1F85">
        <w:tc>
          <w:tcPr>
            <w:tcW w:w="1898" w:type="dxa"/>
          </w:tcPr>
          <w:p w14:paraId="1C13A329" w14:textId="77777777" w:rsidR="00C90A6A" w:rsidRPr="00F5316E" w:rsidRDefault="00C90A6A" w:rsidP="00F5316E">
            <w:pPr>
              <w:pStyle w:val="Normal-pool"/>
              <w:tabs>
                <w:tab w:val="clear" w:pos="1247"/>
                <w:tab w:val="clear" w:pos="1814"/>
                <w:tab w:val="clear" w:pos="2381"/>
                <w:tab w:val="clear" w:pos="2948"/>
                <w:tab w:val="clear" w:pos="3515"/>
                <w:tab w:val="clear" w:pos="4082"/>
                <w:tab w:val="left" w:pos="624"/>
              </w:tabs>
              <w:spacing w:before="520"/>
              <w:rPr>
                <w:sz w:val="20"/>
                <w:szCs w:val="20"/>
                <w:lang w:val="en-US"/>
              </w:rPr>
            </w:pPr>
          </w:p>
        </w:tc>
        <w:tc>
          <w:tcPr>
            <w:tcW w:w="1899" w:type="dxa"/>
          </w:tcPr>
          <w:p w14:paraId="3867300A" w14:textId="77777777" w:rsidR="00C90A6A" w:rsidRPr="00F5316E" w:rsidRDefault="00C90A6A" w:rsidP="00F5316E">
            <w:pPr>
              <w:pStyle w:val="Normal-pool"/>
              <w:tabs>
                <w:tab w:val="clear" w:pos="1247"/>
                <w:tab w:val="clear" w:pos="1814"/>
                <w:tab w:val="clear" w:pos="2381"/>
                <w:tab w:val="clear" w:pos="2948"/>
                <w:tab w:val="clear" w:pos="3515"/>
                <w:tab w:val="clear" w:pos="4082"/>
                <w:tab w:val="left" w:pos="624"/>
              </w:tabs>
              <w:spacing w:before="520"/>
              <w:rPr>
                <w:sz w:val="20"/>
                <w:szCs w:val="20"/>
                <w:lang w:val="en-US"/>
              </w:rPr>
            </w:pPr>
          </w:p>
        </w:tc>
        <w:tc>
          <w:tcPr>
            <w:tcW w:w="1899" w:type="dxa"/>
            <w:tcBorders>
              <w:bottom w:val="single" w:sz="4" w:space="0" w:color="auto"/>
            </w:tcBorders>
          </w:tcPr>
          <w:p w14:paraId="69AAC8CC" w14:textId="77777777" w:rsidR="00C90A6A" w:rsidRPr="00F5316E" w:rsidRDefault="00C90A6A" w:rsidP="00F5316E">
            <w:pPr>
              <w:pStyle w:val="Normal-pool"/>
              <w:tabs>
                <w:tab w:val="clear" w:pos="1247"/>
                <w:tab w:val="clear" w:pos="1814"/>
                <w:tab w:val="clear" w:pos="2381"/>
                <w:tab w:val="clear" w:pos="2948"/>
                <w:tab w:val="clear" w:pos="3515"/>
                <w:tab w:val="clear" w:pos="4082"/>
                <w:tab w:val="left" w:pos="624"/>
              </w:tabs>
              <w:spacing w:before="520"/>
              <w:rPr>
                <w:sz w:val="20"/>
                <w:szCs w:val="20"/>
                <w:lang w:val="en-US"/>
              </w:rPr>
            </w:pPr>
          </w:p>
        </w:tc>
        <w:tc>
          <w:tcPr>
            <w:tcW w:w="1900" w:type="dxa"/>
          </w:tcPr>
          <w:p w14:paraId="57E619CB" w14:textId="77777777" w:rsidR="00C90A6A" w:rsidRPr="00F5316E" w:rsidRDefault="00C90A6A" w:rsidP="00F5316E">
            <w:pPr>
              <w:pStyle w:val="Normal-pool"/>
              <w:tabs>
                <w:tab w:val="clear" w:pos="1247"/>
                <w:tab w:val="clear" w:pos="1814"/>
                <w:tab w:val="clear" w:pos="2381"/>
                <w:tab w:val="clear" w:pos="2948"/>
                <w:tab w:val="clear" w:pos="3515"/>
                <w:tab w:val="clear" w:pos="4082"/>
                <w:tab w:val="left" w:pos="624"/>
              </w:tabs>
              <w:spacing w:before="520"/>
              <w:rPr>
                <w:sz w:val="20"/>
                <w:szCs w:val="20"/>
                <w:lang w:val="en-US"/>
              </w:rPr>
            </w:pPr>
          </w:p>
        </w:tc>
        <w:tc>
          <w:tcPr>
            <w:tcW w:w="1900" w:type="dxa"/>
          </w:tcPr>
          <w:p w14:paraId="317858DD" w14:textId="77777777" w:rsidR="00C90A6A" w:rsidRPr="00F5316E" w:rsidRDefault="00C90A6A" w:rsidP="00F5316E">
            <w:pPr>
              <w:pStyle w:val="Normal-pool"/>
              <w:tabs>
                <w:tab w:val="clear" w:pos="1247"/>
                <w:tab w:val="clear" w:pos="1814"/>
                <w:tab w:val="clear" w:pos="2381"/>
                <w:tab w:val="clear" w:pos="2948"/>
                <w:tab w:val="clear" w:pos="3515"/>
                <w:tab w:val="clear" w:pos="4082"/>
                <w:tab w:val="left" w:pos="624"/>
              </w:tabs>
              <w:spacing w:before="520"/>
              <w:rPr>
                <w:sz w:val="20"/>
                <w:szCs w:val="20"/>
                <w:lang w:val="en-US"/>
              </w:rPr>
            </w:pPr>
          </w:p>
        </w:tc>
      </w:tr>
    </w:tbl>
    <w:p w14:paraId="66C48448" w14:textId="77777777" w:rsidR="00C90A6A" w:rsidRDefault="00C90A6A" w:rsidP="00F5316E">
      <w:pPr>
        <w:pStyle w:val="Normal-pool"/>
      </w:pPr>
    </w:p>
    <w:sectPr w:rsidR="00C90A6A" w:rsidSect="00E16967">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A95A" w14:textId="77777777" w:rsidR="001F4FBF" w:rsidRDefault="001F4FBF">
      <w:r>
        <w:separator/>
      </w:r>
    </w:p>
  </w:endnote>
  <w:endnote w:type="continuationSeparator" w:id="0">
    <w:p w14:paraId="599921FD" w14:textId="77777777" w:rsidR="001F4FBF" w:rsidRDefault="001F4FBF">
      <w:r>
        <w:continuationSeparator/>
      </w:r>
    </w:p>
  </w:endnote>
  <w:endnote w:type="continuationNotice" w:id="1">
    <w:p w14:paraId="0FB0830C" w14:textId="77777777" w:rsidR="001F4FBF" w:rsidRDefault="001F4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041A7415" w14:textId="662E31AA" w:rsidR="00B95FB0" w:rsidRPr="00407DBA" w:rsidRDefault="00407DBA" w:rsidP="00B24A20">
        <w:pPr>
          <w:pStyle w:val="Footer-pool"/>
        </w:pPr>
        <w:r>
          <w:fldChar w:fldCharType="begin"/>
        </w:r>
        <w:r>
          <w:instrText xml:space="preserve"> PAGE   \* MERGEFORMAT </w:instrText>
        </w:r>
        <w:r>
          <w:fldChar w:fldCharType="separate"/>
        </w:r>
        <w:r w:rsidR="00CD448E">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178899F0" w14:textId="56BCF212" w:rsidR="00B95FB0" w:rsidRPr="00407DBA" w:rsidRDefault="00407DBA" w:rsidP="00B24A20">
        <w:pPr>
          <w:pStyle w:val="Footer-pool"/>
          <w:jc w:val="right"/>
        </w:pPr>
        <w:r>
          <w:fldChar w:fldCharType="begin"/>
        </w:r>
        <w:r>
          <w:instrText xml:space="preserve"> PAGE   \* MERGEFORMAT </w:instrText>
        </w:r>
        <w:r>
          <w:fldChar w:fldCharType="separate"/>
        </w:r>
        <w:r w:rsidR="00CD448E">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75A1" w14:textId="131639E1" w:rsidR="007D1C00" w:rsidRPr="007D1C00" w:rsidRDefault="007D1C00" w:rsidP="007D1C00">
    <w:pPr>
      <w:pStyle w:val="Normal-pool"/>
    </w:pPr>
    <w:r>
      <w:t>K2201571</w:t>
    </w:r>
    <w:r>
      <w:tab/>
    </w:r>
    <w:r w:rsidR="00643DE2">
      <w:t>08</w:t>
    </w:r>
    <w:r w:rsidR="00EF26AD">
      <w:t>06</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1EF2" w14:textId="77777777" w:rsidR="001F4FBF" w:rsidRPr="008E340B" w:rsidRDefault="001F4FBF" w:rsidP="007D1C00">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8E340B">
        <w:rPr>
          <w:sz w:val="18"/>
          <w:szCs w:val="18"/>
        </w:rPr>
        <w:separator/>
      </w:r>
    </w:p>
  </w:footnote>
  <w:footnote w:type="continuationSeparator" w:id="0">
    <w:p w14:paraId="14B581BD" w14:textId="77777777" w:rsidR="001F4FBF" w:rsidRDefault="001F4FBF">
      <w:r>
        <w:continuationSeparator/>
      </w:r>
    </w:p>
  </w:footnote>
  <w:footnote w:type="continuationNotice" w:id="1">
    <w:p w14:paraId="110FADBA" w14:textId="77777777" w:rsidR="001F4FBF" w:rsidRDefault="001F4FBF"/>
  </w:footnote>
  <w:footnote w:id="2">
    <w:p w14:paraId="10E6E8C2" w14:textId="77777777" w:rsidR="00B95FB0" w:rsidRPr="008E340B" w:rsidRDefault="00B95FB0" w:rsidP="007D1C00">
      <w:pPr>
        <w:pStyle w:val="Normal-pool"/>
        <w:tabs>
          <w:tab w:val="left" w:pos="624"/>
        </w:tabs>
        <w:spacing w:before="20" w:after="40"/>
        <w:ind w:left="1247"/>
        <w:rPr>
          <w:sz w:val="18"/>
          <w:szCs w:val="18"/>
        </w:rPr>
      </w:pPr>
      <w:r w:rsidRPr="008E340B">
        <w:rPr>
          <w:rStyle w:val="FootnoteReference"/>
          <w:sz w:val="18"/>
          <w:vertAlign w:val="baseline"/>
        </w:rPr>
        <w:t>*</w:t>
      </w:r>
      <w:r w:rsidRPr="008E340B">
        <w:rPr>
          <w:sz w:val="18"/>
          <w:szCs w:val="18"/>
        </w:rPr>
        <w:t xml:space="preserve"> IPBES/</w:t>
      </w:r>
      <w:r w:rsidR="00FA1F59">
        <w:rPr>
          <w:sz w:val="18"/>
          <w:szCs w:val="18"/>
        </w:rPr>
        <w:t>9</w:t>
      </w:r>
      <w:r w:rsidRPr="008E340B">
        <w:rPr>
          <w:sz w:val="18"/>
          <w:szCs w:val="18"/>
        </w:rPr>
        <w:t>/1.</w:t>
      </w:r>
    </w:p>
  </w:footnote>
  <w:footnote w:id="3">
    <w:p w14:paraId="729B186F" w14:textId="77777777" w:rsidR="00556D44" w:rsidRPr="005A3487" w:rsidRDefault="00556D44" w:rsidP="007D1C00">
      <w:pPr>
        <w:pStyle w:val="Normal-pool"/>
        <w:tabs>
          <w:tab w:val="left" w:pos="624"/>
        </w:tabs>
        <w:spacing w:before="20" w:after="40"/>
        <w:ind w:left="1247"/>
        <w:rPr>
          <w:sz w:val="18"/>
          <w:szCs w:val="18"/>
        </w:rPr>
      </w:pPr>
      <w:r w:rsidRPr="005A3487">
        <w:rPr>
          <w:rStyle w:val="FootnoteReference"/>
          <w:sz w:val="18"/>
        </w:rPr>
        <w:footnoteRef/>
      </w:r>
      <w:r w:rsidRPr="005A3487">
        <w:rPr>
          <w:sz w:val="18"/>
          <w:szCs w:val="18"/>
        </w:rPr>
        <w:t xml:space="preserve"> See decision IPBES-3/3, annex I, sect. 3.4.</w:t>
      </w:r>
    </w:p>
  </w:footnote>
  <w:footnote w:id="4">
    <w:p w14:paraId="43056145" w14:textId="77777777" w:rsidR="00556D44" w:rsidRPr="005A3487" w:rsidRDefault="00556D44" w:rsidP="007D1C00">
      <w:pPr>
        <w:pStyle w:val="Normal-pool"/>
        <w:tabs>
          <w:tab w:val="left" w:pos="624"/>
        </w:tabs>
        <w:spacing w:before="20" w:after="40"/>
        <w:ind w:left="1247"/>
        <w:rPr>
          <w:sz w:val="18"/>
          <w:szCs w:val="18"/>
        </w:rPr>
      </w:pPr>
      <w:r w:rsidRPr="005A3487">
        <w:rPr>
          <w:rStyle w:val="FootnoteReference"/>
          <w:sz w:val="18"/>
        </w:rPr>
        <w:footnoteRef/>
      </w:r>
      <w:r w:rsidRPr="005A3487">
        <w:rPr>
          <w:sz w:val="18"/>
          <w:szCs w:val="18"/>
        </w:rPr>
        <w:t xml:space="preserve"> See decision IPBES-3/3, annex I, sect. 3.2.</w:t>
      </w:r>
    </w:p>
  </w:footnote>
  <w:footnote w:id="5">
    <w:p w14:paraId="18122537" w14:textId="77777777" w:rsidR="007D1C00" w:rsidRPr="007D1C00" w:rsidRDefault="007D1C00" w:rsidP="007D1C00">
      <w:pPr>
        <w:pStyle w:val="Normal-pool"/>
        <w:tabs>
          <w:tab w:val="left" w:pos="624"/>
        </w:tabs>
        <w:spacing w:before="20" w:after="40"/>
        <w:ind w:left="1247"/>
        <w:rPr>
          <w:sz w:val="18"/>
          <w:szCs w:val="18"/>
        </w:rPr>
      </w:pPr>
      <w:r w:rsidRPr="007D1C00">
        <w:rPr>
          <w:rStyle w:val="FootnoteReference"/>
          <w:sz w:val="18"/>
          <w:vertAlign w:val="baseline"/>
        </w:rPr>
        <w:t>*</w:t>
      </w:r>
      <w:r w:rsidRPr="007D1C00">
        <w:rPr>
          <w:sz w:val="18"/>
          <w:szCs w:val="18"/>
        </w:rPr>
        <w:t xml:space="preserve"> The annex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AC49" w14:textId="16DEFBE8" w:rsidR="00B95FB0" w:rsidRPr="008520C8" w:rsidRDefault="00B95FB0" w:rsidP="00B24A20">
    <w:pPr>
      <w:pStyle w:val="Header-pool"/>
    </w:pPr>
    <w:r>
      <w:t>IPBES/</w:t>
    </w:r>
    <w:r w:rsidR="00FA1F59">
      <w:t>9</w:t>
    </w:r>
    <w:r>
      <w:t>/</w:t>
    </w:r>
    <w:r w:rsidR="00FB75D9">
      <w:t>INF/</w:t>
    </w:r>
    <w:r w:rsidR="006419C5">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7F8" w14:textId="6C504572" w:rsidR="00B95FB0" w:rsidRPr="008520C8" w:rsidRDefault="00B95FB0" w:rsidP="00B24A20">
    <w:pPr>
      <w:pStyle w:val="Header-pool"/>
      <w:jc w:val="right"/>
    </w:pPr>
    <w:r w:rsidRPr="00B24A20">
      <w:t>IPBES</w:t>
    </w:r>
    <w:r>
      <w:t>/</w:t>
    </w:r>
    <w:r w:rsidR="00FA1F59">
      <w:t>9</w:t>
    </w:r>
    <w:r>
      <w:t>/</w:t>
    </w:r>
    <w:r w:rsidR="00FB75D9">
      <w:t>INF/</w:t>
    </w:r>
    <w:r w:rsidR="006419C5">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9746" w14:textId="77777777" w:rsidR="006419C5" w:rsidRDefault="006419C5" w:rsidP="00C90A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A27"/>
    <w:multiLevelType w:val="multilevel"/>
    <w:tmpl w:val="DF3ED40C"/>
    <w:lvl w:ilvl="0">
      <w:start w:val="3"/>
      <w:numFmt w:val="decimal"/>
      <w:lvlText w:val="%1."/>
      <w:lvlJc w:val="left"/>
      <w:pPr>
        <w:tabs>
          <w:tab w:val="num" w:pos="567"/>
        </w:tabs>
        <w:ind w:left="1247" w:firstLine="0"/>
      </w:pPr>
      <w:rPr>
        <w:rFonts w:ascii="Times New Roman" w:eastAsiaTheme="minorHAnsi" w:hAnsi="Times New Roman" w:cs="Times New Roman"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090A70CF"/>
    <w:multiLevelType w:val="multilevel"/>
    <w:tmpl w:val="4120B36A"/>
    <w:lvl w:ilvl="0">
      <w:start w:val="1"/>
      <w:numFmt w:val="decimal"/>
      <w:lvlText w:val="%1."/>
      <w:lvlJc w:val="left"/>
      <w:pPr>
        <w:tabs>
          <w:tab w:val="num" w:pos="1134"/>
        </w:tabs>
        <w:ind w:left="1247" w:firstLine="0"/>
      </w:pPr>
      <w:rPr>
        <w:rFonts w:hint="default"/>
        <w:i w:val="0"/>
        <w:iCs w:val="0"/>
      </w:rPr>
    </w:lvl>
    <w:lvl w:ilvl="1">
      <w:start w:val="1"/>
      <w:numFmt w:val="lowerLetter"/>
      <w:lvlText w:val="(%2)"/>
      <w:lvlJc w:val="left"/>
      <w:pPr>
        <w:tabs>
          <w:tab w:val="num" w:pos="1134"/>
        </w:tabs>
        <w:ind w:left="1247" w:firstLine="567"/>
      </w:pPr>
      <w:rPr>
        <w:rFonts w:hint="default"/>
        <w:i w:val="0"/>
        <w:iCs w:val="0"/>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09152809"/>
    <w:multiLevelType w:val="multilevel"/>
    <w:tmpl w:val="108ACF7E"/>
    <w:lvl w:ilvl="0">
      <w:start w:val="1"/>
      <w:numFmt w:val="decimal"/>
      <w:lvlText w:val="%1."/>
      <w:lvlJc w:val="left"/>
      <w:pPr>
        <w:tabs>
          <w:tab w:val="num" w:pos="567"/>
        </w:tabs>
        <w:ind w:left="1247" w:firstLine="0"/>
      </w:pPr>
      <w:rPr>
        <w:rFonts w:ascii="Times New Roman" w:hAnsi="Times New Roman" w:cs="Times New Roman" w:hint="default"/>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0B6603D7"/>
    <w:multiLevelType w:val="hybridMultilevel"/>
    <w:tmpl w:val="AE36C988"/>
    <w:lvl w:ilvl="0" w:tplc="47F4C77A">
      <w:start w:val="1"/>
      <w:numFmt w:val="upperRoman"/>
      <w:lvlText w:val="%1."/>
      <w:lvlJc w:val="left"/>
      <w:pPr>
        <w:ind w:left="1967" w:hanging="720"/>
      </w:pPr>
      <w:rPr>
        <w:rFonts w:hint="default"/>
      </w:rPr>
    </w:lvl>
    <w:lvl w:ilvl="1" w:tplc="20000019" w:tentative="1">
      <w:start w:val="1"/>
      <w:numFmt w:val="lowerLetter"/>
      <w:lvlText w:val="%2."/>
      <w:lvlJc w:val="left"/>
      <w:pPr>
        <w:ind w:left="2327" w:hanging="360"/>
      </w:pPr>
    </w:lvl>
    <w:lvl w:ilvl="2" w:tplc="2000001B" w:tentative="1">
      <w:start w:val="1"/>
      <w:numFmt w:val="lowerRoman"/>
      <w:lvlText w:val="%3."/>
      <w:lvlJc w:val="right"/>
      <w:pPr>
        <w:ind w:left="3047" w:hanging="180"/>
      </w:pPr>
    </w:lvl>
    <w:lvl w:ilvl="3" w:tplc="2000000F" w:tentative="1">
      <w:start w:val="1"/>
      <w:numFmt w:val="decimal"/>
      <w:lvlText w:val="%4."/>
      <w:lvlJc w:val="left"/>
      <w:pPr>
        <w:ind w:left="3767" w:hanging="360"/>
      </w:pPr>
    </w:lvl>
    <w:lvl w:ilvl="4" w:tplc="20000019" w:tentative="1">
      <w:start w:val="1"/>
      <w:numFmt w:val="lowerLetter"/>
      <w:lvlText w:val="%5."/>
      <w:lvlJc w:val="left"/>
      <w:pPr>
        <w:ind w:left="4487" w:hanging="360"/>
      </w:pPr>
    </w:lvl>
    <w:lvl w:ilvl="5" w:tplc="2000001B" w:tentative="1">
      <w:start w:val="1"/>
      <w:numFmt w:val="lowerRoman"/>
      <w:lvlText w:val="%6."/>
      <w:lvlJc w:val="right"/>
      <w:pPr>
        <w:ind w:left="5207" w:hanging="180"/>
      </w:pPr>
    </w:lvl>
    <w:lvl w:ilvl="6" w:tplc="2000000F" w:tentative="1">
      <w:start w:val="1"/>
      <w:numFmt w:val="decimal"/>
      <w:lvlText w:val="%7."/>
      <w:lvlJc w:val="left"/>
      <w:pPr>
        <w:ind w:left="5927" w:hanging="360"/>
      </w:pPr>
    </w:lvl>
    <w:lvl w:ilvl="7" w:tplc="20000019" w:tentative="1">
      <w:start w:val="1"/>
      <w:numFmt w:val="lowerLetter"/>
      <w:lvlText w:val="%8."/>
      <w:lvlJc w:val="left"/>
      <w:pPr>
        <w:ind w:left="6647" w:hanging="360"/>
      </w:pPr>
    </w:lvl>
    <w:lvl w:ilvl="8" w:tplc="2000001B" w:tentative="1">
      <w:start w:val="1"/>
      <w:numFmt w:val="lowerRoman"/>
      <w:lvlText w:val="%9."/>
      <w:lvlJc w:val="right"/>
      <w:pPr>
        <w:ind w:left="7367" w:hanging="180"/>
      </w:pPr>
    </w:lvl>
  </w:abstractNum>
  <w:abstractNum w:abstractNumId="4" w15:restartNumberingAfterBreak="0">
    <w:nsid w:val="138629E7"/>
    <w:multiLevelType w:val="multilevel"/>
    <w:tmpl w:val="4120B36A"/>
    <w:lvl w:ilvl="0">
      <w:start w:val="1"/>
      <w:numFmt w:val="decimal"/>
      <w:lvlText w:val="%1."/>
      <w:lvlJc w:val="left"/>
      <w:pPr>
        <w:tabs>
          <w:tab w:val="num" w:pos="1134"/>
        </w:tabs>
        <w:ind w:left="1247" w:firstLine="0"/>
      </w:pPr>
      <w:rPr>
        <w:rFonts w:hint="default"/>
        <w:i w:val="0"/>
        <w:iCs w:val="0"/>
      </w:rPr>
    </w:lvl>
    <w:lvl w:ilvl="1">
      <w:start w:val="1"/>
      <w:numFmt w:val="lowerLetter"/>
      <w:lvlText w:val="(%2)"/>
      <w:lvlJc w:val="left"/>
      <w:pPr>
        <w:tabs>
          <w:tab w:val="num" w:pos="1134"/>
        </w:tabs>
        <w:ind w:left="1247" w:firstLine="567"/>
      </w:pPr>
      <w:rPr>
        <w:rFonts w:hint="default"/>
        <w:i w:val="0"/>
        <w:iCs w:val="0"/>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511F568D"/>
    <w:multiLevelType w:val="hybridMultilevel"/>
    <w:tmpl w:val="874A9C80"/>
    <w:lvl w:ilvl="0" w:tplc="65DAFB5E">
      <w:start w:val="1"/>
      <w:numFmt w:val="upperRoman"/>
      <w:lvlText w:val="%1."/>
      <w:lvlJc w:val="left"/>
      <w:pPr>
        <w:ind w:left="1980" w:hanging="720"/>
      </w:pPr>
      <w:rPr>
        <w:rFonts w:hint="default"/>
      </w:rPr>
    </w:lvl>
    <w:lvl w:ilvl="1" w:tplc="20000019">
      <w:start w:val="1"/>
      <w:numFmt w:val="lowerLetter"/>
      <w:lvlText w:val="%2."/>
      <w:lvlJc w:val="left"/>
      <w:pPr>
        <w:ind w:left="2340" w:hanging="360"/>
      </w:pPr>
    </w:lvl>
    <w:lvl w:ilvl="2" w:tplc="2000001B">
      <w:start w:val="1"/>
      <w:numFmt w:val="lowerRoman"/>
      <w:lvlText w:val="%3."/>
      <w:lvlJc w:val="right"/>
      <w:pPr>
        <w:ind w:left="3060" w:hanging="180"/>
      </w:pPr>
    </w:lvl>
    <w:lvl w:ilvl="3" w:tplc="9B44F2AE">
      <w:start w:val="7"/>
      <w:numFmt w:val="decimal"/>
      <w:lvlText w:val="%4."/>
      <w:lvlJc w:val="left"/>
      <w:rPr>
        <w:rFonts w:hint="default"/>
      </w:rPr>
    </w:lvl>
    <w:lvl w:ilvl="4" w:tplc="20000019">
      <w:start w:val="1"/>
      <w:numFmt w:val="lowerLetter"/>
      <w:lvlText w:val="%5."/>
      <w:lvlJc w:val="left"/>
      <w:pPr>
        <w:ind w:left="4500" w:hanging="360"/>
      </w:pPr>
    </w:lvl>
    <w:lvl w:ilvl="5" w:tplc="2000001B" w:tentative="1">
      <w:start w:val="1"/>
      <w:numFmt w:val="lowerRoman"/>
      <w:lvlText w:val="%6."/>
      <w:lvlJc w:val="right"/>
      <w:pPr>
        <w:ind w:left="5220" w:hanging="180"/>
      </w:pPr>
    </w:lvl>
    <w:lvl w:ilvl="6" w:tplc="2000000F" w:tentative="1">
      <w:start w:val="1"/>
      <w:numFmt w:val="decimal"/>
      <w:lvlText w:val="%7."/>
      <w:lvlJc w:val="left"/>
      <w:pPr>
        <w:ind w:left="5940" w:hanging="360"/>
      </w:pPr>
    </w:lvl>
    <w:lvl w:ilvl="7" w:tplc="20000019" w:tentative="1">
      <w:start w:val="1"/>
      <w:numFmt w:val="lowerLetter"/>
      <w:lvlText w:val="%8."/>
      <w:lvlJc w:val="left"/>
      <w:pPr>
        <w:ind w:left="6660" w:hanging="360"/>
      </w:pPr>
    </w:lvl>
    <w:lvl w:ilvl="8" w:tplc="2000001B" w:tentative="1">
      <w:start w:val="1"/>
      <w:numFmt w:val="lowerRoman"/>
      <w:lvlText w:val="%9."/>
      <w:lvlJc w:val="right"/>
      <w:pPr>
        <w:ind w:left="7380" w:hanging="180"/>
      </w:pPr>
    </w:lvl>
  </w:abstractNum>
  <w:abstractNum w:abstractNumId="6"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6"/>
  </w:num>
  <w:num w:numId="2">
    <w:abstractNumId w:val="7"/>
  </w:num>
  <w:num w:numId="3">
    <w:abstractNumId w:val="6"/>
  </w:num>
  <w:num w:numId="4">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
    <w:abstractNumId w:val="5"/>
  </w:num>
  <w:num w:numId="6">
    <w:abstractNumId w:val="2"/>
  </w:num>
  <w:num w:numId="7">
    <w:abstractNumId w:val="0"/>
  </w:num>
  <w:num w:numId="8">
    <w:abstractNumId w:val="3"/>
  </w:num>
  <w:num w:numId="9">
    <w:abstractNumId w:val="4"/>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1"/>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BE"/>
    <w:rsid w:val="00003A00"/>
    <w:rsid w:val="00004D04"/>
    <w:rsid w:val="000067CD"/>
    <w:rsid w:val="00006907"/>
    <w:rsid w:val="00006F96"/>
    <w:rsid w:val="00013001"/>
    <w:rsid w:val="00013746"/>
    <w:rsid w:val="000149E6"/>
    <w:rsid w:val="0001582F"/>
    <w:rsid w:val="0002315C"/>
    <w:rsid w:val="000247B0"/>
    <w:rsid w:val="00026997"/>
    <w:rsid w:val="000278C7"/>
    <w:rsid w:val="00031B99"/>
    <w:rsid w:val="00033CA9"/>
    <w:rsid w:val="00033E0B"/>
    <w:rsid w:val="00035E6B"/>
    <w:rsid w:val="00035EDE"/>
    <w:rsid w:val="0004530B"/>
    <w:rsid w:val="0004771A"/>
    <w:rsid w:val="00047B94"/>
    <w:rsid w:val="000509B4"/>
    <w:rsid w:val="00051364"/>
    <w:rsid w:val="00051A9C"/>
    <w:rsid w:val="00053992"/>
    <w:rsid w:val="0005530D"/>
    <w:rsid w:val="0006035B"/>
    <w:rsid w:val="00061689"/>
    <w:rsid w:val="00065148"/>
    <w:rsid w:val="000710F0"/>
    <w:rsid w:val="0007118B"/>
    <w:rsid w:val="00071886"/>
    <w:rsid w:val="00073928"/>
    <w:rsid w:val="000742BC"/>
    <w:rsid w:val="00076EEB"/>
    <w:rsid w:val="00081FB3"/>
    <w:rsid w:val="00082A0C"/>
    <w:rsid w:val="00083504"/>
    <w:rsid w:val="00084DB0"/>
    <w:rsid w:val="00086A10"/>
    <w:rsid w:val="00092D09"/>
    <w:rsid w:val="00094243"/>
    <w:rsid w:val="000956A3"/>
    <w:rsid w:val="0009640C"/>
    <w:rsid w:val="00096628"/>
    <w:rsid w:val="000A146D"/>
    <w:rsid w:val="000A1A65"/>
    <w:rsid w:val="000A4CFF"/>
    <w:rsid w:val="000B0942"/>
    <w:rsid w:val="000B22A2"/>
    <w:rsid w:val="000B233F"/>
    <w:rsid w:val="000B2E37"/>
    <w:rsid w:val="000B77D5"/>
    <w:rsid w:val="000B7C23"/>
    <w:rsid w:val="000C22B3"/>
    <w:rsid w:val="000C2809"/>
    <w:rsid w:val="000C2A52"/>
    <w:rsid w:val="000C5426"/>
    <w:rsid w:val="000D1FFE"/>
    <w:rsid w:val="000D33C0"/>
    <w:rsid w:val="000D6941"/>
    <w:rsid w:val="000E6F3F"/>
    <w:rsid w:val="000F3AB7"/>
    <w:rsid w:val="000F45BD"/>
    <w:rsid w:val="000F484C"/>
    <w:rsid w:val="000F53CB"/>
    <w:rsid w:val="000F6E8E"/>
    <w:rsid w:val="00101D6B"/>
    <w:rsid w:val="001036A6"/>
    <w:rsid w:val="0010457A"/>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0EAF"/>
    <w:rsid w:val="001339D1"/>
    <w:rsid w:val="00137C36"/>
    <w:rsid w:val="00140369"/>
    <w:rsid w:val="00141910"/>
    <w:rsid w:val="00141A55"/>
    <w:rsid w:val="00144138"/>
    <w:rsid w:val="001446A3"/>
    <w:rsid w:val="00144A8F"/>
    <w:rsid w:val="00144E6E"/>
    <w:rsid w:val="00154CA8"/>
    <w:rsid w:val="00155395"/>
    <w:rsid w:val="00155A46"/>
    <w:rsid w:val="0015635E"/>
    <w:rsid w:val="00156C8B"/>
    <w:rsid w:val="0015720A"/>
    <w:rsid w:val="00160D74"/>
    <w:rsid w:val="00160E3F"/>
    <w:rsid w:val="00162265"/>
    <w:rsid w:val="00165BA4"/>
    <w:rsid w:val="00167D02"/>
    <w:rsid w:val="00176752"/>
    <w:rsid w:val="00181EC8"/>
    <w:rsid w:val="00184349"/>
    <w:rsid w:val="00185197"/>
    <w:rsid w:val="00185EE9"/>
    <w:rsid w:val="00186746"/>
    <w:rsid w:val="00195F33"/>
    <w:rsid w:val="001A0F69"/>
    <w:rsid w:val="001A1536"/>
    <w:rsid w:val="001A1668"/>
    <w:rsid w:val="001A7E55"/>
    <w:rsid w:val="001B0D2C"/>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4CA0"/>
    <w:rsid w:val="001E56D2"/>
    <w:rsid w:val="001E78FA"/>
    <w:rsid w:val="001E7C76"/>
    <w:rsid w:val="001E7D56"/>
    <w:rsid w:val="001F2F1B"/>
    <w:rsid w:val="001F4FBF"/>
    <w:rsid w:val="001F53DB"/>
    <w:rsid w:val="001F5AE3"/>
    <w:rsid w:val="001F75DE"/>
    <w:rsid w:val="001F7736"/>
    <w:rsid w:val="00200D58"/>
    <w:rsid w:val="002013BE"/>
    <w:rsid w:val="002030D2"/>
    <w:rsid w:val="00205B4A"/>
    <w:rsid w:val="002063A4"/>
    <w:rsid w:val="002069EA"/>
    <w:rsid w:val="0020751E"/>
    <w:rsid w:val="0021145B"/>
    <w:rsid w:val="0021458E"/>
    <w:rsid w:val="002146B9"/>
    <w:rsid w:val="00217178"/>
    <w:rsid w:val="00221B85"/>
    <w:rsid w:val="002255A8"/>
    <w:rsid w:val="00225A08"/>
    <w:rsid w:val="00227347"/>
    <w:rsid w:val="00233E65"/>
    <w:rsid w:val="0023517A"/>
    <w:rsid w:val="00235312"/>
    <w:rsid w:val="002369A9"/>
    <w:rsid w:val="00237E55"/>
    <w:rsid w:val="002413D8"/>
    <w:rsid w:val="00243D36"/>
    <w:rsid w:val="00246854"/>
    <w:rsid w:val="00247707"/>
    <w:rsid w:val="00247AA6"/>
    <w:rsid w:val="00250606"/>
    <w:rsid w:val="002534F8"/>
    <w:rsid w:val="00254044"/>
    <w:rsid w:val="00255F1B"/>
    <w:rsid w:val="0026018E"/>
    <w:rsid w:val="00262E3D"/>
    <w:rsid w:val="00264E7C"/>
    <w:rsid w:val="00265D2A"/>
    <w:rsid w:val="0026656F"/>
    <w:rsid w:val="002761A9"/>
    <w:rsid w:val="00280581"/>
    <w:rsid w:val="0028148D"/>
    <w:rsid w:val="00282855"/>
    <w:rsid w:val="002837D2"/>
    <w:rsid w:val="002852D7"/>
    <w:rsid w:val="0028557B"/>
    <w:rsid w:val="00286740"/>
    <w:rsid w:val="002874CC"/>
    <w:rsid w:val="002910FA"/>
    <w:rsid w:val="002929D8"/>
    <w:rsid w:val="00293967"/>
    <w:rsid w:val="0029478F"/>
    <w:rsid w:val="00297EFA"/>
    <w:rsid w:val="002A237D"/>
    <w:rsid w:val="002A4C53"/>
    <w:rsid w:val="002A650A"/>
    <w:rsid w:val="002A693B"/>
    <w:rsid w:val="002A718E"/>
    <w:rsid w:val="002A7945"/>
    <w:rsid w:val="002B0672"/>
    <w:rsid w:val="002B0FF1"/>
    <w:rsid w:val="002B247F"/>
    <w:rsid w:val="002B2737"/>
    <w:rsid w:val="002B27F6"/>
    <w:rsid w:val="002B61F6"/>
    <w:rsid w:val="002B6759"/>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0715"/>
    <w:rsid w:val="002F08F6"/>
    <w:rsid w:val="002F1AE7"/>
    <w:rsid w:val="002F2006"/>
    <w:rsid w:val="002F2633"/>
    <w:rsid w:val="002F3AE1"/>
    <w:rsid w:val="002F4761"/>
    <w:rsid w:val="002F5C79"/>
    <w:rsid w:val="003019E2"/>
    <w:rsid w:val="00303337"/>
    <w:rsid w:val="00304948"/>
    <w:rsid w:val="003056F2"/>
    <w:rsid w:val="003064D4"/>
    <w:rsid w:val="00306862"/>
    <w:rsid w:val="0031228B"/>
    <w:rsid w:val="0031413F"/>
    <w:rsid w:val="00314727"/>
    <w:rsid w:val="003148BB"/>
    <w:rsid w:val="00314911"/>
    <w:rsid w:val="00317976"/>
    <w:rsid w:val="0032445A"/>
    <w:rsid w:val="00333853"/>
    <w:rsid w:val="00334BAE"/>
    <w:rsid w:val="00335D88"/>
    <w:rsid w:val="00340194"/>
    <w:rsid w:val="00340280"/>
    <w:rsid w:val="003404B2"/>
    <w:rsid w:val="0034080D"/>
    <w:rsid w:val="003409EF"/>
    <w:rsid w:val="00342444"/>
    <w:rsid w:val="003442DB"/>
    <w:rsid w:val="00345569"/>
    <w:rsid w:val="003540FC"/>
    <w:rsid w:val="003556AA"/>
    <w:rsid w:val="00355EA9"/>
    <w:rsid w:val="00356EC1"/>
    <w:rsid w:val="003578DE"/>
    <w:rsid w:val="00360464"/>
    <w:rsid w:val="003607D3"/>
    <w:rsid w:val="0036692B"/>
    <w:rsid w:val="00366EBE"/>
    <w:rsid w:val="00372621"/>
    <w:rsid w:val="003732D8"/>
    <w:rsid w:val="003734E0"/>
    <w:rsid w:val="0037782F"/>
    <w:rsid w:val="00380241"/>
    <w:rsid w:val="003805DB"/>
    <w:rsid w:val="00380F5E"/>
    <w:rsid w:val="003827C2"/>
    <w:rsid w:val="0038333E"/>
    <w:rsid w:val="003854ED"/>
    <w:rsid w:val="00385969"/>
    <w:rsid w:val="003872A4"/>
    <w:rsid w:val="0038742A"/>
    <w:rsid w:val="00391F70"/>
    <w:rsid w:val="003924A7"/>
    <w:rsid w:val="00394A52"/>
    <w:rsid w:val="00395DE3"/>
    <w:rsid w:val="00396257"/>
    <w:rsid w:val="00396929"/>
    <w:rsid w:val="00397EB8"/>
    <w:rsid w:val="003A0940"/>
    <w:rsid w:val="003A1CD0"/>
    <w:rsid w:val="003A32C8"/>
    <w:rsid w:val="003A4FD0"/>
    <w:rsid w:val="003A5245"/>
    <w:rsid w:val="003A66BF"/>
    <w:rsid w:val="003A69D1"/>
    <w:rsid w:val="003A7705"/>
    <w:rsid w:val="003A77F1"/>
    <w:rsid w:val="003B0051"/>
    <w:rsid w:val="003B1545"/>
    <w:rsid w:val="003B221A"/>
    <w:rsid w:val="003B6C3D"/>
    <w:rsid w:val="003C3476"/>
    <w:rsid w:val="003C409D"/>
    <w:rsid w:val="003C4E86"/>
    <w:rsid w:val="003C5A14"/>
    <w:rsid w:val="003C5BA6"/>
    <w:rsid w:val="003C65E1"/>
    <w:rsid w:val="003C6ABD"/>
    <w:rsid w:val="003C6F67"/>
    <w:rsid w:val="003D2432"/>
    <w:rsid w:val="003D3D59"/>
    <w:rsid w:val="003E04E3"/>
    <w:rsid w:val="003E4EB5"/>
    <w:rsid w:val="003E51E1"/>
    <w:rsid w:val="003E53C3"/>
    <w:rsid w:val="003E57FD"/>
    <w:rsid w:val="003E6FB9"/>
    <w:rsid w:val="003F0C27"/>
    <w:rsid w:val="003F0E85"/>
    <w:rsid w:val="003F561B"/>
    <w:rsid w:val="003F5B8A"/>
    <w:rsid w:val="003F6047"/>
    <w:rsid w:val="00400471"/>
    <w:rsid w:val="00405D77"/>
    <w:rsid w:val="0040625A"/>
    <w:rsid w:val="00407DBA"/>
    <w:rsid w:val="00410098"/>
    <w:rsid w:val="004100EA"/>
    <w:rsid w:val="00410C55"/>
    <w:rsid w:val="00413ADD"/>
    <w:rsid w:val="00415145"/>
    <w:rsid w:val="00416854"/>
    <w:rsid w:val="00417725"/>
    <w:rsid w:val="004217FA"/>
    <w:rsid w:val="00424992"/>
    <w:rsid w:val="00424A9E"/>
    <w:rsid w:val="00430616"/>
    <w:rsid w:val="00431621"/>
    <w:rsid w:val="004335EC"/>
    <w:rsid w:val="00433BDB"/>
    <w:rsid w:val="00435662"/>
    <w:rsid w:val="00437B82"/>
    <w:rsid w:val="00437F26"/>
    <w:rsid w:val="004408AB"/>
    <w:rsid w:val="00442B09"/>
    <w:rsid w:val="004432F8"/>
    <w:rsid w:val="00444097"/>
    <w:rsid w:val="00445487"/>
    <w:rsid w:val="00446553"/>
    <w:rsid w:val="004509A1"/>
    <w:rsid w:val="00454769"/>
    <w:rsid w:val="00461EBE"/>
    <w:rsid w:val="00465886"/>
    <w:rsid w:val="00465FAA"/>
    <w:rsid w:val="00466991"/>
    <w:rsid w:val="0047064C"/>
    <w:rsid w:val="00471270"/>
    <w:rsid w:val="00473A75"/>
    <w:rsid w:val="00473F1F"/>
    <w:rsid w:val="004774FF"/>
    <w:rsid w:val="00484ED4"/>
    <w:rsid w:val="004868B8"/>
    <w:rsid w:val="00491D1C"/>
    <w:rsid w:val="00496038"/>
    <w:rsid w:val="004A0FE9"/>
    <w:rsid w:val="004A1842"/>
    <w:rsid w:val="004A1A72"/>
    <w:rsid w:val="004A276F"/>
    <w:rsid w:val="004A345B"/>
    <w:rsid w:val="004A42E1"/>
    <w:rsid w:val="004A56B8"/>
    <w:rsid w:val="004B162C"/>
    <w:rsid w:val="004B2401"/>
    <w:rsid w:val="004B505B"/>
    <w:rsid w:val="004B627B"/>
    <w:rsid w:val="004B68FF"/>
    <w:rsid w:val="004C0870"/>
    <w:rsid w:val="004C10B0"/>
    <w:rsid w:val="004C2AED"/>
    <w:rsid w:val="004C2D9A"/>
    <w:rsid w:val="004C3DBE"/>
    <w:rsid w:val="004C44F2"/>
    <w:rsid w:val="004C5C96"/>
    <w:rsid w:val="004D06A4"/>
    <w:rsid w:val="004E20E5"/>
    <w:rsid w:val="004E6E7D"/>
    <w:rsid w:val="004F1A81"/>
    <w:rsid w:val="004F5670"/>
    <w:rsid w:val="004F5678"/>
    <w:rsid w:val="004F5D44"/>
    <w:rsid w:val="00500143"/>
    <w:rsid w:val="00500AAE"/>
    <w:rsid w:val="0050337B"/>
    <w:rsid w:val="00503F35"/>
    <w:rsid w:val="0050550B"/>
    <w:rsid w:val="005102AE"/>
    <w:rsid w:val="0051220F"/>
    <w:rsid w:val="00512B6E"/>
    <w:rsid w:val="0051306C"/>
    <w:rsid w:val="005131A4"/>
    <w:rsid w:val="005133B7"/>
    <w:rsid w:val="00513654"/>
    <w:rsid w:val="005140C4"/>
    <w:rsid w:val="00515520"/>
    <w:rsid w:val="00517857"/>
    <w:rsid w:val="005218D9"/>
    <w:rsid w:val="005240EF"/>
    <w:rsid w:val="005272D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495"/>
    <w:rsid w:val="0054571A"/>
    <w:rsid w:val="00546C13"/>
    <w:rsid w:val="005518C8"/>
    <w:rsid w:val="005537BD"/>
    <w:rsid w:val="00554B10"/>
    <w:rsid w:val="005563CC"/>
    <w:rsid w:val="005569BC"/>
    <w:rsid w:val="00556D44"/>
    <w:rsid w:val="0056012A"/>
    <w:rsid w:val="0056312E"/>
    <w:rsid w:val="00566C86"/>
    <w:rsid w:val="00567A02"/>
    <w:rsid w:val="0057021E"/>
    <w:rsid w:val="00572FF5"/>
    <w:rsid w:val="0057315F"/>
    <w:rsid w:val="00576104"/>
    <w:rsid w:val="00577605"/>
    <w:rsid w:val="00580A34"/>
    <w:rsid w:val="00581457"/>
    <w:rsid w:val="0058489B"/>
    <w:rsid w:val="005856D2"/>
    <w:rsid w:val="005871D4"/>
    <w:rsid w:val="005928D1"/>
    <w:rsid w:val="00592D62"/>
    <w:rsid w:val="00593001"/>
    <w:rsid w:val="00596522"/>
    <w:rsid w:val="005A0AD1"/>
    <w:rsid w:val="005A1727"/>
    <w:rsid w:val="005A1B89"/>
    <w:rsid w:val="005B0DEE"/>
    <w:rsid w:val="005B1D81"/>
    <w:rsid w:val="005B253A"/>
    <w:rsid w:val="005B5A0D"/>
    <w:rsid w:val="005C0AFC"/>
    <w:rsid w:val="005C67C8"/>
    <w:rsid w:val="005D0249"/>
    <w:rsid w:val="005D6E8C"/>
    <w:rsid w:val="005E1FBF"/>
    <w:rsid w:val="005E1FE2"/>
    <w:rsid w:val="005E20B2"/>
    <w:rsid w:val="005E2859"/>
    <w:rsid w:val="005E33E1"/>
    <w:rsid w:val="005E775D"/>
    <w:rsid w:val="005F04BD"/>
    <w:rsid w:val="005F066E"/>
    <w:rsid w:val="005F06C5"/>
    <w:rsid w:val="005F100C"/>
    <w:rsid w:val="005F5EEF"/>
    <w:rsid w:val="005F68DA"/>
    <w:rsid w:val="00600686"/>
    <w:rsid w:val="0060281F"/>
    <w:rsid w:val="006039BC"/>
    <w:rsid w:val="0060773B"/>
    <w:rsid w:val="006103AC"/>
    <w:rsid w:val="00614465"/>
    <w:rsid w:val="006157B5"/>
    <w:rsid w:val="0061664A"/>
    <w:rsid w:val="006169C8"/>
    <w:rsid w:val="00616EBB"/>
    <w:rsid w:val="00620592"/>
    <w:rsid w:val="0062182E"/>
    <w:rsid w:val="00623423"/>
    <w:rsid w:val="0062357B"/>
    <w:rsid w:val="0062430E"/>
    <w:rsid w:val="00626024"/>
    <w:rsid w:val="006263AE"/>
    <w:rsid w:val="00626FC6"/>
    <w:rsid w:val="00627A39"/>
    <w:rsid w:val="006303B4"/>
    <w:rsid w:val="0063309C"/>
    <w:rsid w:val="00633CF7"/>
    <w:rsid w:val="00633D3D"/>
    <w:rsid w:val="006348A6"/>
    <w:rsid w:val="00634A53"/>
    <w:rsid w:val="00636AB9"/>
    <w:rsid w:val="00641703"/>
    <w:rsid w:val="006419C5"/>
    <w:rsid w:val="00642F8D"/>
    <w:rsid w:val="006431A6"/>
    <w:rsid w:val="00643DE2"/>
    <w:rsid w:val="006450D9"/>
    <w:rsid w:val="006451EE"/>
    <w:rsid w:val="006459F6"/>
    <w:rsid w:val="006501AD"/>
    <w:rsid w:val="00650361"/>
    <w:rsid w:val="00651BFA"/>
    <w:rsid w:val="00651EF8"/>
    <w:rsid w:val="00654475"/>
    <w:rsid w:val="006552A2"/>
    <w:rsid w:val="0065570E"/>
    <w:rsid w:val="00657A61"/>
    <w:rsid w:val="0066093D"/>
    <w:rsid w:val="00661A50"/>
    <w:rsid w:val="006625CF"/>
    <w:rsid w:val="00663561"/>
    <w:rsid w:val="00665A4B"/>
    <w:rsid w:val="00665D0A"/>
    <w:rsid w:val="006744B2"/>
    <w:rsid w:val="00674D0B"/>
    <w:rsid w:val="00676210"/>
    <w:rsid w:val="006767D3"/>
    <w:rsid w:val="00680B6F"/>
    <w:rsid w:val="0068303F"/>
    <w:rsid w:val="00684BC4"/>
    <w:rsid w:val="00692E2A"/>
    <w:rsid w:val="006943A8"/>
    <w:rsid w:val="0069482B"/>
    <w:rsid w:val="006A3340"/>
    <w:rsid w:val="006A5370"/>
    <w:rsid w:val="006A5DEE"/>
    <w:rsid w:val="006A76F2"/>
    <w:rsid w:val="006B01FC"/>
    <w:rsid w:val="006B164F"/>
    <w:rsid w:val="006B555B"/>
    <w:rsid w:val="006C10B1"/>
    <w:rsid w:val="006C21EC"/>
    <w:rsid w:val="006C3EAE"/>
    <w:rsid w:val="006C441F"/>
    <w:rsid w:val="006C5665"/>
    <w:rsid w:val="006D490C"/>
    <w:rsid w:val="006D7EFB"/>
    <w:rsid w:val="006E2544"/>
    <w:rsid w:val="006E54C2"/>
    <w:rsid w:val="006E5776"/>
    <w:rsid w:val="006E6672"/>
    <w:rsid w:val="006E6722"/>
    <w:rsid w:val="006F0854"/>
    <w:rsid w:val="006F188E"/>
    <w:rsid w:val="006F2773"/>
    <w:rsid w:val="006F7CEF"/>
    <w:rsid w:val="00701DB8"/>
    <w:rsid w:val="007027B9"/>
    <w:rsid w:val="007034F2"/>
    <w:rsid w:val="007114EE"/>
    <w:rsid w:val="00712303"/>
    <w:rsid w:val="00715E88"/>
    <w:rsid w:val="00720516"/>
    <w:rsid w:val="00721848"/>
    <w:rsid w:val="0072413C"/>
    <w:rsid w:val="00726546"/>
    <w:rsid w:val="00727293"/>
    <w:rsid w:val="00727BC1"/>
    <w:rsid w:val="0073003A"/>
    <w:rsid w:val="007322BD"/>
    <w:rsid w:val="00734CAA"/>
    <w:rsid w:val="007354A3"/>
    <w:rsid w:val="007418EA"/>
    <w:rsid w:val="00742ADD"/>
    <w:rsid w:val="007454AF"/>
    <w:rsid w:val="00746D05"/>
    <w:rsid w:val="007476C3"/>
    <w:rsid w:val="007538EE"/>
    <w:rsid w:val="0075533C"/>
    <w:rsid w:val="007554EA"/>
    <w:rsid w:val="00755E3C"/>
    <w:rsid w:val="00756B25"/>
    <w:rsid w:val="00756B2D"/>
    <w:rsid w:val="00757581"/>
    <w:rsid w:val="007611A0"/>
    <w:rsid w:val="00761C3B"/>
    <w:rsid w:val="0076276A"/>
    <w:rsid w:val="007637BF"/>
    <w:rsid w:val="00764A22"/>
    <w:rsid w:val="00766FC6"/>
    <w:rsid w:val="00770E89"/>
    <w:rsid w:val="00770FC5"/>
    <w:rsid w:val="00774907"/>
    <w:rsid w:val="007756D9"/>
    <w:rsid w:val="00777061"/>
    <w:rsid w:val="007806CC"/>
    <w:rsid w:val="0078070A"/>
    <w:rsid w:val="007817A5"/>
    <w:rsid w:val="00784F0D"/>
    <w:rsid w:val="0079048A"/>
    <w:rsid w:val="00791D40"/>
    <w:rsid w:val="00793B47"/>
    <w:rsid w:val="0079434B"/>
    <w:rsid w:val="00794A5A"/>
    <w:rsid w:val="00796A33"/>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1C00"/>
    <w:rsid w:val="007D6383"/>
    <w:rsid w:val="007D66A8"/>
    <w:rsid w:val="007E003F"/>
    <w:rsid w:val="007E0B2C"/>
    <w:rsid w:val="007E26D6"/>
    <w:rsid w:val="007E31B4"/>
    <w:rsid w:val="007E5C26"/>
    <w:rsid w:val="007E718A"/>
    <w:rsid w:val="007F2AC9"/>
    <w:rsid w:val="007F4F77"/>
    <w:rsid w:val="0080032C"/>
    <w:rsid w:val="00802756"/>
    <w:rsid w:val="0080712E"/>
    <w:rsid w:val="0081058C"/>
    <w:rsid w:val="00811C68"/>
    <w:rsid w:val="00812F59"/>
    <w:rsid w:val="0081306C"/>
    <w:rsid w:val="008164F2"/>
    <w:rsid w:val="00821395"/>
    <w:rsid w:val="008230CB"/>
    <w:rsid w:val="00824D98"/>
    <w:rsid w:val="00830E26"/>
    <w:rsid w:val="00831E7A"/>
    <w:rsid w:val="00833730"/>
    <w:rsid w:val="00835E00"/>
    <w:rsid w:val="00843576"/>
    <w:rsid w:val="00843A18"/>
    <w:rsid w:val="00843B64"/>
    <w:rsid w:val="008445D8"/>
    <w:rsid w:val="00845065"/>
    <w:rsid w:val="008465E3"/>
    <w:rsid w:val="008478FC"/>
    <w:rsid w:val="0085171F"/>
    <w:rsid w:val="008520C8"/>
    <w:rsid w:val="00855D9C"/>
    <w:rsid w:val="00855F33"/>
    <w:rsid w:val="0085746B"/>
    <w:rsid w:val="00861A0D"/>
    <w:rsid w:val="00865A27"/>
    <w:rsid w:val="00867BFF"/>
    <w:rsid w:val="00871729"/>
    <w:rsid w:val="00873198"/>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C2C14"/>
    <w:rsid w:val="008C5393"/>
    <w:rsid w:val="008C6742"/>
    <w:rsid w:val="008D0B06"/>
    <w:rsid w:val="008D3E99"/>
    <w:rsid w:val="008D5061"/>
    <w:rsid w:val="008D5BCC"/>
    <w:rsid w:val="008D7C99"/>
    <w:rsid w:val="008D7F72"/>
    <w:rsid w:val="008E00D9"/>
    <w:rsid w:val="008E046B"/>
    <w:rsid w:val="008E0FCB"/>
    <w:rsid w:val="008E340B"/>
    <w:rsid w:val="008F0079"/>
    <w:rsid w:val="008F42BA"/>
    <w:rsid w:val="008F5905"/>
    <w:rsid w:val="008F68CE"/>
    <w:rsid w:val="009015D3"/>
    <w:rsid w:val="009021BD"/>
    <w:rsid w:val="00903512"/>
    <w:rsid w:val="00904A57"/>
    <w:rsid w:val="00906607"/>
    <w:rsid w:val="0092178C"/>
    <w:rsid w:val="0092574B"/>
    <w:rsid w:val="00925D83"/>
    <w:rsid w:val="00930B88"/>
    <w:rsid w:val="00933AC1"/>
    <w:rsid w:val="009346FD"/>
    <w:rsid w:val="00934F7F"/>
    <w:rsid w:val="00936099"/>
    <w:rsid w:val="009369C6"/>
    <w:rsid w:val="00937054"/>
    <w:rsid w:val="00940DCC"/>
    <w:rsid w:val="0094179A"/>
    <w:rsid w:val="009434DF"/>
    <w:rsid w:val="0094459E"/>
    <w:rsid w:val="00944DBC"/>
    <w:rsid w:val="0094649C"/>
    <w:rsid w:val="00947E03"/>
    <w:rsid w:val="00950908"/>
    <w:rsid w:val="00950977"/>
    <w:rsid w:val="00951A7B"/>
    <w:rsid w:val="009564A6"/>
    <w:rsid w:val="00961A5B"/>
    <w:rsid w:val="009642B5"/>
    <w:rsid w:val="00967621"/>
    <w:rsid w:val="00967E6A"/>
    <w:rsid w:val="00971A42"/>
    <w:rsid w:val="00974391"/>
    <w:rsid w:val="009761A8"/>
    <w:rsid w:val="0097791E"/>
    <w:rsid w:val="009821A7"/>
    <w:rsid w:val="00983D1E"/>
    <w:rsid w:val="0098482E"/>
    <w:rsid w:val="00990E4C"/>
    <w:rsid w:val="00990F34"/>
    <w:rsid w:val="009930C2"/>
    <w:rsid w:val="00993832"/>
    <w:rsid w:val="00994ADE"/>
    <w:rsid w:val="009A3BB2"/>
    <w:rsid w:val="009A48FF"/>
    <w:rsid w:val="009A5AD5"/>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D5461"/>
    <w:rsid w:val="009E08B9"/>
    <w:rsid w:val="009E307E"/>
    <w:rsid w:val="009F188E"/>
    <w:rsid w:val="009F4C98"/>
    <w:rsid w:val="009F58E4"/>
    <w:rsid w:val="009F7011"/>
    <w:rsid w:val="009F7E87"/>
    <w:rsid w:val="00A003D4"/>
    <w:rsid w:val="00A00BD5"/>
    <w:rsid w:val="00A0212E"/>
    <w:rsid w:val="00A02CF6"/>
    <w:rsid w:val="00A02DE6"/>
    <w:rsid w:val="00A03486"/>
    <w:rsid w:val="00A03FEB"/>
    <w:rsid w:val="00A04383"/>
    <w:rsid w:val="00A04ABF"/>
    <w:rsid w:val="00A05F84"/>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4745"/>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BE0"/>
    <w:rsid w:val="00A60D1F"/>
    <w:rsid w:val="00A61EFC"/>
    <w:rsid w:val="00A653CB"/>
    <w:rsid w:val="00A657DD"/>
    <w:rsid w:val="00A666A6"/>
    <w:rsid w:val="00A675FD"/>
    <w:rsid w:val="00A719FA"/>
    <w:rsid w:val="00A71BBD"/>
    <w:rsid w:val="00A71DA8"/>
    <w:rsid w:val="00A72437"/>
    <w:rsid w:val="00A73564"/>
    <w:rsid w:val="00A73C3E"/>
    <w:rsid w:val="00A7428A"/>
    <w:rsid w:val="00A742A5"/>
    <w:rsid w:val="00A80611"/>
    <w:rsid w:val="00A82514"/>
    <w:rsid w:val="00A843FD"/>
    <w:rsid w:val="00A84A24"/>
    <w:rsid w:val="00A86BE4"/>
    <w:rsid w:val="00A92CD0"/>
    <w:rsid w:val="00A9647B"/>
    <w:rsid w:val="00A97E27"/>
    <w:rsid w:val="00AA06E3"/>
    <w:rsid w:val="00AA20D6"/>
    <w:rsid w:val="00AA4688"/>
    <w:rsid w:val="00AA76AB"/>
    <w:rsid w:val="00AA79C5"/>
    <w:rsid w:val="00AB3735"/>
    <w:rsid w:val="00AB3F6B"/>
    <w:rsid w:val="00AB5340"/>
    <w:rsid w:val="00AB7EC7"/>
    <w:rsid w:val="00AC0A89"/>
    <w:rsid w:val="00AC1073"/>
    <w:rsid w:val="00AC29AD"/>
    <w:rsid w:val="00AC7C96"/>
    <w:rsid w:val="00AD04F9"/>
    <w:rsid w:val="00AD0D47"/>
    <w:rsid w:val="00AD28D1"/>
    <w:rsid w:val="00AE108A"/>
    <w:rsid w:val="00AE237D"/>
    <w:rsid w:val="00AE3288"/>
    <w:rsid w:val="00AE502A"/>
    <w:rsid w:val="00AE7AE1"/>
    <w:rsid w:val="00AF127B"/>
    <w:rsid w:val="00AF1B79"/>
    <w:rsid w:val="00AF22C2"/>
    <w:rsid w:val="00AF2335"/>
    <w:rsid w:val="00AF3FBC"/>
    <w:rsid w:val="00AF6281"/>
    <w:rsid w:val="00AF7C07"/>
    <w:rsid w:val="00B05D7B"/>
    <w:rsid w:val="00B10467"/>
    <w:rsid w:val="00B10E49"/>
    <w:rsid w:val="00B11447"/>
    <w:rsid w:val="00B1147B"/>
    <w:rsid w:val="00B115BB"/>
    <w:rsid w:val="00B12098"/>
    <w:rsid w:val="00B120B5"/>
    <w:rsid w:val="00B123B9"/>
    <w:rsid w:val="00B133F1"/>
    <w:rsid w:val="00B15274"/>
    <w:rsid w:val="00B20F08"/>
    <w:rsid w:val="00B2156E"/>
    <w:rsid w:val="00B224F9"/>
    <w:rsid w:val="00B22C93"/>
    <w:rsid w:val="00B23C52"/>
    <w:rsid w:val="00B23C7E"/>
    <w:rsid w:val="00B242C7"/>
    <w:rsid w:val="00B24A20"/>
    <w:rsid w:val="00B26538"/>
    <w:rsid w:val="00B27589"/>
    <w:rsid w:val="00B277B8"/>
    <w:rsid w:val="00B3195F"/>
    <w:rsid w:val="00B35B44"/>
    <w:rsid w:val="00B40282"/>
    <w:rsid w:val="00B405B7"/>
    <w:rsid w:val="00B473B0"/>
    <w:rsid w:val="00B50A0C"/>
    <w:rsid w:val="00B52222"/>
    <w:rsid w:val="00B54FE7"/>
    <w:rsid w:val="00B55A5E"/>
    <w:rsid w:val="00B56632"/>
    <w:rsid w:val="00B61D82"/>
    <w:rsid w:val="00B66901"/>
    <w:rsid w:val="00B67B52"/>
    <w:rsid w:val="00B704F7"/>
    <w:rsid w:val="00B70C1E"/>
    <w:rsid w:val="00B71952"/>
    <w:rsid w:val="00B71E6D"/>
    <w:rsid w:val="00B72070"/>
    <w:rsid w:val="00B737C6"/>
    <w:rsid w:val="00B779E1"/>
    <w:rsid w:val="00B820D7"/>
    <w:rsid w:val="00B82AFB"/>
    <w:rsid w:val="00B82C30"/>
    <w:rsid w:val="00B83543"/>
    <w:rsid w:val="00B83A74"/>
    <w:rsid w:val="00B90D35"/>
    <w:rsid w:val="00B91EE1"/>
    <w:rsid w:val="00B94BE0"/>
    <w:rsid w:val="00B953A0"/>
    <w:rsid w:val="00B95829"/>
    <w:rsid w:val="00B95FB0"/>
    <w:rsid w:val="00BA0090"/>
    <w:rsid w:val="00BA043B"/>
    <w:rsid w:val="00BA04E5"/>
    <w:rsid w:val="00BA1A67"/>
    <w:rsid w:val="00BA4C22"/>
    <w:rsid w:val="00BA69E8"/>
    <w:rsid w:val="00BB72D2"/>
    <w:rsid w:val="00BB7EA0"/>
    <w:rsid w:val="00BC2E15"/>
    <w:rsid w:val="00BE0C02"/>
    <w:rsid w:val="00BE1EBD"/>
    <w:rsid w:val="00BE22C7"/>
    <w:rsid w:val="00BE530B"/>
    <w:rsid w:val="00BE5B5F"/>
    <w:rsid w:val="00BE6E6A"/>
    <w:rsid w:val="00BF0332"/>
    <w:rsid w:val="00BF064C"/>
    <w:rsid w:val="00BF0679"/>
    <w:rsid w:val="00BF152D"/>
    <w:rsid w:val="00BF1F2E"/>
    <w:rsid w:val="00BF40DF"/>
    <w:rsid w:val="00BF5322"/>
    <w:rsid w:val="00BF662C"/>
    <w:rsid w:val="00C00DE2"/>
    <w:rsid w:val="00C010AE"/>
    <w:rsid w:val="00C028C2"/>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44A6"/>
    <w:rsid w:val="00C459DD"/>
    <w:rsid w:val="00C45F26"/>
    <w:rsid w:val="00C47DBF"/>
    <w:rsid w:val="00C552FF"/>
    <w:rsid w:val="00C5575D"/>
    <w:rsid w:val="00C558DA"/>
    <w:rsid w:val="00C55AF3"/>
    <w:rsid w:val="00C61877"/>
    <w:rsid w:val="00C64FC5"/>
    <w:rsid w:val="00C66C0B"/>
    <w:rsid w:val="00C66C8D"/>
    <w:rsid w:val="00C66CDC"/>
    <w:rsid w:val="00C7214C"/>
    <w:rsid w:val="00C72607"/>
    <w:rsid w:val="00C73A98"/>
    <w:rsid w:val="00C742BE"/>
    <w:rsid w:val="00C75069"/>
    <w:rsid w:val="00C76479"/>
    <w:rsid w:val="00C77CEF"/>
    <w:rsid w:val="00C81164"/>
    <w:rsid w:val="00C84080"/>
    <w:rsid w:val="00C84759"/>
    <w:rsid w:val="00C863E3"/>
    <w:rsid w:val="00C87456"/>
    <w:rsid w:val="00C90A38"/>
    <w:rsid w:val="00C90A6A"/>
    <w:rsid w:val="00C90B6B"/>
    <w:rsid w:val="00C9427F"/>
    <w:rsid w:val="00C9545E"/>
    <w:rsid w:val="00C95EBA"/>
    <w:rsid w:val="00C96821"/>
    <w:rsid w:val="00C978AF"/>
    <w:rsid w:val="00C979A3"/>
    <w:rsid w:val="00CA1CBD"/>
    <w:rsid w:val="00CA22CD"/>
    <w:rsid w:val="00CA3827"/>
    <w:rsid w:val="00CA6C7F"/>
    <w:rsid w:val="00CB0A97"/>
    <w:rsid w:val="00CB27E0"/>
    <w:rsid w:val="00CB30A6"/>
    <w:rsid w:val="00CB345B"/>
    <w:rsid w:val="00CB44C8"/>
    <w:rsid w:val="00CB7857"/>
    <w:rsid w:val="00CC10A6"/>
    <w:rsid w:val="00CC1142"/>
    <w:rsid w:val="00CC1797"/>
    <w:rsid w:val="00CC1CDA"/>
    <w:rsid w:val="00CC201A"/>
    <w:rsid w:val="00CD1D1C"/>
    <w:rsid w:val="00CD27E6"/>
    <w:rsid w:val="00CD448E"/>
    <w:rsid w:val="00CD5EB8"/>
    <w:rsid w:val="00CD6881"/>
    <w:rsid w:val="00CD7044"/>
    <w:rsid w:val="00CD7FCF"/>
    <w:rsid w:val="00CE08B9"/>
    <w:rsid w:val="00CE404F"/>
    <w:rsid w:val="00CE425E"/>
    <w:rsid w:val="00CE460C"/>
    <w:rsid w:val="00CE4F9F"/>
    <w:rsid w:val="00CE524C"/>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5021"/>
    <w:rsid w:val="00D16159"/>
    <w:rsid w:val="00D169AF"/>
    <w:rsid w:val="00D2125B"/>
    <w:rsid w:val="00D21E5D"/>
    <w:rsid w:val="00D2433F"/>
    <w:rsid w:val="00D24778"/>
    <w:rsid w:val="00D25249"/>
    <w:rsid w:val="00D26E61"/>
    <w:rsid w:val="00D27340"/>
    <w:rsid w:val="00D27E9A"/>
    <w:rsid w:val="00D30049"/>
    <w:rsid w:val="00D31CC5"/>
    <w:rsid w:val="00D32B02"/>
    <w:rsid w:val="00D35B55"/>
    <w:rsid w:val="00D378CC"/>
    <w:rsid w:val="00D402A6"/>
    <w:rsid w:val="00D40CC2"/>
    <w:rsid w:val="00D41218"/>
    <w:rsid w:val="00D4196D"/>
    <w:rsid w:val="00D44172"/>
    <w:rsid w:val="00D50B60"/>
    <w:rsid w:val="00D537AB"/>
    <w:rsid w:val="00D5459B"/>
    <w:rsid w:val="00D55D38"/>
    <w:rsid w:val="00D604A0"/>
    <w:rsid w:val="00D61672"/>
    <w:rsid w:val="00D63B8C"/>
    <w:rsid w:val="00D63C48"/>
    <w:rsid w:val="00D665E7"/>
    <w:rsid w:val="00D739CC"/>
    <w:rsid w:val="00D75221"/>
    <w:rsid w:val="00D773EA"/>
    <w:rsid w:val="00D8093D"/>
    <w:rsid w:val="00D8108C"/>
    <w:rsid w:val="00D83B2C"/>
    <w:rsid w:val="00D842AE"/>
    <w:rsid w:val="00D86EFF"/>
    <w:rsid w:val="00D90563"/>
    <w:rsid w:val="00D9211C"/>
    <w:rsid w:val="00D92DE0"/>
    <w:rsid w:val="00D92FEF"/>
    <w:rsid w:val="00D93A0F"/>
    <w:rsid w:val="00D93BFF"/>
    <w:rsid w:val="00D94D33"/>
    <w:rsid w:val="00D9695E"/>
    <w:rsid w:val="00D96C92"/>
    <w:rsid w:val="00D97247"/>
    <w:rsid w:val="00DA045D"/>
    <w:rsid w:val="00DA0811"/>
    <w:rsid w:val="00DA1BCA"/>
    <w:rsid w:val="00DA3752"/>
    <w:rsid w:val="00DA3EA9"/>
    <w:rsid w:val="00DA60D8"/>
    <w:rsid w:val="00DB2C14"/>
    <w:rsid w:val="00DB3D5F"/>
    <w:rsid w:val="00DB58FE"/>
    <w:rsid w:val="00DB60E4"/>
    <w:rsid w:val="00DC1A1C"/>
    <w:rsid w:val="00DC1A57"/>
    <w:rsid w:val="00DC4533"/>
    <w:rsid w:val="00DC46FF"/>
    <w:rsid w:val="00DC5254"/>
    <w:rsid w:val="00DD0F1A"/>
    <w:rsid w:val="00DD1A4F"/>
    <w:rsid w:val="00DD3107"/>
    <w:rsid w:val="00DD33D0"/>
    <w:rsid w:val="00DD706A"/>
    <w:rsid w:val="00DD7C2C"/>
    <w:rsid w:val="00DE0258"/>
    <w:rsid w:val="00DE31A9"/>
    <w:rsid w:val="00DE4A80"/>
    <w:rsid w:val="00DE4E73"/>
    <w:rsid w:val="00DE6ACD"/>
    <w:rsid w:val="00DE7F32"/>
    <w:rsid w:val="00DF17EE"/>
    <w:rsid w:val="00DF1E4C"/>
    <w:rsid w:val="00DF48D3"/>
    <w:rsid w:val="00DF4DE2"/>
    <w:rsid w:val="00DF5893"/>
    <w:rsid w:val="00E0199B"/>
    <w:rsid w:val="00E047DA"/>
    <w:rsid w:val="00E064AF"/>
    <w:rsid w:val="00E06797"/>
    <w:rsid w:val="00E07353"/>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1809"/>
    <w:rsid w:val="00E327D4"/>
    <w:rsid w:val="00E32F59"/>
    <w:rsid w:val="00E34622"/>
    <w:rsid w:val="00E40926"/>
    <w:rsid w:val="00E46D9A"/>
    <w:rsid w:val="00E477FF"/>
    <w:rsid w:val="00E534DC"/>
    <w:rsid w:val="00E54C0B"/>
    <w:rsid w:val="00E5536E"/>
    <w:rsid w:val="00E55AA9"/>
    <w:rsid w:val="00E565FF"/>
    <w:rsid w:val="00E6090D"/>
    <w:rsid w:val="00E62F83"/>
    <w:rsid w:val="00E6359E"/>
    <w:rsid w:val="00E63EC6"/>
    <w:rsid w:val="00E65388"/>
    <w:rsid w:val="00E7169D"/>
    <w:rsid w:val="00E7205C"/>
    <w:rsid w:val="00E72DE1"/>
    <w:rsid w:val="00E75472"/>
    <w:rsid w:val="00E77342"/>
    <w:rsid w:val="00E776B8"/>
    <w:rsid w:val="00E77773"/>
    <w:rsid w:val="00E8325F"/>
    <w:rsid w:val="00E8396C"/>
    <w:rsid w:val="00E85B7D"/>
    <w:rsid w:val="00E90B2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2BD3"/>
    <w:rsid w:val="00EB3900"/>
    <w:rsid w:val="00EB3E88"/>
    <w:rsid w:val="00EC1835"/>
    <w:rsid w:val="00EC1896"/>
    <w:rsid w:val="00EC5A46"/>
    <w:rsid w:val="00EC63E2"/>
    <w:rsid w:val="00ED026F"/>
    <w:rsid w:val="00ED1AA6"/>
    <w:rsid w:val="00ED2769"/>
    <w:rsid w:val="00ED38C0"/>
    <w:rsid w:val="00ED6482"/>
    <w:rsid w:val="00EE688F"/>
    <w:rsid w:val="00EE7456"/>
    <w:rsid w:val="00EE75D9"/>
    <w:rsid w:val="00EF22B3"/>
    <w:rsid w:val="00EF26AD"/>
    <w:rsid w:val="00EF354F"/>
    <w:rsid w:val="00EF35A2"/>
    <w:rsid w:val="00F003D9"/>
    <w:rsid w:val="00F0084E"/>
    <w:rsid w:val="00F03B69"/>
    <w:rsid w:val="00F07A50"/>
    <w:rsid w:val="00F113DA"/>
    <w:rsid w:val="00F13C7D"/>
    <w:rsid w:val="00F175BD"/>
    <w:rsid w:val="00F21AFC"/>
    <w:rsid w:val="00F23065"/>
    <w:rsid w:val="00F24586"/>
    <w:rsid w:val="00F24C84"/>
    <w:rsid w:val="00F251AA"/>
    <w:rsid w:val="00F277EB"/>
    <w:rsid w:val="00F319C3"/>
    <w:rsid w:val="00F3485F"/>
    <w:rsid w:val="00F34BA2"/>
    <w:rsid w:val="00F368E0"/>
    <w:rsid w:val="00F3709A"/>
    <w:rsid w:val="00F373D4"/>
    <w:rsid w:val="00F37DC8"/>
    <w:rsid w:val="00F439B3"/>
    <w:rsid w:val="00F43AE6"/>
    <w:rsid w:val="00F45037"/>
    <w:rsid w:val="00F460BE"/>
    <w:rsid w:val="00F470DF"/>
    <w:rsid w:val="00F471F6"/>
    <w:rsid w:val="00F50DA2"/>
    <w:rsid w:val="00F51020"/>
    <w:rsid w:val="00F52737"/>
    <w:rsid w:val="00F5316E"/>
    <w:rsid w:val="00F53503"/>
    <w:rsid w:val="00F53E55"/>
    <w:rsid w:val="00F56735"/>
    <w:rsid w:val="00F56B98"/>
    <w:rsid w:val="00F5767D"/>
    <w:rsid w:val="00F61341"/>
    <w:rsid w:val="00F615F9"/>
    <w:rsid w:val="00F650C3"/>
    <w:rsid w:val="00F65D85"/>
    <w:rsid w:val="00F66C46"/>
    <w:rsid w:val="00F67D05"/>
    <w:rsid w:val="00F67D28"/>
    <w:rsid w:val="00F76728"/>
    <w:rsid w:val="00F8091E"/>
    <w:rsid w:val="00F821AE"/>
    <w:rsid w:val="00F83388"/>
    <w:rsid w:val="00F84BD7"/>
    <w:rsid w:val="00F8615C"/>
    <w:rsid w:val="00F874E0"/>
    <w:rsid w:val="00F87847"/>
    <w:rsid w:val="00F93BE5"/>
    <w:rsid w:val="00F969E5"/>
    <w:rsid w:val="00F97C58"/>
    <w:rsid w:val="00FA0688"/>
    <w:rsid w:val="00FA0C56"/>
    <w:rsid w:val="00FA1993"/>
    <w:rsid w:val="00FA1F59"/>
    <w:rsid w:val="00FA205D"/>
    <w:rsid w:val="00FA500A"/>
    <w:rsid w:val="00FA6BB0"/>
    <w:rsid w:val="00FB1585"/>
    <w:rsid w:val="00FB23D0"/>
    <w:rsid w:val="00FB6D04"/>
    <w:rsid w:val="00FB75D9"/>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1AD"/>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0AFE2"/>
  <w15:chartTrackingRefBased/>
  <w15:docId w15:val="{A7526F33-46A0-4264-89D3-A74CBD83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6574"/>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2"/>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2"/>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A36574"/>
    <w:rPr>
      <w:rFonts w:ascii="Times New Roman" w:hAnsi="Times New Roman"/>
      <w:color w:val="auto"/>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qFormat/>
    <w:rsid w:val="007D1C00"/>
    <w:pPr>
      <w:numPr>
        <w:numId w:val="3"/>
      </w:numPr>
      <w:tabs>
        <w:tab w:val="left" w:pos="624"/>
      </w:tabs>
      <w:spacing w:after="120"/>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7D1C00"/>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customStyle="1" w:styleId="UnresolvedMention3">
    <w:name w:val="Unresolved Mention3"/>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rasmus\United%20Nations\MEA-IPBES-Secretariat%20-%20IPBES_9_Bonn_2022\Documents\Submitted%20for%20editing%20and%20translation_insession%20documents\IPBES_9_2\ipbes_9_2_election_of_officer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8527E0A0837F64083645E115EB57567" ma:contentTypeVersion="12" ma:contentTypeDescription="Create a new document." ma:contentTypeScope="" ma:versionID="af15abcd28502138ec9db060e2e0082a">
  <xsd:schema xmlns:xsd="http://www.w3.org/2001/XMLSchema" xmlns:xs="http://www.w3.org/2001/XMLSchema" xmlns:p="http://schemas.microsoft.com/office/2006/metadata/properties" xmlns:ns2="44b29a07-ae0c-4297-aad9-2f7ae2e24b8e" xmlns:ns3="a591afa8-fd54-42f1-9ea9-749d51e1c00b" targetNamespace="http://schemas.microsoft.com/office/2006/metadata/properties" ma:root="true" ma:fieldsID="2820a95b044474b4e901ae50fb64eb05" ns2:_="" ns3:_="">
    <xsd:import namespace="44b29a07-ae0c-4297-aad9-2f7ae2e24b8e"/>
    <xsd:import namespace="a591afa8-fd54-42f1-9ea9-749d51e1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29a07-ae0c-4297-aad9-2f7ae2e2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1afa8-fd54-42f1-9ea9-749d51e1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5D620820-B820-48B4-9A63-A30A48E9F87B}">
  <ds:schemaRefs>
    <ds:schemaRef ds:uri="http://schemas.openxmlformats.org/officeDocument/2006/bibliography"/>
  </ds:schemaRefs>
</ds:datastoreItem>
</file>

<file path=customXml/itemProps3.xml><?xml version="1.0" encoding="utf-8"?>
<ds:datastoreItem xmlns:ds="http://schemas.openxmlformats.org/officeDocument/2006/customXml" ds:itemID="{DCB8E311-D1DA-4723-9576-B93A4CDA3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29a07-ae0c-4297-aad9-2f7ae2e24b8e"/>
    <ds:schemaRef ds:uri="a591afa8-fd54-42f1-9ea9-749d51e1c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ipbes_9_2_election_of_officers</Template>
  <TotalTime>1</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Olga Rasmus</dc:creator>
  <cp:keywords/>
  <dc:description/>
  <cp:lastModifiedBy>Olga Rasmus</cp:lastModifiedBy>
  <cp:revision>2</cp:revision>
  <cp:lastPrinted>2019-03-14T20:01:00Z</cp:lastPrinted>
  <dcterms:created xsi:type="dcterms:W3CDTF">2022-06-08T16:06:00Z</dcterms:created>
  <dcterms:modified xsi:type="dcterms:W3CDTF">2022-06-08T16:06:00Z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0x010100A8527E0A0837F64083645E115EB57567</vt:lpwstr>
  </property>
</Properties>
</file>